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0"/>
        <w:rPr>
          <w:rFonts w:ascii="方正小标宋简体" w:hAnsi="宋体" w:eastAsia="方正小标宋简体"/>
          <w:sz w:val="72"/>
          <w:szCs w:val="72"/>
        </w:rPr>
      </w:pPr>
      <w:bookmarkStart w:id="0" w:name="_Toc15306267"/>
    </w:p>
    <w:p>
      <w:pPr>
        <w:spacing w:line="600" w:lineRule="exact"/>
        <w:jc w:val="center"/>
        <w:outlineLvl w:val="0"/>
        <w:rPr>
          <w:rFonts w:ascii="方正小标宋简体" w:hAnsi="宋体" w:eastAsia="方正小标宋简体"/>
          <w:sz w:val="72"/>
          <w:szCs w:val="72"/>
        </w:rPr>
      </w:pPr>
    </w:p>
    <w:p>
      <w:pPr>
        <w:spacing w:line="600" w:lineRule="exact"/>
        <w:jc w:val="center"/>
        <w:outlineLvl w:val="0"/>
        <w:rPr>
          <w:rFonts w:ascii="方正小标宋简体" w:hAnsi="宋体" w:eastAsia="方正小标宋简体"/>
          <w:sz w:val="72"/>
          <w:szCs w:val="72"/>
        </w:rPr>
      </w:pPr>
    </w:p>
    <w:p>
      <w:pPr>
        <w:spacing w:line="600" w:lineRule="exact"/>
        <w:jc w:val="center"/>
        <w:outlineLvl w:val="0"/>
        <w:rPr>
          <w:rFonts w:ascii="方正小标宋简体" w:hAnsi="宋体" w:eastAsia="方正小标宋简体"/>
          <w:sz w:val="72"/>
          <w:szCs w:val="72"/>
        </w:rPr>
      </w:pPr>
    </w:p>
    <w:p>
      <w:pPr>
        <w:adjustRightInd w:val="0"/>
        <w:snapToGrid w:val="0"/>
        <w:spacing w:line="360" w:lineRule="auto"/>
        <w:jc w:val="center"/>
        <w:outlineLvl w:val="0"/>
        <w:rPr>
          <w:rFonts w:ascii="方正小标宋简体" w:hAnsi="方正小标宋简体" w:eastAsia="方正小标宋简体" w:cs="方正小标宋简体"/>
          <w:sz w:val="72"/>
          <w:szCs w:val="72"/>
        </w:rPr>
      </w:pPr>
      <w:bookmarkStart w:id="1" w:name="_Toc15377425"/>
      <w:bookmarkStart w:id="2" w:name="_Toc15378441"/>
      <w:bookmarkStart w:id="3" w:name="_Toc15377193"/>
      <w:bookmarkStart w:id="4" w:name="_Toc15396475"/>
      <w:bookmarkStart w:id="5" w:name="_Toc15396597"/>
      <w:r>
        <w:rPr>
          <w:rFonts w:hint="eastAsia" w:ascii="方正小标宋简体" w:hAnsi="方正小标宋简体" w:eastAsia="方正小标宋简体" w:cs="方正小标宋简体"/>
          <w:sz w:val="72"/>
          <w:szCs w:val="72"/>
        </w:rPr>
        <w:t>2021年度</w:t>
      </w:r>
      <w:bookmarkEnd w:id="1"/>
      <w:bookmarkEnd w:id="2"/>
      <w:bookmarkEnd w:id="3"/>
      <w:bookmarkEnd w:id="4"/>
      <w:bookmarkEnd w:id="5"/>
    </w:p>
    <w:p>
      <w:pPr>
        <w:adjustRightInd w:val="0"/>
        <w:snapToGrid w:val="0"/>
        <w:spacing w:line="360" w:lineRule="auto"/>
        <w:jc w:val="center"/>
        <w:outlineLvl w:val="0"/>
        <w:rPr>
          <w:rFonts w:ascii="方正小标宋简体" w:hAnsi="方正小标宋简体" w:eastAsia="方正小标宋简体" w:cs="方正小标宋简体"/>
          <w:sz w:val="72"/>
          <w:szCs w:val="72"/>
        </w:rPr>
      </w:pPr>
      <w:bookmarkStart w:id="6" w:name="_Toc15377426"/>
      <w:bookmarkStart w:id="7" w:name="_Toc15396476"/>
      <w:bookmarkStart w:id="8" w:name="_Toc15396598"/>
      <w:bookmarkStart w:id="9" w:name="_Toc15377194"/>
      <w:bookmarkStart w:id="10" w:name="_Toc15378442"/>
      <w:r>
        <w:rPr>
          <w:rFonts w:hint="eastAsia" w:ascii="方正小标宋简体" w:hAnsi="方正小标宋简体" w:eastAsia="方正小标宋简体" w:cs="方正小标宋简体"/>
          <w:sz w:val="72"/>
          <w:szCs w:val="72"/>
        </w:rPr>
        <w:t>乐山市市中区</w:t>
      </w:r>
      <w:bookmarkEnd w:id="0"/>
      <w:bookmarkStart w:id="11" w:name="_Toc15306268"/>
      <w:r>
        <w:rPr>
          <w:rFonts w:hint="eastAsia" w:ascii="方正小标宋简体" w:hAnsi="方正小标宋简体" w:eastAsia="方正小标宋简体" w:cs="方正小标宋简体"/>
          <w:sz w:val="72"/>
          <w:szCs w:val="72"/>
        </w:rPr>
        <w:t>平兴镇单位决算</w:t>
      </w:r>
      <w:bookmarkEnd w:id="6"/>
      <w:bookmarkEnd w:id="7"/>
      <w:bookmarkEnd w:id="8"/>
      <w:bookmarkEnd w:id="9"/>
      <w:bookmarkEnd w:id="10"/>
      <w:bookmarkEnd w:id="11"/>
      <w:r>
        <w:rPr>
          <w:rFonts w:hint="eastAsia" w:ascii="方正小标宋简体" w:hAnsi="方正小标宋简体" w:eastAsia="方正小标宋简体" w:cs="方正小标宋简体"/>
          <w:sz w:val="72"/>
          <w:szCs w:val="72"/>
        </w:rPr>
        <w:t>编制说明</w:t>
      </w:r>
    </w:p>
    <w:p>
      <w:pPr>
        <w:widowControl/>
        <w:jc w:val="center"/>
        <w:rPr>
          <w:rFonts w:ascii="黑体" w:hAnsi="黑体" w:eastAsia="黑体"/>
          <w:sz w:val="48"/>
          <w:szCs w:val="48"/>
        </w:rPr>
      </w:pPr>
      <w:r>
        <w:rPr>
          <w:rFonts w:ascii="方正小标宋简体" w:hAnsi="宋体" w:eastAsia="方正小标宋简体"/>
          <w:sz w:val="36"/>
          <w:szCs w:val="36"/>
        </w:rPr>
        <w:br w:type="page"/>
      </w:r>
    </w:p>
    <w:p>
      <w:pPr>
        <w:widowControl/>
        <w:spacing w:line="360" w:lineRule="atLeast"/>
        <w:jc w:val="center"/>
        <w:rPr>
          <w:rFonts w:ascii="黑体" w:hAnsi="黑体" w:eastAsia="黑体" w:cstheme="minorBidi"/>
          <w:sz w:val="24"/>
        </w:rPr>
      </w:pPr>
      <w:r>
        <w:rPr>
          <w:rFonts w:hint="eastAsia" w:ascii="黑体" w:hAnsi="黑体" w:eastAsia="黑体"/>
          <w:sz w:val="40"/>
          <w:szCs w:val="40"/>
        </w:rPr>
        <w:t>目录</w:t>
      </w:r>
    </w:p>
    <w:p>
      <w:pPr>
        <w:pStyle w:val="3"/>
        <w:spacing w:before="0" w:line="360" w:lineRule="atLeast"/>
      </w:pPr>
      <w:r>
        <w:rPr>
          <w:rFonts w:hint="eastAsia"/>
          <w:sz w:val="24"/>
          <w:szCs w:val="24"/>
        </w:rPr>
        <w:t>公开时间：2022年 10月 27 日</w:t>
      </w:r>
    </w:p>
    <w:sdt>
      <w:sdtPr>
        <w:rPr>
          <w:rFonts w:ascii="宋体" w:hAnsi="宋体" w:eastAsiaTheme="minorEastAsia" w:cstheme="minorBidi"/>
          <w:kern w:val="0"/>
          <w:sz w:val="20"/>
          <w:szCs w:val="20"/>
        </w:rPr>
        <w:id w:val="147470731"/>
        <w:docPartObj>
          <w:docPartGallery w:val="Table of Contents"/>
          <w:docPartUnique/>
        </w:docPartObj>
      </w:sdtPr>
      <w:sdtEndPr>
        <w:rPr>
          <w:rFonts w:ascii="宋体" w:hAnsi="宋体" w:eastAsiaTheme="minorEastAsia" w:cstheme="minorBidi"/>
          <w:kern w:val="0"/>
          <w:sz w:val="20"/>
          <w:szCs w:val="20"/>
        </w:rPr>
      </w:sdtEndPr>
      <w:sdtContent>
        <w:p>
          <w:pPr>
            <w:jc w:val="center"/>
          </w:pPr>
        </w:p>
        <w:p>
          <w:pPr>
            <w:pStyle w:val="32"/>
            <w:tabs>
              <w:tab w:val="right" w:leader="dot" w:pos="8306"/>
            </w:tabs>
            <w:spacing w:line="400" w:lineRule="atLeast"/>
            <w:rPr>
              <w:sz w:val="24"/>
              <w:szCs w:val="24"/>
            </w:rPr>
          </w:pPr>
          <w:r>
            <w:fldChar w:fldCharType="begin"/>
          </w:r>
          <w:r>
            <w:instrText xml:space="preserve"> HYPERLINK \l "_Toc4291_WPSOffice_Level1" </w:instrText>
          </w:r>
          <w:r>
            <w:fldChar w:fldCharType="separate"/>
          </w:r>
          <w:r>
            <w:rPr>
              <w:rFonts w:hint="eastAsia" w:ascii="黑体" w:hAnsi="黑体" w:eastAsia="黑体" w:cs="Times New Roman"/>
              <w:b/>
              <w:bCs/>
              <w:sz w:val="24"/>
              <w:szCs w:val="24"/>
            </w:rPr>
            <w:t>第一部分 单位概况</w:t>
          </w:r>
          <w:r>
            <w:rPr>
              <w:b/>
              <w:bCs/>
              <w:sz w:val="24"/>
              <w:szCs w:val="24"/>
            </w:rPr>
            <w:tab/>
          </w:r>
          <w:bookmarkStart w:id="12" w:name="_Toc4291_WPSOffice_Level1Page"/>
          <w:r>
            <w:rPr>
              <w:b/>
              <w:bCs/>
              <w:sz w:val="24"/>
              <w:szCs w:val="24"/>
            </w:rPr>
            <w:t>7</w:t>
          </w:r>
          <w:bookmarkEnd w:id="12"/>
          <w:r>
            <w:rPr>
              <w:b/>
              <w:bCs/>
              <w:sz w:val="24"/>
              <w:szCs w:val="24"/>
            </w:rPr>
            <w:fldChar w:fldCharType="end"/>
          </w:r>
        </w:p>
        <w:p>
          <w:pPr>
            <w:pStyle w:val="33"/>
            <w:tabs>
              <w:tab w:val="right" w:leader="dot" w:pos="8306"/>
            </w:tabs>
            <w:spacing w:line="400" w:lineRule="atLeast"/>
            <w:ind w:left="420"/>
            <w:rPr>
              <w:sz w:val="24"/>
              <w:szCs w:val="24"/>
            </w:rPr>
          </w:pPr>
          <w:r>
            <w:fldChar w:fldCharType="begin"/>
          </w:r>
          <w:r>
            <w:instrText xml:space="preserve"> HYPERLINK \l "_Toc2337_WPSOffice_Level2" </w:instrText>
          </w:r>
          <w:r>
            <w:fldChar w:fldCharType="separate"/>
          </w:r>
          <w:r>
            <w:rPr>
              <w:rFonts w:hint="eastAsia" w:ascii="黑体" w:hAnsi="黑体" w:eastAsia="黑体" w:cstheme="majorBidi"/>
              <w:sz w:val="24"/>
              <w:szCs w:val="24"/>
            </w:rPr>
            <w:t>一、职能简介</w:t>
          </w:r>
          <w:r>
            <w:rPr>
              <w:sz w:val="24"/>
              <w:szCs w:val="24"/>
            </w:rPr>
            <w:tab/>
          </w:r>
          <w:bookmarkStart w:id="13" w:name="_Toc2337_WPSOffice_Level2Page"/>
          <w:r>
            <w:rPr>
              <w:sz w:val="24"/>
              <w:szCs w:val="24"/>
            </w:rPr>
            <w:t>7</w:t>
          </w:r>
          <w:bookmarkEnd w:id="13"/>
          <w:r>
            <w:rPr>
              <w:sz w:val="24"/>
              <w:szCs w:val="24"/>
            </w:rPr>
            <w:fldChar w:fldCharType="end"/>
          </w:r>
        </w:p>
        <w:p>
          <w:pPr>
            <w:pStyle w:val="33"/>
            <w:tabs>
              <w:tab w:val="right" w:leader="dot" w:pos="8306"/>
            </w:tabs>
            <w:spacing w:line="400" w:lineRule="atLeast"/>
            <w:ind w:left="420"/>
            <w:rPr>
              <w:sz w:val="24"/>
              <w:szCs w:val="24"/>
            </w:rPr>
          </w:pPr>
          <w:r>
            <w:fldChar w:fldCharType="begin"/>
          </w:r>
          <w:r>
            <w:instrText xml:space="preserve"> HYPERLINK \l "_Toc1928_WPSOffice_Level2" </w:instrText>
          </w:r>
          <w:r>
            <w:fldChar w:fldCharType="separate"/>
          </w:r>
          <w:r>
            <w:rPr>
              <w:rFonts w:hint="eastAsia" w:ascii="黑体" w:eastAsia="黑体" w:hAnsiTheme="majorHAnsi" w:cstheme="majorBidi"/>
              <w:sz w:val="24"/>
              <w:szCs w:val="24"/>
            </w:rPr>
            <w:t>二、2021年重点工作完成情况</w:t>
          </w:r>
          <w:r>
            <w:rPr>
              <w:sz w:val="24"/>
              <w:szCs w:val="24"/>
            </w:rPr>
            <w:tab/>
          </w:r>
          <w:bookmarkStart w:id="14" w:name="_Toc1928_WPSOffice_Level2Page"/>
          <w:r>
            <w:rPr>
              <w:sz w:val="24"/>
              <w:szCs w:val="24"/>
            </w:rPr>
            <w:t>13</w:t>
          </w:r>
          <w:bookmarkEnd w:id="14"/>
          <w:r>
            <w:rPr>
              <w:sz w:val="24"/>
              <w:szCs w:val="24"/>
            </w:rPr>
            <w:fldChar w:fldCharType="end"/>
          </w:r>
        </w:p>
        <w:p>
          <w:pPr>
            <w:pStyle w:val="32"/>
            <w:tabs>
              <w:tab w:val="right" w:leader="dot" w:pos="8306"/>
            </w:tabs>
            <w:spacing w:line="400" w:lineRule="atLeast"/>
            <w:rPr>
              <w:sz w:val="24"/>
              <w:szCs w:val="24"/>
            </w:rPr>
          </w:pPr>
          <w:r>
            <w:fldChar w:fldCharType="begin"/>
          </w:r>
          <w:r>
            <w:instrText xml:space="preserve"> HYPERLINK \l "_Toc2337_WPSOffice_Level1" </w:instrText>
          </w:r>
          <w:r>
            <w:fldChar w:fldCharType="separate"/>
          </w:r>
          <w:r>
            <w:rPr>
              <w:rFonts w:hint="eastAsia" w:ascii="黑体" w:hAnsi="黑体" w:eastAsia="黑体" w:cs="Times New Roman"/>
              <w:b/>
              <w:bCs/>
              <w:sz w:val="24"/>
              <w:szCs w:val="24"/>
            </w:rPr>
            <w:t>第二部分 2021年度单位决算情况说明</w:t>
          </w:r>
          <w:r>
            <w:rPr>
              <w:b/>
              <w:bCs/>
              <w:sz w:val="24"/>
              <w:szCs w:val="24"/>
            </w:rPr>
            <w:tab/>
          </w:r>
          <w:bookmarkStart w:id="15" w:name="_Toc2337_WPSOffice_Level1Page"/>
          <w:r>
            <w:rPr>
              <w:b/>
              <w:bCs/>
              <w:sz w:val="24"/>
              <w:szCs w:val="24"/>
            </w:rPr>
            <w:t>14</w:t>
          </w:r>
          <w:bookmarkEnd w:id="15"/>
          <w:r>
            <w:rPr>
              <w:b/>
              <w:bCs/>
              <w:sz w:val="24"/>
              <w:szCs w:val="24"/>
            </w:rPr>
            <w:fldChar w:fldCharType="end"/>
          </w:r>
        </w:p>
        <w:p>
          <w:pPr>
            <w:pStyle w:val="33"/>
            <w:tabs>
              <w:tab w:val="right" w:leader="dot" w:pos="8306"/>
            </w:tabs>
            <w:spacing w:line="400" w:lineRule="atLeast"/>
            <w:ind w:left="420"/>
            <w:rPr>
              <w:sz w:val="24"/>
              <w:szCs w:val="24"/>
            </w:rPr>
          </w:pPr>
          <w:r>
            <w:fldChar w:fldCharType="begin"/>
          </w:r>
          <w:r>
            <w:instrText xml:space="preserve"> HYPERLINK \l "_Toc22972_WPSOffice_Level2" </w:instrText>
          </w:r>
          <w:r>
            <w:fldChar w:fldCharType="separate"/>
          </w:r>
          <w:r>
            <w:rPr>
              <w:rFonts w:ascii="黑体" w:hAnsi="黑体" w:eastAsia="黑体" w:cstheme="majorBidi"/>
              <w:sz w:val="24"/>
              <w:szCs w:val="24"/>
            </w:rPr>
            <w:t xml:space="preserve">一、 </w:t>
          </w:r>
          <w:r>
            <w:rPr>
              <w:rFonts w:hint="eastAsia" w:ascii="黑体" w:hAnsi="黑体" w:eastAsia="黑体" w:cs="Times New Roman"/>
              <w:sz w:val="24"/>
              <w:szCs w:val="24"/>
            </w:rPr>
            <w:t>收</w:t>
          </w:r>
          <w:r>
            <w:rPr>
              <w:rFonts w:hint="eastAsia" w:ascii="黑体" w:hAnsi="黑体" w:eastAsia="黑体" w:cstheme="majorBidi"/>
              <w:sz w:val="24"/>
              <w:szCs w:val="24"/>
            </w:rPr>
            <w:t>入支出决算总体情况说明</w:t>
          </w:r>
          <w:r>
            <w:rPr>
              <w:sz w:val="24"/>
              <w:szCs w:val="24"/>
            </w:rPr>
            <w:tab/>
          </w:r>
          <w:bookmarkStart w:id="16" w:name="_Toc22972_WPSOffice_Level2Page"/>
          <w:r>
            <w:rPr>
              <w:sz w:val="24"/>
              <w:szCs w:val="24"/>
            </w:rPr>
            <w:t>14</w:t>
          </w:r>
          <w:bookmarkEnd w:id="16"/>
          <w:r>
            <w:rPr>
              <w:sz w:val="24"/>
              <w:szCs w:val="24"/>
            </w:rPr>
            <w:fldChar w:fldCharType="end"/>
          </w:r>
        </w:p>
        <w:p>
          <w:pPr>
            <w:pStyle w:val="33"/>
            <w:tabs>
              <w:tab w:val="right" w:leader="dot" w:pos="8306"/>
            </w:tabs>
            <w:spacing w:line="400" w:lineRule="atLeast"/>
            <w:ind w:left="420"/>
            <w:rPr>
              <w:sz w:val="24"/>
              <w:szCs w:val="24"/>
            </w:rPr>
          </w:pPr>
          <w:r>
            <w:fldChar w:fldCharType="begin"/>
          </w:r>
          <w:r>
            <w:instrText xml:space="preserve"> HYPERLINK \l "_Toc15575_WPSOffice_Level2" </w:instrText>
          </w:r>
          <w:r>
            <w:fldChar w:fldCharType="separate"/>
          </w:r>
          <w:r>
            <w:rPr>
              <w:rFonts w:ascii="黑体" w:hAnsi="黑体" w:eastAsia="黑体" w:cstheme="majorBidi"/>
              <w:sz w:val="24"/>
              <w:szCs w:val="24"/>
            </w:rPr>
            <w:t xml:space="preserve">二、 </w:t>
          </w:r>
          <w:r>
            <w:rPr>
              <w:rFonts w:hint="eastAsia" w:ascii="黑体" w:hAnsi="黑体" w:eastAsia="黑体" w:cs="Times New Roman"/>
              <w:sz w:val="24"/>
              <w:szCs w:val="24"/>
            </w:rPr>
            <w:t>收</w:t>
          </w:r>
          <w:r>
            <w:rPr>
              <w:rFonts w:hint="eastAsia" w:ascii="黑体" w:hAnsi="黑体" w:eastAsia="黑体" w:cstheme="majorBidi"/>
              <w:sz w:val="24"/>
              <w:szCs w:val="24"/>
            </w:rPr>
            <w:t>入决算情况说明</w:t>
          </w:r>
          <w:r>
            <w:rPr>
              <w:sz w:val="24"/>
              <w:szCs w:val="24"/>
            </w:rPr>
            <w:tab/>
          </w:r>
          <w:bookmarkStart w:id="17" w:name="_Toc15575_WPSOffice_Level2Page"/>
          <w:r>
            <w:rPr>
              <w:sz w:val="24"/>
              <w:szCs w:val="24"/>
            </w:rPr>
            <w:t>14</w:t>
          </w:r>
          <w:bookmarkEnd w:id="17"/>
          <w:r>
            <w:rPr>
              <w:sz w:val="24"/>
              <w:szCs w:val="24"/>
            </w:rPr>
            <w:fldChar w:fldCharType="end"/>
          </w:r>
        </w:p>
        <w:p>
          <w:pPr>
            <w:pStyle w:val="33"/>
            <w:tabs>
              <w:tab w:val="right" w:leader="dot" w:pos="8306"/>
            </w:tabs>
            <w:spacing w:line="400" w:lineRule="atLeast"/>
            <w:ind w:left="420"/>
            <w:rPr>
              <w:sz w:val="24"/>
              <w:szCs w:val="24"/>
            </w:rPr>
          </w:pPr>
          <w:r>
            <w:fldChar w:fldCharType="begin"/>
          </w:r>
          <w:r>
            <w:instrText xml:space="preserve"> HYPERLINK \l "_Toc140_WPSOffice_Level2" </w:instrText>
          </w:r>
          <w:r>
            <w:fldChar w:fldCharType="separate"/>
          </w:r>
          <w:r>
            <w:rPr>
              <w:rFonts w:ascii="黑体" w:hAnsi="黑体" w:eastAsia="黑体" w:cstheme="majorBidi"/>
              <w:sz w:val="24"/>
              <w:szCs w:val="24"/>
            </w:rPr>
            <w:t xml:space="preserve">三、 </w:t>
          </w:r>
          <w:r>
            <w:rPr>
              <w:rFonts w:hint="eastAsia" w:ascii="黑体" w:hAnsi="黑体" w:eastAsia="黑体" w:cs="Times New Roman"/>
              <w:sz w:val="24"/>
              <w:szCs w:val="24"/>
            </w:rPr>
            <w:t>支</w:t>
          </w:r>
          <w:r>
            <w:rPr>
              <w:rFonts w:hint="eastAsia" w:ascii="黑体" w:hAnsi="黑体" w:eastAsia="黑体" w:cstheme="majorBidi"/>
              <w:sz w:val="24"/>
              <w:szCs w:val="24"/>
            </w:rPr>
            <w:t>出决算情况说明</w:t>
          </w:r>
          <w:r>
            <w:rPr>
              <w:sz w:val="24"/>
              <w:szCs w:val="24"/>
            </w:rPr>
            <w:tab/>
          </w:r>
          <w:bookmarkStart w:id="18" w:name="_Toc140_WPSOffice_Level2Page"/>
          <w:r>
            <w:rPr>
              <w:sz w:val="24"/>
              <w:szCs w:val="24"/>
            </w:rPr>
            <w:t>15</w:t>
          </w:r>
          <w:bookmarkEnd w:id="18"/>
          <w:r>
            <w:rPr>
              <w:sz w:val="24"/>
              <w:szCs w:val="24"/>
            </w:rPr>
            <w:fldChar w:fldCharType="end"/>
          </w:r>
        </w:p>
        <w:p>
          <w:pPr>
            <w:pStyle w:val="33"/>
            <w:tabs>
              <w:tab w:val="right" w:leader="dot" w:pos="8306"/>
            </w:tabs>
            <w:spacing w:line="400" w:lineRule="atLeast"/>
            <w:ind w:left="420"/>
            <w:rPr>
              <w:sz w:val="24"/>
              <w:szCs w:val="24"/>
            </w:rPr>
          </w:pPr>
          <w:r>
            <w:fldChar w:fldCharType="begin"/>
          </w:r>
          <w:r>
            <w:instrText xml:space="preserve"> HYPERLINK \l "_Toc16333_WPSOffice_Level2" </w:instrText>
          </w:r>
          <w:r>
            <w:fldChar w:fldCharType="separate"/>
          </w:r>
          <w:r>
            <w:rPr>
              <w:rFonts w:hint="eastAsia" w:ascii="黑体" w:hAnsi="黑体" w:eastAsia="黑体" w:cs="Times New Roman"/>
              <w:sz w:val="24"/>
              <w:szCs w:val="24"/>
            </w:rPr>
            <w:t>四、财</w:t>
          </w:r>
          <w:r>
            <w:rPr>
              <w:rFonts w:hint="eastAsia" w:ascii="黑体" w:hAnsi="黑体" w:eastAsia="黑体" w:cstheme="majorBidi"/>
              <w:sz w:val="24"/>
              <w:szCs w:val="24"/>
            </w:rPr>
            <w:t>政拨款收入支出决算总体情况说明</w:t>
          </w:r>
          <w:r>
            <w:rPr>
              <w:sz w:val="24"/>
              <w:szCs w:val="24"/>
            </w:rPr>
            <w:tab/>
          </w:r>
          <w:bookmarkStart w:id="19" w:name="_Toc16333_WPSOffice_Level2Page"/>
          <w:r>
            <w:rPr>
              <w:sz w:val="24"/>
              <w:szCs w:val="24"/>
            </w:rPr>
            <w:t>16</w:t>
          </w:r>
          <w:bookmarkEnd w:id="19"/>
          <w:r>
            <w:rPr>
              <w:sz w:val="24"/>
              <w:szCs w:val="24"/>
            </w:rPr>
            <w:fldChar w:fldCharType="end"/>
          </w:r>
        </w:p>
        <w:p>
          <w:pPr>
            <w:pStyle w:val="33"/>
            <w:tabs>
              <w:tab w:val="right" w:leader="dot" w:pos="8306"/>
            </w:tabs>
            <w:spacing w:line="400" w:lineRule="atLeast"/>
            <w:ind w:left="420"/>
            <w:rPr>
              <w:sz w:val="24"/>
              <w:szCs w:val="24"/>
            </w:rPr>
          </w:pPr>
          <w:r>
            <w:fldChar w:fldCharType="begin"/>
          </w:r>
          <w:r>
            <w:instrText xml:space="preserve"> HYPERLINK \l "_Toc11933_WPSOffice_Level2" </w:instrText>
          </w:r>
          <w:r>
            <w:fldChar w:fldCharType="separate"/>
          </w:r>
          <w:r>
            <w:rPr>
              <w:rFonts w:hint="eastAsia" w:ascii="黑体" w:hAnsi="黑体" w:eastAsia="黑体" w:cs="Times New Roman"/>
              <w:sz w:val="24"/>
              <w:szCs w:val="24"/>
            </w:rPr>
            <w:t>五、一</w:t>
          </w:r>
          <w:r>
            <w:rPr>
              <w:rFonts w:hint="eastAsia" w:ascii="黑体" w:hAnsi="黑体" w:eastAsia="黑体" w:cstheme="majorBidi"/>
              <w:sz w:val="24"/>
              <w:szCs w:val="24"/>
            </w:rPr>
            <w:t>般公共预算财政拨款支出决算情况说明</w:t>
          </w:r>
          <w:r>
            <w:rPr>
              <w:sz w:val="24"/>
              <w:szCs w:val="24"/>
            </w:rPr>
            <w:tab/>
          </w:r>
          <w:bookmarkStart w:id="20" w:name="_Toc11933_WPSOffice_Level2Page"/>
          <w:r>
            <w:rPr>
              <w:sz w:val="24"/>
              <w:szCs w:val="24"/>
            </w:rPr>
            <w:t>17</w:t>
          </w:r>
          <w:bookmarkEnd w:id="20"/>
          <w:r>
            <w:rPr>
              <w:sz w:val="24"/>
              <w:szCs w:val="24"/>
            </w:rPr>
            <w:fldChar w:fldCharType="end"/>
          </w:r>
        </w:p>
        <w:p>
          <w:pPr>
            <w:pStyle w:val="33"/>
            <w:tabs>
              <w:tab w:val="right" w:leader="dot" w:pos="8306"/>
            </w:tabs>
            <w:spacing w:line="400" w:lineRule="atLeast"/>
            <w:ind w:left="420"/>
            <w:rPr>
              <w:sz w:val="24"/>
              <w:szCs w:val="24"/>
            </w:rPr>
          </w:pPr>
          <w:r>
            <w:fldChar w:fldCharType="begin"/>
          </w:r>
          <w:r>
            <w:instrText xml:space="preserve"> HYPERLINK \l "_Toc14692_WPSOffice_Level2" </w:instrText>
          </w:r>
          <w:r>
            <w:fldChar w:fldCharType="separate"/>
          </w:r>
          <w:r>
            <w:rPr>
              <w:rFonts w:hint="eastAsia" w:ascii="黑体" w:hAnsi="Times New Roman" w:eastAsia="黑体" w:cs="Times New Roman"/>
              <w:sz w:val="24"/>
              <w:szCs w:val="24"/>
            </w:rPr>
            <w:t>六、</w:t>
          </w:r>
          <w:r>
            <w:rPr>
              <w:rFonts w:hint="eastAsia" w:ascii="黑体" w:hAnsi="黑体" w:eastAsia="黑体" w:cs="Times New Roman"/>
              <w:sz w:val="24"/>
              <w:szCs w:val="24"/>
            </w:rPr>
            <w:t>一</w:t>
          </w:r>
          <w:r>
            <w:rPr>
              <w:rFonts w:hint="eastAsia" w:ascii="黑体" w:hAnsi="黑体" w:eastAsia="黑体" w:cstheme="majorBidi"/>
              <w:sz w:val="24"/>
              <w:szCs w:val="24"/>
            </w:rPr>
            <w:t>般公共预算财政拨款基本支出决算情况说明</w:t>
          </w:r>
          <w:r>
            <w:rPr>
              <w:sz w:val="24"/>
              <w:szCs w:val="24"/>
            </w:rPr>
            <w:tab/>
          </w:r>
          <w:bookmarkStart w:id="21" w:name="_Toc14692_WPSOffice_Level2Page"/>
          <w:r>
            <w:rPr>
              <w:sz w:val="24"/>
              <w:szCs w:val="24"/>
            </w:rPr>
            <w:t>24</w:t>
          </w:r>
          <w:bookmarkEnd w:id="21"/>
          <w:r>
            <w:rPr>
              <w:sz w:val="24"/>
              <w:szCs w:val="24"/>
            </w:rPr>
            <w:fldChar w:fldCharType="end"/>
          </w:r>
        </w:p>
        <w:p>
          <w:pPr>
            <w:pStyle w:val="33"/>
            <w:tabs>
              <w:tab w:val="right" w:leader="dot" w:pos="8306"/>
            </w:tabs>
            <w:spacing w:line="400" w:lineRule="atLeast"/>
            <w:ind w:left="420"/>
            <w:rPr>
              <w:sz w:val="24"/>
              <w:szCs w:val="24"/>
            </w:rPr>
          </w:pPr>
          <w:r>
            <w:fldChar w:fldCharType="begin"/>
          </w:r>
          <w:r>
            <w:instrText xml:space="preserve"> HYPERLINK \l "_Toc15509_WPSOffice_Level2" </w:instrText>
          </w:r>
          <w:r>
            <w:fldChar w:fldCharType="separate"/>
          </w:r>
          <w:r>
            <w:rPr>
              <w:rFonts w:hint="eastAsia" w:ascii="黑体" w:hAnsi="Times New Roman" w:eastAsia="黑体" w:cs="Times New Roman"/>
              <w:sz w:val="24"/>
              <w:szCs w:val="24"/>
            </w:rPr>
            <w:t>七、</w:t>
          </w:r>
          <w:r>
            <w:rPr>
              <w:rFonts w:hint="eastAsia" w:ascii="黑体" w:hAnsi="黑体" w:eastAsia="黑体" w:cstheme="majorBidi"/>
              <w:sz w:val="24"/>
              <w:szCs w:val="24"/>
            </w:rPr>
            <w:t>“三公”经费财政拨款支出决算情况说明</w:t>
          </w:r>
          <w:r>
            <w:rPr>
              <w:sz w:val="24"/>
              <w:szCs w:val="24"/>
            </w:rPr>
            <w:tab/>
          </w:r>
          <w:bookmarkStart w:id="22" w:name="_Toc15509_WPSOffice_Level2Page"/>
          <w:r>
            <w:rPr>
              <w:sz w:val="24"/>
              <w:szCs w:val="24"/>
            </w:rPr>
            <w:t>25</w:t>
          </w:r>
          <w:bookmarkEnd w:id="22"/>
          <w:r>
            <w:rPr>
              <w:sz w:val="24"/>
              <w:szCs w:val="24"/>
            </w:rPr>
            <w:fldChar w:fldCharType="end"/>
          </w:r>
        </w:p>
        <w:p>
          <w:pPr>
            <w:pStyle w:val="33"/>
            <w:tabs>
              <w:tab w:val="right" w:leader="dot" w:pos="8306"/>
            </w:tabs>
            <w:spacing w:line="400" w:lineRule="atLeast"/>
            <w:ind w:left="420"/>
            <w:rPr>
              <w:sz w:val="24"/>
              <w:szCs w:val="24"/>
            </w:rPr>
          </w:pPr>
          <w:r>
            <w:fldChar w:fldCharType="begin"/>
          </w:r>
          <w:r>
            <w:instrText xml:space="preserve"> HYPERLINK \l "_Toc3295_WPSOffice_Level2" </w:instrText>
          </w:r>
          <w:r>
            <w:fldChar w:fldCharType="separate"/>
          </w:r>
          <w:r>
            <w:rPr>
              <w:rFonts w:hint="eastAsia" w:ascii="黑体" w:hAnsi="Times New Roman" w:eastAsia="黑体" w:cs="Times New Roman"/>
              <w:sz w:val="24"/>
              <w:szCs w:val="24"/>
            </w:rPr>
            <w:t>八、</w:t>
          </w:r>
          <w:r>
            <w:rPr>
              <w:rFonts w:hint="eastAsia" w:ascii="黑体" w:hAnsi="黑体" w:eastAsia="黑体" w:cstheme="majorBidi"/>
              <w:sz w:val="24"/>
              <w:szCs w:val="24"/>
            </w:rPr>
            <w:t>政府性基金预算支出决算情况说明</w:t>
          </w:r>
          <w:r>
            <w:rPr>
              <w:sz w:val="24"/>
              <w:szCs w:val="24"/>
            </w:rPr>
            <w:tab/>
          </w:r>
          <w:bookmarkStart w:id="23" w:name="_Toc3295_WPSOffice_Level2Page"/>
          <w:r>
            <w:rPr>
              <w:sz w:val="24"/>
              <w:szCs w:val="24"/>
            </w:rPr>
            <w:t>27</w:t>
          </w:r>
          <w:bookmarkEnd w:id="23"/>
          <w:r>
            <w:rPr>
              <w:sz w:val="24"/>
              <w:szCs w:val="24"/>
            </w:rPr>
            <w:fldChar w:fldCharType="end"/>
          </w:r>
        </w:p>
        <w:p>
          <w:pPr>
            <w:pStyle w:val="33"/>
            <w:tabs>
              <w:tab w:val="right" w:leader="dot" w:pos="8306"/>
            </w:tabs>
            <w:spacing w:line="400" w:lineRule="atLeast"/>
            <w:ind w:left="420"/>
            <w:rPr>
              <w:sz w:val="24"/>
              <w:szCs w:val="24"/>
            </w:rPr>
          </w:pPr>
          <w:r>
            <w:fldChar w:fldCharType="begin"/>
          </w:r>
          <w:r>
            <w:instrText xml:space="preserve"> HYPERLINK \l "_Toc283_WPSOffice_Level2" </w:instrText>
          </w:r>
          <w:r>
            <w:fldChar w:fldCharType="separate"/>
          </w:r>
          <w:r>
            <w:rPr>
              <w:rFonts w:hint="eastAsia" w:ascii="黑体" w:hAnsi="黑体" w:eastAsia="黑体" w:cstheme="majorBidi"/>
              <w:sz w:val="24"/>
              <w:szCs w:val="24"/>
            </w:rPr>
            <w:t>九、 国有资本经营预算支出决算情况说明</w:t>
          </w:r>
          <w:r>
            <w:rPr>
              <w:sz w:val="24"/>
              <w:szCs w:val="24"/>
            </w:rPr>
            <w:tab/>
          </w:r>
          <w:bookmarkStart w:id="24" w:name="_Toc283_WPSOffice_Level2Page"/>
          <w:r>
            <w:rPr>
              <w:sz w:val="24"/>
              <w:szCs w:val="24"/>
            </w:rPr>
            <w:t>27</w:t>
          </w:r>
          <w:bookmarkEnd w:id="24"/>
          <w:r>
            <w:rPr>
              <w:sz w:val="24"/>
              <w:szCs w:val="24"/>
            </w:rPr>
            <w:fldChar w:fldCharType="end"/>
          </w:r>
        </w:p>
        <w:p>
          <w:pPr>
            <w:pStyle w:val="33"/>
            <w:tabs>
              <w:tab w:val="right" w:leader="dot" w:pos="8306"/>
            </w:tabs>
            <w:spacing w:line="400" w:lineRule="atLeast"/>
            <w:ind w:left="420"/>
            <w:rPr>
              <w:sz w:val="24"/>
              <w:szCs w:val="24"/>
            </w:rPr>
          </w:pPr>
          <w:r>
            <w:fldChar w:fldCharType="begin"/>
          </w:r>
          <w:r>
            <w:instrText xml:space="preserve"> HYPERLINK \l "_Toc23819_WPSOffice_Level2" </w:instrText>
          </w:r>
          <w:r>
            <w:fldChar w:fldCharType="separate"/>
          </w:r>
          <w:r>
            <w:rPr>
              <w:rFonts w:hint="eastAsia" w:ascii="黑体" w:hAnsi="黑体" w:eastAsia="黑体" w:cstheme="majorBidi"/>
              <w:sz w:val="24"/>
              <w:szCs w:val="24"/>
            </w:rPr>
            <w:t>十、 其他重要事项的情况说明</w:t>
          </w:r>
          <w:r>
            <w:rPr>
              <w:sz w:val="24"/>
              <w:szCs w:val="24"/>
            </w:rPr>
            <w:tab/>
          </w:r>
          <w:bookmarkStart w:id="25" w:name="_Toc23819_WPSOffice_Level2Page"/>
          <w:r>
            <w:rPr>
              <w:sz w:val="24"/>
              <w:szCs w:val="24"/>
            </w:rPr>
            <w:t>27</w:t>
          </w:r>
          <w:bookmarkEnd w:id="25"/>
          <w:r>
            <w:rPr>
              <w:sz w:val="24"/>
              <w:szCs w:val="24"/>
            </w:rPr>
            <w:fldChar w:fldCharType="end"/>
          </w:r>
        </w:p>
        <w:p>
          <w:pPr>
            <w:pStyle w:val="32"/>
            <w:tabs>
              <w:tab w:val="right" w:leader="dot" w:pos="8306"/>
            </w:tabs>
            <w:spacing w:line="400" w:lineRule="atLeast"/>
            <w:rPr>
              <w:sz w:val="24"/>
              <w:szCs w:val="24"/>
            </w:rPr>
          </w:pPr>
          <w:r>
            <w:fldChar w:fldCharType="begin"/>
          </w:r>
          <w:r>
            <w:instrText xml:space="preserve"> HYPERLINK \l "_Toc1928_WPSOffice_Level1" </w:instrText>
          </w:r>
          <w:r>
            <w:fldChar w:fldCharType="separate"/>
          </w:r>
          <w:r>
            <w:rPr>
              <w:rFonts w:hint="eastAsia" w:ascii="黑体" w:hAnsi="黑体" w:eastAsia="黑体" w:cs="Times New Roman"/>
              <w:b/>
              <w:bCs/>
              <w:sz w:val="24"/>
              <w:szCs w:val="24"/>
            </w:rPr>
            <w:t>第三部分 名词解释</w:t>
          </w:r>
          <w:r>
            <w:rPr>
              <w:b/>
              <w:bCs/>
              <w:sz w:val="24"/>
              <w:szCs w:val="24"/>
            </w:rPr>
            <w:tab/>
          </w:r>
          <w:bookmarkStart w:id="26" w:name="_Toc1928_WPSOffice_Level1Page"/>
          <w:r>
            <w:rPr>
              <w:b/>
              <w:bCs/>
              <w:sz w:val="24"/>
              <w:szCs w:val="24"/>
            </w:rPr>
            <w:t>29</w:t>
          </w:r>
          <w:bookmarkEnd w:id="26"/>
          <w:r>
            <w:rPr>
              <w:b/>
              <w:bCs/>
              <w:sz w:val="24"/>
              <w:szCs w:val="24"/>
            </w:rPr>
            <w:fldChar w:fldCharType="end"/>
          </w:r>
        </w:p>
        <w:p>
          <w:pPr>
            <w:pStyle w:val="32"/>
            <w:tabs>
              <w:tab w:val="right" w:leader="dot" w:pos="8306"/>
            </w:tabs>
            <w:spacing w:line="400" w:lineRule="atLeast"/>
            <w:rPr>
              <w:sz w:val="24"/>
              <w:szCs w:val="24"/>
            </w:rPr>
          </w:pPr>
          <w:r>
            <w:fldChar w:fldCharType="begin"/>
          </w:r>
          <w:r>
            <w:instrText xml:space="preserve"> HYPERLINK \l "_Toc22972_WPSOffice_Level1" </w:instrText>
          </w:r>
          <w:r>
            <w:fldChar w:fldCharType="separate"/>
          </w:r>
          <w:r>
            <w:rPr>
              <w:rFonts w:hint="eastAsia" w:ascii="黑体" w:hAnsi="黑体" w:eastAsia="黑体" w:cs="Times New Roman"/>
              <w:b/>
              <w:bCs/>
              <w:sz w:val="24"/>
              <w:szCs w:val="24"/>
            </w:rPr>
            <w:t>第四部分 附件</w:t>
          </w:r>
          <w:r>
            <w:rPr>
              <w:b/>
              <w:bCs/>
              <w:sz w:val="24"/>
              <w:szCs w:val="24"/>
            </w:rPr>
            <w:tab/>
          </w:r>
          <w:bookmarkStart w:id="27" w:name="_Toc22972_WPSOffice_Level1Page"/>
          <w:r>
            <w:rPr>
              <w:b/>
              <w:bCs/>
              <w:sz w:val="24"/>
              <w:szCs w:val="24"/>
            </w:rPr>
            <w:t>36</w:t>
          </w:r>
          <w:bookmarkEnd w:id="27"/>
          <w:r>
            <w:rPr>
              <w:b/>
              <w:bCs/>
              <w:sz w:val="24"/>
              <w:szCs w:val="24"/>
            </w:rPr>
            <w:fldChar w:fldCharType="end"/>
          </w:r>
        </w:p>
        <w:p>
          <w:pPr>
            <w:pStyle w:val="32"/>
            <w:tabs>
              <w:tab w:val="right" w:leader="dot" w:pos="8306"/>
            </w:tabs>
            <w:spacing w:line="400" w:lineRule="atLeast"/>
            <w:rPr>
              <w:sz w:val="24"/>
              <w:szCs w:val="24"/>
            </w:rPr>
          </w:pPr>
          <w:r>
            <w:fldChar w:fldCharType="begin"/>
          </w:r>
          <w:r>
            <w:instrText xml:space="preserve"> HYPERLINK \l "_Toc15575_WPSOffice_Level1" </w:instrText>
          </w:r>
          <w:r>
            <w:fldChar w:fldCharType="separate"/>
          </w:r>
          <w:r>
            <w:rPr>
              <w:rFonts w:hint="eastAsia" w:ascii="黑体" w:hAnsi="黑体" w:eastAsia="黑体" w:cs="Times New Roman"/>
              <w:b/>
              <w:bCs/>
              <w:sz w:val="24"/>
              <w:szCs w:val="24"/>
            </w:rPr>
            <w:t>第五部分 附表</w:t>
          </w:r>
          <w:r>
            <w:rPr>
              <w:b/>
              <w:bCs/>
              <w:sz w:val="24"/>
              <w:szCs w:val="24"/>
            </w:rPr>
            <w:tab/>
          </w:r>
          <w:bookmarkStart w:id="28" w:name="_Toc15575_WPSOffice_Level1Page"/>
          <w:r>
            <w:rPr>
              <w:b/>
              <w:bCs/>
              <w:sz w:val="24"/>
              <w:szCs w:val="24"/>
            </w:rPr>
            <w:t>62</w:t>
          </w:r>
          <w:bookmarkEnd w:id="28"/>
          <w:r>
            <w:rPr>
              <w:b/>
              <w:bCs/>
              <w:sz w:val="24"/>
              <w:szCs w:val="24"/>
            </w:rPr>
            <w:fldChar w:fldCharType="end"/>
          </w:r>
        </w:p>
        <w:p>
          <w:pPr>
            <w:pStyle w:val="33"/>
            <w:tabs>
              <w:tab w:val="right" w:leader="dot" w:pos="8306"/>
            </w:tabs>
            <w:spacing w:line="400" w:lineRule="atLeast"/>
            <w:ind w:left="420"/>
            <w:rPr>
              <w:rFonts w:ascii="黑体" w:hAnsi="黑体" w:eastAsia="黑体" w:cs="黑体"/>
              <w:sz w:val="24"/>
              <w:szCs w:val="24"/>
            </w:rPr>
          </w:pPr>
          <w:r>
            <w:fldChar w:fldCharType="begin"/>
          </w:r>
          <w:r>
            <w:instrText xml:space="preserve"> HYPERLINK \l "_Toc3895_WPSOffice_Level2" </w:instrText>
          </w:r>
          <w:r>
            <w:fldChar w:fldCharType="separate"/>
          </w:r>
          <w:r>
            <w:rPr>
              <w:rFonts w:hint="eastAsia" w:ascii="黑体" w:hAnsi="黑体" w:eastAsia="黑体" w:cs="黑体"/>
              <w:sz w:val="24"/>
              <w:szCs w:val="24"/>
            </w:rPr>
            <w:t>一、收入支出决算总表</w:t>
          </w:r>
          <w:r>
            <w:rPr>
              <w:rFonts w:hint="eastAsia" w:ascii="黑体" w:hAnsi="黑体" w:eastAsia="黑体" w:cs="黑体"/>
              <w:sz w:val="24"/>
              <w:szCs w:val="24"/>
            </w:rPr>
            <w:tab/>
          </w:r>
          <w:bookmarkStart w:id="29" w:name="_Toc3895_WPSOffice_Level2Page"/>
          <w:r>
            <w:rPr>
              <w:rFonts w:hint="eastAsia" w:ascii="黑体" w:hAnsi="黑体" w:eastAsia="黑体" w:cs="黑体"/>
              <w:sz w:val="24"/>
              <w:szCs w:val="24"/>
            </w:rPr>
            <w:t>63</w:t>
          </w:r>
          <w:bookmarkEnd w:id="29"/>
          <w:r>
            <w:rPr>
              <w:rFonts w:hint="eastAsia" w:ascii="黑体" w:hAnsi="黑体" w:eastAsia="黑体" w:cs="黑体"/>
              <w:sz w:val="24"/>
              <w:szCs w:val="24"/>
            </w:rPr>
            <w:fldChar w:fldCharType="end"/>
          </w:r>
        </w:p>
        <w:p>
          <w:pPr>
            <w:pStyle w:val="33"/>
            <w:tabs>
              <w:tab w:val="right" w:leader="dot" w:pos="8306"/>
            </w:tabs>
            <w:spacing w:line="400" w:lineRule="atLeast"/>
            <w:ind w:left="420"/>
            <w:rPr>
              <w:rFonts w:ascii="黑体" w:hAnsi="黑体" w:eastAsia="黑体" w:cs="黑体"/>
              <w:sz w:val="24"/>
              <w:szCs w:val="24"/>
            </w:rPr>
          </w:pPr>
          <w:r>
            <w:fldChar w:fldCharType="begin"/>
          </w:r>
          <w:r>
            <w:instrText xml:space="preserve"> HYPERLINK \l "_Toc9215_WPSOffice_Level2" </w:instrText>
          </w:r>
          <w:r>
            <w:fldChar w:fldCharType="separate"/>
          </w:r>
          <w:r>
            <w:rPr>
              <w:rFonts w:hint="eastAsia" w:ascii="黑体" w:hAnsi="黑体" w:eastAsia="黑体" w:cs="黑体"/>
              <w:sz w:val="24"/>
              <w:szCs w:val="24"/>
            </w:rPr>
            <w:t>二、收入决算表</w:t>
          </w:r>
          <w:r>
            <w:rPr>
              <w:rFonts w:hint="eastAsia" w:ascii="黑体" w:hAnsi="黑体" w:eastAsia="黑体" w:cs="黑体"/>
              <w:sz w:val="24"/>
              <w:szCs w:val="24"/>
            </w:rPr>
            <w:tab/>
          </w:r>
          <w:bookmarkStart w:id="30" w:name="_Toc9215_WPSOffice_Level2Page"/>
          <w:r>
            <w:rPr>
              <w:rFonts w:hint="eastAsia" w:ascii="黑体" w:hAnsi="黑体" w:eastAsia="黑体" w:cs="黑体"/>
              <w:sz w:val="24"/>
              <w:szCs w:val="24"/>
            </w:rPr>
            <w:t>63</w:t>
          </w:r>
          <w:bookmarkEnd w:id="30"/>
          <w:r>
            <w:rPr>
              <w:rFonts w:hint="eastAsia" w:ascii="黑体" w:hAnsi="黑体" w:eastAsia="黑体" w:cs="黑体"/>
              <w:sz w:val="24"/>
              <w:szCs w:val="24"/>
            </w:rPr>
            <w:fldChar w:fldCharType="end"/>
          </w:r>
        </w:p>
        <w:p>
          <w:pPr>
            <w:pStyle w:val="33"/>
            <w:tabs>
              <w:tab w:val="right" w:leader="dot" w:pos="8306"/>
            </w:tabs>
            <w:spacing w:line="400" w:lineRule="atLeast"/>
            <w:ind w:left="420"/>
            <w:rPr>
              <w:rFonts w:ascii="黑体" w:hAnsi="黑体" w:eastAsia="黑体" w:cs="黑体"/>
              <w:sz w:val="24"/>
              <w:szCs w:val="24"/>
            </w:rPr>
          </w:pPr>
          <w:r>
            <w:fldChar w:fldCharType="begin"/>
          </w:r>
          <w:r>
            <w:instrText xml:space="preserve"> HYPERLINK \l "_Toc9858_WPSOffice_Level2" </w:instrText>
          </w:r>
          <w:r>
            <w:fldChar w:fldCharType="separate"/>
          </w:r>
          <w:r>
            <w:rPr>
              <w:rFonts w:hint="eastAsia" w:ascii="黑体" w:hAnsi="黑体" w:eastAsia="黑体" w:cs="黑体"/>
              <w:sz w:val="24"/>
              <w:szCs w:val="24"/>
            </w:rPr>
            <w:t>三、支出决算表</w:t>
          </w:r>
          <w:r>
            <w:rPr>
              <w:rFonts w:hint="eastAsia" w:ascii="黑体" w:hAnsi="黑体" w:eastAsia="黑体" w:cs="黑体"/>
              <w:sz w:val="24"/>
              <w:szCs w:val="24"/>
            </w:rPr>
            <w:tab/>
          </w:r>
          <w:bookmarkStart w:id="31" w:name="_Toc9858_WPSOffice_Level2Page"/>
          <w:r>
            <w:rPr>
              <w:rFonts w:hint="eastAsia" w:ascii="黑体" w:hAnsi="黑体" w:eastAsia="黑体" w:cs="黑体"/>
              <w:sz w:val="24"/>
              <w:szCs w:val="24"/>
            </w:rPr>
            <w:t>63</w:t>
          </w:r>
          <w:bookmarkEnd w:id="31"/>
          <w:r>
            <w:rPr>
              <w:rFonts w:hint="eastAsia" w:ascii="黑体" w:hAnsi="黑体" w:eastAsia="黑体" w:cs="黑体"/>
              <w:sz w:val="24"/>
              <w:szCs w:val="24"/>
            </w:rPr>
            <w:fldChar w:fldCharType="end"/>
          </w:r>
        </w:p>
        <w:p>
          <w:pPr>
            <w:pStyle w:val="33"/>
            <w:tabs>
              <w:tab w:val="right" w:leader="dot" w:pos="8306"/>
            </w:tabs>
            <w:spacing w:line="400" w:lineRule="atLeast"/>
            <w:ind w:left="420"/>
            <w:rPr>
              <w:rFonts w:ascii="黑体" w:hAnsi="黑体" w:eastAsia="黑体" w:cs="黑体"/>
              <w:sz w:val="24"/>
              <w:szCs w:val="24"/>
            </w:rPr>
          </w:pPr>
          <w:r>
            <w:fldChar w:fldCharType="begin"/>
          </w:r>
          <w:r>
            <w:instrText xml:space="preserve"> HYPERLINK \l "_Toc9497_WPSOffice_Level2" </w:instrText>
          </w:r>
          <w:r>
            <w:fldChar w:fldCharType="separate"/>
          </w:r>
          <w:r>
            <w:rPr>
              <w:rFonts w:hint="eastAsia" w:ascii="黑体" w:hAnsi="黑体" w:eastAsia="黑体" w:cs="黑体"/>
              <w:sz w:val="24"/>
              <w:szCs w:val="24"/>
            </w:rPr>
            <w:t>四、财政拨款收入支出决算总表</w:t>
          </w:r>
          <w:r>
            <w:rPr>
              <w:rFonts w:hint="eastAsia" w:ascii="黑体" w:hAnsi="黑体" w:eastAsia="黑体" w:cs="黑体"/>
              <w:sz w:val="24"/>
              <w:szCs w:val="24"/>
            </w:rPr>
            <w:tab/>
          </w:r>
          <w:bookmarkStart w:id="32" w:name="_Toc9497_WPSOffice_Level2Page"/>
          <w:r>
            <w:rPr>
              <w:rFonts w:hint="eastAsia" w:ascii="黑体" w:hAnsi="黑体" w:eastAsia="黑体" w:cs="黑体"/>
              <w:sz w:val="24"/>
              <w:szCs w:val="24"/>
            </w:rPr>
            <w:t>63</w:t>
          </w:r>
          <w:bookmarkEnd w:id="32"/>
          <w:r>
            <w:rPr>
              <w:rFonts w:hint="eastAsia" w:ascii="黑体" w:hAnsi="黑体" w:eastAsia="黑体" w:cs="黑体"/>
              <w:sz w:val="24"/>
              <w:szCs w:val="24"/>
            </w:rPr>
            <w:fldChar w:fldCharType="end"/>
          </w:r>
        </w:p>
        <w:p>
          <w:pPr>
            <w:pStyle w:val="33"/>
            <w:tabs>
              <w:tab w:val="right" w:leader="dot" w:pos="8306"/>
            </w:tabs>
            <w:spacing w:line="400" w:lineRule="atLeast"/>
            <w:ind w:left="420"/>
            <w:rPr>
              <w:rFonts w:ascii="黑体" w:hAnsi="黑体" w:eastAsia="黑体" w:cs="黑体"/>
              <w:sz w:val="24"/>
              <w:szCs w:val="24"/>
            </w:rPr>
          </w:pPr>
          <w:r>
            <w:fldChar w:fldCharType="begin"/>
          </w:r>
          <w:r>
            <w:instrText xml:space="preserve"> HYPERLINK \l "_Toc31969_WPSOffice_Level2" </w:instrText>
          </w:r>
          <w:r>
            <w:fldChar w:fldCharType="separate"/>
          </w:r>
          <w:r>
            <w:rPr>
              <w:rFonts w:hint="eastAsia" w:ascii="黑体" w:hAnsi="黑体" w:eastAsia="黑体" w:cs="黑体"/>
              <w:sz w:val="24"/>
              <w:szCs w:val="24"/>
            </w:rPr>
            <w:t>五、财政拨款支出决算明细表</w:t>
          </w:r>
          <w:r>
            <w:rPr>
              <w:rFonts w:hint="eastAsia" w:ascii="黑体" w:hAnsi="黑体" w:eastAsia="黑体" w:cs="黑体"/>
              <w:sz w:val="24"/>
              <w:szCs w:val="24"/>
            </w:rPr>
            <w:tab/>
          </w:r>
          <w:bookmarkStart w:id="33" w:name="_Toc31969_WPSOffice_Level2Page"/>
          <w:r>
            <w:rPr>
              <w:rFonts w:hint="eastAsia" w:ascii="黑体" w:hAnsi="黑体" w:eastAsia="黑体" w:cs="黑体"/>
              <w:sz w:val="24"/>
              <w:szCs w:val="24"/>
            </w:rPr>
            <w:t>63</w:t>
          </w:r>
          <w:bookmarkEnd w:id="33"/>
          <w:r>
            <w:rPr>
              <w:rFonts w:hint="eastAsia" w:ascii="黑体" w:hAnsi="黑体" w:eastAsia="黑体" w:cs="黑体"/>
              <w:sz w:val="24"/>
              <w:szCs w:val="24"/>
            </w:rPr>
            <w:fldChar w:fldCharType="end"/>
          </w:r>
        </w:p>
        <w:p>
          <w:pPr>
            <w:pStyle w:val="33"/>
            <w:tabs>
              <w:tab w:val="right" w:leader="dot" w:pos="8306"/>
            </w:tabs>
            <w:spacing w:line="400" w:lineRule="atLeast"/>
            <w:ind w:left="420"/>
            <w:rPr>
              <w:rFonts w:ascii="黑体" w:hAnsi="黑体" w:eastAsia="黑体" w:cs="黑体"/>
              <w:sz w:val="24"/>
              <w:szCs w:val="24"/>
            </w:rPr>
          </w:pPr>
          <w:r>
            <w:fldChar w:fldCharType="begin"/>
          </w:r>
          <w:r>
            <w:instrText xml:space="preserve"> HYPERLINK \l "_Toc2318_WPSOffice_Level2" </w:instrText>
          </w:r>
          <w:r>
            <w:fldChar w:fldCharType="separate"/>
          </w:r>
          <w:r>
            <w:rPr>
              <w:rFonts w:hint="eastAsia" w:ascii="黑体" w:hAnsi="黑体" w:eastAsia="黑体" w:cs="黑体"/>
              <w:sz w:val="24"/>
              <w:szCs w:val="24"/>
            </w:rPr>
            <w:t>六、一般公共预算财政拨款支出决算表</w:t>
          </w:r>
          <w:r>
            <w:rPr>
              <w:rFonts w:hint="eastAsia" w:ascii="黑体" w:hAnsi="黑体" w:eastAsia="黑体" w:cs="黑体"/>
              <w:sz w:val="24"/>
              <w:szCs w:val="24"/>
            </w:rPr>
            <w:tab/>
          </w:r>
          <w:bookmarkStart w:id="34" w:name="_Toc2318_WPSOffice_Level2Page"/>
          <w:r>
            <w:rPr>
              <w:rFonts w:hint="eastAsia" w:ascii="黑体" w:hAnsi="黑体" w:eastAsia="黑体" w:cs="黑体"/>
              <w:sz w:val="24"/>
              <w:szCs w:val="24"/>
            </w:rPr>
            <w:t>63</w:t>
          </w:r>
          <w:bookmarkEnd w:id="34"/>
          <w:r>
            <w:rPr>
              <w:rFonts w:hint="eastAsia" w:ascii="黑体" w:hAnsi="黑体" w:eastAsia="黑体" w:cs="黑体"/>
              <w:sz w:val="24"/>
              <w:szCs w:val="24"/>
            </w:rPr>
            <w:fldChar w:fldCharType="end"/>
          </w:r>
        </w:p>
        <w:p>
          <w:pPr>
            <w:pStyle w:val="33"/>
            <w:tabs>
              <w:tab w:val="right" w:leader="dot" w:pos="8306"/>
            </w:tabs>
            <w:spacing w:line="400" w:lineRule="atLeast"/>
            <w:ind w:left="420"/>
            <w:rPr>
              <w:rFonts w:ascii="黑体" w:hAnsi="黑体" w:eastAsia="黑体" w:cs="黑体"/>
              <w:sz w:val="24"/>
              <w:szCs w:val="24"/>
            </w:rPr>
          </w:pPr>
          <w:r>
            <w:fldChar w:fldCharType="begin"/>
          </w:r>
          <w:r>
            <w:instrText xml:space="preserve"> HYPERLINK \l "_Toc16228_WPSOffice_Level2" </w:instrText>
          </w:r>
          <w:r>
            <w:fldChar w:fldCharType="separate"/>
          </w:r>
          <w:r>
            <w:rPr>
              <w:rFonts w:hint="eastAsia" w:ascii="黑体" w:hAnsi="黑体" w:eastAsia="黑体" w:cs="黑体"/>
              <w:sz w:val="24"/>
              <w:szCs w:val="24"/>
            </w:rPr>
            <w:t>七、一般公共预算财政拨款支出决算明细表</w:t>
          </w:r>
          <w:r>
            <w:rPr>
              <w:rFonts w:hint="eastAsia" w:ascii="黑体" w:hAnsi="黑体" w:eastAsia="黑体" w:cs="黑体"/>
              <w:sz w:val="24"/>
              <w:szCs w:val="24"/>
            </w:rPr>
            <w:tab/>
          </w:r>
          <w:bookmarkStart w:id="35" w:name="_Toc16228_WPSOffice_Level2Page"/>
          <w:r>
            <w:rPr>
              <w:rFonts w:hint="eastAsia" w:ascii="黑体" w:hAnsi="黑体" w:eastAsia="黑体" w:cs="黑体"/>
              <w:sz w:val="24"/>
              <w:szCs w:val="24"/>
            </w:rPr>
            <w:t>63</w:t>
          </w:r>
          <w:bookmarkEnd w:id="35"/>
          <w:r>
            <w:rPr>
              <w:rFonts w:hint="eastAsia" w:ascii="黑体" w:hAnsi="黑体" w:eastAsia="黑体" w:cs="黑体"/>
              <w:sz w:val="24"/>
              <w:szCs w:val="24"/>
            </w:rPr>
            <w:fldChar w:fldCharType="end"/>
          </w:r>
        </w:p>
        <w:p>
          <w:pPr>
            <w:pStyle w:val="33"/>
            <w:tabs>
              <w:tab w:val="right" w:leader="dot" w:pos="8306"/>
            </w:tabs>
            <w:spacing w:line="400" w:lineRule="atLeast"/>
            <w:ind w:left="420"/>
            <w:rPr>
              <w:rFonts w:ascii="黑体" w:hAnsi="黑体" w:eastAsia="黑体" w:cs="黑体"/>
              <w:sz w:val="24"/>
              <w:szCs w:val="24"/>
            </w:rPr>
          </w:pPr>
          <w:r>
            <w:fldChar w:fldCharType="begin"/>
          </w:r>
          <w:r>
            <w:instrText xml:space="preserve"> HYPERLINK \l "_Toc2942_WPSOffice_Level2" </w:instrText>
          </w:r>
          <w:r>
            <w:fldChar w:fldCharType="separate"/>
          </w:r>
          <w:r>
            <w:rPr>
              <w:rFonts w:hint="eastAsia" w:ascii="黑体" w:hAnsi="黑体" w:eastAsia="黑体" w:cs="黑体"/>
              <w:sz w:val="24"/>
              <w:szCs w:val="24"/>
            </w:rPr>
            <w:t>八、一般公共预算财政拨款基本支出决算表</w:t>
          </w:r>
          <w:r>
            <w:rPr>
              <w:rFonts w:hint="eastAsia" w:ascii="黑体" w:hAnsi="黑体" w:eastAsia="黑体" w:cs="黑体"/>
              <w:sz w:val="24"/>
              <w:szCs w:val="24"/>
            </w:rPr>
            <w:tab/>
          </w:r>
          <w:bookmarkStart w:id="36" w:name="_Toc2942_WPSOffice_Level2Page"/>
          <w:r>
            <w:rPr>
              <w:rFonts w:hint="eastAsia" w:ascii="黑体" w:hAnsi="黑体" w:eastAsia="黑体" w:cs="黑体"/>
              <w:sz w:val="24"/>
              <w:szCs w:val="24"/>
            </w:rPr>
            <w:t>63</w:t>
          </w:r>
          <w:bookmarkEnd w:id="36"/>
          <w:r>
            <w:rPr>
              <w:rFonts w:hint="eastAsia" w:ascii="黑体" w:hAnsi="黑体" w:eastAsia="黑体" w:cs="黑体"/>
              <w:sz w:val="24"/>
              <w:szCs w:val="24"/>
            </w:rPr>
            <w:fldChar w:fldCharType="end"/>
          </w:r>
        </w:p>
        <w:p>
          <w:pPr>
            <w:pStyle w:val="33"/>
            <w:tabs>
              <w:tab w:val="right" w:leader="dot" w:pos="8306"/>
            </w:tabs>
            <w:spacing w:line="400" w:lineRule="atLeast"/>
            <w:ind w:left="420"/>
            <w:rPr>
              <w:rFonts w:ascii="黑体" w:hAnsi="黑体" w:eastAsia="黑体" w:cs="黑体"/>
              <w:sz w:val="24"/>
              <w:szCs w:val="24"/>
            </w:rPr>
          </w:pPr>
          <w:r>
            <w:fldChar w:fldCharType="begin"/>
          </w:r>
          <w:r>
            <w:instrText xml:space="preserve"> HYPERLINK \l "_Toc6861_WPSOffice_Level2" </w:instrText>
          </w:r>
          <w:r>
            <w:fldChar w:fldCharType="separate"/>
          </w:r>
          <w:r>
            <w:rPr>
              <w:rFonts w:hint="eastAsia" w:ascii="黑体" w:hAnsi="黑体" w:eastAsia="黑体" w:cs="黑体"/>
              <w:sz w:val="24"/>
              <w:szCs w:val="24"/>
            </w:rPr>
            <w:t>九、一般公共预算财政拨款项目支出决算表</w:t>
          </w:r>
          <w:r>
            <w:rPr>
              <w:rFonts w:hint="eastAsia" w:ascii="黑体" w:hAnsi="黑体" w:eastAsia="黑体" w:cs="黑体"/>
              <w:sz w:val="24"/>
              <w:szCs w:val="24"/>
            </w:rPr>
            <w:tab/>
          </w:r>
          <w:bookmarkStart w:id="37" w:name="_Toc6861_WPSOffice_Level2Page"/>
          <w:r>
            <w:rPr>
              <w:rFonts w:hint="eastAsia" w:ascii="黑体" w:hAnsi="黑体" w:eastAsia="黑体" w:cs="黑体"/>
              <w:sz w:val="24"/>
              <w:szCs w:val="24"/>
            </w:rPr>
            <w:t>63</w:t>
          </w:r>
          <w:bookmarkEnd w:id="37"/>
          <w:r>
            <w:rPr>
              <w:rFonts w:hint="eastAsia" w:ascii="黑体" w:hAnsi="黑体" w:eastAsia="黑体" w:cs="黑体"/>
              <w:sz w:val="24"/>
              <w:szCs w:val="24"/>
            </w:rPr>
            <w:fldChar w:fldCharType="end"/>
          </w:r>
        </w:p>
        <w:p>
          <w:pPr>
            <w:pStyle w:val="33"/>
            <w:tabs>
              <w:tab w:val="right" w:leader="dot" w:pos="8306"/>
            </w:tabs>
            <w:spacing w:line="400" w:lineRule="atLeast"/>
            <w:ind w:left="420"/>
            <w:rPr>
              <w:rFonts w:ascii="黑体" w:hAnsi="黑体" w:eastAsia="黑体" w:cs="黑体"/>
              <w:sz w:val="24"/>
              <w:szCs w:val="24"/>
            </w:rPr>
          </w:pPr>
          <w:r>
            <w:fldChar w:fldCharType="begin"/>
          </w:r>
          <w:r>
            <w:instrText xml:space="preserve"> HYPERLINK \l "_Toc3897_WPSOffice_Level2" </w:instrText>
          </w:r>
          <w:r>
            <w:fldChar w:fldCharType="separate"/>
          </w:r>
          <w:r>
            <w:rPr>
              <w:rFonts w:hint="eastAsia" w:ascii="黑体" w:hAnsi="黑体" w:eastAsia="黑体" w:cs="黑体"/>
              <w:sz w:val="24"/>
              <w:szCs w:val="24"/>
            </w:rPr>
            <w:t>十、一般公共预算财政拨款“三公”经费支出决算表</w:t>
          </w:r>
          <w:r>
            <w:rPr>
              <w:rFonts w:hint="eastAsia" w:ascii="黑体" w:hAnsi="黑体" w:eastAsia="黑体" w:cs="黑体"/>
              <w:sz w:val="24"/>
              <w:szCs w:val="24"/>
            </w:rPr>
            <w:tab/>
          </w:r>
          <w:bookmarkStart w:id="38" w:name="_Toc3897_WPSOffice_Level2Page"/>
          <w:r>
            <w:rPr>
              <w:rFonts w:hint="eastAsia" w:ascii="黑体" w:hAnsi="黑体" w:eastAsia="黑体" w:cs="黑体"/>
              <w:sz w:val="24"/>
              <w:szCs w:val="24"/>
            </w:rPr>
            <w:t>63</w:t>
          </w:r>
          <w:bookmarkEnd w:id="38"/>
          <w:r>
            <w:rPr>
              <w:rFonts w:hint="eastAsia" w:ascii="黑体" w:hAnsi="黑体" w:eastAsia="黑体" w:cs="黑体"/>
              <w:sz w:val="24"/>
              <w:szCs w:val="24"/>
            </w:rPr>
            <w:fldChar w:fldCharType="end"/>
          </w:r>
        </w:p>
        <w:p>
          <w:pPr>
            <w:pStyle w:val="33"/>
            <w:tabs>
              <w:tab w:val="right" w:leader="dot" w:pos="8306"/>
            </w:tabs>
            <w:spacing w:line="400" w:lineRule="atLeast"/>
            <w:ind w:left="420"/>
            <w:rPr>
              <w:rFonts w:ascii="黑体" w:hAnsi="黑体" w:eastAsia="黑体" w:cs="黑体"/>
              <w:sz w:val="24"/>
              <w:szCs w:val="24"/>
            </w:rPr>
          </w:pPr>
          <w:r>
            <w:fldChar w:fldCharType="begin"/>
          </w:r>
          <w:r>
            <w:instrText xml:space="preserve"> HYPERLINK \l "_Toc4960_WPSOffice_Level2" </w:instrText>
          </w:r>
          <w:r>
            <w:fldChar w:fldCharType="separate"/>
          </w:r>
          <w:r>
            <w:rPr>
              <w:rFonts w:hint="eastAsia" w:ascii="黑体" w:hAnsi="黑体" w:eastAsia="黑体" w:cs="黑体"/>
              <w:sz w:val="24"/>
              <w:szCs w:val="24"/>
            </w:rPr>
            <w:t>十一、政府性基金预算财政拨款收入支出决算表</w:t>
          </w:r>
          <w:r>
            <w:rPr>
              <w:rFonts w:hint="eastAsia" w:ascii="黑体" w:hAnsi="黑体" w:eastAsia="黑体" w:cs="黑体"/>
              <w:sz w:val="24"/>
              <w:szCs w:val="24"/>
            </w:rPr>
            <w:tab/>
          </w:r>
          <w:bookmarkStart w:id="39" w:name="_Toc4960_WPSOffice_Level2Page"/>
          <w:r>
            <w:rPr>
              <w:rFonts w:hint="eastAsia" w:ascii="黑体" w:hAnsi="黑体" w:eastAsia="黑体" w:cs="黑体"/>
              <w:sz w:val="24"/>
              <w:szCs w:val="24"/>
            </w:rPr>
            <w:t>63</w:t>
          </w:r>
          <w:bookmarkEnd w:id="39"/>
          <w:r>
            <w:rPr>
              <w:rFonts w:hint="eastAsia" w:ascii="黑体" w:hAnsi="黑体" w:eastAsia="黑体" w:cs="黑体"/>
              <w:sz w:val="24"/>
              <w:szCs w:val="24"/>
            </w:rPr>
            <w:fldChar w:fldCharType="end"/>
          </w:r>
        </w:p>
        <w:p>
          <w:pPr>
            <w:pStyle w:val="33"/>
            <w:tabs>
              <w:tab w:val="right" w:leader="dot" w:pos="8306"/>
            </w:tabs>
            <w:spacing w:line="400" w:lineRule="atLeast"/>
            <w:ind w:left="420"/>
            <w:rPr>
              <w:rFonts w:ascii="黑体" w:hAnsi="黑体" w:eastAsia="黑体" w:cs="黑体"/>
              <w:sz w:val="24"/>
              <w:szCs w:val="24"/>
            </w:rPr>
          </w:pPr>
          <w:r>
            <w:fldChar w:fldCharType="begin"/>
          </w:r>
          <w:r>
            <w:instrText xml:space="preserve"> HYPERLINK \l "_Toc18781_WPSOffice_Level2" </w:instrText>
          </w:r>
          <w:r>
            <w:fldChar w:fldCharType="separate"/>
          </w:r>
          <w:r>
            <w:rPr>
              <w:rFonts w:hint="eastAsia" w:ascii="黑体" w:hAnsi="黑体" w:eastAsia="黑体" w:cs="黑体"/>
              <w:sz w:val="24"/>
              <w:szCs w:val="24"/>
            </w:rPr>
            <w:t>十二、政府性基金预算财政拨款“三公”经费支出决算表</w:t>
          </w:r>
          <w:r>
            <w:rPr>
              <w:rFonts w:hint="eastAsia" w:ascii="黑体" w:hAnsi="黑体" w:eastAsia="黑体" w:cs="黑体"/>
              <w:sz w:val="24"/>
              <w:szCs w:val="24"/>
            </w:rPr>
            <w:tab/>
          </w:r>
          <w:bookmarkStart w:id="40" w:name="_Toc18781_WPSOffice_Level2Page"/>
          <w:r>
            <w:rPr>
              <w:rFonts w:hint="eastAsia" w:ascii="黑体" w:hAnsi="黑体" w:eastAsia="黑体" w:cs="黑体"/>
              <w:sz w:val="24"/>
              <w:szCs w:val="24"/>
            </w:rPr>
            <w:t>63</w:t>
          </w:r>
          <w:bookmarkEnd w:id="40"/>
          <w:r>
            <w:rPr>
              <w:rFonts w:hint="eastAsia" w:ascii="黑体" w:hAnsi="黑体" w:eastAsia="黑体" w:cs="黑体"/>
              <w:sz w:val="24"/>
              <w:szCs w:val="24"/>
            </w:rPr>
            <w:fldChar w:fldCharType="end"/>
          </w:r>
        </w:p>
        <w:p>
          <w:pPr>
            <w:pStyle w:val="33"/>
            <w:tabs>
              <w:tab w:val="right" w:leader="dot" w:pos="8306"/>
            </w:tabs>
            <w:spacing w:line="400" w:lineRule="atLeast"/>
            <w:ind w:left="420"/>
            <w:rPr>
              <w:rFonts w:ascii="黑体" w:hAnsi="黑体" w:eastAsia="黑体" w:cs="黑体"/>
              <w:sz w:val="24"/>
              <w:szCs w:val="24"/>
            </w:rPr>
          </w:pPr>
          <w:r>
            <w:fldChar w:fldCharType="begin"/>
          </w:r>
          <w:r>
            <w:instrText xml:space="preserve"> HYPERLINK \l "_Toc27647_WPSOffice_Level2" </w:instrText>
          </w:r>
          <w:r>
            <w:fldChar w:fldCharType="separate"/>
          </w:r>
          <w:r>
            <w:rPr>
              <w:rFonts w:hint="eastAsia" w:ascii="黑体" w:hAnsi="黑体" w:eastAsia="黑体" w:cs="黑体"/>
              <w:sz w:val="24"/>
              <w:szCs w:val="24"/>
            </w:rPr>
            <w:t>十三、国有资本经营预算财政拨款收入支出决算表</w:t>
          </w:r>
          <w:r>
            <w:rPr>
              <w:rFonts w:hint="eastAsia" w:ascii="黑体" w:hAnsi="黑体" w:eastAsia="黑体" w:cs="黑体"/>
              <w:sz w:val="24"/>
              <w:szCs w:val="24"/>
            </w:rPr>
            <w:tab/>
          </w:r>
          <w:bookmarkStart w:id="41" w:name="_Toc27647_WPSOffice_Level2Page"/>
          <w:r>
            <w:rPr>
              <w:rFonts w:hint="eastAsia" w:ascii="黑体" w:hAnsi="黑体" w:eastAsia="黑体" w:cs="黑体"/>
              <w:sz w:val="24"/>
              <w:szCs w:val="24"/>
            </w:rPr>
            <w:t>63</w:t>
          </w:r>
          <w:bookmarkEnd w:id="41"/>
          <w:r>
            <w:rPr>
              <w:rFonts w:hint="eastAsia" w:ascii="黑体" w:hAnsi="黑体" w:eastAsia="黑体" w:cs="黑体"/>
              <w:sz w:val="24"/>
              <w:szCs w:val="24"/>
            </w:rPr>
            <w:fldChar w:fldCharType="end"/>
          </w:r>
        </w:p>
        <w:p>
          <w:pPr>
            <w:pStyle w:val="33"/>
            <w:tabs>
              <w:tab w:val="right" w:leader="dot" w:pos="8306"/>
            </w:tabs>
            <w:spacing w:line="400" w:lineRule="atLeast"/>
            <w:ind w:left="420"/>
          </w:pPr>
          <w:r>
            <w:fldChar w:fldCharType="begin"/>
          </w:r>
          <w:r>
            <w:instrText xml:space="preserve"> HYPERLINK \l "_Toc21115_WPSOffice_Level2" </w:instrText>
          </w:r>
          <w:r>
            <w:fldChar w:fldCharType="separate"/>
          </w:r>
          <w:r>
            <w:rPr>
              <w:rFonts w:hint="eastAsia" w:ascii="黑体" w:hAnsi="黑体" w:eastAsia="黑体" w:cs="黑体"/>
              <w:sz w:val="24"/>
              <w:szCs w:val="24"/>
            </w:rPr>
            <w:t>十四、国有资本经营预算财政拨款支出决算表</w:t>
          </w:r>
          <w:r>
            <w:rPr>
              <w:rFonts w:hint="eastAsia" w:ascii="黑体" w:hAnsi="黑体" w:eastAsia="黑体" w:cs="黑体"/>
              <w:sz w:val="24"/>
              <w:szCs w:val="24"/>
            </w:rPr>
            <w:tab/>
          </w:r>
          <w:bookmarkStart w:id="42" w:name="_Toc21115_WPSOffice_Level2Page"/>
          <w:r>
            <w:rPr>
              <w:rFonts w:hint="eastAsia" w:ascii="黑体" w:hAnsi="黑体" w:eastAsia="黑体" w:cs="黑体"/>
              <w:sz w:val="24"/>
              <w:szCs w:val="24"/>
            </w:rPr>
            <w:t>63</w:t>
          </w:r>
          <w:bookmarkEnd w:id="42"/>
          <w:r>
            <w:rPr>
              <w:rFonts w:hint="eastAsia" w:ascii="黑体" w:hAnsi="黑体" w:eastAsia="黑体" w:cs="黑体"/>
              <w:sz w:val="24"/>
              <w:szCs w:val="24"/>
            </w:rPr>
            <w:fldChar w:fldCharType="end"/>
          </w:r>
        </w:p>
      </w:sdtContent>
    </w:sdt>
    <w:p>
      <w:pPr>
        <w:pStyle w:val="3"/>
        <w:jc w:val="both"/>
        <w:rPr>
          <w:sz w:val="24"/>
        </w:rPr>
      </w:pPr>
    </w:p>
    <w:p>
      <w:pPr>
        <w:widowControl/>
        <w:spacing w:line="440" w:lineRule="exact"/>
        <w:jc w:val="left"/>
        <w:rPr>
          <w:rFonts w:ascii="仿宋" w:hAnsi="仿宋" w:eastAsia="仿宋"/>
          <w:bCs/>
          <w:kern w:val="44"/>
          <w:sz w:val="24"/>
        </w:rPr>
      </w:pPr>
      <w:bookmarkStart w:id="43" w:name="_Toc15396599"/>
      <w:bookmarkStart w:id="44" w:name="_Toc15377196"/>
    </w:p>
    <w:p>
      <w:pPr>
        <w:pStyle w:val="4"/>
        <w:jc w:val="center"/>
        <w:rPr>
          <w:rStyle w:val="25"/>
          <w:rFonts w:ascii="黑体" w:hAnsi="黑体" w:eastAsia="黑体"/>
          <w:b/>
          <w:bCs w:val="0"/>
        </w:rPr>
      </w:pPr>
      <w:r>
        <w:rPr>
          <w:rFonts w:hint="eastAsia" w:ascii="黑体" w:hAnsi="黑体" w:eastAsia="黑体"/>
          <w:b w:val="0"/>
        </w:rPr>
        <w:t>第一部分 单位</w:t>
      </w:r>
      <w:r>
        <w:rPr>
          <w:rStyle w:val="25"/>
          <w:rFonts w:hint="eastAsia" w:ascii="黑体" w:hAnsi="黑体" w:eastAsia="黑体"/>
          <w:b w:val="0"/>
          <w:bCs w:val="0"/>
        </w:rPr>
        <w:t>概况</w:t>
      </w:r>
      <w:bookmarkEnd w:id="43"/>
      <w:bookmarkEnd w:id="44"/>
    </w:p>
    <w:p>
      <w:pPr>
        <w:widowControl/>
        <w:jc w:val="left"/>
        <w:rPr>
          <w:rFonts w:ascii="黑体" w:eastAsia="黑体"/>
          <w:sz w:val="32"/>
          <w:szCs w:val="32"/>
        </w:rPr>
      </w:pPr>
    </w:p>
    <w:p>
      <w:pPr>
        <w:pStyle w:val="5"/>
        <w:numPr>
          <w:ilvl w:val="0"/>
          <w:numId w:val="1"/>
        </w:numPr>
        <w:rPr>
          <w:rStyle w:val="26"/>
          <w:rFonts w:ascii="黑体" w:hAnsi="黑体" w:eastAsia="黑体"/>
          <w:b w:val="0"/>
          <w:bCs w:val="0"/>
        </w:rPr>
      </w:pPr>
      <w:bookmarkStart w:id="45" w:name="_Toc15377197"/>
      <w:bookmarkStart w:id="46" w:name="_Toc15396600"/>
      <w:r>
        <w:rPr>
          <w:rStyle w:val="26"/>
          <w:rFonts w:hint="eastAsia" w:ascii="黑体" w:hAnsi="黑体" w:eastAsia="黑体"/>
          <w:b w:val="0"/>
          <w:bCs w:val="0"/>
        </w:rPr>
        <w:t>职能简介</w:t>
      </w:r>
    </w:p>
    <w:p>
      <w:pPr>
        <w:pStyle w:val="2"/>
        <w:adjustRightInd w:val="0"/>
        <w:snapToGrid w:val="0"/>
        <w:spacing w:beforeLines="0" w:line="600" w:lineRule="exact"/>
        <w:ind w:firstLine="640" w:firstLineChars="200"/>
        <w:outlineLvl w:val="2"/>
        <w:rPr>
          <w:rFonts w:ascii="仿宋" w:hAnsi="仿宋" w:eastAsia="仿宋" w:cs="仿宋"/>
          <w:bCs/>
          <w:color w:val="000000"/>
          <w:sz w:val="32"/>
          <w:szCs w:val="32"/>
        </w:rPr>
      </w:pPr>
      <w:r>
        <w:rPr>
          <w:rFonts w:hint="eastAsia" w:ascii="仿宋" w:hAnsi="仿宋" w:eastAsia="仿宋" w:cs="仿宋"/>
          <w:bCs/>
          <w:color w:val="000000"/>
          <w:sz w:val="32"/>
          <w:szCs w:val="32"/>
        </w:rPr>
        <w:t>按照《乐山市市中区平兴镇人民政府职能配置、内设机构和人员编制规定》平兴镇主要职能为:</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一是负责贯彻执行党和国家的路线方针政策、法律法规规章，执行区委、区政府的决定，研究决定辖区内政治、经济、文化、社会、生态文明等领域事业发展的重大事项组织实施。</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二是落实全面从严治党主体责任，负责加强基层党组织建设和基层政权建设，巩固党的执政基础；负责党风廉政建设和反腐败工作；负责统一战线工作；统筹协调辖区内各领域党建工作，推进社区党建、单位党建、行业党建和区域化党建互联互动，统筹抓好新领域新业态新群体党建工作。</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三是加强基层宣传思想文化工作，推进基层精神文明建设，培养和弘扬社会主义核心价值观，创造良好社会环境。负责指导机关、群团组织和其他各类组织依法依规履行职责。</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四是负责拟定经济发展规划并组织实施。指导经济发展，推进产业结构调整，促进经济增长方式转变，促进农民增收。</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五是负责拟定社会事业发展规划并组织实施。负责教育、科技、文化旅游、体育、广播电视、民政、卫生健康、医疗保障、残疾人保障、社会保障、退役军人服务、拥军优属、优抚安置等工作，推进便民服务中心规范化建设，落实与群众密切相关的各项公共服务政策。</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六是负责拟定振兴发展规划并组织实施，负责农业产业升级转型、美丽乡村建设、农村文化生活繁荣、农村基础设施和公共服务能力提升、农村综合改革、脱贫攻坚等工作。</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七是负责城乡基层治理工作，深化党建引领城乡基层治理，形成共建共治共享的城乡基层治理工作格局，推进和谐宜居乡村建设；加强社会主义民主法治建设和精神文明建设，承担社会治理、信访维稳、法治建设、防邪、禁毒、民族宗教等工作。</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八是负责辖区公共事务综合管理，参与辖区规划建设，负责拟定村镇国土空间规划并组织实施，承担重点工程建设、乡村道路建设及公共设施等管理工作，对辖区事关群众利益的重大决策和重大项目提出建议。</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九是负责统筹协调综合执法、城镇和市场监管工作，统筹组织协调指挥辖区内派驻和基层执法力量。</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十是负责应急管理和安全生产工作，落实安全生产责任制，建立健全应对突发紧急事件的处置管理机制，构建公共安全防控体系。</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十一是负责自然资源、生态环境保护工作，做好网格化环境监管，开展自然资源、环境保护隐患排查和治理，配合有关部门查处自然资源、环境违法行为。</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十二是负责推进基层民主法治建设，加强普法依法治理，维护群众合法权益。负责协助武装部门做好辖区民兵训练和公民服兵役工作。</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十三是按照干部管理权限，负责对干部的教育、培训、选拨、考核和监督工作。</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十四是负责编制和执行本级预算、决算。加强本级财政、所属事业机构以用村（社区）财务的核算和监督。</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十五是根据法定职责或受委托承担辖区内审批服务、公共服务、各类社会事务服务等职责。负责制定完善权力清单、责任清单、公共服务事项清单、建立清单动态调整和公示机制，推进党务政务公开，接受群众监督，增加公信力。</w:t>
      </w:r>
    </w:p>
    <w:p>
      <w:pPr>
        <w:spacing w:line="560" w:lineRule="exact"/>
        <w:ind w:firstLine="640" w:firstLineChars="200"/>
      </w:pPr>
      <w:r>
        <w:rPr>
          <w:rFonts w:hint="eastAsia" w:ascii="仿宋" w:hAnsi="仿宋" w:eastAsia="仿宋" w:cs="仿宋"/>
          <w:sz w:val="32"/>
          <w:szCs w:val="32"/>
        </w:rPr>
        <w:t>十六是履行法律、法规、规章规定的其他职责，承办区委、区政府交办的其他工作。</w:t>
      </w:r>
    </w:p>
    <w:p>
      <w:pPr>
        <w:pStyle w:val="5"/>
        <w:rPr>
          <w:rFonts w:ascii="黑体" w:hAnsi="黑体" w:eastAsia="黑体"/>
          <w:b w:val="0"/>
        </w:rPr>
      </w:pPr>
      <w:r>
        <w:rPr>
          <w:rFonts w:hint="eastAsia" w:ascii="黑体" w:hAnsi="黑体" w:eastAsia="黑体"/>
          <w:b w:val="0"/>
        </w:rPr>
        <w:t>二、2021年重点工作</w:t>
      </w:r>
      <w:bookmarkEnd w:id="45"/>
      <w:bookmarkEnd w:id="46"/>
      <w:r>
        <w:rPr>
          <w:rFonts w:hint="eastAsia" w:ascii="黑体" w:hAnsi="黑体" w:eastAsia="黑体"/>
          <w:b w:val="0"/>
        </w:rPr>
        <w:t>完成情况</w:t>
      </w:r>
    </w:p>
    <w:p>
      <w:pPr>
        <w:pStyle w:val="2"/>
        <w:adjustRightInd w:val="0"/>
        <w:snapToGrid w:val="0"/>
        <w:spacing w:before="93" w:line="600" w:lineRule="exact"/>
        <w:ind w:firstLine="672" w:firstLineChars="210"/>
        <w:outlineLvl w:val="2"/>
        <w:rPr>
          <w:rFonts w:ascii="仿宋" w:hAnsi="仿宋" w:eastAsia="仿宋"/>
          <w:bCs/>
          <w:sz w:val="32"/>
          <w:szCs w:val="32"/>
        </w:rPr>
      </w:pPr>
      <w:r>
        <w:rPr>
          <w:rFonts w:hint="eastAsia" w:ascii="仿宋" w:hAnsi="仿宋" w:eastAsia="仿宋"/>
          <w:bCs/>
          <w:color w:val="000000"/>
          <w:kern w:val="2"/>
          <w:sz w:val="32"/>
          <w:szCs w:val="32"/>
        </w:rPr>
        <w:t>在区委区政府的正确领导下，全面完成年初下达的各项工作目标任务。</w:t>
      </w:r>
      <w:r>
        <w:rPr>
          <w:rFonts w:hint="eastAsia" w:ascii="仿宋" w:hAnsi="仿宋" w:eastAsia="仿宋" w:cs="仿宋"/>
          <w:sz w:val="32"/>
          <w:szCs w:val="32"/>
        </w:rPr>
        <w:t>一是平稳有序完成换届。强化组织领导，组建党委及人大换届工作领导机构，妥善做好大会选举、人事安排、文件起草、会务准备、宣传引导、纪律监督、后勤保卫等筹备工作。严格标准流程，全程严把换届责任关、质量关、程序关、政治关、纪律关，换届风气整体风清气正，圆满完成选举工作。</w:t>
      </w:r>
      <w:r>
        <w:rPr>
          <w:rFonts w:hint="eastAsia" w:ascii="仿宋" w:hAnsi="仿宋" w:eastAsia="仿宋"/>
          <w:bCs/>
          <w:color w:val="000000"/>
          <w:kern w:val="2"/>
          <w:sz w:val="32"/>
          <w:szCs w:val="32"/>
        </w:rPr>
        <w:t>二是认真落实惠农政策，精准扶贫成效显著、三是推动畜牧业发展、五是强化农村基础设施建设、六是开展完成农村安全饮水工程、七是加强环境卫生治理、八是依法治镇有力推进、九是安全生产有序开展。</w:t>
      </w:r>
    </w:p>
    <w:p>
      <w:pPr>
        <w:spacing w:line="560" w:lineRule="exact"/>
        <w:ind w:firstLine="640" w:firstLineChars="200"/>
        <w:rPr>
          <w:rFonts w:ascii="仿宋" w:hAnsi="仿宋" w:eastAsia="仿宋"/>
          <w:kern w:val="0"/>
          <w:sz w:val="32"/>
          <w:szCs w:val="32"/>
        </w:rPr>
      </w:pPr>
      <w:r>
        <w:rPr>
          <w:rFonts w:ascii="仿宋" w:hAnsi="仿宋" w:eastAsia="仿宋"/>
          <w:sz w:val="32"/>
          <w:szCs w:val="32"/>
        </w:rPr>
        <w:br w:type="page"/>
      </w:r>
    </w:p>
    <w:p>
      <w:pPr>
        <w:pStyle w:val="4"/>
        <w:ind w:right="440"/>
        <w:jc w:val="center"/>
        <w:rPr>
          <w:rStyle w:val="25"/>
          <w:rFonts w:ascii="黑体" w:hAnsi="黑体" w:eastAsia="黑体"/>
          <w:b w:val="0"/>
          <w:bCs/>
        </w:rPr>
      </w:pPr>
      <w:bookmarkStart w:id="47" w:name="_Toc15377204"/>
      <w:bookmarkStart w:id="48" w:name="_Toc2337_WPSOffice_Level1"/>
      <w:bookmarkStart w:id="49" w:name="_Toc15396602"/>
      <w:r>
        <w:rPr>
          <w:rFonts w:hint="eastAsia" w:ascii="黑体" w:hAnsi="黑体" w:eastAsia="黑体"/>
          <w:b w:val="0"/>
        </w:rPr>
        <w:t>第二部分 2021年度</w:t>
      </w:r>
      <w:r>
        <w:rPr>
          <w:rStyle w:val="25"/>
          <w:rFonts w:hint="eastAsia" w:ascii="黑体" w:hAnsi="黑体" w:eastAsia="黑体"/>
          <w:b w:val="0"/>
          <w:bCs w:val="0"/>
          <w:lang w:val="en-US" w:eastAsia="zh-CN"/>
        </w:rPr>
        <w:t>单位</w:t>
      </w:r>
      <w:r>
        <w:rPr>
          <w:rStyle w:val="25"/>
          <w:rFonts w:hint="eastAsia" w:ascii="黑体" w:hAnsi="黑体" w:eastAsia="黑体"/>
          <w:b w:val="0"/>
          <w:bCs w:val="0"/>
        </w:rPr>
        <w:t>决算情况说明</w:t>
      </w:r>
      <w:bookmarkEnd w:id="47"/>
      <w:bookmarkEnd w:id="48"/>
      <w:bookmarkEnd w:id="49"/>
    </w:p>
    <w:p/>
    <w:p>
      <w:pPr>
        <w:pStyle w:val="24"/>
        <w:numPr>
          <w:ilvl w:val="0"/>
          <w:numId w:val="2"/>
        </w:numPr>
        <w:spacing w:line="600" w:lineRule="exact"/>
        <w:ind w:firstLineChars="0"/>
        <w:outlineLvl w:val="1"/>
        <w:rPr>
          <w:rStyle w:val="26"/>
          <w:rFonts w:ascii="黑体" w:hAnsi="黑体" w:eastAsia="黑体"/>
          <w:b w:val="0"/>
        </w:rPr>
      </w:pPr>
      <w:bookmarkStart w:id="50" w:name="_Toc15396603"/>
      <w:bookmarkStart w:id="51" w:name="_Toc22972_WPSOffice_Level2"/>
      <w:bookmarkStart w:id="52" w:name="_Toc15377205"/>
      <w:r>
        <w:rPr>
          <w:rFonts w:hint="eastAsia" w:ascii="黑体" w:hAnsi="黑体" w:eastAsia="黑体"/>
          <w:sz w:val="32"/>
          <w:szCs w:val="32"/>
        </w:rPr>
        <w:t>收</w:t>
      </w:r>
      <w:r>
        <w:rPr>
          <w:rStyle w:val="26"/>
          <w:rFonts w:hint="eastAsia" w:ascii="黑体" w:hAnsi="黑体" w:eastAsia="黑体"/>
          <w:b w:val="0"/>
        </w:rPr>
        <w:t>入支出决算总体情况说明</w:t>
      </w:r>
      <w:bookmarkEnd w:id="50"/>
      <w:bookmarkEnd w:id="51"/>
      <w:bookmarkEnd w:id="52"/>
      <w:bookmarkStart w:id="114" w:name="_GoBack"/>
      <w:bookmarkEnd w:id="114"/>
    </w:p>
    <w:p>
      <w:pPr>
        <w:spacing w:line="600" w:lineRule="exact"/>
        <w:ind w:firstLine="640" w:firstLineChars="200"/>
      </w:pPr>
      <w:r>
        <w:rPr>
          <w:rFonts w:hint="eastAsia" w:ascii="仿宋" w:hAnsi="仿宋" w:eastAsia="仿宋"/>
          <w:sz w:val="32"/>
          <w:szCs w:val="32"/>
        </w:rPr>
        <w:t>2021年度收、支总计</w:t>
      </w:r>
      <w:r>
        <w:rPr>
          <w:rFonts w:hint="eastAsia" w:ascii="仿宋" w:hAnsi="仿宋" w:eastAsia="仿宋"/>
          <w:color w:val="000000"/>
          <w:sz w:val="32"/>
          <w:szCs w:val="32"/>
        </w:rPr>
        <w:t>1337.19</w:t>
      </w:r>
      <w:r>
        <w:rPr>
          <w:rFonts w:hint="eastAsia" w:ascii="仿宋" w:hAnsi="仿宋" w:eastAsia="仿宋"/>
          <w:sz w:val="32"/>
          <w:szCs w:val="32"/>
        </w:rPr>
        <w:t>万元。与2020年相比，收支总计各减少97.29万元，减少0.68</w:t>
      </w:r>
      <w:r>
        <w:rPr>
          <w:rFonts w:ascii="仿宋" w:hAnsi="仿宋" w:eastAsia="仿宋"/>
          <w:sz w:val="32"/>
          <w:szCs w:val="32"/>
        </w:rPr>
        <w:t>%</w:t>
      </w:r>
      <w:r>
        <w:rPr>
          <w:rFonts w:hint="eastAsia" w:ascii="仿宋" w:hAnsi="仿宋" w:eastAsia="仿宋"/>
          <w:sz w:val="32"/>
          <w:szCs w:val="32"/>
        </w:rPr>
        <w:t>。主要变动原因是：相比去年，减少了疫情防控等的开支。</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（图</w:t>
      </w:r>
      <w:r>
        <w:rPr>
          <w:rFonts w:ascii="仿宋" w:hAnsi="仿宋" w:eastAsia="仿宋"/>
          <w:sz w:val="32"/>
          <w:szCs w:val="32"/>
        </w:rPr>
        <w:t>1</w:t>
      </w:r>
      <w:r>
        <w:rPr>
          <w:rFonts w:hint="eastAsia" w:ascii="仿宋" w:hAnsi="仿宋" w:eastAsia="仿宋"/>
          <w:sz w:val="32"/>
          <w:szCs w:val="32"/>
        </w:rPr>
        <w:t>：收、支决算总计变动情况图）（柱状图）</w:t>
      </w:r>
    </w:p>
    <w:p>
      <w:pPr>
        <w:pStyle w:val="31"/>
        <w:ind w:firstLine="640"/>
        <w:rPr>
          <w:rFonts w:ascii="仿宋" w:hAnsi="仿宋" w:eastAsia="仿宋"/>
          <w:sz w:val="32"/>
          <w:szCs w:val="32"/>
        </w:rPr>
      </w:pPr>
      <w:r>
        <w:rPr>
          <w:rFonts w:ascii="仿宋" w:hAnsi="仿宋" w:eastAsia="仿宋"/>
          <w:sz w:val="32"/>
          <w:szCs w:val="32"/>
        </w:rPr>
        <w:drawing>
          <wp:inline distT="0" distB="0" distL="0" distR="0">
            <wp:extent cx="5274310" cy="3215005"/>
            <wp:effectExtent l="57150" t="0" r="40640" b="42296"/>
            <wp:docPr id="10"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pPr>
        <w:spacing w:line="600" w:lineRule="exact"/>
        <w:jc w:val="left"/>
        <w:rPr>
          <w:rFonts w:ascii="仿宋_GB2312" w:eastAsia="仿宋_GB2312"/>
          <w:sz w:val="32"/>
          <w:szCs w:val="32"/>
        </w:rPr>
      </w:pPr>
    </w:p>
    <w:p>
      <w:pPr>
        <w:pStyle w:val="24"/>
        <w:numPr>
          <w:ilvl w:val="0"/>
          <w:numId w:val="2"/>
        </w:numPr>
        <w:spacing w:line="600" w:lineRule="exact"/>
        <w:ind w:firstLineChars="0"/>
        <w:outlineLvl w:val="1"/>
        <w:rPr>
          <w:rStyle w:val="26"/>
          <w:rFonts w:ascii="黑体" w:hAnsi="黑体" w:eastAsia="黑体"/>
          <w:b w:val="0"/>
        </w:rPr>
      </w:pPr>
      <w:bookmarkStart w:id="53" w:name="_Toc15396604"/>
      <w:bookmarkStart w:id="54" w:name="_Toc15377206"/>
      <w:bookmarkStart w:id="55" w:name="_Toc15575_WPSOffice_Level2"/>
      <w:r>
        <w:rPr>
          <w:rFonts w:hint="eastAsia" w:ascii="黑体" w:hAnsi="黑体" w:eastAsia="黑体"/>
          <w:sz w:val="32"/>
          <w:szCs w:val="32"/>
        </w:rPr>
        <w:t>收</w:t>
      </w:r>
      <w:r>
        <w:rPr>
          <w:rStyle w:val="26"/>
          <w:rFonts w:hint="eastAsia" w:ascii="黑体" w:hAnsi="黑体" w:eastAsia="黑体"/>
          <w:b w:val="0"/>
        </w:rPr>
        <w:t>入决算情况说明</w:t>
      </w:r>
      <w:bookmarkEnd w:id="53"/>
      <w:bookmarkEnd w:id="54"/>
      <w:bookmarkEnd w:id="55"/>
    </w:p>
    <w:p>
      <w:pPr>
        <w:spacing w:line="600" w:lineRule="exact"/>
        <w:ind w:firstLine="640" w:firstLineChars="200"/>
        <w:outlineLvl w:val="1"/>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21年本年收入合计1243.9万元，其中：一般公共预算财政拨款收入1193.96万元，占96</w:t>
      </w:r>
      <w:r>
        <w:rPr>
          <w:rFonts w:ascii="仿宋" w:hAnsi="仿宋" w:eastAsia="仿宋"/>
          <w:sz w:val="32"/>
          <w:szCs w:val="32"/>
        </w:rPr>
        <w:t>%</w:t>
      </w:r>
      <w:r>
        <w:rPr>
          <w:rFonts w:hint="eastAsia" w:ascii="仿宋" w:hAnsi="仿宋" w:eastAsia="仿宋"/>
          <w:sz w:val="32"/>
          <w:szCs w:val="32"/>
        </w:rPr>
        <w:t>；政府性基金预算财政拨款收入0万元，占0</w:t>
      </w:r>
      <w:r>
        <w:rPr>
          <w:rFonts w:ascii="仿宋" w:hAnsi="仿宋" w:eastAsia="仿宋"/>
          <w:sz w:val="32"/>
          <w:szCs w:val="32"/>
        </w:rPr>
        <w:t>%</w:t>
      </w:r>
      <w:r>
        <w:rPr>
          <w:rFonts w:hint="eastAsia" w:ascii="仿宋" w:hAnsi="仿宋" w:eastAsia="仿宋"/>
          <w:sz w:val="32"/>
          <w:szCs w:val="32"/>
        </w:rPr>
        <w:t>；国有资本经营预算财政拨款收入0万元，占0</w:t>
      </w:r>
      <w:r>
        <w:rPr>
          <w:rFonts w:ascii="仿宋" w:hAnsi="仿宋" w:eastAsia="仿宋"/>
          <w:sz w:val="32"/>
          <w:szCs w:val="32"/>
        </w:rPr>
        <w:t>%</w:t>
      </w:r>
      <w:r>
        <w:rPr>
          <w:rFonts w:hint="eastAsia" w:ascii="仿宋" w:hAnsi="仿宋" w:eastAsia="仿宋"/>
          <w:sz w:val="32"/>
          <w:szCs w:val="32"/>
        </w:rPr>
        <w:t>；上级补助收入万元，占0</w:t>
      </w:r>
      <w:r>
        <w:rPr>
          <w:rFonts w:ascii="仿宋" w:hAnsi="仿宋" w:eastAsia="仿宋"/>
          <w:sz w:val="32"/>
          <w:szCs w:val="32"/>
        </w:rPr>
        <w:t>%</w:t>
      </w:r>
      <w:r>
        <w:rPr>
          <w:rFonts w:hint="eastAsia" w:ascii="仿宋" w:hAnsi="仿宋" w:eastAsia="仿宋"/>
          <w:sz w:val="32"/>
          <w:szCs w:val="32"/>
        </w:rPr>
        <w:t>；事业收入0万元，占0</w:t>
      </w:r>
      <w:r>
        <w:rPr>
          <w:rFonts w:ascii="仿宋" w:hAnsi="仿宋" w:eastAsia="仿宋"/>
          <w:sz w:val="32"/>
          <w:szCs w:val="32"/>
        </w:rPr>
        <w:t>%</w:t>
      </w:r>
      <w:r>
        <w:rPr>
          <w:rFonts w:hint="eastAsia" w:ascii="仿宋" w:hAnsi="仿宋" w:eastAsia="仿宋"/>
          <w:sz w:val="32"/>
          <w:szCs w:val="32"/>
        </w:rPr>
        <w:t>；经营收入0万元，占0</w:t>
      </w:r>
      <w:r>
        <w:rPr>
          <w:rFonts w:ascii="仿宋" w:hAnsi="仿宋" w:eastAsia="仿宋"/>
          <w:sz w:val="32"/>
          <w:szCs w:val="32"/>
        </w:rPr>
        <w:t>%</w:t>
      </w:r>
      <w:r>
        <w:rPr>
          <w:rFonts w:hint="eastAsia" w:ascii="仿宋" w:hAnsi="仿宋" w:eastAsia="仿宋"/>
          <w:sz w:val="32"/>
          <w:szCs w:val="32"/>
        </w:rPr>
        <w:t>；附属单位上缴收入0万元，占0</w:t>
      </w:r>
      <w:r>
        <w:rPr>
          <w:rFonts w:ascii="仿宋" w:hAnsi="仿宋" w:eastAsia="仿宋"/>
          <w:sz w:val="32"/>
          <w:szCs w:val="32"/>
        </w:rPr>
        <w:t>%</w:t>
      </w:r>
      <w:r>
        <w:rPr>
          <w:rFonts w:hint="eastAsia" w:ascii="仿宋" w:hAnsi="仿宋" w:eastAsia="仿宋"/>
          <w:sz w:val="32"/>
          <w:szCs w:val="32"/>
        </w:rPr>
        <w:t>；其他收入49.94万元，占4</w:t>
      </w:r>
      <w:r>
        <w:rPr>
          <w:rFonts w:ascii="仿宋" w:hAnsi="仿宋" w:eastAsia="仿宋"/>
          <w:sz w:val="32"/>
          <w:szCs w:val="32"/>
        </w:rPr>
        <w:t>%</w:t>
      </w:r>
      <w:r>
        <w:rPr>
          <w:rFonts w:hint="eastAsia" w:ascii="仿宋" w:hAnsi="仿宋" w:eastAsia="仿宋"/>
          <w:sz w:val="32"/>
          <w:szCs w:val="32"/>
        </w:rPr>
        <w:t>。</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（图2：收入决算结构图）（饼状图）</w:t>
      </w:r>
    </w:p>
    <w:p>
      <w:pPr>
        <w:pStyle w:val="31"/>
        <w:ind w:firstLine="640"/>
        <w:rPr>
          <w:rFonts w:ascii="仿宋" w:hAnsi="仿宋" w:eastAsia="仿宋"/>
          <w:sz w:val="32"/>
          <w:szCs w:val="32"/>
        </w:rPr>
      </w:pPr>
      <w:r>
        <w:rPr>
          <w:rFonts w:ascii="仿宋" w:hAnsi="仿宋" w:eastAsia="仿宋"/>
          <w:sz w:val="32"/>
          <w:szCs w:val="32"/>
        </w:rPr>
        <w:drawing>
          <wp:inline distT="0" distB="0" distL="0" distR="0">
            <wp:extent cx="4617085" cy="3445510"/>
            <wp:effectExtent l="57150" t="0" r="30992" b="40090"/>
            <wp:docPr id="11"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pPr>
        <w:spacing w:line="600" w:lineRule="exact"/>
        <w:rPr>
          <w:rFonts w:ascii="仿宋_GB2312" w:eastAsia="仿宋_GB2312"/>
          <w:sz w:val="32"/>
          <w:szCs w:val="32"/>
        </w:rPr>
      </w:pPr>
    </w:p>
    <w:p>
      <w:pPr>
        <w:pStyle w:val="24"/>
        <w:numPr>
          <w:ilvl w:val="0"/>
          <w:numId w:val="2"/>
        </w:numPr>
        <w:spacing w:line="600" w:lineRule="exact"/>
        <w:ind w:firstLineChars="0"/>
        <w:outlineLvl w:val="1"/>
        <w:rPr>
          <w:rStyle w:val="26"/>
          <w:rFonts w:ascii="黑体" w:hAnsi="黑体" w:eastAsia="黑体"/>
          <w:b w:val="0"/>
        </w:rPr>
      </w:pPr>
      <w:bookmarkStart w:id="56" w:name="_Toc15377207"/>
      <w:bookmarkStart w:id="57" w:name="_Toc15396605"/>
      <w:bookmarkStart w:id="58" w:name="_Toc140_WPSOffice_Level2"/>
      <w:r>
        <w:rPr>
          <w:rFonts w:hint="eastAsia" w:ascii="黑体" w:hAnsi="黑体" w:eastAsia="黑体"/>
          <w:sz w:val="32"/>
          <w:szCs w:val="32"/>
        </w:rPr>
        <w:t>支</w:t>
      </w:r>
      <w:r>
        <w:rPr>
          <w:rStyle w:val="26"/>
          <w:rFonts w:hint="eastAsia" w:ascii="黑体" w:hAnsi="黑体" w:eastAsia="黑体"/>
          <w:b w:val="0"/>
        </w:rPr>
        <w:t>出决算情况说明</w:t>
      </w:r>
      <w:bookmarkEnd w:id="56"/>
      <w:bookmarkEnd w:id="57"/>
      <w:bookmarkEnd w:id="58"/>
    </w:p>
    <w:p>
      <w:pPr>
        <w:spacing w:line="600" w:lineRule="exact"/>
        <w:ind w:firstLine="640" w:firstLineChars="200"/>
        <w:outlineLvl w:val="1"/>
        <w:rPr>
          <w:rFonts w:ascii="仿宋" w:hAnsi="仿宋" w:eastAsia="仿宋"/>
          <w:sz w:val="32"/>
          <w:szCs w:val="32"/>
          <w:shd w:val="pct10" w:color="auto" w:fill="FFFFFF"/>
        </w:rPr>
      </w:pPr>
      <w:r>
        <w:rPr>
          <w:rFonts w:ascii="仿宋" w:hAnsi="仿宋" w:eastAsia="仿宋"/>
          <w:sz w:val="32"/>
          <w:szCs w:val="32"/>
        </w:rPr>
        <w:t>20</w:t>
      </w:r>
      <w:r>
        <w:rPr>
          <w:rFonts w:hint="eastAsia" w:ascii="仿宋" w:hAnsi="仿宋" w:eastAsia="仿宋"/>
          <w:sz w:val="32"/>
          <w:szCs w:val="32"/>
        </w:rPr>
        <w:t>21年本年支出合计1281.31万元，其中：基本支出648.44万元，占50.61</w:t>
      </w:r>
      <w:r>
        <w:rPr>
          <w:rFonts w:ascii="仿宋" w:hAnsi="仿宋" w:eastAsia="仿宋"/>
          <w:sz w:val="32"/>
          <w:szCs w:val="32"/>
        </w:rPr>
        <w:t>%</w:t>
      </w:r>
      <w:r>
        <w:rPr>
          <w:rFonts w:hint="eastAsia" w:ascii="仿宋" w:hAnsi="仿宋" w:eastAsia="仿宋"/>
          <w:sz w:val="32"/>
          <w:szCs w:val="32"/>
        </w:rPr>
        <w:t>；项目支出632.87万元，占49.39</w:t>
      </w:r>
      <w:r>
        <w:rPr>
          <w:rFonts w:ascii="仿宋" w:hAnsi="仿宋" w:eastAsia="仿宋"/>
          <w:sz w:val="32"/>
          <w:szCs w:val="32"/>
        </w:rPr>
        <w:t>%</w:t>
      </w:r>
      <w:r>
        <w:rPr>
          <w:rFonts w:hint="eastAsia" w:ascii="仿宋" w:hAnsi="仿宋" w:eastAsia="仿宋"/>
          <w:sz w:val="32"/>
          <w:szCs w:val="32"/>
        </w:rPr>
        <w:t>；上缴上级支出0万元，占0</w:t>
      </w:r>
      <w:r>
        <w:rPr>
          <w:rFonts w:ascii="仿宋" w:hAnsi="仿宋" w:eastAsia="仿宋"/>
          <w:sz w:val="32"/>
          <w:szCs w:val="32"/>
        </w:rPr>
        <w:t>%</w:t>
      </w:r>
      <w:r>
        <w:rPr>
          <w:rFonts w:hint="eastAsia" w:ascii="仿宋" w:hAnsi="仿宋" w:eastAsia="仿宋"/>
          <w:sz w:val="32"/>
          <w:szCs w:val="32"/>
        </w:rPr>
        <w:t>；经营支出0万元，占0</w:t>
      </w:r>
      <w:r>
        <w:rPr>
          <w:rFonts w:ascii="仿宋" w:hAnsi="仿宋" w:eastAsia="仿宋"/>
          <w:sz w:val="32"/>
          <w:szCs w:val="32"/>
        </w:rPr>
        <w:t>%</w:t>
      </w:r>
      <w:r>
        <w:rPr>
          <w:rFonts w:hint="eastAsia" w:ascii="仿宋" w:hAnsi="仿宋" w:eastAsia="仿宋"/>
          <w:sz w:val="32"/>
          <w:szCs w:val="32"/>
        </w:rPr>
        <w:t>；对附属单位补助支出0万元，占0</w:t>
      </w:r>
      <w:r>
        <w:rPr>
          <w:rFonts w:ascii="仿宋" w:hAnsi="仿宋" w:eastAsia="仿宋"/>
          <w:sz w:val="32"/>
          <w:szCs w:val="32"/>
        </w:rPr>
        <w:t>%</w:t>
      </w:r>
      <w:r>
        <w:rPr>
          <w:rFonts w:hint="eastAsia" w:ascii="仿宋" w:hAnsi="仿宋" w:eastAsia="仿宋"/>
          <w:sz w:val="32"/>
          <w:szCs w:val="32"/>
        </w:rPr>
        <w:t>。</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（图3：支出决算结构图）（饼状图）</w:t>
      </w:r>
    </w:p>
    <w:p>
      <w:pPr>
        <w:spacing w:line="600" w:lineRule="exact"/>
        <w:ind w:firstLine="640" w:firstLineChars="200"/>
        <w:rPr>
          <w:rFonts w:ascii="仿宋_GB2312" w:eastAsia="仿宋_GB2312"/>
          <w:sz w:val="32"/>
          <w:szCs w:val="32"/>
        </w:rPr>
      </w:pPr>
    </w:p>
    <w:p>
      <w:pPr>
        <w:pStyle w:val="31"/>
        <w:ind w:firstLine="0" w:firstLineChars="0"/>
        <w:rPr>
          <w:rFonts w:ascii="仿宋_GB2312" w:eastAsia="仿宋_GB2312"/>
          <w:sz w:val="32"/>
          <w:szCs w:val="32"/>
        </w:rPr>
      </w:pPr>
      <w:r>
        <w:rPr>
          <w:rFonts w:ascii="仿宋_GB2312" w:eastAsia="仿宋_GB2312"/>
          <w:sz w:val="32"/>
          <w:szCs w:val="32"/>
        </w:rPr>
        <w:drawing>
          <wp:inline distT="0" distB="0" distL="0" distR="0">
            <wp:extent cx="4937760" cy="2756535"/>
            <wp:effectExtent l="57150" t="0" r="34119" b="43502"/>
            <wp:docPr id="15"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spacing w:line="600" w:lineRule="exact"/>
        <w:ind w:firstLine="640" w:firstLineChars="200"/>
        <w:outlineLvl w:val="1"/>
        <w:rPr>
          <w:rStyle w:val="26"/>
          <w:rFonts w:ascii="黑体" w:hAnsi="黑体" w:eastAsia="黑体"/>
          <w:b w:val="0"/>
        </w:rPr>
      </w:pPr>
      <w:bookmarkStart w:id="59" w:name="_Toc15396606"/>
      <w:bookmarkStart w:id="60" w:name="_Toc15377208"/>
      <w:bookmarkStart w:id="61" w:name="_Toc16333_WPSOffice_Level2"/>
      <w:r>
        <w:rPr>
          <w:rFonts w:hint="eastAsia" w:ascii="黑体" w:hAnsi="黑体" w:eastAsia="黑体"/>
          <w:sz w:val="32"/>
          <w:szCs w:val="32"/>
        </w:rPr>
        <w:t>四、财</w:t>
      </w:r>
      <w:r>
        <w:rPr>
          <w:rStyle w:val="26"/>
          <w:rFonts w:hint="eastAsia" w:ascii="黑体" w:hAnsi="黑体" w:eastAsia="黑体"/>
          <w:b w:val="0"/>
        </w:rPr>
        <w:t>政拨款收入支出决算总体情况说明</w:t>
      </w:r>
      <w:bookmarkEnd w:id="59"/>
      <w:bookmarkEnd w:id="60"/>
      <w:bookmarkEnd w:id="61"/>
    </w:p>
    <w:p>
      <w:pPr>
        <w:spacing w:line="600" w:lineRule="exact"/>
        <w:ind w:firstLine="640" w:firstLineChars="200"/>
      </w:pPr>
      <w:r>
        <w:rPr>
          <w:rFonts w:ascii="仿宋" w:hAnsi="仿宋" w:eastAsia="仿宋"/>
          <w:sz w:val="32"/>
          <w:szCs w:val="32"/>
        </w:rPr>
        <w:t>20</w:t>
      </w:r>
      <w:r>
        <w:rPr>
          <w:rFonts w:hint="eastAsia" w:ascii="仿宋" w:hAnsi="仿宋" w:eastAsia="仿宋"/>
          <w:sz w:val="32"/>
          <w:szCs w:val="32"/>
        </w:rPr>
        <w:t>21年财政拨款收、支总计1240.78万元。与</w:t>
      </w:r>
      <w:r>
        <w:rPr>
          <w:rFonts w:ascii="仿宋" w:hAnsi="仿宋" w:eastAsia="仿宋"/>
          <w:sz w:val="32"/>
          <w:szCs w:val="32"/>
        </w:rPr>
        <w:t>20</w:t>
      </w:r>
      <w:r>
        <w:rPr>
          <w:rFonts w:hint="eastAsia" w:ascii="仿宋" w:hAnsi="仿宋" w:eastAsia="仿宋"/>
          <w:sz w:val="32"/>
          <w:szCs w:val="32"/>
        </w:rPr>
        <w:t>20年1347.15相比，财政拨款收、支总计各减少106.37万元，减少8.57</w:t>
      </w:r>
      <w:r>
        <w:rPr>
          <w:rFonts w:ascii="仿宋" w:hAnsi="仿宋" w:eastAsia="仿宋"/>
          <w:sz w:val="32"/>
          <w:szCs w:val="32"/>
        </w:rPr>
        <w:t>%</w:t>
      </w:r>
      <w:r>
        <w:rPr>
          <w:rFonts w:hint="eastAsia" w:ascii="仿宋" w:hAnsi="仿宋" w:eastAsia="仿宋"/>
          <w:sz w:val="32"/>
          <w:szCs w:val="32"/>
        </w:rPr>
        <w:t>。主要变动原因是减少了疫情防控等的开支。</w:t>
      </w:r>
    </w:p>
    <w:p>
      <w:pPr>
        <w:spacing w:line="600" w:lineRule="exact"/>
        <w:ind w:firstLine="640"/>
        <w:rPr>
          <w:rFonts w:ascii="仿宋" w:hAnsi="仿宋" w:eastAsia="仿宋"/>
          <w:sz w:val="32"/>
          <w:szCs w:val="32"/>
        </w:rPr>
      </w:pPr>
      <w:r>
        <w:rPr>
          <w:rFonts w:hint="eastAsia" w:ascii="仿宋" w:hAnsi="仿宋" w:eastAsia="仿宋"/>
          <w:sz w:val="32"/>
          <w:szCs w:val="32"/>
        </w:rPr>
        <w:t>。</w:t>
      </w:r>
    </w:p>
    <w:p>
      <w:pPr>
        <w:spacing w:line="600" w:lineRule="exact"/>
        <w:ind w:firstLine="640" w:firstLineChars="200"/>
        <w:rPr>
          <w:rFonts w:ascii="仿宋" w:hAnsi="仿宋" w:eastAsia="仿宋"/>
          <w:b/>
          <w:sz w:val="32"/>
          <w:szCs w:val="32"/>
        </w:rPr>
      </w:pPr>
      <w:r>
        <w:rPr>
          <w:rFonts w:hint="eastAsia" w:ascii="仿宋" w:hAnsi="仿宋" w:eastAsia="仿宋"/>
          <w:sz w:val="32"/>
          <w:szCs w:val="32"/>
        </w:rPr>
        <w:t>（图4：财政拨款收、支决算总计变动情况）（柱状图）</w:t>
      </w:r>
    </w:p>
    <w:p>
      <w:pPr>
        <w:pStyle w:val="31"/>
        <w:ind w:firstLine="643"/>
        <w:rPr>
          <w:rFonts w:ascii="仿宋" w:hAnsi="仿宋" w:eastAsia="仿宋"/>
          <w:b/>
          <w:sz w:val="32"/>
          <w:szCs w:val="32"/>
        </w:rPr>
      </w:pPr>
      <w:r>
        <w:rPr>
          <w:rFonts w:ascii="仿宋" w:hAnsi="仿宋" w:eastAsia="仿宋"/>
          <w:b/>
          <w:sz w:val="32"/>
          <w:szCs w:val="32"/>
        </w:rPr>
        <w:drawing>
          <wp:inline distT="0" distB="0" distL="0" distR="0">
            <wp:extent cx="4780915" cy="3248025"/>
            <wp:effectExtent l="57150" t="0" r="38669" b="47482"/>
            <wp:docPr id="16" name="图表 8"/>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pStyle w:val="31"/>
        <w:ind w:firstLine="643"/>
        <w:rPr>
          <w:rFonts w:ascii="仿宋" w:hAnsi="仿宋" w:eastAsia="仿宋"/>
          <w:b/>
          <w:sz w:val="32"/>
          <w:szCs w:val="32"/>
        </w:rPr>
      </w:pPr>
    </w:p>
    <w:p>
      <w:pPr>
        <w:spacing w:line="600" w:lineRule="exact"/>
        <w:ind w:firstLine="640" w:firstLineChars="200"/>
        <w:outlineLvl w:val="1"/>
        <w:rPr>
          <w:rStyle w:val="26"/>
          <w:rFonts w:ascii="黑体" w:hAnsi="黑体" w:eastAsia="黑体"/>
          <w:b w:val="0"/>
        </w:rPr>
      </w:pPr>
      <w:bookmarkStart w:id="62" w:name="_Toc11933_WPSOffice_Level2"/>
      <w:bookmarkStart w:id="63" w:name="_Toc15396607"/>
      <w:bookmarkStart w:id="64" w:name="_Toc15377209"/>
      <w:r>
        <w:rPr>
          <w:rFonts w:hint="eastAsia" w:ascii="黑体" w:hAnsi="黑体" w:eastAsia="黑体"/>
          <w:sz w:val="32"/>
          <w:szCs w:val="32"/>
        </w:rPr>
        <w:t>五、</w:t>
      </w:r>
      <w:r>
        <w:rPr>
          <w:rFonts w:hint="eastAsia" w:ascii="黑体" w:hAnsi="黑体" w:eastAsia="黑体"/>
          <w:b/>
          <w:sz w:val="32"/>
          <w:szCs w:val="32"/>
        </w:rPr>
        <w:t>一</w:t>
      </w:r>
      <w:r>
        <w:rPr>
          <w:rStyle w:val="26"/>
          <w:rFonts w:hint="eastAsia" w:ascii="黑体" w:hAnsi="黑体" w:eastAsia="黑体"/>
          <w:b w:val="0"/>
        </w:rPr>
        <w:t>般公共预算财政拨款支出决算情况说明</w:t>
      </w:r>
      <w:bookmarkEnd w:id="62"/>
      <w:bookmarkEnd w:id="63"/>
      <w:bookmarkEnd w:id="64"/>
    </w:p>
    <w:p>
      <w:pPr>
        <w:spacing w:line="600" w:lineRule="exact"/>
        <w:ind w:firstLine="643" w:firstLineChars="200"/>
        <w:outlineLvl w:val="2"/>
        <w:rPr>
          <w:rFonts w:ascii="仿宋" w:hAnsi="仿宋" w:eastAsia="仿宋"/>
          <w:b/>
          <w:sz w:val="32"/>
          <w:szCs w:val="32"/>
        </w:rPr>
      </w:pPr>
      <w:bookmarkStart w:id="65" w:name="_Toc15377210"/>
      <w:r>
        <w:rPr>
          <w:rFonts w:hint="eastAsia" w:ascii="仿宋" w:hAnsi="仿宋" w:eastAsia="仿宋"/>
          <w:b/>
          <w:sz w:val="32"/>
          <w:szCs w:val="32"/>
        </w:rPr>
        <w:t>（一）一般公共预算财政拨款支出决算总体情况</w:t>
      </w:r>
      <w:bookmarkEnd w:id="65"/>
    </w:p>
    <w:p>
      <w:pPr>
        <w:spacing w:line="600" w:lineRule="exact"/>
        <w:ind w:firstLine="640" w:firstLineChars="200"/>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21年一般公共预算财政拨款支出1231.35万元，占本年支出合计的98.99</w:t>
      </w:r>
      <w:r>
        <w:rPr>
          <w:rFonts w:ascii="仿宋" w:hAnsi="仿宋" w:eastAsia="仿宋"/>
          <w:sz w:val="32"/>
          <w:szCs w:val="32"/>
        </w:rPr>
        <w:t>%</w:t>
      </w:r>
      <w:r>
        <w:rPr>
          <w:rFonts w:hint="eastAsia" w:ascii="仿宋" w:hAnsi="仿宋" w:eastAsia="仿宋"/>
          <w:sz w:val="32"/>
          <w:szCs w:val="32"/>
        </w:rPr>
        <w:t>。与</w:t>
      </w:r>
      <w:r>
        <w:rPr>
          <w:rFonts w:ascii="仿宋" w:hAnsi="仿宋" w:eastAsia="仿宋"/>
          <w:sz w:val="32"/>
          <w:szCs w:val="32"/>
        </w:rPr>
        <w:t>20</w:t>
      </w:r>
      <w:r>
        <w:rPr>
          <w:rFonts w:hint="eastAsia" w:ascii="仿宋" w:hAnsi="仿宋" w:eastAsia="仿宋"/>
          <w:sz w:val="32"/>
          <w:szCs w:val="32"/>
        </w:rPr>
        <w:t>20年相比，一般公共预算财政拨款支出减少106.13万元，减少7.94</w:t>
      </w:r>
      <w:r>
        <w:rPr>
          <w:rFonts w:ascii="仿宋" w:hAnsi="仿宋" w:eastAsia="仿宋"/>
          <w:sz w:val="32"/>
          <w:szCs w:val="32"/>
        </w:rPr>
        <w:t>%</w:t>
      </w:r>
      <w:r>
        <w:rPr>
          <w:rFonts w:hint="eastAsia" w:ascii="仿宋" w:hAnsi="仿宋" w:eastAsia="仿宋"/>
          <w:sz w:val="32"/>
          <w:szCs w:val="32"/>
        </w:rPr>
        <w:t>。主要变动原因是减少了疫情防控等的开支。</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（图5：一般公共预算财政拨款支出决算变动情况）（柱状图）</w:t>
      </w:r>
    </w:p>
    <w:p>
      <w:pPr>
        <w:pStyle w:val="31"/>
        <w:ind w:firstLine="640"/>
        <w:rPr>
          <w:rFonts w:ascii="仿宋" w:hAnsi="仿宋" w:eastAsia="仿宋"/>
          <w:sz w:val="32"/>
          <w:szCs w:val="32"/>
        </w:rPr>
      </w:pPr>
      <w:r>
        <w:rPr>
          <w:rFonts w:ascii="仿宋" w:hAnsi="仿宋" w:eastAsia="仿宋"/>
          <w:sz w:val="32"/>
          <w:szCs w:val="32"/>
        </w:rPr>
        <w:drawing>
          <wp:inline distT="0" distB="0" distL="0" distR="0">
            <wp:extent cx="4828540" cy="3200400"/>
            <wp:effectExtent l="57150" t="0" r="29002" b="38100"/>
            <wp:docPr id="17"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spacing w:line="600" w:lineRule="exact"/>
        <w:rPr>
          <w:rFonts w:ascii="仿宋" w:hAnsi="仿宋" w:eastAsia="仿宋"/>
          <w:sz w:val="32"/>
          <w:szCs w:val="32"/>
        </w:rPr>
      </w:pPr>
    </w:p>
    <w:p>
      <w:pPr>
        <w:spacing w:line="600" w:lineRule="exact"/>
        <w:ind w:firstLine="643" w:firstLineChars="200"/>
        <w:outlineLvl w:val="2"/>
        <w:rPr>
          <w:rFonts w:ascii="仿宋" w:hAnsi="仿宋" w:eastAsia="仿宋"/>
          <w:b/>
          <w:sz w:val="32"/>
          <w:szCs w:val="32"/>
        </w:rPr>
      </w:pPr>
      <w:bookmarkStart w:id="66" w:name="_Toc15377211"/>
      <w:r>
        <w:rPr>
          <w:rFonts w:hint="eastAsia" w:ascii="仿宋" w:hAnsi="仿宋" w:eastAsia="仿宋"/>
          <w:b/>
          <w:sz w:val="32"/>
          <w:szCs w:val="32"/>
        </w:rPr>
        <w:t>（二）一般公共预算财政拨款支出决算结构情况</w:t>
      </w:r>
      <w:bookmarkEnd w:id="66"/>
    </w:p>
    <w:p>
      <w:pPr>
        <w:spacing w:line="600" w:lineRule="exact"/>
        <w:ind w:firstLine="640"/>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21年一般公共预算财政拨款支出</w:t>
      </w:r>
      <w:r>
        <w:rPr>
          <w:rFonts w:ascii="仿宋" w:hAnsi="仿宋" w:eastAsia="仿宋"/>
          <w:sz w:val="32"/>
          <w:szCs w:val="32"/>
        </w:rPr>
        <w:t>1231.35</w:t>
      </w:r>
      <w:r>
        <w:rPr>
          <w:rFonts w:hint="eastAsia" w:ascii="仿宋" w:hAnsi="仿宋" w:eastAsia="仿宋"/>
          <w:sz w:val="32"/>
          <w:szCs w:val="32"/>
        </w:rPr>
        <w:t>万元，主要用于以下方面</w:t>
      </w:r>
      <w:r>
        <w:rPr>
          <w:rFonts w:ascii="仿宋" w:hAnsi="仿宋" w:eastAsia="仿宋"/>
          <w:sz w:val="32"/>
          <w:szCs w:val="32"/>
        </w:rPr>
        <w:t>:</w:t>
      </w:r>
      <w:r>
        <w:rPr>
          <w:rFonts w:hint="eastAsia" w:ascii="仿宋" w:hAnsi="仿宋" w:eastAsia="仿宋"/>
          <w:b/>
          <w:sz w:val="32"/>
          <w:szCs w:val="32"/>
        </w:rPr>
        <w:t>一般公共服务（类）</w:t>
      </w:r>
      <w:r>
        <w:rPr>
          <w:rFonts w:hint="eastAsia" w:ascii="仿宋" w:hAnsi="仿宋" w:eastAsia="仿宋"/>
          <w:sz w:val="32"/>
          <w:szCs w:val="32"/>
        </w:rPr>
        <w:t>支出</w:t>
      </w:r>
      <w:r>
        <w:rPr>
          <w:rFonts w:ascii="仿宋" w:hAnsi="仿宋" w:eastAsia="仿宋"/>
          <w:sz w:val="32"/>
          <w:szCs w:val="32"/>
        </w:rPr>
        <w:t>480.4</w:t>
      </w:r>
      <w:r>
        <w:rPr>
          <w:rFonts w:hint="eastAsia" w:ascii="仿宋" w:hAnsi="仿宋" w:eastAsia="仿宋"/>
          <w:sz w:val="32"/>
          <w:szCs w:val="32"/>
        </w:rPr>
        <w:t>万元，占39.01</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sz w:val="32"/>
          <w:szCs w:val="32"/>
        </w:rPr>
        <w:t>公共安全</w:t>
      </w:r>
      <w:r>
        <w:rPr>
          <w:rFonts w:hint="eastAsia" w:ascii="仿宋" w:hAnsi="仿宋" w:eastAsia="仿宋"/>
          <w:sz w:val="32"/>
          <w:szCs w:val="32"/>
        </w:rPr>
        <w:t>（类）</w:t>
      </w:r>
      <w:r>
        <w:rPr>
          <w:rFonts w:hint="eastAsia" w:ascii="仿宋" w:hAnsi="仿宋" w:eastAsia="仿宋"/>
          <w:bCs/>
          <w:sz w:val="32"/>
          <w:szCs w:val="32"/>
        </w:rPr>
        <w:t>3.04</w:t>
      </w:r>
      <w:r>
        <w:rPr>
          <w:rFonts w:hint="eastAsia" w:ascii="仿宋" w:hAnsi="仿宋" w:eastAsia="仿宋"/>
          <w:sz w:val="32"/>
          <w:szCs w:val="32"/>
        </w:rPr>
        <w:t>万元，占0.24</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sz w:val="32"/>
          <w:szCs w:val="32"/>
        </w:rPr>
        <w:t>教育支出（类）</w:t>
      </w:r>
      <w:r>
        <w:rPr>
          <w:rFonts w:hint="eastAsia" w:ascii="仿宋" w:hAnsi="仿宋" w:eastAsia="仿宋"/>
          <w:bCs/>
          <w:sz w:val="32"/>
          <w:szCs w:val="32"/>
        </w:rPr>
        <w:t>5</w:t>
      </w:r>
      <w:r>
        <w:rPr>
          <w:rFonts w:hint="eastAsia" w:ascii="仿宋" w:hAnsi="仿宋" w:eastAsia="仿宋"/>
          <w:sz w:val="32"/>
          <w:szCs w:val="32"/>
        </w:rPr>
        <w:t>万元，占0.41</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sz w:val="32"/>
          <w:szCs w:val="32"/>
        </w:rPr>
        <w:t>科学技术（类）</w:t>
      </w:r>
      <w:r>
        <w:rPr>
          <w:rFonts w:hint="eastAsia" w:ascii="仿宋" w:hAnsi="仿宋" w:eastAsia="仿宋"/>
          <w:sz w:val="32"/>
          <w:szCs w:val="32"/>
        </w:rPr>
        <w:t>支出0万元，占0</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bCs/>
          <w:sz w:val="32"/>
          <w:szCs w:val="32"/>
        </w:rPr>
        <w:t>文化旅游体育与传媒（类）</w:t>
      </w:r>
      <w:r>
        <w:rPr>
          <w:rFonts w:hint="eastAsia" w:ascii="仿宋" w:hAnsi="仿宋" w:eastAsia="仿宋"/>
          <w:sz w:val="32"/>
          <w:szCs w:val="32"/>
        </w:rPr>
        <w:t>支出</w:t>
      </w:r>
      <w:r>
        <w:rPr>
          <w:rFonts w:ascii="仿宋" w:hAnsi="仿宋" w:eastAsia="仿宋"/>
          <w:sz w:val="32"/>
          <w:szCs w:val="32"/>
        </w:rPr>
        <w:t>10.52</w:t>
      </w:r>
      <w:r>
        <w:rPr>
          <w:rFonts w:hint="eastAsia" w:ascii="仿宋" w:hAnsi="仿宋" w:eastAsia="仿宋"/>
          <w:sz w:val="32"/>
          <w:szCs w:val="32"/>
        </w:rPr>
        <w:t>万元，占0.85</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sz w:val="32"/>
          <w:szCs w:val="32"/>
        </w:rPr>
        <w:t>社会保障和就业（类）</w:t>
      </w:r>
      <w:r>
        <w:rPr>
          <w:rFonts w:hint="eastAsia" w:ascii="仿宋" w:hAnsi="仿宋" w:eastAsia="仿宋"/>
          <w:sz w:val="32"/>
          <w:szCs w:val="32"/>
        </w:rPr>
        <w:t>支出</w:t>
      </w:r>
      <w:r>
        <w:rPr>
          <w:rFonts w:ascii="仿宋" w:hAnsi="仿宋" w:eastAsia="仿宋"/>
          <w:sz w:val="32"/>
          <w:szCs w:val="32"/>
        </w:rPr>
        <w:t>99.42</w:t>
      </w:r>
      <w:r>
        <w:rPr>
          <w:rFonts w:hint="eastAsia" w:ascii="仿宋" w:hAnsi="仿宋" w:eastAsia="仿宋"/>
          <w:sz w:val="32"/>
          <w:szCs w:val="32"/>
        </w:rPr>
        <w:t>万元，占8.07</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bCs/>
          <w:sz w:val="32"/>
          <w:szCs w:val="32"/>
        </w:rPr>
        <w:t>卫生健康（类）</w:t>
      </w:r>
      <w:r>
        <w:rPr>
          <w:rFonts w:hint="eastAsia" w:ascii="仿宋" w:hAnsi="仿宋" w:eastAsia="仿宋"/>
          <w:sz w:val="32"/>
          <w:szCs w:val="32"/>
        </w:rPr>
        <w:t>支出</w:t>
      </w:r>
      <w:r>
        <w:rPr>
          <w:rFonts w:ascii="仿宋" w:hAnsi="仿宋" w:eastAsia="仿宋"/>
          <w:sz w:val="32"/>
          <w:szCs w:val="32"/>
        </w:rPr>
        <w:t>32.65</w:t>
      </w:r>
      <w:r>
        <w:rPr>
          <w:rFonts w:hint="eastAsia" w:ascii="仿宋" w:hAnsi="仿宋" w:eastAsia="仿宋"/>
          <w:sz w:val="32"/>
          <w:szCs w:val="32"/>
        </w:rPr>
        <w:t>万元，占2.65</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bCs/>
          <w:sz w:val="32"/>
          <w:szCs w:val="32"/>
        </w:rPr>
        <w:t>城乡社区支出（类）</w:t>
      </w:r>
      <w:r>
        <w:rPr>
          <w:rFonts w:hint="eastAsia" w:ascii="仿宋" w:hAnsi="仿宋" w:eastAsia="仿宋"/>
          <w:sz w:val="32"/>
          <w:szCs w:val="32"/>
        </w:rPr>
        <w:t>支出</w:t>
      </w:r>
      <w:r>
        <w:rPr>
          <w:rFonts w:ascii="仿宋" w:hAnsi="仿宋" w:eastAsia="仿宋"/>
          <w:sz w:val="32"/>
          <w:szCs w:val="32"/>
        </w:rPr>
        <w:t>16.5</w:t>
      </w:r>
      <w:r>
        <w:rPr>
          <w:rFonts w:hint="eastAsia" w:ascii="仿宋" w:hAnsi="仿宋" w:eastAsia="仿宋"/>
          <w:sz w:val="32"/>
          <w:szCs w:val="32"/>
        </w:rPr>
        <w:t>万元，占1.34</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bCs/>
          <w:sz w:val="32"/>
          <w:szCs w:val="32"/>
        </w:rPr>
        <w:t>灾害防治及应急管理支出（类）</w:t>
      </w:r>
      <w:r>
        <w:rPr>
          <w:rFonts w:hint="eastAsia" w:ascii="仿宋" w:hAnsi="仿宋" w:eastAsia="仿宋"/>
          <w:sz w:val="32"/>
          <w:szCs w:val="32"/>
        </w:rPr>
        <w:t>支出13万元，占1.06%；</w:t>
      </w:r>
      <w:r>
        <w:rPr>
          <w:rFonts w:hint="eastAsia" w:ascii="仿宋" w:hAnsi="仿宋" w:eastAsia="仿宋"/>
          <w:b/>
          <w:bCs/>
          <w:sz w:val="32"/>
          <w:szCs w:val="32"/>
        </w:rPr>
        <w:t>交通运输（类）</w:t>
      </w:r>
      <w:r>
        <w:rPr>
          <w:rFonts w:hint="eastAsia" w:ascii="仿宋" w:hAnsi="仿宋" w:eastAsia="仿宋"/>
          <w:sz w:val="32"/>
          <w:szCs w:val="32"/>
        </w:rPr>
        <w:t>支出</w:t>
      </w:r>
      <w:r>
        <w:rPr>
          <w:rFonts w:ascii="仿宋" w:hAnsi="仿宋" w:eastAsia="仿宋"/>
          <w:sz w:val="32"/>
          <w:szCs w:val="32"/>
        </w:rPr>
        <w:t>11.92</w:t>
      </w:r>
      <w:r>
        <w:rPr>
          <w:rFonts w:hint="eastAsia" w:ascii="仿宋" w:hAnsi="仿宋" w:eastAsia="仿宋"/>
          <w:sz w:val="32"/>
          <w:szCs w:val="32"/>
        </w:rPr>
        <w:t>万元，占0.96%;</w:t>
      </w:r>
      <w:r>
        <w:rPr>
          <w:rFonts w:hint="eastAsia" w:ascii="仿宋" w:hAnsi="仿宋" w:eastAsia="仿宋"/>
          <w:b/>
          <w:bCs/>
          <w:sz w:val="32"/>
          <w:szCs w:val="32"/>
        </w:rPr>
        <w:t>农林水（类）</w:t>
      </w:r>
      <w:r>
        <w:rPr>
          <w:rFonts w:hint="eastAsia" w:ascii="仿宋" w:hAnsi="仿宋" w:eastAsia="仿宋"/>
          <w:sz w:val="32"/>
          <w:szCs w:val="32"/>
        </w:rPr>
        <w:t>支出</w:t>
      </w:r>
      <w:r>
        <w:rPr>
          <w:rFonts w:ascii="仿宋" w:hAnsi="仿宋" w:eastAsia="仿宋"/>
          <w:sz w:val="32"/>
          <w:szCs w:val="32"/>
        </w:rPr>
        <w:t>496.84</w:t>
      </w:r>
      <w:r>
        <w:rPr>
          <w:rFonts w:hint="eastAsia" w:ascii="仿宋" w:hAnsi="仿宋" w:eastAsia="仿宋"/>
          <w:sz w:val="32"/>
          <w:szCs w:val="32"/>
        </w:rPr>
        <w:t>万元，占40.36%；</w:t>
      </w:r>
      <w:r>
        <w:rPr>
          <w:rFonts w:hint="eastAsia" w:ascii="仿宋" w:hAnsi="仿宋" w:eastAsia="仿宋"/>
          <w:b/>
          <w:bCs/>
          <w:sz w:val="32"/>
          <w:szCs w:val="32"/>
        </w:rPr>
        <w:t>住房保障支出（类）</w:t>
      </w:r>
      <w:r>
        <w:rPr>
          <w:rFonts w:hint="eastAsia" w:ascii="仿宋" w:hAnsi="仿宋" w:eastAsia="仿宋"/>
          <w:sz w:val="32"/>
          <w:szCs w:val="32"/>
        </w:rPr>
        <w:t>支出</w:t>
      </w:r>
      <w:r>
        <w:rPr>
          <w:rFonts w:ascii="仿宋" w:hAnsi="仿宋" w:eastAsia="仿宋"/>
          <w:sz w:val="32"/>
          <w:szCs w:val="32"/>
        </w:rPr>
        <w:t>62.07</w:t>
      </w:r>
      <w:r>
        <w:rPr>
          <w:rFonts w:hint="eastAsia" w:ascii="仿宋" w:hAnsi="仿宋" w:eastAsia="仿宋"/>
          <w:sz w:val="32"/>
          <w:szCs w:val="32"/>
        </w:rPr>
        <w:t>万元，占5.05%；</w:t>
      </w:r>
      <w:r>
        <w:rPr>
          <w:rFonts w:hint="eastAsia" w:ascii="仿宋" w:hAnsi="仿宋" w:eastAsia="仿宋"/>
          <w:b/>
          <w:bCs/>
          <w:sz w:val="32"/>
          <w:szCs w:val="32"/>
        </w:rPr>
        <w:t>外交支出（类）</w:t>
      </w:r>
      <w:r>
        <w:rPr>
          <w:rFonts w:hint="eastAsia" w:ascii="仿宋" w:hAnsi="仿宋" w:eastAsia="仿宋"/>
          <w:sz w:val="32"/>
          <w:szCs w:val="32"/>
        </w:rPr>
        <w:t>支出0万元，占0</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bCs/>
          <w:sz w:val="32"/>
          <w:szCs w:val="32"/>
        </w:rPr>
        <w:t>国防（类）</w:t>
      </w:r>
      <w:r>
        <w:rPr>
          <w:rFonts w:hint="eastAsia" w:ascii="仿宋" w:hAnsi="仿宋" w:eastAsia="仿宋"/>
          <w:sz w:val="32"/>
          <w:szCs w:val="32"/>
        </w:rPr>
        <w:t>支出0万元，占0</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bCs/>
          <w:sz w:val="32"/>
          <w:szCs w:val="32"/>
        </w:rPr>
        <w:t>节能环保（类）</w:t>
      </w:r>
      <w:r>
        <w:rPr>
          <w:rFonts w:hint="eastAsia" w:ascii="仿宋" w:hAnsi="仿宋" w:eastAsia="仿宋"/>
          <w:sz w:val="32"/>
          <w:szCs w:val="32"/>
        </w:rPr>
        <w:t>支出0万元，占0</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bCs/>
          <w:sz w:val="32"/>
          <w:szCs w:val="32"/>
        </w:rPr>
        <w:t>资源勘探工业信息等（类）</w:t>
      </w:r>
      <w:r>
        <w:rPr>
          <w:rFonts w:hint="eastAsia" w:ascii="仿宋" w:hAnsi="仿宋" w:eastAsia="仿宋"/>
          <w:sz w:val="32"/>
          <w:szCs w:val="32"/>
        </w:rPr>
        <w:t>支出0万元，占0</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bCs/>
          <w:sz w:val="32"/>
          <w:szCs w:val="32"/>
        </w:rPr>
        <w:t>商业服务业等（类）</w:t>
      </w:r>
      <w:r>
        <w:rPr>
          <w:rFonts w:hint="eastAsia" w:ascii="仿宋" w:hAnsi="仿宋" w:eastAsia="仿宋"/>
          <w:sz w:val="32"/>
          <w:szCs w:val="32"/>
        </w:rPr>
        <w:t>支出0万元，占0</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bCs/>
          <w:sz w:val="32"/>
          <w:szCs w:val="32"/>
        </w:rPr>
        <w:t>金融（类）</w:t>
      </w:r>
      <w:r>
        <w:rPr>
          <w:rFonts w:hint="eastAsia" w:ascii="仿宋" w:hAnsi="仿宋" w:eastAsia="仿宋"/>
          <w:sz w:val="32"/>
          <w:szCs w:val="32"/>
        </w:rPr>
        <w:t>支出0万元，占0</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bCs/>
          <w:sz w:val="32"/>
          <w:szCs w:val="32"/>
        </w:rPr>
        <w:t>授助其他地区（类）</w:t>
      </w:r>
      <w:r>
        <w:rPr>
          <w:rFonts w:hint="eastAsia" w:ascii="仿宋" w:hAnsi="仿宋" w:eastAsia="仿宋"/>
          <w:sz w:val="32"/>
          <w:szCs w:val="32"/>
        </w:rPr>
        <w:t>支出0万元，占0</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bCs/>
          <w:sz w:val="32"/>
          <w:szCs w:val="32"/>
        </w:rPr>
        <w:t>自然资源海洋气象等（类）</w:t>
      </w:r>
      <w:r>
        <w:rPr>
          <w:rFonts w:hint="eastAsia" w:ascii="仿宋" w:hAnsi="仿宋" w:eastAsia="仿宋"/>
          <w:sz w:val="32"/>
          <w:szCs w:val="32"/>
        </w:rPr>
        <w:t>支出0万元，占0</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bCs/>
          <w:sz w:val="32"/>
          <w:szCs w:val="32"/>
        </w:rPr>
        <w:t>粮油物资储备（类）</w:t>
      </w:r>
      <w:r>
        <w:rPr>
          <w:rFonts w:hint="eastAsia" w:ascii="仿宋" w:hAnsi="仿宋" w:eastAsia="仿宋"/>
          <w:sz w:val="32"/>
          <w:szCs w:val="32"/>
        </w:rPr>
        <w:t>支出0万元，占0</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bCs/>
          <w:sz w:val="32"/>
          <w:szCs w:val="32"/>
        </w:rPr>
        <w:t>国有资本经营应急管理（类）</w:t>
      </w:r>
      <w:r>
        <w:rPr>
          <w:rFonts w:hint="eastAsia" w:ascii="仿宋" w:hAnsi="仿宋" w:eastAsia="仿宋"/>
          <w:sz w:val="32"/>
          <w:szCs w:val="32"/>
        </w:rPr>
        <w:t>支出0万元，占0</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bCs/>
          <w:sz w:val="32"/>
          <w:szCs w:val="32"/>
        </w:rPr>
        <w:t>债务还本（类）</w:t>
      </w:r>
      <w:r>
        <w:rPr>
          <w:rFonts w:hint="eastAsia" w:ascii="仿宋" w:hAnsi="仿宋" w:eastAsia="仿宋"/>
          <w:sz w:val="32"/>
          <w:szCs w:val="32"/>
        </w:rPr>
        <w:t>支出0万元，占0</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bCs/>
          <w:sz w:val="32"/>
          <w:szCs w:val="32"/>
        </w:rPr>
        <w:t>债务付息（类）</w:t>
      </w:r>
      <w:r>
        <w:rPr>
          <w:rFonts w:hint="eastAsia" w:ascii="仿宋" w:hAnsi="仿宋" w:eastAsia="仿宋"/>
          <w:sz w:val="32"/>
          <w:szCs w:val="32"/>
        </w:rPr>
        <w:t>支出0万元，占0</w:t>
      </w:r>
      <w:r>
        <w:rPr>
          <w:rFonts w:ascii="仿宋" w:hAnsi="仿宋" w:eastAsia="仿宋"/>
          <w:sz w:val="32"/>
          <w:szCs w:val="32"/>
        </w:rPr>
        <w:t>%</w:t>
      </w:r>
      <w:r>
        <w:rPr>
          <w:rFonts w:hint="eastAsia" w:ascii="仿宋" w:hAnsi="仿宋" w:eastAsia="仿宋"/>
          <w:sz w:val="32"/>
          <w:szCs w:val="32"/>
        </w:rPr>
        <w:t>；抗疫特别国债安排</w:t>
      </w:r>
      <w:r>
        <w:rPr>
          <w:rFonts w:hint="eastAsia" w:ascii="仿宋" w:hAnsi="仿宋" w:eastAsia="仿宋"/>
          <w:b/>
          <w:bCs/>
          <w:sz w:val="32"/>
          <w:szCs w:val="32"/>
        </w:rPr>
        <w:t>（类）</w:t>
      </w:r>
      <w:r>
        <w:rPr>
          <w:rFonts w:hint="eastAsia" w:ascii="仿宋" w:hAnsi="仿宋" w:eastAsia="仿宋"/>
          <w:sz w:val="32"/>
          <w:szCs w:val="32"/>
        </w:rPr>
        <w:t>支出0万元，占0</w:t>
      </w:r>
      <w:r>
        <w:rPr>
          <w:rFonts w:ascii="仿宋" w:hAnsi="仿宋" w:eastAsia="仿宋"/>
          <w:sz w:val="32"/>
          <w:szCs w:val="32"/>
        </w:rPr>
        <w:t>%</w:t>
      </w:r>
      <w:r>
        <w:rPr>
          <w:rFonts w:hint="eastAsia" w:ascii="仿宋" w:hAnsi="仿宋" w:eastAsia="仿宋"/>
          <w:sz w:val="32"/>
          <w:szCs w:val="32"/>
        </w:rPr>
        <w:t>。</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（图6：一般公共预算财政拨款支出决算结构）（饼状图）</w:t>
      </w:r>
    </w:p>
    <w:p>
      <w:pPr>
        <w:spacing w:line="600" w:lineRule="exact"/>
        <w:ind w:firstLine="640" w:firstLineChars="200"/>
        <w:rPr>
          <w:rFonts w:ascii="仿宋" w:hAnsi="仿宋" w:eastAsia="仿宋"/>
          <w:sz w:val="32"/>
          <w:szCs w:val="32"/>
        </w:rPr>
      </w:pPr>
    </w:p>
    <w:p>
      <w:pPr>
        <w:pStyle w:val="31"/>
        <w:ind w:firstLine="640"/>
        <w:rPr>
          <w:rFonts w:ascii="仿宋" w:hAnsi="仿宋" w:eastAsia="仿宋"/>
          <w:sz w:val="32"/>
          <w:szCs w:val="32"/>
        </w:rPr>
      </w:pPr>
    </w:p>
    <w:p>
      <w:pPr>
        <w:pStyle w:val="31"/>
        <w:ind w:firstLine="640"/>
        <w:rPr>
          <w:rFonts w:ascii="仿宋" w:hAnsi="仿宋" w:eastAsia="仿宋"/>
          <w:sz w:val="32"/>
          <w:szCs w:val="32"/>
        </w:rPr>
      </w:pPr>
    </w:p>
    <w:p>
      <w:pPr>
        <w:pStyle w:val="31"/>
        <w:ind w:firstLine="640"/>
        <w:rPr>
          <w:rFonts w:ascii="仿宋" w:hAnsi="仿宋" w:eastAsia="仿宋"/>
          <w:sz w:val="32"/>
          <w:szCs w:val="32"/>
        </w:rPr>
      </w:pPr>
      <w:r>
        <w:rPr>
          <w:rFonts w:ascii="仿宋" w:hAnsi="仿宋" w:eastAsia="仿宋"/>
          <w:sz w:val="32"/>
          <w:szCs w:val="32"/>
        </w:rPr>
        <w:drawing>
          <wp:inline distT="0" distB="0" distL="0" distR="0">
            <wp:extent cx="5274310" cy="4283075"/>
            <wp:effectExtent l="57150" t="0" r="40640" b="40804"/>
            <wp:docPr id="19" name="图表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Pr>
        <w:pStyle w:val="31"/>
        <w:ind w:firstLine="0" w:firstLineChars="0"/>
        <w:rPr>
          <w:rFonts w:ascii="仿宋" w:hAnsi="仿宋" w:eastAsia="仿宋"/>
          <w:sz w:val="32"/>
          <w:szCs w:val="32"/>
        </w:rPr>
      </w:pPr>
    </w:p>
    <w:p>
      <w:pPr>
        <w:spacing w:line="600" w:lineRule="exact"/>
        <w:ind w:firstLine="643" w:firstLineChars="200"/>
        <w:outlineLvl w:val="2"/>
        <w:rPr>
          <w:rFonts w:ascii="仿宋" w:hAnsi="仿宋" w:eastAsia="仿宋"/>
          <w:b/>
          <w:sz w:val="32"/>
          <w:szCs w:val="32"/>
        </w:rPr>
      </w:pPr>
      <w:bookmarkStart w:id="67" w:name="_Toc15377212"/>
      <w:r>
        <w:rPr>
          <w:rFonts w:hint="eastAsia" w:ascii="仿宋" w:hAnsi="仿宋" w:eastAsia="仿宋"/>
          <w:b/>
          <w:sz w:val="32"/>
          <w:szCs w:val="32"/>
        </w:rPr>
        <w:t>（三）一般公共预算财政拨款支出决算具体情况</w:t>
      </w:r>
      <w:bookmarkEnd w:id="67"/>
    </w:p>
    <w:p>
      <w:pPr>
        <w:spacing w:line="600" w:lineRule="exact"/>
        <w:ind w:firstLine="643" w:firstLineChars="200"/>
        <w:outlineLvl w:val="2"/>
        <w:rPr>
          <w:rFonts w:ascii="仿宋" w:hAnsi="仿宋" w:eastAsia="仿宋"/>
          <w:sz w:val="32"/>
          <w:szCs w:val="32"/>
        </w:rPr>
      </w:pPr>
      <w:bookmarkStart w:id="68" w:name="_Toc15377444"/>
      <w:bookmarkStart w:id="69" w:name="_Toc15377213"/>
      <w:bookmarkStart w:id="70" w:name="_Toc15378460"/>
      <w:r>
        <w:rPr>
          <w:rFonts w:hint="eastAsia" w:ascii="仿宋" w:hAnsi="仿宋" w:eastAsia="仿宋"/>
          <w:b/>
          <w:sz w:val="32"/>
          <w:szCs w:val="32"/>
        </w:rPr>
        <w:t>2021年一般公共预算支出决算数为1231.35</w:t>
      </w:r>
      <w:r>
        <w:rPr>
          <w:rFonts w:hint="eastAsia" w:ascii="仿宋" w:hAnsi="仿宋" w:eastAsia="仿宋"/>
          <w:sz w:val="32"/>
          <w:szCs w:val="32"/>
        </w:rPr>
        <w:t>，</w:t>
      </w:r>
      <w:r>
        <w:rPr>
          <w:rStyle w:val="15"/>
          <w:rFonts w:hint="eastAsia" w:ascii="仿宋" w:hAnsi="仿宋" w:eastAsia="仿宋"/>
          <w:bCs/>
          <w:sz w:val="32"/>
          <w:szCs w:val="32"/>
        </w:rPr>
        <w:t>完成预算100</w:t>
      </w:r>
      <w:r>
        <w:rPr>
          <w:rStyle w:val="15"/>
          <w:rFonts w:ascii="仿宋" w:hAnsi="仿宋" w:eastAsia="仿宋"/>
          <w:bCs/>
          <w:sz w:val="32"/>
          <w:szCs w:val="32"/>
        </w:rPr>
        <w:t>%</w:t>
      </w:r>
      <w:r>
        <w:rPr>
          <w:rStyle w:val="15"/>
          <w:rFonts w:hint="eastAsia" w:ascii="仿宋" w:hAnsi="仿宋" w:eastAsia="仿宋"/>
          <w:bCs/>
          <w:sz w:val="32"/>
          <w:szCs w:val="32"/>
        </w:rPr>
        <w:t>。其中：</w:t>
      </w:r>
      <w:bookmarkEnd w:id="68"/>
      <w:bookmarkEnd w:id="69"/>
      <w:bookmarkEnd w:id="70"/>
    </w:p>
    <w:p>
      <w:pPr>
        <w:numPr>
          <w:ilvl w:val="0"/>
          <w:numId w:val="3"/>
        </w:numPr>
        <w:spacing w:line="600" w:lineRule="exact"/>
        <w:ind w:firstLine="643"/>
        <w:rPr>
          <w:rStyle w:val="15"/>
          <w:rFonts w:ascii="仿宋" w:hAnsi="仿宋" w:eastAsia="仿宋"/>
          <w:b w:val="0"/>
          <w:bCs/>
          <w:sz w:val="32"/>
          <w:szCs w:val="32"/>
        </w:rPr>
      </w:pPr>
      <w:r>
        <w:rPr>
          <w:rStyle w:val="15"/>
          <w:rFonts w:hint="eastAsia" w:ascii="仿宋" w:hAnsi="仿宋" w:eastAsia="仿宋"/>
          <w:bCs/>
          <w:sz w:val="32"/>
          <w:szCs w:val="32"/>
        </w:rPr>
        <w:t>一般公共服务（类）</w:t>
      </w:r>
      <w:r>
        <w:rPr>
          <w:rStyle w:val="15"/>
          <w:rFonts w:hint="eastAsia" w:ascii="仿宋" w:hAnsi="仿宋" w:eastAsia="仿宋" w:cs="仿宋"/>
          <w:bCs/>
          <w:color w:val="000000"/>
          <w:sz w:val="32"/>
          <w:szCs w:val="32"/>
        </w:rPr>
        <w:t>人大事务（款）一般行政管理事务（项）</w:t>
      </w:r>
      <w:r>
        <w:rPr>
          <w:rStyle w:val="15"/>
          <w:rFonts w:ascii="仿宋" w:hAnsi="仿宋" w:eastAsia="仿宋"/>
          <w:bCs/>
          <w:sz w:val="32"/>
          <w:szCs w:val="32"/>
        </w:rPr>
        <w:t>:</w:t>
      </w:r>
      <w:r>
        <w:rPr>
          <w:rStyle w:val="15"/>
          <w:rFonts w:hint="eastAsia" w:ascii="仿宋" w:hAnsi="仿宋" w:eastAsia="仿宋"/>
          <w:bCs/>
          <w:sz w:val="32"/>
          <w:szCs w:val="32"/>
        </w:rPr>
        <w:t>支出决算为18.7万元，完成预算100</w:t>
      </w:r>
      <w:r>
        <w:rPr>
          <w:rStyle w:val="15"/>
          <w:rFonts w:ascii="仿宋" w:hAnsi="仿宋" w:eastAsia="仿宋"/>
          <w:bCs/>
          <w:sz w:val="32"/>
          <w:szCs w:val="32"/>
        </w:rPr>
        <w:t>%</w:t>
      </w:r>
      <w:r>
        <w:rPr>
          <w:rStyle w:val="15"/>
          <w:rFonts w:hint="eastAsia" w:ascii="仿宋" w:hAnsi="仿宋" w:eastAsia="仿宋"/>
          <w:bCs/>
          <w:sz w:val="32"/>
          <w:szCs w:val="32"/>
        </w:rPr>
        <w:t>。决算数等于预算数。</w:t>
      </w:r>
    </w:p>
    <w:p>
      <w:pPr>
        <w:numPr>
          <w:ilvl w:val="0"/>
          <w:numId w:val="3"/>
        </w:numPr>
        <w:spacing w:line="600" w:lineRule="exact"/>
        <w:ind w:firstLine="643"/>
      </w:pPr>
      <w:r>
        <w:rPr>
          <w:rStyle w:val="15"/>
          <w:rFonts w:hint="eastAsia" w:ascii="仿宋" w:hAnsi="仿宋" w:eastAsia="仿宋"/>
          <w:bCs/>
          <w:sz w:val="32"/>
          <w:szCs w:val="32"/>
        </w:rPr>
        <w:t>一般公共服务（类）</w:t>
      </w:r>
      <w:r>
        <w:rPr>
          <w:rStyle w:val="15"/>
          <w:rFonts w:hint="eastAsia" w:ascii="仿宋" w:hAnsi="仿宋" w:eastAsia="仿宋" w:cs="仿宋"/>
          <w:bCs/>
          <w:color w:val="000000"/>
          <w:sz w:val="32"/>
          <w:szCs w:val="32"/>
        </w:rPr>
        <w:t>人大事务（款）人大会议（项）</w:t>
      </w:r>
      <w:r>
        <w:rPr>
          <w:rStyle w:val="15"/>
          <w:rFonts w:ascii="仿宋" w:hAnsi="仿宋" w:eastAsia="仿宋"/>
          <w:bCs/>
          <w:sz w:val="32"/>
          <w:szCs w:val="32"/>
        </w:rPr>
        <w:t>:</w:t>
      </w:r>
      <w:r>
        <w:rPr>
          <w:rStyle w:val="15"/>
          <w:rFonts w:hint="eastAsia" w:ascii="仿宋" w:hAnsi="仿宋" w:eastAsia="仿宋"/>
          <w:bCs/>
          <w:sz w:val="32"/>
          <w:szCs w:val="32"/>
        </w:rPr>
        <w:t>支出决算为2万元，完成预算100</w:t>
      </w:r>
      <w:r>
        <w:rPr>
          <w:rStyle w:val="15"/>
          <w:rFonts w:ascii="仿宋" w:hAnsi="仿宋" w:eastAsia="仿宋"/>
          <w:bCs/>
          <w:sz w:val="32"/>
          <w:szCs w:val="32"/>
        </w:rPr>
        <w:t>%</w:t>
      </w:r>
      <w:r>
        <w:rPr>
          <w:rStyle w:val="15"/>
          <w:rFonts w:hint="eastAsia" w:ascii="仿宋" w:hAnsi="仿宋" w:eastAsia="仿宋"/>
          <w:bCs/>
          <w:sz w:val="32"/>
          <w:szCs w:val="32"/>
        </w:rPr>
        <w:t>，决算数等于预算数。</w:t>
      </w:r>
    </w:p>
    <w:p>
      <w:pPr>
        <w:numPr>
          <w:ilvl w:val="0"/>
          <w:numId w:val="3"/>
        </w:numPr>
        <w:spacing w:line="600" w:lineRule="exact"/>
        <w:ind w:firstLine="643"/>
      </w:pPr>
      <w:r>
        <w:rPr>
          <w:rStyle w:val="15"/>
          <w:rFonts w:hint="eastAsia" w:ascii="仿宋" w:hAnsi="仿宋" w:eastAsia="仿宋"/>
          <w:bCs/>
          <w:sz w:val="32"/>
          <w:szCs w:val="32"/>
        </w:rPr>
        <w:t>一般公共服务（类）政协事务</w:t>
      </w:r>
      <w:r>
        <w:rPr>
          <w:rStyle w:val="15"/>
          <w:rFonts w:hint="eastAsia" w:ascii="仿宋" w:hAnsi="仿宋" w:eastAsia="仿宋" w:cs="仿宋"/>
          <w:bCs/>
          <w:color w:val="000000"/>
          <w:sz w:val="32"/>
          <w:szCs w:val="32"/>
        </w:rPr>
        <w:t>（款）一般行政管理事务（项）</w:t>
      </w:r>
      <w:r>
        <w:rPr>
          <w:rStyle w:val="15"/>
          <w:rFonts w:ascii="仿宋" w:hAnsi="仿宋" w:eastAsia="仿宋"/>
          <w:bCs/>
          <w:sz w:val="32"/>
          <w:szCs w:val="32"/>
        </w:rPr>
        <w:t>:</w:t>
      </w:r>
      <w:r>
        <w:rPr>
          <w:rStyle w:val="15"/>
          <w:rFonts w:hint="eastAsia" w:ascii="仿宋" w:hAnsi="仿宋" w:eastAsia="仿宋"/>
          <w:bCs/>
          <w:sz w:val="32"/>
          <w:szCs w:val="32"/>
        </w:rPr>
        <w:t>支出决算为0.8万元，完成预算100</w:t>
      </w:r>
      <w:r>
        <w:rPr>
          <w:rStyle w:val="15"/>
          <w:rFonts w:ascii="仿宋" w:hAnsi="仿宋" w:eastAsia="仿宋"/>
          <w:bCs/>
          <w:sz w:val="32"/>
          <w:szCs w:val="32"/>
        </w:rPr>
        <w:t>%</w:t>
      </w:r>
      <w:r>
        <w:rPr>
          <w:rStyle w:val="15"/>
          <w:rFonts w:hint="eastAsia" w:ascii="仿宋" w:hAnsi="仿宋" w:eastAsia="仿宋"/>
          <w:bCs/>
          <w:sz w:val="32"/>
          <w:szCs w:val="32"/>
        </w:rPr>
        <w:t>，决算数等于预算数。</w:t>
      </w:r>
    </w:p>
    <w:p>
      <w:pPr>
        <w:numPr>
          <w:ilvl w:val="0"/>
          <w:numId w:val="3"/>
        </w:numPr>
        <w:spacing w:line="600" w:lineRule="exact"/>
        <w:ind w:firstLine="643"/>
      </w:pPr>
      <w:r>
        <w:rPr>
          <w:rStyle w:val="15"/>
          <w:rFonts w:hint="eastAsia" w:ascii="仿宋" w:hAnsi="仿宋" w:eastAsia="仿宋"/>
          <w:bCs/>
          <w:sz w:val="32"/>
          <w:szCs w:val="32"/>
        </w:rPr>
        <w:t>一般公共服务（类）</w:t>
      </w:r>
      <w:r>
        <w:rPr>
          <w:rStyle w:val="15"/>
          <w:rFonts w:hint="eastAsia" w:ascii="仿宋" w:hAnsi="仿宋" w:eastAsia="仿宋" w:cs="仿宋"/>
          <w:bCs/>
          <w:color w:val="000000"/>
          <w:sz w:val="32"/>
          <w:szCs w:val="32"/>
        </w:rPr>
        <w:t>政府办公厅(室）及相关机构事务（款）行政运行（项）</w:t>
      </w:r>
      <w:r>
        <w:rPr>
          <w:rStyle w:val="15"/>
          <w:rFonts w:ascii="仿宋" w:hAnsi="仿宋" w:eastAsia="仿宋"/>
          <w:bCs/>
          <w:sz w:val="32"/>
          <w:szCs w:val="32"/>
        </w:rPr>
        <w:t>:</w:t>
      </w:r>
      <w:r>
        <w:rPr>
          <w:rStyle w:val="15"/>
          <w:rFonts w:hint="eastAsia" w:ascii="仿宋" w:hAnsi="仿宋" w:eastAsia="仿宋"/>
          <w:bCs/>
          <w:sz w:val="32"/>
          <w:szCs w:val="32"/>
        </w:rPr>
        <w:t>支出决算为278.3万元，完成预算100</w:t>
      </w:r>
      <w:r>
        <w:rPr>
          <w:rStyle w:val="15"/>
          <w:rFonts w:ascii="仿宋" w:hAnsi="仿宋" w:eastAsia="仿宋"/>
          <w:bCs/>
          <w:sz w:val="32"/>
          <w:szCs w:val="32"/>
        </w:rPr>
        <w:t>%</w:t>
      </w:r>
      <w:r>
        <w:rPr>
          <w:rStyle w:val="15"/>
          <w:rFonts w:hint="eastAsia" w:ascii="仿宋" w:hAnsi="仿宋" w:eastAsia="仿宋"/>
          <w:bCs/>
          <w:sz w:val="32"/>
          <w:szCs w:val="32"/>
        </w:rPr>
        <w:t>，决算数等于预算数。</w:t>
      </w:r>
    </w:p>
    <w:p>
      <w:pPr>
        <w:numPr>
          <w:ilvl w:val="0"/>
          <w:numId w:val="3"/>
        </w:numPr>
        <w:spacing w:line="600" w:lineRule="exact"/>
        <w:ind w:firstLine="643"/>
      </w:pPr>
      <w:r>
        <w:rPr>
          <w:rStyle w:val="15"/>
          <w:rFonts w:hint="eastAsia" w:ascii="仿宋" w:hAnsi="仿宋" w:eastAsia="仿宋"/>
          <w:bCs/>
          <w:sz w:val="32"/>
          <w:szCs w:val="32"/>
        </w:rPr>
        <w:t>一般公共服务（类）</w:t>
      </w:r>
      <w:r>
        <w:rPr>
          <w:rStyle w:val="15"/>
          <w:rFonts w:hint="eastAsia" w:ascii="仿宋" w:hAnsi="仿宋" w:eastAsia="仿宋" w:cs="仿宋"/>
          <w:bCs/>
          <w:color w:val="000000"/>
          <w:sz w:val="32"/>
          <w:szCs w:val="32"/>
        </w:rPr>
        <w:t>政府办公厅(室）及相关机构事务（款）一般行政管理事务（项）</w:t>
      </w:r>
      <w:r>
        <w:rPr>
          <w:rStyle w:val="15"/>
          <w:rFonts w:ascii="仿宋" w:hAnsi="仿宋" w:eastAsia="仿宋"/>
          <w:bCs/>
          <w:sz w:val="32"/>
          <w:szCs w:val="32"/>
        </w:rPr>
        <w:t>:</w:t>
      </w:r>
      <w:r>
        <w:rPr>
          <w:rStyle w:val="15"/>
          <w:rFonts w:hint="eastAsia" w:ascii="仿宋" w:hAnsi="仿宋" w:eastAsia="仿宋"/>
          <w:bCs/>
          <w:sz w:val="32"/>
          <w:szCs w:val="32"/>
        </w:rPr>
        <w:t>支出决算为33万元，完成预算100</w:t>
      </w:r>
      <w:r>
        <w:rPr>
          <w:rStyle w:val="15"/>
          <w:rFonts w:ascii="仿宋" w:hAnsi="仿宋" w:eastAsia="仿宋"/>
          <w:bCs/>
          <w:sz w:val="32"/>
          <w:szCs w:val="32"/>
        </w:rPr>
        <w:t>%</w:t>
      </w:r>
      <w:r>
        <w:rPr>
          <w:rStyle w:val="15"/>
          <w:rFonts w:hint="eastAsia" w:ascii="仿宋" w:hAnsi="仿宋" w:eastAsia="仿宋"/>
          <w:bCs/>
          <w:sz w:val="32"/>
          <w:szCs w:val="32"/>
        </w:rPr>
        <w:t>，决算数等于预算数。</w:t>
      </w:r>
    </w:p>
    <w:p>
      <w:pPr>
        <w:numPr>
          <w:ilvl w:val="0"/>
          <w:numId w:val="3"/>
        </w:numPr>
        <w:spacing w:line="600" w:lineRule="exact"/>
        <w:ind w:firstLine="643"/>
        <w:rPr>
          <w:rStyle w:val="15"/>
          <w:rFonts w:ascii="仿宋" w:hAnsi="仿宋" w:eastAsia="仿宋"/>
          <w:b w:val="0"/>
          <w:bCs/>
          <w:sz w:val="32"/>
          <w:szCs w:val="32"/>
        </w:rPr>
      </w:pPr>
      <w:r>
        <w:rPr>
          <w:rStyle w:val="15"/>
          <w:rFonts w:hint="eastAsia" w:ascii="仿宋" w:hAnsi="仿宋" w:eastAsia="仿宋"/>
          <w:bCs/>
          <w:sz w:val="32"/>
          <w:szCs w:val="32"/>
        </w:rPr>
        <w:t>一般公共服务（类）</w:t>
      </w:r>
      <w:r>
        <w:rPr>
          <w:rStyle w:val="15"/>
          <w:rFonts w:hint="eastAsia" w:ascii="仿宋" w:hAnsi="仿宋" w:eastAsia="仿宋" w:cs="仿宋"/>
          <w:bCs/>
          <w:color w:val="000000"/>
          <w:sz w:val="32"/>
          <w:szCs w:val="32"/>
        </w:rPr>
        <w:t>政府办公厅(室）及相关机构事务（款）信访事务（项）</w:t>
      </w:r>
      <w:r>
        <w:rPr>
          <w:rStyle w:val="15"/>
          <w:rFonts w:ascii="仿宋" w:hAnsi="仿宋" w:eastAsia="仿宋"/>
          <w:bCs/>
          <w:sz w:val="32"/>
          <w:szCs w:val="32"/>
        </w:rPr>
        <w:t>:</w:t>
      </w:r>
      <w:r>
        <w:rPr>
          <w:rStyle w:val="15"/>
          <w:rFonts w:hint="eastAsia" w:ascii="仿宋" w:hAnsi="仿宋" w:eastAsia="仿宋"/>
          <w:bCs/>
          <w:sz w:val="32"/>
          <w:szCs w:val="32"/>
        </w:rPr>
        <w:t>支出决算为2.5万元，完成预算100</w:t>
      </w:r>
      <w:r>
        <w:rPr>
          <w:rStyle w:val="15"/>
          <w:rFonts w:ascii="仿宋" w:hAnsi="仿宋" w:eastAsia="仿宋"/>
          <w:bCs/>
          <w:sz w:val="32"/>
          <w:szCs w:val="32"/>
        </w:rPr>
        <w:t>%</w:t>
      </w:r>
      <w:r>
        <w:rPr>
          <w:rStyle w:val="15"/>
          <w:rFonts w:hint="eastAsia" w:ascii="仿宋" w:hAnsi="仿宋" w:eastAsia="仿宋"/>
          <w:bCs/>
          <w:sz w:val="32"/>
          <w:szCs w:val="32"/>
        </w:rPr>
        <w:t>，决算数等于预算数。</w:t>
      </w:r>
    </w:p>
    <w:p>
      <w:pPr>
        <w:pStyle w:val="31"/>
        <w:ind w:left="420" w:leftChars="200" w:firstLine="0" w:firstLineChars="0"/>
      </w:pPr>
    </w:p>
    <w:p>
      <w:pPr>
        <w:numPr>
          <w:ilvl w:val="0"/>
          <w:numId w:val="3"/>
        </w:numPr>
        <w:spacing w:line="600" w:lineRule="exact"/>
        <w:ind w:firstLine="643"/>
      </w:pPr>
      <w:r>
        <w:rPr>
          <w:rStyle w:val="15"/>
          <w:rFonts w:hint="eastAsia" w:ascii="仿宋" w:hAnsi="仿宋" w:eastAsia="仿宋"/>
          <w:bCs/>
          <w:sz w:val="32"/>
          <w:szCs w:val="32"/>
        </w:rPr>
        <w:t>一般公共服务（类）</w:t>
      </w:r>
      <w:r>
        <w:rPr>
          <w:rStyle w:val="15"/>
          <w:rFonts w:hint="eastAsia" w:ascii="仿宋" w:hAnsi="仿宋" w:eastAsia="仿宋" w:cs="仿宋"/>
          <w:bCs/>
          <w:color w:val="000000"/>
          <w:sz w:val="32"/>
          <w:szCs w:val="32"/>
        </w:rPr>
        <w:t>政府办公厅(室）及相关机构事务（款）事业运行（项）</w:t>
      </w:r>
      <w:r>
        <w:rPr>
          <w:rStyle w:val="15"/>
          <w:rFonts w:ascii="仿宋" w:hAnsi="仿宋" w:eastAsia="仿宋"/>
          <w:bCs/>
          <w:sz w:val="32"/>
          <w:szCs w:val="32"/>
        </w:rPr>
        <w:t>:</w:t>
      </w:r>
      <w:r>
        <w:rPr>
          <w:rStyle w:val="15"/>
          <w:rFonts w:hint="eastAsia" w:ascii="仿宋" w:hAnsi="仿宋" w:eastAsia="仿宋"/>
          <w:bCs/>
          <w:sz w:val="32"/>
          <w:szCs w:val="32"/>
        </w:rPr>
        <w:t>支出决算为142.2万元，完成预算100</w:t>
      </w:r>
      <w:r>
        <w:rPr>
          <w:rStyle w:val="15"/>
          <w:rFonts w:ascii="仿宋" w:hAnsi="仿宋" w:eastAsia="仿宋"/>
          <w:bCs/>
          <w:sz w:val="32"/>
          <w:szCs w:val="32"/>
        </w:rPr>
        <w:t>%</w:t>
      </w:r>
      <w:r>
        <w:rPr>
          <w:rStyle w:val="15"/>
          <w:rFonts w:hint="eastAsia" w:ascii="仿宋" w:hAnsi="仿宋" w:eastAsia="仿宋"/>
          <w:bCs/>
          <w:sz w:val="32"/>
          <w:szCs w:val="32"/>
        </w:rPr>
        <w:t>，决算数等于预算数。</w:t>
      </w:r>
    </w:p>
    <w:p>
      <w:pPr>
        <w:pStyle w:val="31"/>
        <w:ind w:left="420" w:leftChars="200" w:firstLine="0" w:firstLineChars="0"/>
      </w:pPr>
      <w:r>
        <w:rPr>
          <w:rStyle w:val="15"/>
          <w:rFonts w:hint="eastAsia" w:ascii="仿宋" w:hAnsi="仿宋" w:eastAsia="仿宋"/>
          <w:sz w:val="32"/>
          <w:szCs w:val="32"/>
        </w:rPr>
        <w:t>8.</w:t>
      </w:r>
      <w:r>
        <w:rPr>
          <w:rStyle w:val="15"/>
          <w:rFonts w:hint="eastAsia" w:ascii="仿宋" w:hAnsi="仿宋" w:eastAsia="仿宋"/>
          <w:bCs/>
          <w:sz w:val="32"/>
          <w:szCs w:val="32"/>
        </w:rPr>
        <w:t>一般公共服务（类）</w:t>
      </w:r>
      <w:r>
        <w:rPr>
          <w:rStyle w:val="15"/>
          <w:rFonts w:hint="eastAsia" w:ascii="仿宋" w:hAnsi="仿宋" w:eastAsia="仿宋" w:cs="仿宋"/>
          <w:bCs/>
          <w:color w:val="000000"/>
          <w:sz w:val="32"/>
          <w:szCs w:val="32"/>
        </w:rPr>
        <w:t>政府办公厅(室）信息统计事务（款）专项普查活动（项）</w:t>
      </w:r>
      <w:r>
        <w:rPr>
          <w:rStyle w:val="15"/>
          <w:rFonts w:ascii="仿宋" w:hAnsi="仿宋" w:eastAsia="仿宋"/>
          <w:bCs/>
          <w:sz w:val="32"/>
          <w:szCs w:val="32"/>
        </w:rPr>
        <w:t>:</w:t>
      </w:r>
      <w:r>
        <w:rPr>
          <w:rStyle w:val="15"/>
          <w:rFonts w:hint="eastAsia" w:ascii="仿宋" w:hAnsi="仿宋" w:eastAsia="仿宋"/>
          <w:bCs/>
          <w:sz w:val="32"/>
          <w:szCs w:val="32"/>
        </w:rPr>
        <w:t>支出决算为2.9万元，完成预算100</w:t>
      </w:r>
      <w:r>
        <w:rPr>
          <w:rStyle w:val="15"/>
          <w:rFonts w:ascii="仿宋" w:hAnsi="仿宋" w:eastAsia="仿宋"/>
          <w:bCs/>
          <w:sz w:val="32"/>
          <w:szCs w:val="32"/>
        </w:rPr>
        <w:t>%</w:t>
      </w:r>
      <w:r>
        <w:rPr>
          <w:rStyle w:val="15"/>
          <w:rFonts w:hint="eastAsia" w:ascii="仿宋" w:hAnsi="仿宋" w:eastAsia="仿宋"/>
          <w:bCs/>
          <w:sz w:val="32"/>
          <w:szCs w:val="32"/>
        </w:rPr>
        <w:t>，决算数等于预算数。</w:t>
      </w:r>
    </w:p>
    <w:p>
      <w:pPr>
        <w:pStyle w:val="31"/>
        <w:ind w:left="420" w:leftChars="200" w:firstLine="0" w:firstLineChars="0"/>
      </w:pPr>
      <w:r>
        <w:rPr>
          <w:rStyle w:val="15"/>
          <w:rFonts w:hint="eastAsia" w:ascii="仿宋" w:hAnsi="仿宋" w:eastAsia="仿宋"/>
          <w:sz w:val="32"/>
          <w:szCs w:val="32"/>
        </w:rPr>
        <w:t>9.</w:t>
      </w:r>
      <w:r>
        <w:rPr>
          <w:rStyle w:val="15"/>
          <w:rFonts w:hint="eastAsia" w:ascii="仿宋" w:hAnsi="仿宋" w:eastAsia="仿宋"/>
          <w:bCs/>
          <w:sz w:val="32"/>
          <w:szCs w:val="32"/>
        </w:rPr>
        <w:t>公共安全支出</w:t>
      </w:r>
      <w:r>
        <w:rPr>
          <w:rStyle w:val="15"/>
          <w:rFonts w:hint="eastAsia" w:ascii="仿宋" w:hAnsi="仿宋" w:eastAsia="仿宋" w:cs="仿宋"/>
          <w:bCs/>
          <w:color w:val="000000"/>
          <w:sz w:val="32"/>
          <w:szCs w:val="32"/>
        </w:rPr>
        <w:t>(类）公安（款）其他公安支出（项）</w:t>
      </w:r>
      <w:r>
        <w:rPr>
          <w:rStyle w:val="15"/>
          <w:rFonts w:ascii="仿宋" w:hAnsi="仿宋" w:eastAsia="仿宋"/>
          <w:bCs/>
          <w:sz w:val="32"/>
          <w:szCs w:val="32"/>
        </w:rPr>
        <w:t>:</w:t>
      </w:r>
      <w:r>
        <w:rPr>
          <w:rStyle w:val="15"/>
          <w:rFonts w:hint="eastAsia" w:ascii="仿宋" w:hAnsi="仿宋" w:eastAsia="仿宋"/>
          <w:bCs/>
          <w:sz w:val="32"/>
          <w:szCs w:val="32"/>
        </w:rPr>
        <w:t>支出决算为2.88万元，完成预算100</w:t>
      </w:r>
      <w:r>
        <w:rPr>
          <w:rStyle w:val="15"/>
          <w:rFonts w:ascii="仿宋" w:hAnsi="仿宋" w:eastAsia="仿宋"/>
          <w:bCs/>
          <w:sz w:val="32"/>
          <w:szCs w:val="32"/>
        </w:rPr>
        <w:t>%</w:t>
      </w:r>
      <w:r>
        <w:rPr>
          <w:rStyle w:val="15"/>
          <w:rFonts w:hint="eastAsia" w:ascii="仿宋" w:hAnsi="仿宋" w:eastAsia="仿宋"/>
          <w:bCs/>
          <w:sz w:val="32"/>
          <w:szCs w:val="32"/>
        </w:rPr>
        <w:t>，决算数等于预算数。</w:t>
      </w:r>
    </w:p>
    <w:p>
      <w:pPr>
        <w:pStyle w:val="31"/>
        <w:ind w:left="420" w:leftChars="200" w:firstLine="0" w:firstLineChars="0"/>
      </w:pPr>
      <w:r>
        <w:rPr>
          <w:rStyle w:val="15"/>
          <w:rFonts w:hint="eastAsia" w:ascii="仿宋" w:hAnsi="仿宋" w:eastAsia="仿宋"/>
          <w:sz w:val="32"/>
          <w:szCs w:val="32"/>
        </w:rPr>
        <w:t>10.</w:t>
      </w:r>
      <w:r>
        <w:rPr>
          <w:rStyle w:val="15"/>
          <w:rFonts w:hint="eastAsia" w:ascii="仿宋" w:hAnsi="仿宋" w:eastAsia="仿宋"/>
          <w:bCs/>
          <w:sz w:val="32"/>
          <w:szCs w:val="32"/>
        </w:rPr>
        <w:t>公共安全支出</w:t>
      </w:r>
      <w:r>
        <w:rPr>
          <w:rStyle w:val="15"/>
          <w:rFonts w:hint="eastAsia" w:ascii="仿宋" w:hAnsi="仿宋" w:eastAsia="仿宋" w:cs="仿宋"/>
          <w:bCs/>
          <w:color w:val="000000"/>
          <w:sz w:val="32"/>
          <w:szCs w:val="32"/>
        </w:rPr>
        <w:t>(类）司法（款）社区矫正（项）</w:t>
      </w:r>
      <w:r>
        <w:rPr>
          <w:rStyle w:val="15"/>
          <w:rFonts w:ascii="仿宋" w:hAnsi="仿宋" w:eastAsia="仿宋"/>
          <w:bCs/>
          <w:sz w:val="32"/>
          <w:szCs w:val="32"/>
        </w:rPr>
        <w:t>:</w:t>
      </w:r>
      <w:r>
        <w:rPr>
          <w:rStyle w:val="15"/>
          <w:rFonts w:hint="eastAsia" w:ascii="仿宋" w:hAnsi="仿宋" w:eastAsia="仿宋"/>
          <w:bCs/>
          <w:sz w:val="32"/>
          <w:szCs w:val="32"/>
        </w:rPr>
        <w:t>支出决算为0.16万元，完成预算100</w:t>
      </w:r>
      <w:r>
        <w:rPr>
          <w:rStyle w:val="15"/>
          <w:rFonts w:ascii="仿宋" w:hAnsi="仿宋" w:eastAsia="仿宋"/>
          <w:bCs/>
          <w:sz w:val="32"/>
          <w:szCs w:val="32"/>
        </w:rPr>
        <w:t>%</w:t>
      </w:r>
      <w:r>
        <w:rPr>
          <w:rStyle w:val="15"/>
          <w:rFonts w:hint="eastAsia" w:ascii="仿宋" w:hAnsi="仿宋" w:eastAsia="仿宋"/>
          <w:bCs/>
          <w:sz w:val="32"/>
          <w:szCs w:val="32"/>
        </w:rPr>
        <w:t>，决算数等于预算数的。</w:t>
      </w:r>
    </w:p>
    <w:p>
      <w:pPr>
        <w:pStyle w:val="31"/>
        <w:ind w:left="420" w:leftChars="200" w:firstLine="0" w:firstLineChars="0"/>
        <w:rPr>
          <w:rStyle w:val="15"/>
          <w:rFonts w:ascii="仿宋" w:hAnsi="仿宋" w:eastAsia="仿宋"/>
          <w:b w:val="0"/>
          <w:bCs/>
          <w:sz w:val="32"/>
          <w:szCs w:val="32"/>
        </w:rPr>
      </w:pPr>
      <w:r>
        <w:rPr>
          <w:rStyle w:val="15"/>
          <w:rFonts w:hint="eastAsia" w:ascii="仿宋" w:hAnsi="仿宋" w:eastAsia="仿宋"/>
          <w:sz w:val="32"/>
          <w:szCs w:val="32"/>
        </w:rPr>
        <w:t>11.</w:t>
      </w:r>
      <w:r>
        <w:rPr>
          <w:rStyle w:val="15"/>
          <w:rFonts w:hint="eastAsia" w:ascii="仿宋" w:hAnsi="仿宋" w:eastAsia="仿宋" w:cs="仿宋"/>
          <w:bCs/>
          <w:color w:val="000000"/>
          <w:sz w:val="32"/>
          <w:szCs w:val="32"/>
        </w:rPr>
        <w:t>教育支出(类）其他教育附加安排的支出（项）</w:t>
      </w:r>
      <w:r>
        <w:rPr>
          <w:rStyle w:val="15"/>
          <w:rFonts w:ascii="仿宋" w:hAnsi="仿宋" w:eastAsia="仿宋"/>
          <w:bCs/>
          <w:sz w:val="32"/>
          <w:szCs w:val="32"/>
        </w:rPr>
        <w:t>:</w:t>
      </w:r>
      <w:r>
        <w:rPr>
          <w:rStyle w:val="15"/>
          <w:rFonts w:hint="eastAsia" w:ascii="仿宋" w:hAnsi="仿宋" w:eastAsia="仿宋"/>
          <w:bCs/>
          <w:sz w:val="32"/>
          <w:szCs w:val="32"/>
        </w:rPr>
        <w:t>支出决算为5万元，完成预算100</w:t>
      </w:r>
      <w:r>
        <w:rPr>
          <w:rStyle w:val="15"/>
          <w:rFonts w:ascii="仿宋" w:hAnsi="仿宋" w:eastAsia="仿宋"/>
          <w:bCs/>
          <w:sz w:val="32"/>
          <w:szCs w:val="32"/>
        </w:rPr>
        <w:t>%</w:t>
      </w:r>
      <w:r>
        <w:rPr>
          <w:rStyle w:val="15"/>
          <w:rFonts w:hint="eastAsia" w:ascii="仿宋" w:hAnsi="仿宋" w:eastAsia="仿宋"/>
          <w:bCs/>
          <w:sz w:val="32"/>
          <w:szCs w:val="32"/>
        </w:rPr>
        <w:t>，决算数等于预算数。</w:t>
      </w:r>
    </w:p>
    <w:p>
      <w:pPr>
        <w:pStyle w:val="31"/>
        <w:ind w:left="420" w:leftChars="200" w:firstLine="0" w:firstLineChars="0"/>
      </w:pPr>
      <w:r>
        <w:rPr>
          <w:rStyle w:val="15"/>
          <w:rFonts w:hint="eastAsia" w:ascii="仿宋" w:hAnsi="仿宋" w:eastAsia="仿宋"/>
          <w:sz w:val="32"/>
          <w:szCs w:val="32"/>
        </w:rPr>
        <w:t>12.</w:t>
      </w:r>
      <w:r>
        <w:rPr>
          <w:rStyle w:val="15"/>
          <w:rFonts w:hint="eastAsia" w:ascii="仿宋" w:hAnsi="仿宋" w:eastAsia="仿宋"/>
          <w:bCs/>
          <w:sz w:val="32"/>
          <w:szCs w:val="32"/>
        </w:rPr>
        <w:t>文化旅游体育与传媒支出</w:t>
      </w:r>
      <w:r>
        <w:rPr>
          <w:rStyle w:val="15"/>
          <w:rFonts w:hint="eastAsia" w:ascii="仿宋" w:hAnsi="仿宋" w:eastAsia="仿宋" w:cs="仿宋"/>
          <w:bCs/>
          <w:color w:val="000000"/>
          <w:sz w:val="32"/>
          <w:szCs w:val="32"/>
        </w:rPr>
        <w:t>(类）文化和旅游（款）其他文化和旅游支出（项）</w:t>
      </w:r>
      <w:r>
        <w:rPr>
          <w:rStyle w:val="15"/>
          <w:rFonts w:ascii="仿宋" w:hAnsi="仿宋" w:eastAsia="仿宋"/>
          <w:bCs/>
          <w:sz w:val="32"/>
          <w:szCs w:val="32"/>
        </w:rPr>
        <w:t>:</w:t>
      </w:r>
      <w:r>
        <w:rPr>
          <w:rStyle w:val="15"/>
          <w:rFonts w:hint="eastAsia" w:ascii="仿宋" w:hAnsi="仿宋" w:eastAsia="仿宋"/>
          <w:bCs/>
          <w:sz w:val="32"/>
          <w:szCs w:val="32"/>
        </w:rPr>
        <w:t>支出决算为9万元，完成预算100</w:t>
      </w:r>
      <w:r>
        <w:rPr>
          <w:rStyle w:val="15"/>
          <w:rFonts w:ascii="仿宋" w:hAnsi="仿宋" w:eastAsia="仿宋"/>
          <w:bCs/>
          <w:sz w:val="32"/>
          <w:szCs w:val="32"/>
        </w:rPr>
        <w:t>%</w:t>
      </w:r>
      <w:r>
        <w:rPr>
          <w:rStyle w:val="15"/>
          <w:rFonts w:hint="eastAsia" w:ascii="仿宋" w:hAnsi="仿宋" w:eastAsia="仿宋"/>
          <w:bCs/>
          <w:sz w:val="32"/>
          <w:szCs w:val="32"/>
        </w:rPr>
        <w:t>，决算数等于预算数。</w:t>
      </w:r>
    </w:p>
    <w:p>
      <w:pPr>
        <w:pStyle w:val="31"/>
        <w:ind w:left="420" w:leftChars="200" w:firstLine="0" w:firstLineChars="0"/>
      </w:pPr>
      <w:r>
        <w:rPr>
          <w:rStyle w:val="15"/>
          <w:rFonts w:hint="eastAsia" w:ascii="仿宋" w:hAnsi="仿宋" w:eastAsia="仿宋"/>
          <w:sz w:val="32"/>
          <w:szCs w:val="32"/>
        </w:rPr>
        <w:t>13.</w:t>
      </w:r>
      <w:r>
        <w:rPr>
          <w:rStyle w:val="15"/>
          <w:rFonts w:hint="eastAsia" w:ascii="仿宋" w:hAnsi="仿宋" w:eastAsia="仿宋"/>
          <w:bCs/>
          <w:sz w:val="32"/>
          <w:szCs w:val="32"/>
        </w:rPr>
        <w:t>文化旅游体育与传媒支出</w:t>
      </w:r>
      <w:r>
        <w:rPr>
          <w:rStyle w:val="15"/>
          <w:rFonts w:hint="eastAsia" w:ascii="仿宋" w:hAnsi="仿宋" w:eastAsia="仿宋" w:cs="仿宋"/>
          <w:bCs/>
          <w:color w:val="000000"/>
          <w:sz w:val="32"/>
          <w:szCs w:val="32"/>
        </w:rPr>
        <w:t>(类）广播电视（款）其他广播电视支出（项）</w:t>
      </w:r>
      <w:r>
        <w:rPr>
          <w:rStyle w:val="15"/>
          <w:rFonts w:ascii="仿宋" w:hAnsi="仿宋" w:eastAsia="仿宋"/>
          <w:bCs/>
          <w:sz w:val="32"/>
          <w:szCs w:val="32"/>
        </w:rPr>
        <w:t>:</w:t>
      </w:r>
      <w:r>
        <w:rPr>
          <w:rStyle w:val="15"/>
          <w:rFonts w:hint="eastAsia" w:ascii="仿宋" w:hAnsi="仿宋" w:eastAsia="仿宋"/>
          <w:bCs/>
          <w:sz w:val="32"/>
          <w:szCs w:val="32"/>
        </w:rPr>
        <w:t>支出决算为1.52万元，完成预算100</w:t>
      </w:r>
      <w:r>
        <w:rPr>
          <w:rStyle w:val="15"/>
          <w:rFonts w:ascii="仿宋" w:hAnsi="仿宋" w:eastAsia="仿宋"/>
          <w:bCs/>
          <w:sz w:val="32"/>
          <w:szCs w:val="32"/>
        </w:rPr>
        <w:t>%</w:t>
      </w:r>
      <w:r>
        <w:rPr>
          <w:rStyle w:val="15"/>
          <w:rFonts w:hint="eastAsia" w:ascii="仿宋" w:hAnsi="仿宋" w:eastAsia="仿宋"/>
          <w:bCs/>
          <w:sz w:val="32"/>
          <w:szCs w:val="32"/>
        </w:rPr>
        <w:t>，决算等于预算数。</w:t>
      </w:r>
    </w:p>
    <w:p>
      <w:pPr>
        <w:pStyle w:val="31"/>
        <w:ind w:left="420" w:leftChars="200" w:firstLine="0" w:firstLineChars="0"/>
      </w:pPr>
      <w:r>
        <w:rPr>
          <w:rStyle w:val="15"/>
          <w:rFonts w:hint="eastAsia" w:ascii="仿宋" w:hAnsi="仿宋" w:eastAsia="仿宋"/>
          <w:sz w:val="32"/>
          <w:szCs w:val="32"/>
        </w:rPr>
        <w:t>14.</w:t>
      </w:r>
      <w:r>
        <w:rPr>
          <w:rStyle w:val="15"/>
          <w:rFonts w:hint="eastAsia" w:ascii="仿宋" w:hAnsi="仿宋" w:eastAsia="仿宋"/>
          <w:bCs/>
          <w:sz w:val="32"/>
          <w:szCs w:val="32"/>
        </w:rPr>
        <w:t>社会保障和就业支出</w:t>
      </w:r>
      <w:r>
        <w:rPr>
          <w:rStyle w:val="15"/>
          <w:rFonts w:hint="eastAsia" w:ascii="仿宋" w:hAnsi="仿宋" w:eastAsia="仿宋" w:cs="仿宋"/>
          <w:bCs/>
          <w:color w:val="000000"/>
          <w:sz w:val="32"/>
          <w:szCs w:val="32"/>
        </w:rPr>
        <w:t>(类）民政管理事务（款）基层政权建设和社区治理（项）</w:t>
      </w:r>
      <w:r>
        <w:rPr>
          <w:rStyle w:val="15"/>
          <w:rFonts w:ascii="仿宋" w:hAnsi="仿宋" w:eastAsia="仿宋"/>
          <w:bCs/>
          <w:sz w:val="32"/>
          <w:szCs w:val="32"/>
        </w:rPr>
        <w:t>:</w:t>
      </w:r>
      <w:r>
        <w:rPr>
          <w:rStyle w:val="15"/>
          <w:rFonts w:hint="eastAsia" w:ascii="仿宋" w:hAnsi="仿宋" w:eastAsia="仿宋"/>
          <w:bCs/>
          <w:sz w:val="32"/>
          <w:szCs w:val="32"/>
        </w:rPr>
        <w:t>支出决算为2.31万元，完成预算100</w:t>
      </w:r>
      <w:r>
        <w:rPr>
          <w:rStyle w:val="15"/>
          <w:rFonts w:ascii="仿宋" w:hAnsi="仿宋" w:eastAsia="仿宋"/>
          <w:bCs/>
          <w:sz w:val="32"/>
          <w:szCs w:val="32"/>
        </w:rPr>
        <w:t>%</w:t>
      </w:r>
      <w:r>
        <w:rPr>
          <w:rStyle w:val="15"/>
          <w:rFonts w:hint="eastAsia" w:ascii="仿宋" w:hAnsi="仿宋" w:eastAsia="仿宋"/>
          <w:bCs/>
          <w:sz w:val="32"/>
          <w:szCs w:val="32"/>
        </w:rPr>
        <w:t>，决算数等于预算数。</w:t>
      </w:r>
    </w:p>
    <w:p>
      <w:pPr>
        <w:pStyle w:val="31"/>
        <w:ind w:left="420" w:leftChars="200" w:firstLine="0" w:firstLineChars="0"/>
        <w:rPr>
          <w:rFonts w:eastAsia="仿宋"/>
        </w:rPr>
      </w:pPr>
      <w:r>
        <w:rPr>
          <w:rStyle w:val="15"/>
          <w:rFonts w:hint="eastAsia" w:ascii="仿宋" w:hAnsi="仿宋" w:eastAsia="仿宋"/>
          <w:sz w:val="32"/>
          <w:szCs w:val="32"/>
        </w:rPr>
        <w:t>15.</w:t>
      </w:r>
      <w:r>
        <w:rPr>
          <w:rStyle w:val="15"/>
          <w:rFonts w:hint="eastAsia" w:ascii="仿宋" w:hAnsi="仿宋" w:eastAsia="仿宋"/>
          <w:bCs/>
          <w:sz w:val="32"/>
          <w:szCs w:val="32"/>
        </w:rPr>
        <w:t>社会保障和就业支出</w:t>
      </w:r>
      <w:r>
        <w:rPr>
          <w:rStyle w:val="15"/>
          <w:rFonts w:hint="eastAsia" w:ascii="仿宋" w:hAnsi="仿宋" w:eastAsia="仿宋" w:cs="仿宋"/>
          <w:bCs/>
          <w:color w:val="000000"/>
          <w:sz w:val="32"/>
          <w:szCs w:val="32"/>
        </w:rPr>
        <w:t>(类）行政事业单位养老支（款）机关事业单位基本养老保险缴费支出（项）</w:t>
      </w:r>
      <w:r>
        <w:rPr>
          <w:rStyle w:val="15"/>
          <w:rFonts w:ascii="仿宋" w:hAnsi="仿宋" w:eastAsia="仿宋"/>
          <w:bCs/>
          <w:sz w:val="32"/>
          <w:szCs w:val="32"/>
        </w:rPr>
        <w:t>:</w:t>
      </w:r>
      <w:r>
        <w:rPr>
          <w:rStyle w:val="15"/>
          <w:rFonts w:hint="eastAsia" w:ascii="仿宋" w:hAnsi="仿宋" w:eastAsia="仿宋"/>
          <w:bCs/>
          <w:sz w:val="32"/>
          <w:szCs w:val="32"/>
        </w:rPr>
        <w:t>支出决算为45.48万元，完成预算100</w:t>
      </w:r>
      <w:r>
        <w:rPr>
          <w:rStyle w:val="15"/>
          <w:rFonts w:ascii="仿宋" w:hAnsi="仿宋" w:eastAsia="仿宋"/>
          <w:bCs/>
          <w:sz w:val="32"/>
          <w:szCs w:val="32"/>
        </w:rPr>
        <w:t>%</w:t>
      </w:r>
      <w:r>
        <w:rPr>
          <w:rStyle w:val="15"/>
          <w:rFonts w:hint="eastAsia" w:ascii="仿宋" w:hAnsi="仿宋" w:eastAsia="仿宋"/>
          <w:bCs/>
          <w:sz w:val="32"/>
          <w:szCs w:val="32"/>
        </w:rPr>
        <w:t>，决算数等于预算数。</w:t>
      </w:r>
    </w:p>
    <w:p>
      <w:pPr>
        <w:pStyle w:val="31"/>
        <w:ind w:left="420" w:leftChars="200" w:firstLine="0" w:firstLineChars="0"/>
      </w:pPr>
      <w:r>
        <w:rPr>
          <w:rStyle w:val="15"/>
          <w:rFonts w:hint="eastAsia" w:ascii="仿宋" w:hAnsi="仿宋" w:eastAsia="仿宋"/>
          <w:sz w:val="32"/>
          <w:szCs w:val="32"/>
        </w:rPr>
        <w:t>16.</w:t>
      </w:r>
      <w:r>
        <w:rPr>
          <w:rStyle w:val="15"/>
          <w:rFonts w:hint="eastAsia" w:ascii="仿宋" w:hAnsi="仿宋" w:eastAsia="仿宋"/>
          <w:bCs/>
          <w:sz w:val="32"/>
          <w:szCs w:val="32"/>
        </w:rPr>
        <w:t>社会保障和就业支出</w:t>
      </w:r>
      <w:r>
        <w:rPr>
          <w:rStyle w:val="15"/>
          <w:rFonts w:hint="eastAsia" w:ascii="仿宋" w:hAnsi="仿宋" w:eastAsia="仿宋" w:cs="仿宋"/>
          <w:bCs/>
          <w:color w:val="000000"/>
          <w:sz w:val="32"/>
          <w:szCs w:val="32"/>
        </w:rPr>
        <w:t>(类）行政事业单位养老支（款）机关事业单位职业年金缴费支出（项）</w:t>
      </w:r>
      <w:r>
        <w:rPr>
          <w:rStyle w:val="15"/>
          <w:rFonts w:ascii="仿宋" w:hAnsi="仿宋" w:eastAsia="仿宋"/>
          <w:bCs/>
          <w:sz w:val="32"/>
          <w:szCs w:val="32"/>
        </w:rPr>
        <w:t>:</w:t>
      </w:r>
      <w:r>
        <w:rPr>
          <w:rStyle w:val="15"/>
          <w:rFonts w:hint="eastAsia" w:ascii="仿宋" w:hAnsi="仿宋" w:eastAsia="仿宋"/>
          <w:bCs/>
          <w:sz w:val="32"/>
          <w:szCs w:val="32"/>
        </w:rPr>
        <w:t>支出决算为24.53万元，完成预算100</w:t>
      </w:r>
      <w:r>
        <w:rPr>
          <w:rStyle w:val="15"/>
          <w:rFonts w:ascii="仿宋" w:hAnsi="仿宋" w:eastAsia="仿宋"/>
          <w:bCs/>
          <w:sz w:val="32"/>
          <w:szCs w:val="32"/>
        </w:rPr>
        <w:t>%</w:t>
      </w:r>
      <w:r>
        <w:rPr>
          <w:rStyle w:val="15"/>
          <w:rFonts w:hint="eastAsia" w:ascii="仿宋" w:hAnsi="仿宋" w:eastAsia="仿宋"/>
          <w:bCs/>
          <w:sz w:val="32"/>
          <w:szCs w:val="32"/>
        </w:rPr>
        <w:t>，决算数等于预算数。</w:t>
      </w:r>
    </w:p>
    <w:p>
      <w:pPr>
        <w:pStyle w:val="31"/>
        <w:ind w:left="420" w:leftChars="200" w:firstLine="0" w:firstLineChars="0"/>
      </w:pPr>
      <w:r>
        <w:rPr>
          <w:rStyle w:val="15"/>
          <w:rFonts w:hint="eastAsia" w:ascii="仿宋" w:hAnsi="仿宋" w:eastAsia="仿宋"/>
          <w:sz w:val="32"/>
          <w:szCs w:val="32"/>
        </w:rPr>
        <w:t>17.</w:t>
      </w:r>
      <w:r>
        <w:rPr>
          <w:rStyle w:val="15"/>
          <w:rFonts w:hint="eastAsia" w:ascii="仿宋" w:hAnsi="仿宋" w:eastAsia="仿宋"/>
          <w:bCs/>
          <w:sz w:val="32"/>
          <w:szCs w:val="32"/>
        </w:rPr>
        <w:t>社会保障和就业支出</w:t>
      </w:r>
      <w:r>
        <w:rPr>
          <w:rStyle w:val="15"/>
          <w:rFonts w:hint="eastAsia" w:ascii="仿宋" w:hAnsi="仿宋" w:eastAsia="仿宋" w:cs="仿宋"/>
          <w:bCs/>
          <w:color w:val="000000"/>
          <w:sz w:val="32"/>
          <w:szCs w:val="32"/>
        </w:rPr>
        <w:t>(类）行政事业单位养老支（款）其他行政单位养老支出（项）</w:t>
      </w:r>
      <w:r>
        <w:rPr>
          <w:rStyle w:val="15"/>
          <w:rFonts w:ascii="仿宋" w:hAnsi="仿宋" w:eastAsia="仿宋"/>
          <w:bCs/>
          <w:sz w:val="32"/>
          <w:szCs w:val="32"/>
        </w:rPr>
        <w:t>:</w:t>
      </w:r>
      <w:r>
        <w:rPr>
          <w:rStyle w:val="15"/>
          <w:rFonts w:hint="eastAsia" w:ascii="仿宋" w:hAnsi="仿宋" w:eastAsia="仿宋"/>
          <w:bCs/>
          <w:sz w:val="32"/>
          <w:szCs w:val="32"/>
        </w:rPr>
        <w:t>支出决算为0.34万元，完成预算100</w:t>
      </w:r>
      <w:r>
        <w:rPr>
          <w:rStyle w:val="15"/>
          <w:rFonts w:ascii="仿宋" w:hAnsi="仿宋" w:eastAsia="仿宋"/>
          <w:bCs/>
          <w:sz w:val="32"/>
          <w:szCs w:val="32"/>
        </w:rPr>
        <w:t>%</w:t>
      </w:r>
      <w:r>
        <w:rPr>
          <w:rStyle w:val="15"/>
          <w:rFonts w:hint="eastAsia" w:ascii="仿宋" w:hAnsi="仿宋" w:eastAsia="仿宋"/>
          <w:bCs/>
          <w:sz w:val="32"/>
          <w:szCs w:val="32"/>
        </w:rPr>
        <w:t>，决算数等于预算数。</w:t>
      </w:r>
    </w:p>
    <w:p>
      <w:pPr>
        <w:pStyle w:val="31"/>
        <w:ind w:left="420" w:leftChars="200" w:firstLine="0" w:firstLineChars="0"/>
      </w:pPr>
      <w:r>
        <w:rPr>
          <w:rStyle w:val="15"/>
          <w:rFonts w:hint="eastAsia" w:ascii="仿宋" w:hAnsi="仿宋" w:eastAsia="仿宋"/>
          <w:sz w:val="32"/>
          <w:szCs w:val="32"/>
        </w:rPr>
        <w:t>18.</w:t>
      </w:r>
      <w:r>
        <w:rPr>
          <w:rStyle w:val="15"/>
          <w:rFonts w:hint="eastAsia" w:ascii="仿宋" w:hAnsi="仿宋" w:eastAsia="仿宋"/>
          <w:bCs/>
          <w:sz w:val="32"/>
          <w:szCs w:val="32"/>
        </w:rPr>
        <w:t>社会保障和就业支出</w:t>
      </w:r>
      <w:r>
        <w:rPr>
          <w:rStyle w:val="15"/>
          <w:rFonts w:hint="eastAsia" w:ascii="仿宋" w:hAnsi="仿宋" w:eastAsia="仿宋" w:cs="仿宋"/>
          <w:bCs/>
          <w:color w:val="000000"/>
          <w:sz w:val="32"/>
          <w:szCs w:val="32"/>
        </w:rPr>
        <w:t>(类）企业改革补助（款）其他企业改革发展补助（项）</w:t>
      </w:r>
      <w:r>
        <w:rPr>
          <w:rStyle w:val="15"/>
          <w:rFonts w:ascii="仿宋" w:hAnsi="仿宋" w:eastAsia="仿宋"/>
          <w:bCs/>
          <w:sz w:val="32"/>
          <w:szCs w:val="32"/>
        </w:rPr>
        <w:t>:</w:t>
      </w:r>
      <w:r>
        <w:rPr>
          <w:rStyle w:val="15"/>
          <w:rFonts w:hint="eastAsia" w:ascii="仿宋" w:hAnsi="仿宋" w:eastAsia="仿宋"/>
          <w:bCs/>
          <w:sz w:val="32"/>
          <w:szCs w:val="32"/>
        </w:rPr>
        <w:t>支出决算为0.24万元，完成预算100</w:t>
      </w:r>
      <w:r>
        <w:rPr>
          <w:rStyle w:val="15"/>
          <w:rFonts w:ascii="仿宋" w:hAnsi="仿宋" w:eastAsia="仿宋"/>
          <w:bCs/>
          <w:sz w:val="32"/>
          <w:szCs w:val="32"/>
        </w:rPr>
        <w:t>%</w:t>
      </w:r>
      <w:r>
        <w:rPr>
          <w:rStyle w:val="15"/>
          <w:rFonts w:hint="eastAsia" w:ascii="仿宋" w:hAnsi="仿宋" w:eastAsia="仿宋"/>
          <w:bCs/>
          <w:sz w:val="32"/>
          <w:szCs w:val="32"/>
        </w:rPr>
        <w:t>，决算数等于预算数。</w:t>
      </w:r>
    </w:p>
    <w:p>
      <w:pPr>
        <w:pStyle w:val="31"/>
        <w:ind w:left="420" w:leftChars="200" w:firstLine="0" w:firstLineChars="0"/>
      </w:pPr>
      <w:r>
        <w:rPr>
          <w:rStyle w:val="15"/>
          <w:rFonts w:hint="eastAsia" w:ascii="仿宋" w:hAnsi="仿宋" w:eastAsia="仿宋"/>
          <w:sz w:val="32"/>
          <w:szCs w:val="32"/>
        </w:rPr>
        <w:t>19.</w:t>
      </w:r>
      <w:r>
        <w:rPr>
          <w:rStyle w:val="15"/>
          <w:rFonts w:hint="eastAsia" w:ascii="仿宋" w:hAnsi="仿宋" w:eastAsia="仿宋"/>
          <w:bCs/>
          <w:sz w:val="32"/>
          <w:szCs w:val="32"/>
        </w:rPr>
        <w:t>社会保障和就业支出</w:t>
      </w:r>
      <w:r>
        <w:rPr>
          <w:rStyle w:val="15"/>
          <w:rFonts w:hint="eastAsia" w:ascii="仿宋" w:hAnsi="仿宋" w:eastAsia="仿宋" w:cs="仿宋"/>
          <w:bCs/>
          <w:color w:val="000000"/>
          <w:sz w:val="32"/>
          <w:szCs w:val="32"/>
        </w:rPr>
        <w:t>(类）抚恤（款）死亡抚恤（项）</w:t>
      </w:r>
      <w:r>
        <w:rPr>
          <w:rStyle w:val="15"/>
          <w:rFonts w:ascii="仿宋" w:hAnsi="仿宋" w:eastAsia="仿宋"/>
          <w:bCs/>
          <w:sz w:val="32"/>
          <w:szCs w:val="32"/>
        </w:rPr>
        <w:t>:</w:t>
      </w:r>
      <w:r>
        <w:rPr>
          <w:rStyle w:val="15"/>
          <w:rFonts w:hint="eastAsia" w:ascii="仿宋" w:hAnsi="仿宋" w:eastAsia="仿宋"/>
          <w:bCs/>
          <w:sz w:val="32"/>
          <w:szCs w:val="32"/>
        </w:rPr>
        <w:t>支出决算为19.69万元，完成预算100</w:t>
      </w:r>
      <w:r>
        <w:rPr>
          <w:rStyle w:val="15"/>
          <w:rFonts w:ascii="仿宋" w:hAnsi="仿宋" w:eastAsia="仿宋"/>
          <w:bCs/>
          <w:sz w:val="32"/>
          <w:szCs w:val="32"/>
        </w:rPr>
        <w:t>%</w:t>
      </w:r>
      <w:r>
        <w:rPr>
          <w:rStyle w:val="15"/>
          <w:rFonts w:hint="eastAsia" w:ascii="仿宋" w:hAnsi="仿宋" w:eastAsia="仿宋"/>
          <w:bCs/>
          <w:sz w:val="32"/>
          <w:szCs w:val="32"/>
        </w:rPr>
        <w:t>，决算数等于预算数。</w:t>
      </w:r>
    </w:p>
    <w:p>
      <w:pPr>
        <w:pStyle w:val="31"/>
        <w:ind w:left="420" w:leftChars="200" w:firstLine="0" w:firstLineChars="0"/>
      </w:pPr>
      <w:r>
        <w:rPr>
          <w:rStyle w:val="15"/>
          <w:rFonts w:hint="eastAsia" w:ascii="仿宋" w:hAnsi="仿宋" w:eastAsia="仿宋"/>
          <w:sz w:val="32"/>
          <w:szCs w:val="32"/>
        </w:rPr>
        <w:t>20.</w:t>
      </w:r>
      <w:r>
        <w:rPr>
          <w:rStyle w:val="15"/>
          <w:rFonts w:hint="eastAsia" w:ascii="仿宋" w:hAnsi="仿宋" w:eastAsia="仿宋"/>
          <w:bCs/>
          <w:sz w:val="32"/>
          <w:szCs w:val="32"/>
        </w:rPr>
        <w:t>社会保障和就业支出</w:t>
      </w:r>
      <w:r>
        <w:rPr>
          <w:rStyle w:val="15"/>
          <w:rFonts w:hint="eastAsia" w:ascii="仿宋" w:hAnsi="仿宋" w:eastAsia="仿宋" w:cs="仿宋"/>
          <w:bCs/>
          <w:color w:val="000000"/>
          <w:sz w:val="32"/>
          <w:szCs w:val="32"/>
        </w:rPr>
        <w:t>(类）抚恤（款）其他优抚支出（项）</w:t>
      </w:r>
      <w:r>
        <w:rPr>
          <w:rStyle w:val="15"/>
          <w:rFonts w:ascii="仿宋" w:hAnsi="仿宋" w:eastAsia="仿宋"/>
          <w:bCs/>
          <w:sz w:val="32"/>
          <w:szCs w:val="32"/>
        </w:rPr>
        <w:t>:</w:t>
      </w:r>
      <w:r>
        <w:rPr>
          <w:rStyle w:val="15"/>
          <w:rFonts w:hint="eastAsia" w:ascii="仿宋" w:hAnsi="仿宋" w:eastAsia="仿宋"/>
          <w:bCs/>
          <w:sz w:val="32"/>
          <w:szCs w:val="32"/>
        </w:rPr>
        <w:t>支出决算为2.74万元，完成预算100</w:t>
      </w:r>
      <w:r>
        <w:rPr>
          <w:rStyle w:val="15"/>
          <w:rFonts w:ascii="仿宋" w:hAnsi="仿宋" w:eastAsia="仿宋"/>
          <w:bCs/>
          <w:sz w:val="32"/>
          <w:szCs w:val="32"/>
        </w:rPr>
        <w:t>%</w:t>
      </w:r>
      <w:r>
        <w:rPr>
          <w:rStyle w:val="15"/>
          <w:rFonts w:hint="eastAsia" w:ascii="仿宋" w:hAnsi="仿宋" w:eastAsia="仿宋"/>
          <w:bCs/>
          <w:sz w:val="32"/>
          <w:szCs w:val="32"/>
        </w:rPr>
        <w:t>，决算数等于预算数。</w:t>
      </w:r>
    </w:p>
    <w:p>
      <w:pPr>
        <w:pStyle w:val="31"/>
        <w:ind w:firstLine="321" w:firstLineChars="100"/>
        <w:rPr>
          <w:rStyle w:val="15"/>
          <w:rFonts w:ascii="仿宋" w:hAnsi="仿宋" w:eastAsia="仿宋"/>
          <w:b w:val="0"/>
          <w:bCs/>
          <w:sz w:val="32"/>
          <w:szCs w:val="32"/>
        </w:rPr>
      </w:pPr>
      <w:r>
        <w:rPr>
          <w:rStyle w:val="15"/>
          <w:rFonts w:hint="eastAsia" w:ascii="仿宋" w:hAnsi="仿宋" w:eastAsia="仿宋"/>
          <w:sz w:val="32"/>
          <w:szCs w:val="32"/>
        </w:rPr>
        <w:t>21.</w:t>
      </w:r>
      <w:r>
        <w:rPr>
          <w:rStyle w:val="15"/>
          <w:rFonts w:hint="eastAsia" w:ascii="仿宋" w:hAnsi="仿宋" w:eastAsia="仿宋"/>
          <w:bCs/>
          <w:sz w:val="32"/>
          <w:szCs w:val="32"/>
        </w:rPr>
        <w:t>社会保障和就业支出</w:t>
      </w:r>
      <w:r>
        <w:rPr>
          <w:rStyle w:val="15"/>
          <w:rFonts w:hint="eastAsia" w:ascii="仿宋" w:hAnsi="仿宋" w:eastAsia="仿宋" w:cs="仿宋"/>
          <w:bCs/>
          <w:color w:val="000000"/>
          <w:sz w:val="32"/>
          <w:szCs w:val="32"/>
        </w:rPr>
        <w:t>(类）残疾人事业（款）其他残疾人事业支出（项）</w:t>
      </w:r>
      <w:r>
        <w:rPr>
          <w:rStyle w:val="15"/>
          <w:rFonts w:ascii="仿宋" w:hAnsi="仿宋" w:eastAsia="仿宋"/>
          <w:bCs/>
          <w:sz w:val="32"/>
          <w:szCs w:val="32"/>
        </w:rPr>
        <w:t>:</w:t>
      </w:r>
      <w:r>
        <w:rPr>
          <w:rStyle w:val="15"/>
          <w:rFonts w:hint="eastAsia" w:ascii="仿宋" w:hAnsi="仿宋" w:eastAsia="仿宋"/>
          <w:bCs/>
          <w:sz w:val="32"/>
          <w:szCs w:val="32"/>
        </w:rPr>
        <w:t>支出决算为4.09万元，完成预算100</w:t>
      </w:r>
      <w:r>
        <w:rPr>
          <w:rStyle w:val="15"/>
          <w:rFonts w:ascii="仿宋" w:hAnsi="仿宋" w:eastAsia="仿宋"/>
          <w:bCs/>
          <w:sz w:val="32"/>
          <w:szCs w:val="32"/>
        </w:rPr>
        <w:t>%</w:t>
      </w:r>
      <w:r>
        <w:rPr>
          <w:rStyle w:val="15"/>
          <w:rFonts w:hint="eastAsia" w:ascii="仿宋" w:hAnsi="仿宋" w:eastAsia="仿宋"/>
          <w:bCs/>
          <w:sz w:val="32"/>
          <w:szCs w:val="32"/>
        </w:rPr>
        <w:t>，决算数等于预算数。</w:t>
      </w:r>
    </w:p>
    <w:p>
      <w:pPr>
        <w:pStyle w:val="31"/>
        <w:ind w:firstLine="321" w:firstLineChars="100"/>
      </w:pPr>
      <w:r>
        <w:rPr>
          <w:rStyle w:val="15"/>
          <w:rFonts w:hint="eastAsia" w:ascii="仿宋" w:hAnsi="仿宋" w:eastAsia="仿宋"/>
          <w:sz w:val="32"/>
          <w:szCs w:val="32"/>
        </w:rPr>
        <w:t>22.</w:t>
      </w:r>
      <w:r>
        <w:rPr>
          <w:rStyle w:val="15"/>
          <w:rFonts w:hint="eastAsia" w:ascii="仿宋" w:hAnsi="仿宋" w:eastAsia="仿宋"/>
          <w:bCs/>
          <w:sz w:val="32"/>
          <w:szCs w:val="32"/>
        </w:rPr>
        <w:t>卫生健康支出</w:t>
      </w:r>
      <w:r>
        <w:rPr>
          <w:rStyle w:val="15"/>
          <w:rFonts w:hint="eastAsia" w:ascii="仿宋" w:hAnsi="仿宋" w:eastAsia="仿宋" w:cs="仿宋"/>
          <w:bCs/>
          <w:color w:val="000000"/>
          <w:sz w:val="32"/>
          <w:szCs w:val="32"/>
        </w:rPr>
        <w:t>(类）公共卫生（款）重大公共卫生服务（项）</w:t>
      </w:r>
      <w:r>
        <w:rPr>
          <w:rStyle w:val="15"/>
          <w:rFonts w:ascii="仿宋" w:hAnsi="仿宋" w:eastAsia="仿宋"/>
          <w:bCs/>
          <w:sz w:val="32"/>
          <w:szCs w:val="32"/>
        </w:rPr>
        <w:t>:</w:t>
      </w:r>
      <w:r>
        <w:rPr>
          <w:rStyle w:val="15"/>
          <w:rFonts w:hint="eastAsia" w:ascii="仿宋" w:hAnsi="仿宋" w:eastAsia="仿宋"/>
          <w:bCs/>
          <w:sz w:val="32"/>
          <w:szCs w:val="32"/>
        </w:rPr>
        <w:t>支出决算为2万元，完成预算100</w:t>
      </w:r>
      <w:r>
        <w:rPr>
          <w:rStyle w:val="15"/>
          <w:rFonts w:ascii="仿宋" w:hAnsi="仿宋" w:eastAsia="仿宋"/>
          <w:bCs/>
          <w:sz w:val="32"/>
          <w:szCs w:val="32"/>
        </w:rPr>
        <w:t>%</w:t>
      </w:r>
      <w:r>
        <w:rPr>
          <w:rStyle w:val="15"/>
          <w:rFonts w:hint="eastAsia" w:ascii="仿宋" w:hAnsi="仿宋" w:eastAsia="仿宋"/>
          <w:bCs/>
          <w:sz w:val="32"/>
          <w:szCs w:val="32"/>
        </w:rPr>
        <w:t>，决算数等于预算数。</w:t>
      </w:r>
    </w:p>
    <w:p>
      <w:pPr>
        <w:pStyle w:val="31"/>
        <w:ind w:firstLine="321" w:firstLineChars="100"/>
        <w:rPr>
          <w:rStyle w:val="15"/>
          <w:rFonts w:ascii="仿宋" w:hAnsi="仿宋" w:eastAsia="仿宋"/>
          <w:b w:val="0"/>
          <w:bCs/>
          <w:sz w:val="32"/>
          <w:szCs w:val="32"/>
        </w:rPr>
      </w:pPr>
      <w:r>
        <w:rPr>
          <w:rStyle w:val="15"/>
          <w:rFonts w:hint="eastAsia" w:ascii="仿宋" w:hAnsi="仿宋" w:eastAsia="仿宋"/>
          <w:sz w:val="32"/>
          <w:szCs w:val="32"/>
        </w:rPr>
        <w:t>23.</w:t>
      </w:r>
      <w:r>
        <w:rPr>
          <w:rStyle w:val="15"/>
          <w:rFonts w:hint="eastAsia" w:ascii="仿宋" w:hAnsi="仿宋" w:eastAsia="仿宋"/>
          <w:bCs/>
          <w:sz w:val="32"/>
          <w:szCs w:val="32"/>
        </w:rPr>
        <w:t>卫生健康支出</w:t>
      </w:r>
      <w:r>
        <w:rPr>
          <w:rStyle w:val="15"/>
          <w:rFonts w:hint="eastAsia" w:ascii="仿宋" w:hAnsi="仿宋" w:eastAsia="仿宋" w:cs="仿宋"/>
          <w:bCs/>
          <w:color w:val="000000"/>
          <w:sz w:val="32"/>
          <w:szCs w:val="32"/>
        </w:rPr>
        <w:t>(类）行政事业单位医疗（款）行政单位医疗（项）</w:t>
      </w:r>
      <w:r>
        <w:rPr>
          <w:rStyle w:val="15"/>
          <w:rFonts w:ascii="仿宋" w:hAnsi="仿宋" w:eastAsia="仿宋"/>
          <w:bCs/>
          <w:sz w:val="32"/>
          <w:szCs w:val="32"/>
        </w:rPr>
        <w:t>:</w:t>
      </w:r>
      <w:r>
        <w:rPr>
          <w:rStyle w:val="15"/>
          <w:rFonts w:hint="eastAsia" w:ascii="仿宋" w:hAnsi="仿宋" w:eastAsia="仿宋"/>
          <w:bCs/>
          <w:sz w:val="32"/>
          <w:szCs w:val="32"/>
        </w:rPr>
        <w:t>支出决算为11.65万元，完成预算100</w:t>
      </w:r>
      <w:r>
        <w:rPr>
          <w:rStyle w:val="15"/>
          <w:rFonts w:ascii="仿宋" w:hAnsi="仿宋" w:eastAsia="仿宋"/>
          <w:bCs/>
          <w:sz w:val="32"/>
          <w:szCs w:val="32"/>
        </w:rPr>
        <w:t>%</w:t>
      </w:r>
      <w:r>
        <w:rPr>
          <w:rStyle w:val="15"/>
          <w:rFonts w:hint="eastAsia" w:ascii="仿宋" w:hAnsi="仿宋" w:eastAsia="仿宋"/>
          <w:bCs/>
          <w:sz w:val="32"/>
          <w:szCs w:val="32"/>
        </w:rPr>
        <w:t>，决算数等于预算数。</w:t>
      </w:r>
    </w:p>
    <w:p>
      <w:pPr>
        <w:pStyle w:val="31"/>
        <w:ind w:firstLine="321" w:firstLineChars="100"/>
        <w:rPr>
          <w:rStyle w:val="15"/>
          <w:rFonts w:ascii="仿宋" w:hAnsi="仿宋" w:eastAsia="仿宋"/>
          <w:b w:val="0"/>
          <w:bCs/>
          <w:sz w:val="32"/>
          <w:szCs w:val="32"/>
        </w:rPr>
      </w:pPr>
      <w:r>
        <w:rPr>
          <w:rStyle w:val="15"/>
          <w:rFonts w:hint="eastAsia" w:ascii="仿宋" w:hAnsi="仿宋" w:eastAsia="仿宋"/>
          <w:sz w:val="32"/>
          <w:szCs w:val="32"/>
        </w:rPr>
        <w:t>24.</w:t>
      </w:r>
      <w:r>
        <w:rPr>
          <w:rStyle w:val="15"/>
          <w:rFonts w:hint="eastAsia" w:ascii="仿宋" w:hAnsi="仿宋" w:eastAsia="仿宋"/>
          <w:bCs/>
          <w:sz w:val="32"/>
          <w:szCs w:val="32"/>
        </w:rPr>
        <w:t>卫生健康支出</w:t>
      </w:r>
      <w:r>
        <w:rPr>
          <w:rStyle w:val="15"/>
          <w:rFonts w:hint="eastAsia" w:ascii="仿宋" w:hAnsi="仿宋" w:eastAsia="仿宋" w:cs="仿宋"/>
          <w:bCs/>
          <w:color w:val="000000"/>
          <w:sz w:val="32"/>
          <w:szCs w:val="32"/>
        </w:rPr>
        <w:t>(类）行政事业单位医疗（款）事业单位医疗（项）</w:t>
      </w:r>
      <w:r>
        <w:rPr>
          <w:rStyle w:val="15"/>
          <w:rFonts w:ascii="仿宋" w:hAnsi="仿宋" w:eastAsia="仿宋"/>
          <w:bCs/>
          <w:sz w:val="32"/>
          <w:szCs w:val="32"/>
        </w:rPr>
        <w:t>:</w:t>
      </w:r>
      <w:r>
        <w:rPr>
          <w:rStyle w:val="15"/>
          <w:rFonts w:hint="eastAsia" w:ascii="仿宋" w:hAnsi="仿宋" w:eastAsia="仿宋"/>
          <w:bCs/>
          <w:sz w:val="32"/>
          <w:szCs w:val="32"/>
        </w:rPr>
        <w:t>支出决算为7.39万元，完成预算100</w:t>
      </w:r>
      <w:r>
        <w:rPr>
          <w:rStyle w:val="15"/>
          <w:rFonts w:ascii="仿宋" w:hAnsi="仿宋" w:eastAsia="仿宋"/>
          <w:bCs/>
          <w:sz w:val="32"/>
          <w:szCs w:val="32"/>
        </w:rPr>
        <w:t>%</w:t>
      </w:r>
      <w:r>
        <w:rPr>
          <w:rStyle w:val="15"/>
          <w:rFonts w:hint="eastAsia" w:ascii="仿宋" w:hAnsi="仿宋" w:eastAsia="仿宋"/>
          <w:bCs/>
          <w:sz w:val="32"/>
          <w:szCs w:val="32"/>
        </w:rPr>
        <w:t>，决算数等于预算数。</w:t>
      </w:r>
    </w:p>
    <w:p>
      <w:pPr>
        <w:pStyle w:val="31"/>
        <w:ind w:firstLine="321" w:firstLineChars="100"/>
        <w:rPr>
          <w:rStyle w:val="15"/>
          <w:rFonts w:ascii="仿宋" w:hAnsi="仿宋" w:eastAsia="仿宋"/>
          <w:b w:val="0"/>
          <w:bCs/>
          <w:sz w:val="32"/>
          <w:szCs w:val="32"/>
        </w:rPr>
      </w:pPr>
      <w:r>
        <w:rPr>
          <w:rStyle w:val="15"/>
          <w:rFonts w:hint="eastAsia" w:ascii="仿宋" w:hAnsi="仿宋" w:eastAsia="仿宋"/>
          <w:sz w:val="32"/>
          <w:szCs w:val="32"/>
        </w:rPr>
        <w:t>25.</w:t>
      </w:r>
      <w:r>
        <w:rPr>
          <w:rStyle w:val="15"/>
          <w:rFonts w:hint="eastAsia" w:ascii="仿宋" w:hAnsi="仿宋" w:eastAsia="仿宋"/>
          <w:bCs/>
          <w:sz w:val="32"/>
          <w:szCs w:val="32"/>
        </w:rPr>
        <w:t>卫生健康支出</w:t>
      </w:r>
      <w:r>
        <w:rPr>
          <w:rStyle w:val="15"/>
          <w:rFonts w:hint="eastAsia" w:ascii="仿宋" w:hAnsi="仿宋" w:eastAsia="仿宋" w:cs="仿宋"/>
          <w:bCs/>
          <w:color w:val="000000"/>
          <w:sz w:val="32"/>
          <w:szCs w:val="32"/>
        </w:rPr>
        <w:t>(类）其他卫生健康支出（款）其他卫生健康支出（项）</w:t>
      </w:r>
      <w:r>
        <w:rPr>
          <w:rStyle w:val="15"/>
          <w:rFonts w:ascii="仿宋" w:hAnsi="仿宋" w:eastAsia="仿宋"/>
          <w:bCs/>
          <w:sz w:val="32"/>
          <w:szCs w:val="32"/>
        </w:rPr>
        <w:t>:</w:t>
      </w:r>
      <w:r>
        <w:rPr>
          <w:rStyle w:val="15"/>
          <w:rFonts w:hint="eastAsia" w:ascii="仿宋" w:hAnsi="仿宋" w:eastAsia="仿宋"/>
          <w:bCs/>
          <w:sz w:val="32"/>
          <w:szCs w:val="32"/>
        </w:rPr>
        <w:t>支出决算为11.61万元，完成预算100</w:t>
      </w:r>
      <w:r>
        <w:rPr>
          <w:rStyle w:val="15"/>
          <w:rFonts w:ascii="仿宋" w:hAnsi="仿宋" w:eastAsia="仿宋"/>
          <w:bCs/>
          <w:sz w:val="32"/>
          <w:szCs w:val="32"/>
        </w:rPr>
        <w:t>%</w:t>
      </w:r>
      <w:r>
        <w:rPr>
          <w:rStyle w:val="15"/>
          <w:rFonts w:hint="eastAsia" w:ascii="仿宋" w:hAnsi="仿宋" w:eastAsia="仿宋"/>
          <w:bCs/>
          <w:sz w:val="32"/>
          <w:szCs w:val="32"/>
        </w:rPr>
        <w:t>，决算数等于预算数。</w:t>
      </w:r>
    </w:p>
    <w:p>
      <w:pPr>
        <w:spacing w:line="600" w:lineRule="exact"/>
        <w:ind w:firstLine="321" w:firstLineChars="100"/>
        <w:rPr>
          <w:rStyle w:val="15"/>
          <w:rFonts w:ascii="仿宋" w:hAnsi="仿宋" w:eastAsia="仿宋"/>
          <w:b w:val="0"/>
          <w:bCs/>
          <w:sz w:val="32"/>
          <w:szCs w:val="32"/>
        </w:rPr>
      </w:pPr>
      <w:r>
        <w:rPr>
          <w:rStyle w:val="15"/>
          <w:rFonts w:hint="eastAsia" w:ascii="仿宋" w:hAnsi="仿宋" w:eastAsia="仿宋"/>
          <w:sz w:val="32"/>
          <w:szCs w:val="32"/>
        </w:rPr>
        <w:t>26.</w:t>
      </w:r>
      <w:r>
        <w:rPr>
          <w:rStyle w:val="15"/>
          <w:rFonts w:hint="eastAsia" w:ascii="仿宋" w:hAnsi="仿宋" w:eastAsia="仿宋"/>
          <w:bCs/>
          <w:sz w:val="32"/>
          <w:szCs w:val="32"/>
        </w:rPr>
        <w:t>城乡社区支出</w:t>
      </w:r>
      <w:r>
        <w:rPr>
          <w:rStyle w:val="15"/>
          <w:rFonts w:hint="eastAsia" w:ascii="仿宋" w:hAnsi="仿宋" w:eastAsia="仿宋" w:cs="仿宋"/>
          <w:bCs/>
          <w:color w:val="000000"/>
          <w:sz w:val="32"/>
          <w:szCs w:val="32"/>
        </w:rPr>
        <w:t>(类）城乡社区管理事务（款）其他城乡社区管理事务（项）</w:t>
      </w:r>
      <w:r>
        <w:rPr>
          <w:rStyle w:val="15"/>
          <w:rFonts w:ascii="仿宋" w:hAnsi="仿宋" w:eastAsia="仿宋"/>
          <w:bCs/>
          <w:sz w:val="32"/>
          <w:szCs w:val="32"/>
        </w:rPr>
        <w:t>:</w:t>
      </w:r>
      <w:r>
        <w:rPr>
          <w:rStyle w:val="15"/>
          <w:rFonts w:hint="eastAsia" w:ascii="仿宋" w:hAnsi="仿宋" w:eastAsia="仿宋"/>
          <w:bCs/>
          <w:sz w:val="32"/>
          <w:szCs w:val="32"/>
        </w:rPr>
        <w:t>支出决算为14万元，完成预算100</w:t>
      </w:r>
      <w:r>
        <w:rPr>
          <w:rStyle w:val="15"/>
          <w:rFonts w:ascii="仿宋" w:hAnsi="仿宋" w:eastAsia="仿宋"/>
          <w:bCs/>
          <w:sz w:val="32"/>
          <w:szCs w:val="32"/>
        </w:rPr>
        <w:t>%</w:t>
      </w:r>
      <w:r>
        <w:rPr>
          <w:rStyle w:val="15"/>
          <w:rFonts w:hint="eastAsia" w:ascii="仿宋" w:hAnsi="仿宋" w:eastAsia="仿宋"/>
          <w:bCs/>
          <w:sz w:val="32"/>
          <w:szCs w:val="32"/>
        </w:rPr>
        <w:t>，决算数等于预算数。</w:t>
      </w:r>
    </w:p>
    <w:p>
      <w:pPr>
        <w:spacing w:line="600" w:lineRule="exact"/>
        <w:ind w:firstLine="321" w:firstLineChars="100"/>
        <w:rPr>
          <w:rFonts w:ascii="仿宋" w:hAnsi="仿宋" w:eastAsia="仿宋"/>
          <w:bCs/>
          <w:sz w:val="32"/>
          <w:szCs w:val="32"/>
        </w:rPr>
      </w:pPr>
      <w:r>
        <w:rPr>
          <w:rStyle w:val="15"/>
          <w:rFonts w:hint="eastAsia" w:ascii="仿宋" w:hAnsi="仿宋" w:eastAsia="仿宋"/>
          <w:sz w:val="32"/>
          <w:szCs w:val="32"/>
        </w:rPr>
        <w:t>27.</w:t>
      </w:r>
      <w:r>
        <w:rPr>
          <w:rStyle w:val="15"/>
          <w:rFonts w:hint="eastAsia" w:ascii="仿宋" w:hAnsi="仿宋" w:eastAsia="仿宋"/>
          <w:bCs/>
          <w:sz w:val="32"/>
          <w:szCs w:val="32"/>
        </w:rPr>
        <w:t>城乡社区支出</w:t>
      </w:r>
      <w:r>
        <w:rPr>
          <w:rStyle w:val="15"/>
          <w:rFonts w:hint="eastAsia" w:ascii="仿宋" w:hAnsi="仿宋" w:eastAsia="仿宋" w:cs="仿宋"/>
          <w:bCs/>
          <w:color w:val="000000"/>
          <w:sz w:val="32"/>
          <w:szCs w:val="32"/>
        </w:rPr>
        <w:t>(类）城乡社区管理事务（款）其他城乡社区支出（项）</w:t>
      </w:r>
      <w:r>
        <w:rPr>
          <w:rStyle w:val="15"/>
          <w:rFonts w:ascii="仿宋" w:hAnsi="仿宋" w:eastAsia="仿宋"/>
          <w:bCs/>
          <w:sz w:val="32"/>
          <w:szCs w:val="32"/>
        </w:rPr>
        <w:t>:</w:t>
      </w:r>
      <w:r>
        <w:rPr>
          <w:rStyle w:val="15"/>
          <w:rFonts w:hint="eastAsia" w:ascii="仿宋" w:hAnsi="仿宋" w:eastAsia="仿宋"/>
          <w:bCs/>
          <w:sz w:val="32"/>
          <w:szCs w:val="32"/>
        </w:rPr>
        <w:t>支出决算为2.5万元，完成预算100</w:t>
      </w:r>
      <w:r>
        <w:rPr>
          <w:rStyle w:val="15"/>
          <w:rFonts w:ascii="仿宋" w:hAnsi="仿宋" w:eastAsia="仿宋"/>
          <w:bCs/>
          <w:sz w:val="32"/>
          <w:szCs w:val="32"/>
        </w:rPr>
        <w:t>%</w:t>
      </w:r>
      <w:r>
        <w:rPr>
          <w:rStyle w:val="15"/>
          <w:rFonts w:hint="eastAsia" w:ascii="仿宋" w:hAnsi="仿宋" w:eastAsia="仿宋"/>
          <w:bCs/>
          <w:sz w:val="32"/>
          <w:szCs w:val="32"/>
        </w:rPr>
        <w:t>，决算数等于预算数。</w:t>
      </w:r>
    </w:p>
    <w:p>
      <w:pPr>
        <w:spacing w:line="600" w:lineRule="exact"/>
        <w:ind w:firstLine="321" w:firstLineChars="100"/>
        <w:rPr>
          <w:rStyle w:val="15"/>
          <w:rFonts w:ascii="仿宋" w:hAnsi="仿宋" w:eastAsia="仿宋"/>
          <w:b w:val="0"/>
          <w:bCs/>
          <w:sz w:val="32"/>
          <w:szCs w:val="32"/>
        </w:rPr>
      </w:pPr>
      <w:r>
        <w:rPr>
          <w:rStyle w:val="15"/>
          <w:rFonts w:hint="eastAsia" w:ascii="仿宋" w:hAnsi="仿宋" w:eastAsia="仿宋"/>
          <w:sz w:val="32"/>
          <w:szCs w:val="32"/>
        </w:rPr>
        <w:t>28.</w:t>
      </w:r>
      <w:r>
        <w:rPr>
          <w:rStyle w:val="15"/>
          <w:rFonts w:hint="eastAsia" w:ascii="仿宋" w:hAnsi="仿宋" w:eastAsia="仿宋"/>
          <w:bCs/>
          <w:sz w:val="32"/>
          <w:szCs w:val="32"/>
        </w:rPr>
        <w:t>农林水支出</w:t>
      </w:r>
      <w:r>
        <w:rPr>
          <w:rStyle w:val="15"/>
          <w:rFonts w:hint="eastAsia" w:ascii="仿宋" w:hAnsi="仿宋" w:eastAsia="仿宋" w:cs="仿宋"/>
          <w:bCs/>
          <w:color w:val="000000"/>
          <w:sz w:val="32"/>
          <w:szCs w:val="32"/>
        </w:rPr>
        <w:t>(类）农业农村（款）对高校毕业生到基层任职补助（项）</w:t>
      </w:r>
      <w:r>
        <w:rPr>
          <w:rStyle w:val="15"/>
          <w:rFonts w:ascii="仿宋" w:hAnsi="仿宋" w:eastAsia="仿宋"/>
          <w:bCs/>
          <w:sz w:val="32"/>
          <w:szCs w:val="32"/>
        </w:rPr>
        <w:t>:</w:t>
      </w:r>
      <w:r>
        <w:rPr>
          <w:rStyle w:val="15"/>
          <w:rFonts w:hint="eastAsia" w:ascii="仿宋" w:hAnsi="仿宋" w:eastAsia="仿宋"/>
          <w:bCs/>
          <w:sz w:val="32"/>
          <w:szCs w:val="32"/>
        </w:rPr>
        <w:t>支出决算为15.11万元，完成预算100</w:t>
      </w:r>
      <w:r>
        <w:rPr>
          <w:rStyle w:val="15"/>
          <w:rFonts w:ascii="仿宋" w:hAnsi="仿宋" w:eastAsia="仿宋"/>
          <w:bCs/>
          <w:sz w:val="32"/>
          <w:szCs w:val="32"/>
        </w:rPr>
        <w:t>%</w:t>
      </w:r>
      <w:r>
        <w:rPr>
          <w:rStyle w:val="15"/>
          <w:rFonts w:hint="eastAsia" w:ascii="仿宋" w:hAnsi="仿宋" w:eastAsia="仿宋"/>
          <w:bCs/>
          <w:sz w:val="32"/>
          <w:szCs w:val="32"/>
        </w:rPr>
        <w:t>，决算数等于预算数。</w:t>
      </w:r>
    </w:p>
    <w:p>
      <w:pPr>
        <w:spacing w:line="600" w:lineRule="exact"/>
        <w:ind w:firstLine="321" w:firstLineChars="100"/>
        <w:rPr>
          <w:rStyle w:val="15"/>
          <w:rFonts w:ascii="仿宋" w:hAnsi="仿宋" w:eastAsia="仿宋"/>
          <w:b w:val="0"/>
          <w:bCs/>
          <w:sz w:val="32"/>
          <w:szCs w:val="32"/>
        </w:rPr>
      </w:pPr>
      <w:r>
        <w:rPr>
          <w:rStyle w:val="15"/>
          <w:rFonts w:hint="eastAsia" w:ascii="仿宋" w:hAnsi="仿宋" w:eastAsia="仿宋"/>
          <w:sz w:val="32"/>
          <w:szCs w:val="32"/>
        </w:rPr>
        <w:t>28. 农林水支出</w:t>
      </w:r>
      <w:r>
        <w:rPr>
          <w:rStyle w:val="15"/>
          <w:rFonts w:hint="eastAsia" w:ascii="仿宋" w:hAnsi="仿宋" w:eastAsia="仿宋" w:cs="仿宋"/>
          <w:bCs/>
          <w:color w:val="000000"/>
          <w:sz w:val="32"/>
          <w:szCs w:val="32"/>
        </w:rPr>
        <w:t>(类）农村综合改革（款）对村民委员会和村党支部的补助（项）</w:t>
      </w:r>
      <w:r>
        <w:rPr>
          <w:rStyle w:val="15"/>
          <w:rFonts w:ascii="仿宋" w:hAnsi="仿宋" w:eastAsia="仿宋"/>
          <w:bCs/>
          <w:sz w:val="32"/>
          <w:szCs w:val="32"/>
        </w:rPr>
        <w:t>:</w:t>
      </w:r>
      <w:r>
        <w:rPr>
          <w:rStyle w:val="15"/>
          <w:rFonts w:hint="eastAsia" w:ascii="仿宋" w:hAnsi="仿宋" w:eastAsia="仿宋"/>
          <w:bCs/>
          <w:sz w:val="32"/>
          <w:szCs w:val="32"/>
        </w:rPr>
        <w:t>支出决算为481.73万元，完成预算100</w:t>
      </w:r>
      <w:r>
        <w:rPr>
          <w:rStyle w:val="15"/>
          <w:rFonts w:ascii="仿宋" w:hAnsi="仿宋" w:eastAsia="仿宋"/>
          <w:bCs/>
          <w:sz w:val="32"/>
          <w:szCs w:val="32"/>
        </w:rPr>
        <w:t>%</w:t>
      </w:r>
      <w:r>
        <w:rPr>
          <w:rStyle w:val="15"/>
          <w:rFonts w:hint="eastAsia" w:ascii="仿宋" w:hAnsi="仿宋" w:eastAsia="仿宋"/>
          <w:bCs/>
          <w:sz w:val="32"/>
          <w:szCs w:val="32"/>
        </w:rPr>
        <w:t>，决算数等于预算数。</w:t>
      </w:r>
    </w:p>
    <w:p>
      <w:pPr>
        <w:spacing w:line="600" w:lineRule="exact"/>
        <w:ind w:firstLine="321" w:firstLineChars="100"/>
        <w:rPr>
          <w:rStyle w:val="15"/>
          <w:rFonts w:ascii="仿宋" w:hAnsi="仿宋" w:eastAsia="仿宋"/>
          <w:b w:val="0"/>
          <w:bCs/>
          <w:sz w:val="32"/>
          <w:szCs w:val="32"/>
        </w:rPr>
      </w:pPr>
      <w:r>
        <w:rPr>
          <w:rStyle w:val="15"/>
          <w:rFonts w:hint="eastAsia" w:ascii="仿宋" w:hAnsi="仿宋" w:eastAsia="仿宋"/>
          <w:sz w:val="32"/>
          <w:szCs w:val="32"/>
        </w:rPr>
        <w:t>29.农林水支出</w:t>
      </w:r>
      <w:r>
        <w:rPr>
          <w:rStyle w:val="15"/>
          <w:rFonts w:hint="eastAsia" w:ascii="仿宋" w:hAnsi="仿宋" w:eastAsia="仿宋" w:cs="仿宋"/>
          <w:bCs/>
          <w:color w:val="000000"/>
          <w:sz w:val="32"/>
          <w:szCs w:val="32"/>
        </w:rPr>
        <w:t>(类）水利（款）水土保持（项）</w:t>
      </w:r>
      <w:r>
        <w:rPr>
          <w:rStyle w:val="15"/>
          <w:rFonts w:ascii="仿宋" w:hAnsi="仿宋" w:eastAsia="仿宋"/>
          <w:bCs/>
          <w:sz w:val="32"/>
          <w:szCs w:val="32"/>
        </w:rPr>
        <w:t>:</w:t>
      </w:r>
      <w:r>
        <w:rPr>
          <w:rStyle w:val="15"/>
          <w:rFonts w:hint="eastAsia" w:ascii="仿宋" w:hAnsi="仿宋" w:eastAsia="仿宋"/>
          <w:bCs/>
          <w:sz w:val="32"/>
          <w:szCs w:val="32"/>
        </w:rPr>
        <w:t>支出决算为0万元，完成预算0</w:t>
      </w:r>
      <w:r>
        <w:rPr>
          <w:rStyle w:val="15"/>
          <w:rFonts w:ascii="仿宋" w:hAnsi="仿宋" w:eastAsia="仿宋"/>
          <w:bCs/>
          <w:sz w:val="32"/>
          <w:szCs w:val="32"/>
        </w:rPr>
        <w:t>%</w:t>
      </w:r>
      <w:r>
        <w:rPr>
          <w:rStyle w:val="15"/>
          <w:rFonts w:hint="eastAsia" w:ascii="仿宋" w:hAnsi="仿宋" w:eastAsia="仿宋"/>
          <w:bCs/>
          <w:sz w:val="32"/>
          <w:szCs w:val="32"/>
        </w:rPr>
        <w:t>，决算小于预算数的主要原因是指标未来收回。</w:t>
      </w:r>
    </w:p>
    <w:p>
      <w:pPr>
        <w:spacing w:line="600" w:lineRule="exact"/>
        <w:ind w:firstLine="321" w:firstLineChars="100"/>
        <w:rPr>
          <w:rStyle w:val="15"/>
          <w:rFonts w:ascii="仿宋" w:hAnsi="仿宋" w:eastAsia="仿宋"/>
          <w:b w:val="0"/>
          <w:sz w:val="32"/>
          <w:szCs w:val="32"/>
        </w:rPr>
      </w:pPr>
      <w:r>
        <w:rPr>
          <w:rStyle w:val="15"/>
          <w:rFonts w:hint="eastAsia" w:ascii="仿宋" w:hAnsi="仿宋" w:eastAsia="仿宋"/>
          <w:sz w:val="32"/>
          <w:szCs w:val="32"/>
        </w:rPr>
        <w:t>30.交通运输支出</w:t>
      </w:r>
      <w:r>
        <w:rPr>
          <w:rStyle w:val="15"/>
          <w:rFonts w:hint="eastAsia" w:ascii="仿宋" w:hAnsi="仿宋" w:eastAsia="仿宋" w:cs="仿宋"/>
          <w:bCs/>
          <w:color w:val="000000"/>
          <w:sz w:val="32"/>
          <w:szCs w:val="32"/>
        </w:rPr>
        <w:t>(类）公路水路运输（款）机关服务（项）</w:t>
      </w:r>
      <w:r>
        <w:rPr>
          <w:rStyle w:val="15"/>
          <w:rFonts w:ascii="仿宋" w:hAnsi="仿宋" w:eastAsia="仿宋"/>
          <w:bCs/>
          <w:sz w:val="32"/>
          <w:szCs w:val="32"/>
        </w:rPr>
        <w:t>:</w:t>
      </w:r>
      <w:r>
        <w:rPr>
          <w:rStyle w:val="15"/>
          <w:rFonts w:hint="eastAsia" w:ascii="仿宋" w:hAnsi="仿宋" w:eastAsia="仿宋"/>
          <w:bCs/>
          <w:sz w:val="32"/>
          <w:szCs w:val="32"/>
        </w:rPr>
        <w:t>支出决算为0.3万元，完成预算100</w:t>
      </w:r>
      <w:r>
        <w:rPr>
          <w:rStyle w:val="15"/>
          <w:rFonts w:ascii="仿宋" w:hAnsi="仿宋" w:eastAsia="仿宋"/>
          <w:bCs/>
          <w:sz w:val="32"/>
          <w:szCs w:val="32"/>
        </w:rPr>
        <w:t>%</w:t>
      </w:r>
      <w:r>
        <w:rPr>
          <w:rStyle w:val="15"/>
          <w:rFonts w:hint="eastAsia" w:ascii="仿宋" w:hAnsi="仿宋" w:eastAsia="仿宋"/>
          <w:bCs/>
          <w:sz w:val="32"/>
          <w:szCs w:val="32"/>
        </w:rPr>
        <w:t>，决算数等于预算数。</w:t>
      </w:r>
    </w:p>
    <w:p>
      <w:pPr>
        <w:spacing w:line="600" w:lineRule="exact"/>
        <w:ind w:firstLine="321" w:firstLineChars="100"/>
        <w:rPr>
          <w:rStyle w:val="15"/>
          <w:rFonts w:ascii="仿宋" w:hAnsi="仿宋" w:eastAsia="仿宋"/>
          <w:b w:val="0"/>
          <w:bCs/>
          <w:sz w:val="32"/>
          <w:szCs w:val="32"/>
        </w:rPr>
      </w:pPr>
      <w:r>
        <w:rPr>
          <w:rStyle w:val="15"/>
          <w:rFonts w:hint="eastAsia" w:ascii="仿宋" w:hAnsi="仿宋" w:eastAsia="仿宋"/>
          <w:sz w:val="32"/>
          <w:szCs w:val="32"/>
        </w:rPr>
        <w:t>31.交通运输支出</w:t>
      </w:r>
      <w:r>
        <w:rPr>
          <w:rStyle w:val="15"/>
          <w:rFonts w:hint="eastAsia" w:ascii="仿宋" w:hAnsi="仿宋" w:eastAsia="仿宋" w:cs="仿宋"/>
          <w:bCs/>
          <w:color w:val="000000"/>
          <w:sz w:val="32"/>
          <w:szCs w:val="32"/>
        </w:rPr>
        <w:t>(类）公路水路运输（款）其他公路水路运输支出（项）</w:t>
      </w:r>
      <w:r>
        <w:rPr>
          <w:rStyle w:val="15"/>
          <w:rFonts w:ascii="仿宋" w:hAnsi="仿宋" w:eastAsia="仿宋"/>
          <w:bCs/>
          <w:sz w:val="32"/>
          <w:szCs w:val="32"/>
        </w:rPr>
        <w:t>:</w:t>
      </w:r>
      <w:r>
        <w:rPr>
          <w:rStyle w:val="15"/>
          <w:rFonts w:hint="eastAsia" w:ascii="仿宋" w:hAnsi="仿宋" w:eastAsia="仿宋"/>
          <w:bCs/>
          <w:sz w:val="32"/>
          <w:szCs w:val="32"/>
        </w:rPr>
        <w:t>支出决算为11.62万元，完成预算100</w:t>
      </w:r>
      <w:r>
        <w:rPr>
          <w:rStyle w:val="15"/>
          <w:rFonts w:ascii="仿宋" w:hAnsi="仿宋" w:eastAsia="仿宋"/>
          <w:bCs/>
          <w:sz w:val="32"/>
          <w:szCs w:val="32"/>
        </w:rPr>
        <w:t>%</w:t>
      </w:r>
      <w:r>
        <w:rPr>
          <w:rStyle w:val="15"/>
          <w:rFonts w:hint="eastAsia" w:ascii="仿宋" w:hAnsi="仿宋" w:eastAsia="仿宋"/>
          <w:bCs/>
          <w:sz w:val="32"/>
          <w:szCs w:val="32"/>
        </w:rPr>
        <w:t>，决算数等于预算数的。</w:t>
      </w:r>
    </w:p>
    <w:p>
      <w:pPr>
        <w:spacing w:line="600" w:lineRule="exact"/>
        <w:ind w:firstLine="321" w:firstLineChars="100"/>
        <w:rPr>
          <w:rStyle w:val="15"/>
          <w:rFonts w:ascii="仿宋" w:hAnsi="仿宋" w:eastAsia="仿宋"/>
          <w:b w:val="0"/>
          <w:bCs/>
          <w:sz w:val="32"/>
          <w:szCs w:val="32"/>
        </w:rPr>
      </w:pPr>
      <w:r>
        <w:rPr>
          <w:rStyle w:val="15"/>
          <w:rFonts w:hint="eastAsia" w:ascii="仿宋" w:hAnsi="仿宋" w:eastAsia="仿宋"/>
          <w:sz w:val="32"/>
          <w:szCs w:val="32"/>
        </w:rPr>
        <w:t>32.住房保障支出</w:t>
      </w:r>
      <w:r>
        <w:rPr>
          <w:rStyle w:val="15"/>
          <w:rFonts w:hint="eastAsia" w:ascii="仿宋" w:hAnsi="仿宋" w:eastAsia="仿宋" w:cs="仿宋"/>
          <w:bCs/>
          <w:color w:val="000000"/>
          <w:sz w:val="32"/>
          <w:szCs w:val="32"/>
        </w:rPr>
        <w:t>(类）住房改革支出（款）住房公积金（项）</w:t>
      </w:r>
      <w:r>
        <w:rPr>
          <w:rStyle w:val="15"/>
          <w:rFonts w:ascii="仿宋" w:hAnsi="仿宋" w:eastAsia="仿宋"/>
          <w:bCs/>
          <w:sz w:val="32"/>
          <w:szCs w:val="32"/>
        </w:rPr>
        <w:t>:</w:t>
      </w:r>
      <w:r>
        <w:rPr>
          <w:rStyle w:val="15"/>
          <w:rFonts w:hint="eastAsia" w:ascii="仿宋" w:hAnsi="仿宋" w:eastAsia="仿宋"/>
          <w:bCs/>
          <w:sz w:val="32"/>
          <w:szCs w:val="32"/>
        </w:rPr>
        <w:t>支出决算为62.07万元，完成预算100</w:t>
      </w:r>
      <w:r>
        <w:rPr>
          <w:rStyle w:val="15"/>
          <w:rFonts w:ascii="仿宋" w:hAnsi="仿宋" w:eastAsia="仿宋"/>
          <w:bCs/>
          <w:sz w:val="32"/>
          <w:szCs w:val="32"/>
        </w:rPr>
        <w:t>%</w:t>
      </w:r>
      <w:r>
        <w:rPr>
          <w:rStyle w:val="15"/>
          <w:rFonts w:hint="eastAsia" w:ascii="仿宋" w:hAnsi="仿宋" w:eastAsia="仿宋"/>
          <w:bCs/>
          <w:sz w:val="32"/>
          <w:szCs w:val="32"/>
        </w:rPr>
        <w:t>，决算数等于预算数。</w:t>
      </w:r>
    </w:p>
    <w:p>
      <w:pPr>
        <w:spacing w:line="600" w:lineRule="exact"/>
        <w:ind w:firstLine="321" w:firstLineChars="100"/>
        <w:rPr>
          <w:rStyle w:val="15"/>
          <w:rFonts w:ascii="仿宋" w:hAnsi="仿宋" w:eastAsia="仿宋"/>
          <w:b w:val="0"/>
          <w:bCs/>
          <w:sz w:val="32"/>
          <w:szCs w:val="32"/>
        </w:rPr>
      </w:pPr>
      <w:r>
        <w:rPr>
          <w:rStyle w:val="15"/>
          <w:rFonts w:hint="eastAsia" w:ascii="仿宋" w:hAnsi="仿宋" w:eastAsia="仿宋"/>
          <w:sz w:val="32"/>
          <w:szCs w:val="32"/>
        </w:rPr>
        <w:t>33.灾害防治及应急管理支出</w:t>
      </w:r>
      <w:r>
        <w:rPr>
          <w:rStyle w:val="15"/>
          <w:rFonts w:hint="eastAsia" w:ascii="仿宋" w:hAnsi="仿宋" w:eastAsia="仿宋" w:cs="仿宋"/>
          <w:bCs/>
          <w:color w:val="000000"/>
          <w:sz w:val="32"/>
          <w:szCs w:val="32"/>
        </w:rPr>
        <w:t>(类）自然灾害防治（款）森林草原防灾减灾（项）</w:t>
      </w:r>
      <w:r>
        <w:rPr>
          <w:rStyle w:val="15"/>
          <w:rFonts w:ascii="仿宋" w:hAnsi="仿宋" w:eastAsia="仿宋"/>
          <w:bCs/>
          <w:sz w:val="32"/>
          <w:szCs w:val="32"/>
        </w:rPr>
        <w:t>:</w:t>
      </w:r>
      <w:r>
        <w:rPr>
          <w:rStyle w:val="15"/>
          <w:rFonts w:hint="eastAsia" w:ascii="仿宋" w:hAnsi="仿宋" w:eastAsia="仿宋"/>
          <w:bCs/>
          <w:sz w:val="32"/>
          <w:szCs w:val="32"/>
        </w:rPr>
        <w:t>支出决算为13万元，完成预算100</w:t>
      </w:r>
      <w:r>
        <w:rPr>
          <w:rStyle w:val="15"/>
          <w:rFonts w:ascii="仿宋" w:hAnsi="仿宋" w:eastAsia="仿宋"/>
          <w:bCs/>
          <w:sz w:val="32"/>
          <w:szCs w:val="32"/>
        </w:rPr>
        <w:t>%</w:t>
      </w:r>
      <w:r>
        <w:rPr>
          <w:rStyle w:val="15"/>
          <w:rFonts w:hint="eastAsia" w:ascii="仿宋" w:hAnsi="仿宋" w:eastAsia="仿宋"/>
          <w:bCs/>
          <w:sz w:val="32"/>
          <w:szCs w:val="32"/>
        </w:rPr>
        <w:t>，决算数等于预算数。</w:t>
      </w:r>
    </w:p>
    <w:p>
      <w:pPr>
        <w:tabs>
          <w:tab w:val="right" w:pos="8306"/>
        </w:tabs>
        <w:spacing w:line="600" w:lineRule="exact"/>
        <w:ind w:firstLine="640"/>
        <w:outlineLvl w:val="1"/>
        <w:rPr>
          <w:rStyle w:val="26"/>
        </w:rPr>
      </w:pPr>
      <w:bookmarkStart w:id="71" w:name="_Toc15377214"/>
      <w:bookmarkStart w:id="72" w:name="_Toc14692_WPSOffice_Level2"/>
      <w:bookmarkStart w:id="73" w:name="_Toc15396608"/>
      <w:r>
        <w:rPr>
          <w:rFonts w:hint="eastAsia" w:ascii="黑体" w:eastAsia="黑体"/>
          <w:sz w:val="32"/>
          <w:szCs w:val="32"/>
        </w:rPr>
        <w:t>六</w:t>
      </w:r>
      <w:r>
        <w:rPr>
          <w:rFonts w:hint="eastAsia" w:ascii="黑体" w:eastAsia="黑体"/>
          <w:b/>
          <w:sz w:val="32"/>
          <w:szCs w:val="32"/>
        </w:rPr>
        <w:t>、</w:t>
      </w:r>
      <w:r>
        <w:rPr>
          <w:rFonts w:hint="eastAsia" w:ascii="黑体" w:hAnsi="黑体" w:eastAsia="黑体"/>
          <w:b/>
          <w:sz w:val="32"/>
          <w:szCs w:val="32"/>
        </w:rPr>
        <w:t>一</w:t>
      </w:r>
      <w:r>
        <w:rPr>
          <w:rStyle w:val="26"/>
          <w:rFonts w:hint="eastAsia" w:ascii="黑体" w:hAnsi="黑体" w:eastAsia="黑体"/>
          <w:b w:val="0"/>
        </w:rPr>
        <w:t>般公共预算财政拨款基本支出决算情况说明</w:t>
      </w:r>
      <w:bookmarkEnd w:id="71"/>
      <w:bookmarkEnd w:id="72"/>
      <w:bookmarkEnd w:id="73"/>
      <w:r>
        <w:rPr>
          <w:rStyle w:val="26"/>
          <w:rFonts w:ascii="黑体" w:hAnsi="黑体" w:eastAsia="黑体"/>
          <w:b w:val="0"/>
        </w:rPr>
        <w:tab/>
      </w:r>
    </w:p>
    <w:p>
      <w:pPr>
        <w:spacing w:line="600" w:lineRule="exact"/>
        <w:ind w:firstLine="645"/>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21年一般公共预算财政拨款基本支出</w:t>
      </w:r>
      <w:r>
        <w:rPr>
          <w:rFonts w:ascii="仿宋" w:hAnsi="仿宋" w:eastAsia="仿宋"/>
          <w:sz w:val="32"/>
          <w:szCs w:val="32"/>
        </w:rPr>
        <w:t>598.49</w:t>
      </w:r>
      <w:r>
        <w:rPr>
          <w:rFonts w:hint="eastAsia" w:ascii="仿宋" w:hAnsi="仿宋" w:eastAsia="仿宋"/>
          <w:sz w:val="32"/>
          <w:szCs w:val="32"/>
        </w:rPr>
        <w:t>万元，其中：</w:t>
      </w:r>
    </w:p>
    <w:p>
      <w:pPr>
        <w:spacing w:line="600" w:lineRule="exact"/>
        <w:ind w:firstLine="645"/>
        <w:rPr>
          <w:rFonts w:ascii="仿宋" w:hAnsi="仿宋" w:eastAsia="仿宋"/>
          <w:sz w:val="32"/>
          <w:szCs w:val="32"/>
        </w:rPr>
      </w:pPr>
      <w:r>
        <w:rPr>
          <w:rFonts w:hint="eastAsia" w:ascii="仿宋" w:hAnsi="仿宋" w:eastAsia="仿宋"/>
          <w:sz w:val="32"/>
          <w:szCs w:val="32"/>
        </w:rPr>
        <w:t>人员经费</w:t>
      </w:r>
      <w:r>
        <w:rPr>
          <w:rFonts w:ascii="仿宋" w:hAnsi="仿宋" w:eastAsia="仿宋"/>
          <w:sz w:val="32"/>
          <w:szCs w:val="32"/>
        </w:rPr>
        <w:t>508.14</w:t>
      </w:r>
      <w:r>
        <w:rPr>
          <w:rFonts w:hint="eastAsia" w:ascii="仿宋" w:hAnsi="仿宋" w:eastAsia="仿宋"/>
          <w:sz w:val="32"/>
          <w:szCs w:val="32"/>
        </w:rPr>
        <w:t>万元，主要包括：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p>
    <w:p>
      <w:pPr>
        <w:spacing w:line="600" w:lineRule="exact"/>
        <w:ind w:firstLine="645"/>
        <w:rPr>
          <w:rFonts w:ascii="仿宋" w:hAnsi="仿宋" w:eastAsia="仿宋"/>
          <w:sz w:val="32"/>
          <w:szCs w:val="32"/>
        </w:rPr>
      </w:pPr>
      <w:r>
        <w:rPr>
          <w:rFonts w:hint="eastAsia" w:ascii="仿宋" w:hAnsi="仿宋" w:eastAsia="仿宋"/>
          <w:sz w:val="32"/>
          <w:szCs w:val="32"/>
        </w:rPr>
        <w:t>公用经费90.34万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pPr>
        <w:spacing w:line="600" w:lineRule="exact"/>
        <w:ind w:firstLine="640"/>
        <w:outlineLvl w:val="1"/>
        <w:rPr>
          <w:rStyle w:val="26"/>
          <w:rFonts w:ascii="黑体" w:hAnsi="黑体" w:eastAsia="黑体"/>
          <w:b w:val="0"/>
        </w:rPr>
      </w:pPr>
      <w:bookmarkStart w:id="74" w:name="_Toc15377215"/>
      <w:bookmarkStart w:id="75" w:name="_Toc15396609"/>
      <w:bookmarkStart w:id="76" w:name="_Toc15509_WPSOffice_Level2"/>
      <w:r>
        <w:rPr>
          <w:rFonts w:hint="eastAsia" w:ascii="黑体" w:eastAsia="黑体"/>
          <w:sz w:val="32"/>
          <w:szCs w:val="32"/>
        </w:rPr>
        <w:t>七、</w:t>
      </w:r>
      <w:r>
        <w:rPr>
          <w:rStyle w:val="26"/>
          <w:rFonts w:hint="eastAsia" w:ascii="黑体" w:hAnsi="黑体" w:eastAsia="黑体"/>
        </w:rPr>
        <w:t>“</w:t>
      </w:r>
      <w:r>
        <w:rPr>
          <w:rStyle w:val="26"/>
          <w:rFonts w:hint="eastAsia" w:ascii="黑体" w:hAnsi="黑体" w:eastAsia="黑体"/>
          <w:b w:val="0"/>
        </w:rPr>
        <w:t>三公”经费财政拨款支出决算情况说明</w:t>
      </w:r>
      <w:bookmarkEnd w:id="74"/>
      <w:bookmarkEnd w:id="75"/>
      <w:bookmarkEnd w:id="76"/>
    </w:p>
    <w:p>
      <w:pPr>
        <w:spacing w:line="600" w:lineRule="exact"/>
        <w:ind w:firstLine="640"/>
        <w:outlineLvl w:val="2"/>
        <w:rPr>
          <w:rFonts w:ascii="仿宋" w:hAnsi="仿宋" w:eastAsia="仿宋"/>
          <w:b/>
          <w:sz w:val="32"/>
          <w:szCs w:val="32"/>
        </w:rPr>
      </w:pPr>
      <w:bookmarkStart w:id="77" w:name="_Toc15377216"/>
      <w:r>
        <w:rPr>
          <w:rFonts w:hint="eastAsia" w:ascii="仿宋" w:hAnsi="仿宋" w:eastAsia="仿宋"/>
          <w:b/>
          <w:sz w:val="32"/>
          <w:szCs w:val="32"/>
        </w:rPr>
        <w:t>（一）“三公”经费财政拨款支出决算总体情况说明</w:t>
      </w:r>
      <w:bookmarkEnd w:id="77"/>
    </w:p>
    <w:p>
      <w:pPr>
        <w:spacing w:line="600" w:lineRule="exact"/>
        <w:ind w:firstLine="640"/>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21年“三公”经费财政拨款支出决算为5.3万元，完成预算39</w:t>
      </w:r>
      <w:r>
        <w:rPr>
          <w:rFonts w:ascii="仿宋" w:hAnsi="仿宋" w:eastAsia="仿宋"/>
          <w:sz w:val="32"/>
          <w:szCs w:val="32"/>
        </w:rPr>
        <w:t>%</w:t>
      </w:r>
      <w:r>
        <w:rPr>
          <w:rFonts w:hint="eastAsia" w:ascii="仿宋" w:hAnsi="仿宋" w:eastAsia="仿宋"/>
          <w:sz w:val="32"/>
          <w:szCs w:val="32"/>
        </w:rPr>
        <w:t>，决算数小于预算数的主要原因是：2021年产生的公务接待费、公务用车维修费减少。</w:t>
      </w:r>
    </w:p>
    <w:p>
      <w:pPr>
        <w:spacing w:line="600" w:lineRule="exact"/>
        <w:ind w:firstLine="640"/>
        <w:outlineLvl w:val="2"/>
        <w:rPr>
          <w:rFonts w:ascii="仿宋" w:hAnsi="仿宋" w:eastAsia="仿宋"/>
          <w:b/>
          <w:sz w:val="32"/>
          <w:szCs w:val="32"/>
        </w:rPr>
      </w:pPr>
      <w:bookmarkStart w:id="78" w:name="_Toc15377217"/>
      <w:r>
        <w:rPr>
          <w:rFonts w:hint="eastAsia" w:ascii="仿宋" w:hAnsi="仿宋" w:eastAsia="仿宋"/>
          <w:b/>
          <w:sz w:val="32"/>
          <w:szCs w:val="32"/>
        </w:rPr>
        <w:t>（二）“三公”经费财政拨款支出决算具体情况说明</w:t>
      </w:r>
      <w:bookmarkEnd w:id="78"/>
    </w:p>
    <w:p>
      <w:pPr>
        <w:spacing w:line="600" w:lineRule="exact"/>
        <w:ind w:firstLine="640"/>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21年“三公”经费财政拨款支出决算中，因公出国（境）费支出决算0万元，占0</w:t>
      </w:r>
      <w:r>
        <w:rPr>
          <w:rFonts w:ascii="仿宋" w:hAnsi="仿宋" w:eastAsia="仿宋"/>
          <w:sz w:val="32"/>
          <w:szCs w:val="32"/>
        </w:rPr>
        <w:t>%</w:t>
      </w:r>
      <w:r>
        <w:rPr>
          <w:rFonts w:hint="eastAsia" w:ascii="仿宋" w:hAnsi="仿宋" w:eastAsia="仿宋"/>
          <w:sz w:val="32"/>
          <w:szCs w:val="32"/>
        </w:rPr>
        <w:t>；公务用车购置及运行维护费支出决算4.12万元，占82.4</w:t>
      </w:r>
      <w:r>
        <w:rPr>
          <w:rFonts w:ascii="仿宋" w:hAnsi="仿宋" w:eastAsia="仿宋"/>
          <w:sz w:val="32"/>
          <w:szCs w:val="32"/>
        </w:rPr>
        <w:t>%</w:t>
      </w:r>
      <w:r>
        <w:rPr>
          <w:rFonts w:hint="eastAsia" w:ascii="仿宋" w:hAnsi="仿宋" w:eastAsia="仿宋"/>
          <w:sz w:val="32"/>
          <w:szCs w:val="32"/>
        </w:rPr>
        <w:t>；公务接待费支出决算1.17万元，占17.6</w:t>
      </w:r>
      <w:r>
        <w:rPr>
          <w:rFonts w:ascii="仿宋" w:hAnsi="仿宋" w:eastAsia="仿宋"/>
          <w:sz w:val="32"/>
          <w:szCs w:val="32"/>
        </w:rPr>
        <w:t>%</w:t>
      </w:r>
      <w:r>
        <w:rPr>
          <w:rFonts w:hint="eastAsia" w:ascii="仿宋" w:hAnsi="仿宋" w:eastAsia="仿宋"/>
          <w:sz w:val="32"/>
          <w:szCs w:val="32"/>
        </w:rPr>
        <w:t>。具体情况如下：</w:t>
      </w:r>
    </w:p>
    <w:p>
      <w:pPr>
        <w:spacing w:line="600" w:lineRule="exact"/>
        <w:ind w:firstLine="640"/>
        <w:rPr>
          <w:rFonts w:ascii="仿宋" w:hAnsi="仿宋" w:eastAsia="仿宋"/>
          <w:sz w:val="32"/>
          <w:szCs w:val="32"/>
        </w:rPr>
      </w:pPr>
      <w:r>
        <w:rPr>
          <w:rFonts w:hint="eastAsia" w:ascii="仿宋" w:hAnsi="仿宋" w:eastAsia="仿宋"/>
          <w:sz w:val="32"/>
          <w:szCs w:val="32"/>
        </w:rPr>
        <w:t>（图7：“三公”经费财政拨款支出结构）（饼状图）</w:t>
      </w:r>
    </w:p>
    <w:p>
      <w:pPr>
        <w:pStyle w:val="31"/>
        <w:ind w:firstLine="640"/>
        <w:rPr>
          <w:rFonts w:ascii="仿宋" w:hAnsi="仿宋" w:eastAsia="仿宋"/>
          <w:sz w:val="32"/>
          <w:szCs w:val="32"/>
        </w:rPr>
      </w:pPr>
      <w:r>
        <w:rPr>
          <w:rFonts w:ascii="仿宋" w:hAnsi="仿宋" w:eastAsia="仿宋"/>
          <w:sz w:val="32"/>
          <w:szCs w:val="32"/>
        </w:rPr>
        <w:drawing>
          <wp:inline distT="0" distB="0" distL="0" distR="0">
            <wp:extent cx="4446270" cy="2552065"/>
            <wp:effectExtent l="57150" t="0" r="30139" b="38668"/>
            <wp:docPr id="21" name="图表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pPr>
        <w:pStyle w:val="31"/>
        <w:ind w:firstLine="0" w:firstLineChars="0"/>
        <w:rPr>
          <w:rFonts w:ascii="仿宋" w:hAnsi="仿宋" w:eastAsia="仿宋"/>
          <w:sz w:val="32"/>
          <w:szCs w:val="32"/>
        </w:rPr>
      </w:pPr>
    </w:p>
    <w:p>
      <w:pPr>
        <w:spacing w:line="600" w:lineRule="exact"/>
        <w:ind w:firstLine="640"/>
        <w:rPr>
          <w:rFonts w:ascii="仿宋_GB2312" w:eastAsia="仿宋_GB2312"/>
          <w:b/>
          <w:sz w:val="32"/>
          <w:szCs w:val="32"/>
        </w:rPr>
      </w:pPr>
      <w:r>
        <w:rPr>
          <w:rFonts w:ascii="仿宋_GB2312" w:eastAsia="仿宋_GB2312"/>
          <w:b/>
          <w:sz w:val="32"/>
          <w:szCs w:val="32"/>
        </w:rPr>
        <w:t>1.</w:t>
      </w:r>
      <w:r>
        <w:rPr>
          <w:rFonts w:hint="eastAsia" w:ascii="仿宋_GB2312" w:eastAsia="仿宋_GB2312"/>
          <w:b/>
          <w:sz w:val="32"/>
          <w:szCs w:val="32"/>
        </w:rPr>
        <w:t>因公出国（境）经费支出0</w:t>
      </w:r>
      <w:r>
        <w:rPr>
          <w:rFonts w:hint="eastAsia" w:ascii="仿宋_GB2312" w:eastAsia="仿宋_GB2312"/>
          <w:sz w:val="32"/>
          <w:szCs w:val="32"/>
        </w:rPr>
        <w:t>万元，</w:t>
      </w:r>
      <w:r>
        <w:rPr>
          <w:rStyle w:val="15"/>
          <w:rFonts w:hint="eastAsia" w:ascii="仿宋" w:hAnsi="仿宋" w:eastAsia="仿宋"/>
          <w:bCs/>
          <w:sz w:val="32"/>
          <w:szCs w:val="32"/>
        </w:rPr>
        <w:t>完成预算0</w:t>
      </w:r>
      <w:r>
        <w:rPr>
          <w:rStyle w:val="15"/>
          <w:rFonts w:ascii="仿宋" w:hAnsi="仿宋" w:eastAsia="仿宋"/>
          <w:bCs/>
          <w:sz w:val="32"/>
          <w:szCs w:val="32"/>
        </w:rPr>
        <w:t>%</w:t>
      </w:r>
      <w:r>
        <w:rPr>
          <w:rStyle w:val="15"/>
          <w:rFonts w:hint="eastAsia" w:ascii="仿宋" w:hAnsi="仿宋" w:eastAsia="仿宋"/>
          <w:bCs/>
          <w:sz w:val="32"/>
          <w:szCs w:val="32"/>
        </w:rPr>
        <w:t>。</w:t>
      </w:r>
      <w:r>
        <w:rPr>
          <w:rFonts w:hint="eastAsia" w:ascii="仿宋_GB2312" w:eastAsia="仿宋_GB2312"/>
          <w:sz w:val="32"/>
          <w:szCs w:val="32"/>
        </w:rPr>
        <w:t>全年安排因公出国（境）团组0次，出国（境）0人。因公出国（境）支出决算与</w:t>
      </w:r>
      <w:r>
        <w:rPr>
          <w:rFonts w:ascii="仿宋_GB2312" w:eastAsia="仿宋_GB2312"/>
          <w:sz w:val="32"/>
          <w:szCs w:val="32"/>
        </w:rPr>
        <w:t>20</w:t>
      </w:r>
      <w:r>
        <w:rPr>
          <w:rFonts w:hint="eastAsia" w:ascii="仿宋_GB2312" w:eastAsia="仿宋_GB2312"/>
          <w:sz w:val="32"/>
          <w:szCs w:val="32"/>
        </w:rPr>
        <w:t>20年持平。</w:t>
      </w:r>
    </w:p>
    <w:p>
      <w:pPr>
        <w:spacing w:line="600" w:lineRule="exact"/>
        <w:ind w:firstLine="640"/>
        <w:rPr>
          <w:rFonts w:ascii="仿宋_GB2312" w:eastAsia="仿宋_GB2312"/>
          <w:b/>
          <w:sz w:val="32"/>
          <w:szCs w:val="32"/>
        </w:rPr>
      </w:pPr>
      <w:r>
        <w:rPr>
          <w:rFonts w:ascii="仿宋_GB2312" w:eastAsia="仿宋_GB2312"/>
          <w:b/>
          <w:sz w:val="32"/>
          <w:szCs w:val="32"/>
        </w:rPr>
        <w:t>2.</w:t>
      </w:r>
      <w:r>
        <w:rPr>
          <w:rFonts w:hint="eastAsia" w:ascii="仿宋_GB2312" w:eastAsia="仿宋_GB2312"/>
          <w:b/>
          <w:sz w:val="32"/>
          <w:szCs w:val="32"/>
        </w:rPr>
        <w:t>公务用车购置及运行维护费支出4.12</w:t>
      </w:r>
      <w:r>
        <w:rPr>
          <w:rFonts w:hint="eastAsia" w:ascii="仿宋_GB2312" w:eastAsia="仿宋_GB2312"/>
          <w:sz w:val="32"/>
          <w:szCs w:val="32"/>
        </w:rPr>
        <w:t>万元,</w:t>
      </w:r>
      <w:r>
        <w:rPr>
          <w:rStyle w:val="15"/>
          <w:rFonts w:hint="eastAsia" w:ascii="仿宋" w:hAnsi="仿宋" w:eastAsia="仿宋"/>
          <w:bCs/>
          <w:sz w:val="32"/>
          <w:szCs w:val="32"/>
        </w:rPr>
        <w:t>完成预算30</w:t>
      </w:r>
      <w:r>
        <w:rPr>
          <w:rStyle w:val="15"/>
          <w:rFonts w:ascii="仿宋" w:hAnsi="仿宋" w:eastAsia="仿宋"/>
          <w:bCs/>
          <w:sz w:val="32"/>
          <w:szCs w:val="32"/>
        </w:rPr>
        <w:t>%</w:t>
      </w:r>
      <w:r>
        <w:rPr>
          <w:rStyle w:val="15"/>
          <w:rFonts w:hint="eastAsia" w:ascii="仿宋" w:hAnsi="仿宋" w:eastAsia="仿宋"/>
          <w:bCs/>
          <w:sz w:val="32"/>
          <w:szCs w:val="32"/>
        </w:rPr>
        <w:t>。</w:t>
      </w:r>
      <w:r>
        <w:rPr>
          <w:rFonts w:hint="eastAsia" w:ascii="仿宋_GB2312" w:eastAsia="仿宋_GB2312"/>
          <w:sz w:val="32"/>
          <w:szCs w:val="32"/>
        </w:rPr>
        <w:t>公务用车购置及运行维护费支出决算比</w:t>
      </w:r>
      <w:r>
        <w:rPr>
          <w:rFonts w:ascii="仿宋_GB2312" w:eastAsia="仿宋_GB2312"/>
          <w:sz w:val="32"/>
          <w:szCs w:val="32"/>
        </w:rPr>
        <w:t>20</w:t>
      </w:r>
      <w:r>
        <w:rPr>
          <w:rFonts w:hint="eastAsia" w:ascii="仿宋_GB2312" w:eastAsia="仿宋_GB2312"/>
          <w:sz w:val="32"/>
          <w:szCs w:val="32"/>
        </w:rPr>
        <w:t>20年减少0.49万元，下降10</w:t>
      </w:r>
      <w:r>
        <w:rPr>
          <w:rFonts w:ascii="仿宋_GB2312" w:eastAsia="仿宋_GB2312"/>
          <w:sz w:val="32"/>
          <w:szCs w:val="32"/>
        </w:rPr>
        <w:t>%</w:t>
      </w:r>
      <w:r>
        <w:rPr>
          <w:rFonts w:hint="eastAsia" w:ascii="仿宋_GB2312" w:eastAsia="仿宋_GB2312"/>
          <w:sz w:val="32"/>
          <w:szCs w:val="32"/>
        </w:rPr>
        <w:t>。主要原因是本着历行节约的原则、爱护节约使用公车。</w:t>
      </w:r>
    </w:p>
    <w:p>
      <w:pPr>
        <w:spacing w:line="600" w:lineRule="exact"/>
        <w:ind w:firstLine="640" w:firstLineChars="200"/>
        <w:rPr>
          <w:rFonts w:ascii="仿宋_GB2312" w:eastAsia="仿宋_GB2312"/>
          <w:b/>
          <w:sz w:val="32"/>
          <w:szCs w:val="32"/>
        </w:rPr>
      </w:pPr>
      <w:r>
        <w:rPr>
          <w:rFonts w:hint="eastAsia" w:ascii="仿宋_GB2312" w:eastAsia="仿宋_GB2312"/>
          <w:sz w:val="32"/>
          <w:szCs w:val="32"/>
        </w:rPr>
        <w:t>其中：</w:t>
      </w:r>
      <w:r>
        <w:rPr>
          <w:rFonts w:hint="eastAsia" w:ascii="仿宋_GB2312" w:eastAsia="仿宋_GB2312"/>
          <w:b/>
          <w:sz w:val="32"/>
          <w:szCs w:val="32"/>
        </w:rPr>
        <w:t>公务用车购置支出0</w:t>
      </w:r>
      <w:r>
        <w:rPr>
          <w:rFonts w:hint="eastAsia" w:ascii="仿宋_GB2312" w:eastAsia="仿宋_GB2312"/>
          <w:sz w:val="32"/>
          <w:szCs w:val="32"/>
        </w:rPr>
        <w:t>万元。全年按规定更新购置公务用车0辆，其中：轿车0辆、金额0万元，越野车0辆、金额0万元，载客汽车0辆、金额0万元。截至</w:t>
      </w:r>
      <w:r>
        <w:rPr>
          <w:rFonts w:ascii="仿宋_GB2312" w:eastAsia="仿宋_GB2312"/>
          <w:sz w:val="32"/>
          <w:szCs w:val="32"/>
        </w:rPr>
        <w:t>20</w:t>
      </w:r>
      <w:r>
        <w:rPr>
          <w:rFonts w:hint="eastAsia" w:ascii="仿宋_GB2312" w:eastAsia="仿宋_GB2312"/>
          <w:sz w:val="32"/>
          <w:szCs w:val="32"/>
        </w:rPr>
        <w:t>21年</w:t>
      </w:r>
      <w:r>
        <w:rPr>
          <w:rFonts w:ascii="仿宋_GB2312" w:eastAsia="仿宋_GB2312"/>
          <w:sz w:val="32"/>
          <w:szCs w:val="32"/>
        </w:rPr>
        <w:t>12</w:t>
      </w:r>
      <w:r>
        <w:rPr>
          <w:rFonts w:hint="eastAsia" w:ascii="仿宋_GB2312" w:eastAsia="仿宋_GB2312"/>
          <w:sz w:val="32"/>
          <w:szCs w:val="32"/>
        </w:rPr>
        <w:t>月底，单位共有公务用车2辆，其中：轿车2辆、越野车0辆。</w:t>
      </w:r>
    </w:p>
    <w:p>
      <w:pPr>
        <w:spacing w:line="600" w:lineRule="exact"/>
        <w:ind w:firstLine="640"/>
        <w:rPr>
          <w:rFonts w:ascii="仿宋_GB2312" w:eastAsia="仿宋_GB2312"/>
          <w:sz w:val="32"/>
          <w:szCs w:val="32"/>
        </w:rPr>
      </w:pPr>
      <w:r>
        <w:rPr>
          <w:rFonts w:hint="eastAsia" w:ascii="仿宋_GB2312" w:eastAsia="仿宋_GB2312"/>
          <w:b/>
          <w:sz w:val="32"/>
          <w:szCs w:val="32"/>
        </w:rPr>
        <w:t>公务用车运行维护费支出4.12</w:t>
      </w:r>
      <w:r>
        <w:rPr>
          <w:rFonts w:hint="eastAsia" w:ascii="仿宋_GB2312" w:eastAsia="仿宋_GB2312"/>
          <w:sz w:val="32"/>
          <w:szCs w:val="32"/>
        </w:rPr>
        <w:t>万元。主要用下村宣传五清行动、疫情防控、森林防火等所需的公务用车燃料费、维修费、过路过桥费、保险费等支出。</w:t>
      </w:r>
    </w:p>
    <w:p>
      <w:pPr>
        <w:spacing w:line="600" w:lineRule="exact"/>
        <w:ind w:firstLine="640"/>
        <w:rPr>
          <w:rFonts w:ascii="黑体" w:eastAsia="黑体"/>
          <w:sz w:val="32"/>
          <w:szCs w:val="32"/>
        </w:rPr>
      </w:pPr>
      <w:bookmarkStart w:id="79" w:name="_Toc15377218"/>
      <w:bookmarkStart w:id="80" w:name="_Toc15396610"/>
      <w:bookmarkStart w:id="81" w:name="_Toc3295_WPSOffice_Level2"/>
      <w:r>
        <w:rPr>
          <w:rFonts w:ascii="仿宋_GB2312" w:eastAsia="仿宋_GB2312"/>
          <w:b/>
          <w:sz w:val="32"/>
          <w:szCs w:val="32"/>
        </w:rPr>
        <w:t>3.</w:t>
      </w:r>
      <w:r>
        <w:rPr>
          <w:rFonts w:hint="eastAsia" w:ascii="仿宋_GB2312" w:eastAsia="仿宋_GB2312"/>
          <w:b/>
          <w:sz w:val="32"/>
          <w:szCs w:val="32"/>
        </w:rPr>
        <w:t>公务接待费支出1.17</w:t>
      </w:r>
      <w:r>
        <w:rPr>
          <w:rFonts w:hint="eastAsia" w:ascii="仿宋_GB2312" w:eastAsia="仿宋_GB2312"/>
          <w:sz w:val="32"/>
          <w:szCs w:val="32"/>
        </w:rPr>
        <w:t>万元，</w:t>
      </w:r>
      <w:r>
        <w:rPr>
          <w:rFonts w:hint="eastAsia" w:ascii="仿宋_GB2312" w:eastAsia="仿宋_GB2312"/>
          <w:sz w:val="32"/>
          <w:szCs w:val="32"/>
          <w:lang w:val="en-US" w:eastAsia="zh-CN"/>
        </w:rPr>
        <w:t>主要用于开展业务活动开支的用餐费用，公务接待4个批次，共计120人，共计支出1.17万。</w:t>
      </w:r>
      <w:r>
        <w:rPr>
          <w:rStyle w:val="15"/>
          <w:rFonts w:hint="eastAsia" w:ascii="仿宋" w:hAnsi="仿宋" w:eastAsia="仿宋"/>
          <w:b w:val="0"/>
          <w:bCs/>
          <w:sz w:val="32"/>
          <w:szCs w:val="32"/>
        </w:rPr>
        <w:t>完成预算9</w:t>
      </w:r>
      <w:r>
        <w:rPr>
          <w:rStyle w:val="15"/>
          <w:rFonts w:ascii="仿宋" w:hAnsi="仿宋" w:eastAsia="仿宋"/>
          <w:b w:val="0"/>
          <w:bCs/>
          <w:sz w:val="32"/>
          <w:szCs w:val="32"/>
        </w:rPr>
        <w:t>%</w:t>
      </w:r>
      <w:r>
        <w:rPr>
          <w:rStyle w:val="15"/>
          <w:rFonts w:hint="eastAsia" w:ascii="仿宋" w:hAnsi="仿宋" w:eastAsia="仿宋"/>
          <w:b w:val="0"/>
          <w:bCs/>
          <w:sz w:val="32"/>
          <w:szCs w:val="32"/>
        </w:rPr>
        <w:t>。</w:t>
      </w:r>
      <w:r>
        <w:rPr>
          <w:rFonts w:hint="eastAsia" w:ascii="仿宋_GB2312" w:eastAsia="仿宋_GB2312"/>
          <w:sz w:val="32"/>
          <w:szCs w:val="32"/>
        </w:rPr>
        <w:t>公务接待费支出决算比</w:t>
      </w:r>
      <w:r>
        <w:rPr>
          <w:rFonts w:ascii="仿宋_GB2312" w:eastAsia="仿宋_GB2312"/>
          <w:sz w:val="32"/>
          <w:szCs w:val="32"/>
        </w:rPr>
        <w:t>20</w:t>
      </w:r>
      <w:r>
        <w:rPr>
          <w:rFonts w:hint="eastAsia" w:ascii="仿宋_GB2312" w:eastAsia="仿宋_GB2312"/>
          <w:sz w:val="32"/>
          <w:szCs w:val="32"/>
        </w:rPr>
        <w:t>20年减少0.52万元，下降31</w:t>
      </w:r>
      <w:r>
        <w:rPr>
          <w:rFonts w:ascii="仿宋_GB2312" w:eastAsia="仿宋_GB2312"/>
          <w:sz w:val="32"/>
          <w:szCs w:val="32"/>
        </w:rPr>
        <w:t>%</w:t>
      </w:r>
      <w:r>
        <w:rPr>
          <w:rFonts w:hint="eastAsia" w:ascii="仿宋_GB2312" w:eastAsia="仿宋_GB2312"/>
          <w:sz w:val="32"/>
          <w:szCs w:val="32"/>
        </w:rPr>
        <w:t>。主要原因是本着历行节约的原则。</w:t>
      </w:r>
    </w:p>
    <w:p>
      <w:pPr>
        <w:spacing w:line="600" w:lineRule="exact"/>
        <w:ind w:firstLine="640"/>
        <w:outlineLvl w:val="1"/>
        <w:rPr>
          <w:rStyle w:val="26"/>
          <w:rFonts w:ascii="黑体" w:hAnsi="黑体" w:eastAsia="黑体"/>
        </w:rPr>
      </w:pPr>
      <w:r>
        <w:rPr>
          <w:rFonts w:hint="eastAsia" w:ascii="黑体" w:eastAsia="黑体"/>
          <w:sz w:val="32"/>
          <w:szCs w:val="32"/>
        </w:rPr>
        <w:t>八、</w:t>
      </w:r>
      <w:r>
        <w:rPr>
          <w:rStyle w:val="26"/>
          <w:rFonts w:hint="eastAsia" w:ascii="黑体" w:hAnsi="黑体" w:eastAsia="黑体"/>
          <w:b w:val="0"/>
        </w:rPr>
        <w:t>政府性基金预算支出决算情况说明</w:t>
      </w:r>
      <w:bookmarkEnd w:id="79"/>
      <w:bookmarkEnd w:id="80"/>
      <w:bookmarkEnd w:id="81"/>
    </w:p>
    <w:p>
      <w:pPr>
        <w:spacing w:line="600" w:lineRule="exact"/>
        <w:ind w:firstLine="64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21年政府性基金预算财政拨款支出0万元。</w:t>
      </w:r>
      <w:bookmarkStart w:id="82" w:name="_Toc15396611"/>
      <w:bookmarkStart w:id="83" w:name="_Toc283_WPSOffice_Level2"/>
      <w:bookmarkStart w:id="84" w:name="_Toc15377219"/>
    </w:p>
    <w:p>
      <w:pPr>
        <w:spacing w:line="600" w:lineRule="exact"/>
        <w:ind w:firstLine="640"/>
        <w:rPr>
          <w:rStyle w:val="26"/>
          <w:rFonts w:ascii="黑体" w:hAnsi="黑体" w:eastAsia="黑体"/>
          <w:b w:val="0"/>
        </w:rPr>
      </w:pPr>
      <w:r>
        <w:rPr>
          <w:rFonts w:hint="eastAsia" w:ascii="黑体" w:eastAsia="黑体"/>
          <w:sz w:val="32"/>
          <w:szCs w:val="32"/>
        </w:rPr>
        <w:t>九、</w:t>
      </w:r>
      <w:r>
        <w:rPr>
          <w:rStyle w:val="26"/>
          <w:rFonts w:hint="eastAsia" w:ascii="黑体" w:hAnsi="黑体" w:eastAsia="黑体"/>
          <w:b w:val="0"/>
        </w:rPr>
        <w:t>国有资本经营预算支出决算情况说明</w:t>
      </w:r>
      <w:bookmarkEnd w:id="82"/>
      <w:bookmarkEnd w:id="83"/>
      <w:bookmarkEnd w:id="84"/>
    </w:p>
    <w:p>
      <w:pPr>
        <w:spacing w:line="600" w:lineRule="exact"/>
        <w:ind w:firstLine="640"/>
        <w:rPr>
          <w:rFonts w:ascii="方正小标宋简体" w:hAnsi="方正小标宋简体" w:eastAsia="方正小标宋简体" w:cs="方正小标宋简体"/>
          <w:sz w:val="44"/>
          <w:szCs w:val="44"/>
        </w:rPr>
      </w:pPr>
      <w:r>
        <w:rPr>
          <w:rFonts w:ascii="仿宋_GB2312" w:eastAsia="仿宋_GB2312"/>
          <w:sz w:val="32"/>
          <w:szCs w:val="32"/>
        </w:rPr>
        <w:t>20</w:t>
      </w:r>
      <w:r>
        <w:rPr>
          <w:rFonts w:hint="eastAsia" w:ascii="仿宋_GB2312" w:eastAsia="仿宋_GB2312"/>
          <w:sz w:val="32"/>
          <w:szCs w:val="32"/>
        </w:rPr>
        <w:t>21年国有资本经营预算财政拨款支出0万元。</w:t>
      </w:r>
    </w:p>
    <w:p>
      <w:pPr>
        <w:pStyle w:val="24"/>
        <w:numPr>
          <w:ilvl w:val="0"/>
          <w:numId w:val="4"/>
        </w:numPr>
        <w:spacing w:line="600" w:lineRule="exact"/>
        <w:ind w:firstLineChars="0"/>
        <w:outlineLvl w:val="1"/>
        <w:rPr>
          <w:rStyle w:val="26"/>
          <w:rFonts w:ascii="黑体" w:hAnsi="黑体" w:eastAsia="黑体"/>
          <w:b w:val="0"/>
        </w:rPr>
      </w:pPr>
      <w:bookmarkStart w:id="85" w:name="_Toc15396612"/>
      <w:bookmarkStart w:id="86" w:name="_Toc23819_WPSOffice_Level2"/>
      <w:bookmarkStart w:id="87" w:name="_Toc15377221"/>
      <w:r>
        <w:rPr>
          <w:rStyle w:val="26"/>
          <w:rFonts w:hint="eastAsia" w:ascii="黑体" w:hAnsi="黑体" w:eastAsia="黑体"/>
          <w:b w:val="0"/>
        </w:rPr>
        <w:t>其他重要事项的情况说明</w:t>
      </w:r>
      <w:bookmarkEnd w:id="85"/>
      <w:bookmarkEnd w:id="86"/>
      <w:bookmarkEnd w:id="87"/>
    </w:p>
    <w:p>
      <w:pPr>
        <w:spacing w:line="600" w:lineRule="exact"/>
        <w:ind w:firstLine="643" w:firstLineChars="200"/>
        <w:outlineLvl w:val="2"/>
        <w:rPr>
          <w:rFonts w:ascii="仿宋" w:hAnsi="仿宋" w:eastAsia="仿宋"/>
          <w:sz w:val="32"/>
          <w:szCs w:val="32"/>
        </w:rPr>
      </w:pPr>
      <w:bookmarkStart w:id="88" w:name="_Toc15377222"/>
      <w:r>
        <w:rPr>
          <w:rFonts w:hint="eastAsia" w:ascii="仿宋" w:hAnsi="仿宋" w:eastAsia="仿宋"/>
          <w:b/>
          <w:sz w:val="32"/>
          <w:szCs w:val="32"/>
        </w:rPr>
        <w:t>（一）机关运行经费支出情况</w:t>
      </w:r>
      <w:bookmarkEnd w:id="88"/>
    </w:p>
    <w:p>
      <w:pPr>
        <w:spacing w:line="600" w:lineRule="exact"/>
        <w:ind w:firstLine="640" w:firstLineChars="20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21年，平兴镇机关运行经费支出90.34万元，比</w:t>
      </w:r>
      <w:r>
        <w:rPr>
          <w:rFonts w:ascii="仿宋_GB2312" w:eastAsia="仿宋_GB2312"/>
          <w:sz w:val="32"/>
          <w:szCs w:val="32"/>
        </w:rPr>
        <w:t>20</w:t>
      </w:r>
      <w:r>
        <w:rPr>
          <w:rFonts w:hint="eastAsia" w:ascii="仿宋_GB2312" w:eastAsia="仿宋_GB2312"/>
          <w:sz w:val="32"/>
          <w:szCs w:val="32"/>
        </w:rPr>
        <w:t>20年增加10.52万元，增长13.17</w:t>
      </w:r>
      <w:r>
        <w:rPr>
          <w:rFonts w:ascii="仿宋_GB2312" w:eastAsia="仿宋_GB2312"/>
          <w:sz w:val="32"/>
          <w:szCs w:val="32"/>
        </w:rPr>
        <w:t>%</w:t>
      </w:r>
      <w:r>
        <w:rPr>
          <w:rFonts w:hint="eastAsia" w:ascii="仿宋_GB2312" w:eastAsia="仿宋_GB2312"/>
          <w:sz w:val="32"/>
          <w:szCs w:val="32"/>
        </w:rPr>
        <w:t>。主要原因是2021年增加退役军人四人，机关运行经费增加。</w:t>
      </w:r>
    </w:p>
    <w:p>
      <w:pPr>
        <w:autoSpaceDE w:val="0"/>
        <w:autoSpaceDN w:val="0"/>
        <w:adjustRightInd w:val="0"/>
        <w:spacing w:line="600" w:lineRule="exact"/>
        <w:ind w:firstLine="643" w:firstLineChars="200"/>
        <w:jc w:val="left"/>
        <w:outlineLvl w:val="2"/>
        <w:rPr>
          <w:rFonts w:ascii="仿宋" w:hAnsi="仿宋" w:eastAsia="仿宋"/>
          <w:b/>
          <w:sz w:val="32"/>
          <w:szCs w:val="32"/>
        </w:rPr>
      </w:pPr>
      <w:bookmarkStart w:id="89" w:name="_Toc15377223"/>
      <w:r>
        <w:rPr>
          <w:rFonts w:hint="eastAsia" w:ascii="仿宋" w:hAnsi="仿宋" w:eastAsia="仿宋"/>
          <w:b/>
          <w:sz w:val="32"/>
          <w:szCs w:val="32"/>
        </w:rPr>
        <w:t>（二）政府采购支出情况</w:t>
      </w:r>
      <w:bookmarkEnd w:id="89"/>
    </w:p>
    <w:p>
      <w:pPr>
        <w:spacing w:line="600" w:lineRule="exact"/>
        <w:ind w:firstLine="640" w:firstLineChars="20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21年，平兴镇政府采购支出总额325.71万元，其中：政府采购货物支出2.87万元、政府采购工程支出322.84万元、政府采购服务支出0万元。主要用于游坝产业环线、滑石产业环线建设。授予中小企业合同金额0万元，占政府采购支出总额的0</w:t>
      </w:r>
      <w:r>
        <w:rPr>
          <w:rFonts w:ascii="仿宋_GB2312" w:eastAsia="仿宋_GB2312"/>
          <w:sz w:val="32"/>
          <w:szCs w:val="32"/>
        </w:rPr>
        <w:t>%</w:t>
      </w:r>
      <w:r>
        <w:rPr>
          <w:rFonts w:hint="eastAsia" w:ascii="仿宋_GB2312" w:eastAsia="仿宋_GB2312"/>
          <w:sz w:val="32"/>
          <w:szCs w:val="32"/>
        </w:rPr>
        <w:t>，其中：授予小微企业合同金额322.84万元，占政府采购支出总额的99</w:t>
      </w:r>
      <w:r>
        <w:rPr>
          <w:rFonts w:ascii="仿宋_GB2312" w:eastAsia="仿宋_GB2312"/>
          <w:sz w:val="32"/>
          <w:szCs w:val="32"/>
        </w:rPr>
        <w:t>%</w:t>
      </w:r>
      <w:r>
        <w:rPr>
          <w:rFonts w:hint="eastAsia" w:ascii="仿宋_GB2312" w:eastAsia="仿宋_GB2312"/>
          <w:sz w:val="32"/>
          <w:szCs w:val="32"/>
        </w:rPr>
        <w:t>。</w:t>
      </w:r>
    </w:p>
    <w:p>
      <w:pPr>
        <w:autoSpaceDE w:val="0"/>
        <w:autoSpaceDN w:val="0"/>
        <w:adjustRightInd w:val="0"/>
        <w:spacing w:line="600" w:lineRule="exact"/>
        <w:ind w:firstLine="643" w:firstLineChars="200"/>
        <w:jc w:val="left"/>
        <w:outlineLvl w:val="2"/>
        <w:rPr>
          <w:rFonts w:ascii="仿宋" w:hAnsi="仿宋" w:eastAsia="仿宋"/>
          <w:b/>
          <w:sz w:val="32"/>
          <w:szCs w:val="32"/>
        </w:rPr>
      </w:pPr>
      <w:bookmarkStart w:id="90" w:name="_Toc15377224"/>
      <w:r>
        <w:rPr>
          <w:rFonts w:hint="eastAsia" w:ascii="仿宋" w:hAnsi="仿宋" w:eastAsia="仿宋"/>
          <w:b/>
          <w:sz w:val="32"/>
          <w:szCs w:val="32"/>
        </w:rPr>
        <w:t>（三）国有资产占有使用情况</w:t>
      </w:r>
      <w:bookmarkEnd w:id="90"/>
    </w:p>
    <w:p>
      <w:pPr>
        <w:autoSpaceDE w:val="0"/>
        <w:autoSpaceDN w:val="0"/>
        <w:adjustRightInd w:val="0"/>
        <w:spacing w:line="600" w:lineRule="exact"/>
        <w:ind w:firstLine="640" w:firstLineChars="200"/>
        <w:jc w:val="left"/>
        <w:rPr>
          <w:rFonts w:ascii="仿宋_GB2312" w:eastAsia="仿宋_GB2312"/>
          <w:sz w:val="32"/>
          <w:szCs w:val="32"/>
        </w:rPr>
      </w:pPr>
      <w:r>
        <w:rPr>
          <w:rFonts w:hint="eastAsia" w:ascii="仿宋_GB2312" w:eastAsia="仿宋_GB2312"/>
          <w:sz w:val="32"/>
          <w:szCs w:val="32"/>
        </w:rPr>
        <w:t>截至</w:t>
      </w:r>
      <w:r>
        <w:rPr>
          <w:rFonts w:ascii="仿宋_GB2312" w:eastAsia="仿宋_GB2312"/>
          <w:sz w:val="32"/>
          <w:szCs w:val="32"/>
        </w:rPr>
        <w:t>20</w:t>
      </w:r>
      <w:r>
        <w:rPr>
          <w:rFonts w:hint="eastAsia" w:ascii="仿宋_GB2312" w:eastAsia="仿宋_GB2312"/>
          <w:sz w:val="32"/>
          <w:szCs w:val="32"/>
        </w:rPr>
        <w:t>21年</w:t>
      </w:r>
      <w:r>
        <w:rPr>
          <w:rFonts w:ascii="仿宋_GB2312" w:eastAsia="仿宋_GB2312"/>
          <w:sz w:val="32"/>
          <w:szCs w:val="32"/>
        </w:rPr>
        <w:t>12</w:t>
      </w:r>
      <w:r>
        <w:rPr>
          <w:rFonts w:hint="eastAsia" w:ascii="仿宋_GB2312" w:eastAsia="仿宋_GB2312"/>
          <w:sz w:val="32"/>
          <w:szCs w:val="32"/>
        </w:rPr>
        <w:t>月</w:t>
      </w:r>
      <w:r>
        <w:rPr>
          <w:rFonts w:ascii="仿宋_GB2312" w:eastAsia="仿宋_GB2312"/>
          <w:sz w:val="32"/>
          <w:szCs w:val="32"/>
        </w:rPr>
        <w:t>31</w:t>
      </w:r>
      <w:r>
        <w:rPr>
          <w:rFonts w:hint="eastAsia" w:ascii="仿宋_GB2312" w:eastAsia="仿宋_GB2312"/>
          <w:sz w:val="32"/>
          <w:szCs w:val="32"/>
        </w:rPr>
        <w:t>日，平兴镇共有车辆2辆，其中：主要领导干部用车0辆、机要通信用车0辆、应急保障用车2辆、其他用车0辆，单价</w:t>
      </w:r>
      <w:r>
        <w:rPr>
          <w:rFonts w:ascii="仿宋_GB2312" w:eastAsia="仿宋_GB2312"/>
          <w:sz w:val="32"/>
          <w:szCs w:val="32"/>
        </w:rPr>
        <w:t>50</w:t>
      </w:r>
      <w:r>
        <w:rPr>
          <w:rFonts w:hint="eastAsia" w:ascii="仿宋_GB2312" w:eastAsia="仿宋_GB2312"/>
          <w:sz w:val="32"/>
          <w:szCs w:val="32"/>
        </w:rPr>
        <w:t>万元以上通用设备0台（套），单价</w:t>
      </w:r>
      <w:r>
        <w:rPr>
          <w:rFonts w:ascii="仿宋_GB2312" w:eastAsia="仿宋_GB2312"/>
          <w:sz w:val="32"/>
          <w:szCs w:val="32"/>
        </w:rPr>
        <w:t>100</w:t>
      </w:r>
      <w:r>
        <w:rPr>
          <w:rFonts w:hint="eastAsia" w:ascii="仿宋_GB2312" w:eastAsia="仿宋_GB2312"/>
          <w:sz w:val="32"/>
          <w:szCs w:val="32"/>
        </w:rPr>
        <w:t>万元以上专用设备0台（套）。</w:t>
      </w:r>
    </w:p>
    <w:p>
      <w:pPr>
        <w:autoSpaceDE w:val="0"/>
        <w:autoSpaceDN w:val="0"/>
        <w:adjustRightInd w:val="0"/>
        <w:spacing w:line="600" w:lineRule="exact"/>
        <w:ind w:firstLine="643" w:firstLineChars="200"/>
        <w:jc w:val="left"/>
        <w:outlineLvl w:val="2"/>
        <w:rPr>
          <w:rFonts w:ascii="仿宋" w:hAnsi="仿宋" w:eastAsia="仿宋"/>
          <w:b/>
          <w:sz w:val="32"/>
          <w:szCs w:val="32"/>
        </w:rPr>
      </w:pPr>
      <w:r>
        <w:rPr>
          <w:rFonts w:hint="eastAsia" w:ascii="仿宋" w:hAnsi="仿宋" w:eastAsia="仿宋"/>
          <w:b/>
          <w:sz w:val="32"/>
          <w:szCs w:val="32"/>
        </w:rPr>
        <w:t>（四）预算绩效管理情况</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根据预算绩效管理要求，本部门在2021年度预算编制阶段，组织对平兴</w:t>
      </w:r>
      <w:r>
        <w:rPr>
          <w:rFonts w:hint="eastAsia" w:ascii="仿宋" w:hAnsi="仿宋" w:eastAsia="仿宋" w:cs="仿宋"/>
          <w:color w:val="000000"/>
          <w:sz w:val="32"/>
          <w:szCs w:val="32"/>
        </w:rPr>
        <w:t>镇人民政府人员经费项目和平兴镇人民政府基本运转经费项目开展了预算事前绩效评估</w:t>
      </w:r>
      <w:r>
        <w:rPr>
          <w:rFonts w:hint="eastAsia" w:ascii="仿宋_GB2312" w:hAnsi="仿宋_GB2312" w:eastAsia="仿宋_GB2312" w:cs="仿宋_GB2312"/>
          <w:sz w:val="32"/>
          <w:szCs w:val="32"/>
        </w:rPr>
        <w:t>，对21个项目编制了绩效目标，预算执行过程中，选取2个项目开展绩效监控，年终执行完毕后，对21个项目开展了绩效自评。同时，本部门对2021年部门整体开展绩效自评，《2021年平兴镇部门整体绩效评价报告》见附件（第四部分）。</w:t>
      </w:r>
    </w:p>
    <w:p>
      <w:pPr>
        <w:widowControl/>
        <w:jc w:val="left"/>
        <w:rPr>
          <w:rFonts w:ascii="仿宋_GB2312" w:eastAsia="仿宋_GB2312"/>
          <w:b/>
          <w:sz w:val="32"/>
          <w:szCs w:val="32"/>
        </w:rPr>
      </w:pPr>
      <w:r>
        <w:rPr>
          <w:rFonts w:ascii="仿宋_GB2312" w:eastAsia="仿宋_GB2312"/>
          <w:b/>
          <w:sz w:val="32"/>
          <w:szCs w:val="32"/>
        </w:rPr>
        <w:br w:type="page"/>
      </w:r>
    </w:p>
    <w:p>
      <w:pPr>
        <w:numPr>
          <w:ilvl w:val="0"/>
          <w:numId w:val="5"/>
        </w:numPr>
        <w:spacing w:line="600" w:lineRule="exact"/>
        <w:ind w:firstLine="660" w:firstLineChars="150"/>
        <w:jc w:val="center"/>
        <w:outlineLvl w:val="0"/>
        <w:rPr>
          <w:rStyle w:val="25"/>
          <w:rFonts w:ascii="黑体" w:hAnsi="黑体" w:eastAsia="黑体"/>
          <w:b w:val="0"/>
        </w:rPr>
      </w:pPr>
      <w:bookmarkStart w:id="91" w:name="_Toc1928_WPSOffice_Level1"/>
      <w:bookmarkStart w:id="92" w:name="_Toc15396613"/>
      <w:bookmarkStart w:id="93" w:name="_Toc15377225"/>
      <w:r>
        <w:rPr>
          <w:rFonts w:hint="eastAsia" w:ascii="黑体" w:hAnsi="黑体" w:eastAsia="黑体"/>
          <w:sz w:val="44"/>
          <w:szCs w:val="44"/>
        </w:rPr>
        <w:t>名</w:t>
      </w:r>
      <w:r>
        <w:rPr>
          <w:rStyle w:val="25"/>
          <w:rFonts w:hint="eastAsia" w:ascii="黑体" w:hAnsi="黑体" w:eastAsia="黑体"/>
        </w:rPr>
        <w:t>词解释</w:t>
      </w:r>
      <w:bookmarkEnd w:id="91"/>
      <w:bookmarkEnd w:id="92"/>
      <w:bookmarkEnd w:id="93"/>
    </w:p>
    <w:p>
      <w:pPr>
        <w:spacing w:line="600" w:lineRule="exact"/>
        <w:jc w:val="left"/>
        <w:rPr>
          <w:rFonts w:ascii="宋体"/>
          <w:b/>
          <w:sz w:val="44"/>
          <w:szCs w:val="44"/>
        </w:rPr>
      </w:pPr>
    </w:p>
    <w:p>
      <w:pPr>
        <w:pStyle w:val="23"/>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1.</w:t>
      </w:r>
      <w:r>
        <w:rPr>
          <w:rFonts w:hint="eastAsia" w:ascii="仿宋_GB2312" w:eastAsia="仿宋_GB2312"/>
          <w:color w:val="auto"/>
          <w:sz w:val="32"/>
          <w:szCs w:val="32"/>
        </w:rPr>
        <w:t>财政拨款收入：指单位从同级财政部门取得的财政预算资金。</w:t>
      </w:r>
    </w:p>
    <w:p>
      <w:pPr>
        <w:pStyle w:val="23"/>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2.</w:t>
      </w:r>
      <w:r>
        <w:rPr>
          <w:rFonts w:hint="eastAsia" w:ascii="仿宋_GB2312" w:eastAsia="仿宋_GB2312"/>
          <w:color w:val="auto"/>
          <w:sz w:val="32"/>
          <w:szCs w:val="32"/>
        </w:rPr>
        <w:t>事业收入：指事业单位开展专业业务活动及辅助活动取得的收入。</w:t>
      </w:r>
    </w:p>
    <w:p>
      <w:pPr>
        <w:pStyle w:val="23"/>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3.</w:t>
      </w:r>
      <w:r>
        <w:rPr>
          <w:rFonts w:hint="eastAsia" w:ascii="仿宋_GB2312" w:eastAsia="仿宋_GB2312"/>
          <w:color w:val="auto"/>
          <w:sz w:val="32"/>
          <w:szCs w:val="32"/>
        </w:rPr>
        <w:t>经营收入：指事业单位在专业业务活动及其辅助活动之外开展非独立核算经营活动取得的收入。。</w:t>
      </w:r>
    </w:p>
    <w:p>
      <w:pPr>
        <w:pStyle w:val="23"/>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4.</w:t>
      </w:r>
      <w:r>
        <w:rPr>
          <w:rFonts w:hint="eastAsia" w:ascii="仿宋_GB2312" w:eastAsia="仿宋_GB2312"/>
          <w:color w:val="auto"/>
          <w:sz w:val="32"/>
          <w:szCs w:val="32"/>
        </w:rPr>
        <w:t>其他收入：指单位取得的除上述收入以外的各项收入。</w:t>
      </w:r>
    </w:p>
    <w:p>
      <w:pPr>
        <w:pStyle w:val="23"/>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5.</w:t>
      </w:r>
      <w:r>
        <w:rPr>
          <w:rFonts w:hint="eastAsia" w:ascii="仿宋_GB2312" w:eastAsia="仿宋_GB2312"/>
          <w:color w:val="auto"/>
          <w:sz w:val="32"/>
          <w:szCs w:val="32"/>
        </w:rPr>
        <w:t>使用非财政拨款结余：指事业单位使用以前年度积累的非财政拨款结余弥补当年收支差额的金额。</w:t>
      </w:r>
    </w:p>
    <w:p>
      <w:pPr>
        <w:pStyle w:val="23"/>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6.</w:t>
      </w:r>
      <w:r>
        <w:rPr>
          <w:rFonts w:hint="eastAsia" w:ascii="仿宋_GB2312" w:eastAsia="仿宋_GB2312"/>
          <w:color w:val="auto"/>
          <w:sz w:val="32"/>
          <w:szCs w:val="32"/>
        </w:rPr>
        <w:t>年初结转和结余：指以前年度尚未完成、结转到本年按有关规定继续使用的资金。</w:t>
      </w:r>
    </w:p>
    <w:p>
      <w:pPr>
        <w:pStyle w:val="23"/>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7.</w:t>
      </w:r>
      <w:r>
        <w:rPr>
          <w:rFonts w:hint="eastAsia" w:ascii="仿宋_GB2312" w:eastAsia="仿宋_GB2312"/>
          <w:color w:val="auto"/>
          <w:sz w:val="32"/>
          <w:szCs w:val="32"/>
        </w:rPr>
        <w:t>结余分配：指事业单位按照会计制度规定缴纳的所得税、提取的专用结余以及转入非财政拨款结余的金额等。</w:t>
      </w:r>
    </w:p>
    <w:p>
      <w:pPr>
        <w:pStyle w:val="23"/>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8</w:t>
      </w:r>
      <w:r>
        <w:rPr>
          <w:rFonts w:hint="eastAsia" w:ascii="仿宋_GB2312" w:eastAsia="仿宋_GB2312"/>
          <w:color w:val="auto"/>
          <w:sz w:val="32"/>
          <w:szCs w:val="32"/>
        </w:rPr>
        <w:t>、年末结转和结余：指单位按有关规定结转到下年或以后年度继续使用的资金。</w:t>
      </w:r>
    </w:p>
    <w:p>
      <w:pPr>
        <w:ind w:firstLine="640" w:firstLineChars="200"/>
        <w:rPr>
          <w:rFonts w:ascii="仿宋_GB2312" w:eastAsia="仿宋_GB2312"/>
          <w:sz w:val="32"/>
          <w:szCs w:val="32"/>
        </w:rPr>
      </w:pPr>
      <w:r>
        <w:rPr>
          <w:rFonts w:ascii="仿宋_GB2312" w:eastAsia="仿宋_GB2312"/>
          <w:sz w:val="32"/>
          <w:szCs w:val="32"/>
        </w:rPr>
        <w:t>9.</w:t>
      </w:r>
      <w:r>
        <w:rPr>
          <w:rFonts w:hint="eastAsia" w:ascii="仿宋_GB2312" w:eastAsia="仿宋_GB2312"/>
          <w:sz w:val="32"/>
          <w:szCs w:val="32"/>
        </w:rPr>
        <w:t>一般公共服务（类）</w:t>
      </w:r>
      <w:r>
        <w:rPr>
          <w:rStyle w:val="15"/>
          <w:rFonts w:hint="eastAsia" w:ascii="仿宋" w:hAnsi="仿宋" w:eastAsia="仿宋" w:cs="仿宋"/>
          <w:color w:val="000000"/>
          <w:sz w:val="32"/>
          <w:szCs w:val="32"/>
        </w:rPr>
        <w:t>人大事务（款）一般行政管理事务（项）</w:t>
      </w:r>
      <w:r>
        <w:rPr>
          <w:rFonts w:hint="eastAsia" w:ascii="仿宋_GB2312" w:eastAsia="仿宋_GB2312"/>
          <w:sz w:val="32"/>
          <w:szCs w:val="32"/>
        </w:rPr>
        <w:t>：指</w:t>
      </w:r>
      <w:r>
        <w:rPr>
          <w:rFonts w:hint="eastAsia" w:ascii="仿宋" w:hAnsi="仿宋" w:eastAsia="仿宋" w:cs="仿宋"/>
          <w:color w:val="000000"/>
          <w:sz w:val="32"/>
          <w:szCs w:val="32"/>
        </w:rPr>
        <w:t>行政单位未单独设置项级科目的其他项目支出</w:t>
      </w:r>
      <w:r>
        <w:rPr>
          <w:rFonts w:hint="eastAsia" w:ascii="仿宋_GB2312" w:eastAsia="仿宋_GB2312"/>
          <w:sz w:val="32"/>
          <w:szCs w:val="32"/>
        </w:rPr>
        <w:t>。</w:t>
      </w:r>
    </w:p>
    <w:p>
      <w:pPr>
        <w:pStyle w:val="31"/>
        <w:ind w:firstLine="643"/>
        <w:rPr>
          <w:rFonts w:ascii="仿宋" w:hAnsi="仿宋" w:eastAsia="仿宋" w:cs="仿宋"/>
          <w:color w:val="000000"/>
          <w:sz w:val="32"/>
          <w:szCs w:val="32"/>
        </w:rPr>
      </w:pPr>
      <w:r>
        <w:rPr>
          <w:rStyle w:val="15"/>
          <w:rFonts w:hint="eastAsia" w:ascii="仿宋" w:hAnsi="仿宋" w:eastAsia="仿宋"/>
          <w:sz w:val="32"/>
          <w:szCs w:val="32"/>
        </w:rPr>
        <w:t>10一般公共服务（类）</w:t>
      </w:r>
      <w:r>
        <w:rPr>
          <w:rStyle w:val="15"/>
          <w:rFonts w:hint="eastAsia" w:ascii="仿宋" w:hAnsi="仿宋" w:eastAsia="仿宋" w:cs="仿宋"/>
          <w:color w:val="000000"/>
          <w:sz w:val="32"/>
          <w:szCs w:val="32"/>
        </w:rPr>
        <w:t>人大事务（款）人大会议（项）：指：</w:t>
      </w:r>
      <w:r>
        <w:rPr>
          <w:rFonts w:hint="eastAsia" w:ascii="仿宋" w:hAnsi="仿宋" w:eastAsia="仿宋" w:cs="仿宋"/>
          <w:color w:val="000000"/>
          <w:sz w:val="32"/>
          <w:szCs w:val="32"/>
        </w:rPr>
        <w:t>人大代表开展各类会议等方面的支出。</w:t>
      </w:r>
    </w:p>
    <w:p>
      <w:pPr>
        <w:pStyle w:val="31"/>
        <w:ind w:firstLine="643"/>
        <w:rPr>
          <w:rFonts w:ascii="仿宋" w:hAnsi="仿宋" w:eastAsia="仿宋" w:cs="仿宋"/>
          <w:color w:val="000000"/>
          <w:sz w:val="32"/>
          <w:szCs w:val="32"/>
        </w:rPr>
      </w:pPr>
      <w:r>
        <w:rPr>
          <w:rStyle w:val="15"/>
          <w:rFonts w:hint="eastAsia" w:ascii="仿宋" w:hAnsi="仿宋" w:eastAsia="仿宋"/>
          <w:sz w:val="32"/>
          <w:szCs w:val="32"/>
        </w:rPr>
        <w:t>11：一般公共服务（类）政协事务</w:t>
      </w:r>
      <w:r>
        <w:rPr>
          <w:rStyle w:val="15"/>
          <w:rFonts w:hint="eastAsia" w:ascii="仿宋" w:hAnsi="仿宋" w:eastAsia="仿宋" w:cs="仿宋"/>
          <w:color w:val="000000"/>
          <w:sz w:val="32"/>
          <w:szCs w:val="32"/>
        </w:rPr>
        <w:t>（款）一般行政管理事务（项）指：各级政治协商会议的支出。</w:t>
      </w:r>
    </w:p>
    <w:p>
      <w:pPr>
        <w:pStyle w:val="31"/>
        <w:ind w:firstLine="640"/>
        <w:rPr>
          <w:rFonts w:ascii="仿宋_GB2312" w:eastAsia="仿宋_GB2312"/>
          <w:sz w:val="32"/>
          <w:szCs w:val="32"/>
        </w:rPr>
      </w:pPr>
    </w:p>
    <w:p>
      <w:pPr>
        <w:pStyle w:val="31"/>
        <w:ind w:firstLine="643"/>
        <w:rPr>
          <w:rFonts w:ascii="仿宋_GB2312" w:eastAsia="仿宋"/>
          <w:sz w:val="32"/>
          <w:szCs w:val="32"/>
        </w:rPr>
      </w:pPr>
      <w:r>
        <w:rPr>
          <w:rStyle w:val="15"/>
          <w:rFonts w:hint="eastAsia" w:ascii="仿宋" w:hAnsi="仿宋" w:eastAsia="仿宋"/>
          <w:sz w:val="32"/>
          <w:szCs w:val="32"/>
        </w:rPr>
        <w:t>12.一般公共服务（类）</w:t>
      </w:r>
      <w:r>
        <w:rPr>
          <w:rStyle w:val="15"/>
          <w:rFonts w:hint="eastAsia" w:ascii="仿宋" w:hAnsi="仿宋" w:eastAsia="仿宋" w:cs="仿宋"/>
          <w:color w:val="000000"/>
          <w:sz w:val="32"/>
          <w:szCs w:val="32"/>
        </w:rPr>
        <w:t>政府办公厅(室）及相关机构事务（款）行政运行（项）指：行政单位的基本支出。</w:t>
      </w:r>
    </w:p>
    <w:p>
      <w:pPr>
        <w:ind w:firstLine="643" w:firstLineChars="200"/>
        <w:rPr>
          <w:rFonts w:ascii="仿宋_GB2312" w:eastAsia="仿宋_GB2312"/>
          <w:sz w:val="32"/>
          <w:szCs w:val="32"/>
        </w:rPr>
      </w:pPr>
      <w:r>
        <w:rPr>
          <w:rStyle w:val="15"/>
          <w:rFonts w:hint="eastAsia" w:ascii="仿宋" w:hAnsi="仿宋" w:eastAsia="仿宋"/>
          <w:sz w:val="32"/>
          <w:szCs w:val="32"/>
        </w:rPr>
        <w:t>13.一般公共服务（类）</w:t>
      </w:r>
      <w:r>
        <w:rPr>
          <w:rStyle w:val="15"/>
          <w:rFonts w:hint="eastAsia" w:ascii="仿宋" w:hAnsi="仿宋" w:eastAsia="仿宋" w:cs="仿宋"/>
          <w:color w:val="000000"/>
          <w:sz w:val="32"/>
          <w:szCs w:val="32"/>
        </w:rPr>
        <w:t>政府办公厅(室）及相关机构事务（款）一般行政管理事务（项）</w:t>
      </w:r>
      <w:r>
        <w:rPr>
          <w:rStyle w:val="15"/>
          <w:rFonts w:ascii="仿宋" w:hAnsi="仿宋" w:eastAsia="仿宋"/>
          <w:sz w:val="32"/>
          <w:szCs w:val="32"/>
        </w:rPr>
        <w:t>:</w:t>
      </w:r>
      <w:r>
        <w:rPr>
          <w:rStyle w:val="15"/>
          <w:rFonts w:hint="eastAsia" w:ascii="仿宋" w:hAnsi="仿宋" w:eastAsia="仿宋"/>
          <w:sz w:val="32"/>
          <w:szCs w:val="32"/>
        </w:rPr>
        <w:t>指</w:t>
      </w:r>
      <w:r>
        <w:rPr>
          <w:rFonts w:hint="eastAsia" w:ascii="仿宋_GB2312" w:eastAsia="仿宋_GB2312"/>
          <w:sz w:val="32"/>
          <w:szCs w:val="32"/>
        </w:rPr>
        <w:t>指</w:t>
      </w:r>
      <w:r>
        <w:rPr>
          <w:rFonts w:hint="eastAsia" w:ascii="仿宋" w:hAnsi="仿宋" w:eastAsia="仿宋" w:cs="仿宋"/>
          <w:color w:val="000000"/>
          <w:sz w:val="32"/>
          <w:szCs w:val="32"/>
        </w:rPr>
        <w:t>行政单位未单独设置项级科目的其他项目支出</w:t>
      </w:r>
      <w:r>
        <w:rPr>
          <w:rFonts w:hint="eastAsia" w:ascii="仿宋_GB2312" w:eastAsia="仿宋_GB2312"/>
          <w:sz w:val="32"/>
          <w:szCs w:val="32"/>
        </w:rPr>
        <w:t>。</w:t>
      </w:r>
    </w:p>
    <w:p>
      <w:pPr>
        <w:pStyle w:val="31"/>
        <w:ind w:firstLine="643"/>
        <w:rPr>
          <w:rStyle w:val="15"/>
          <w:rFonts w:ascii="仿宋" w:hAnsi="仿宋" w:eastAsia="仿宋"/>
          <w:b w:val="0"/>
          <w:sz w:val="32"/>
          <w:szCs w:val="32"/>
        </w:rPr>
      </w:pPr>
      <w:r>
        <w:rPr>
          <w:rStyle w:val="15"/>
          <w:rFonts w:hint="eastAsia" w:ascii="仿宋" w:hAnsi="仿宋" w:eastAsia="仿宋"/>
          <w:sz w:val="32"/>
          <w:szCs w:val="32"/>
        </w:rPr>
        <w:t>14.一般公共服务（类）</w:t>
      </w:r>
      <w:r>
        <w:rPr>
          <w:rStyle w:val="15"/>
          <w:rFonts w:hint="eastAsia" w:ascii="仿宋" w:hAnsi="仿宋" w:eastAsia="仿宋" w:cs="仿宋"/>
          <w:color w:val="000000"/>
          <w:sz w:val="32"/>
          <w:szCs w:val="32"/>
        </w:rPr>
        <w:t>政府办公厅(室）及相关机构事务（款）信访事务（项）</w:t>
      </w:r>
      <w:r>
        <w:rPr>
          <w:rStyle w:val="15"/>
          <w:rFonts w:ascii="仿宋" w:hAnsi="仿宋" w:eastAsia="仿宋"/>
          <w:sz w:val="32"/>
          <w:szCs w:val="32"/>
        </w:rPr>
        <w:t>:</w:t>
      </w:r>
      <w:r>
        <w:rPr>
          <w:rStyle w:val="15"/>
          <w:rFonts w:hint="eastAsia" w:ascii="仿宋" w:hAnsi="仿宋" w:eastAsia="仿宋"/>
          <w:sz w:val="32"/>
          <w:szCs w:val="32"/>
        </w:rPr>
        <w:t>指各级政府用于接待群众来信来访方厕所支出。</w:t>
      </w:r>
    </w:p>
    <w:p>
      <w:pPr>
        <w:pStyle w:val="31"/>
        <w:ind w:firstLine="643"/>
        <w:rPr>
          <w:rStyle w:val="15"/>
          <w:rFonts w:ascii="仿宋" w:hAnsi="仿宋" w:eastAsia="仿宋"/>
          <w:b w:val="0"/>
          <w:sz w:val="32"/>
          <w:szCs w:val="32"/>
        </w:rPr>
      </w:pPr>
      <w:r>
        <w:rPr>
          <w:rStyle w:val="15"/>
          <w:rFonts w:hint="eastAsia" w:ascii="仿宋" w:hAnsi="仿宋" w:eastAsia="仿宋"/>
          <w:sz w:val="32"/>
          <w:szCs w:val="32"/>
        </w:rPr>
        <w:t>15.一般公共服务（类）</w:t>
      </w:r>
      <w:r>
        <w:rPr>
          <w:rStyle w:val="15"/>
          <w:rFonts w:hint="eastAsia" w:ascii="仿宋" w:hAnsi="仿宋" w:eastAsia="仿宋" w:cs="仿宋"/>
          <w:color w:val="000000"/>
          <w:sz w:val="32"/>
          <w:szCs w:val="32"/>
        </w:rPr>
        <w:t>政府办公厅(室）及相关机构事务（款）事业运行（项）：指事业单位的基本支出，不包括行政单位后勤服务中心、医务室等附属事业单位。</w:t>
      </w:r>
    </w:p>
    <w:p>
      <w:pPr>
        <w:pStyle w:val="31"/>
        <w:ind w:firstLine="643"/>
        <w:rPr>
          <w:rStyle w:val="15"/>
          <w:rFonts w:ascii="仿宋" w:hAnsi="仿宋" w:eastAsia="仿宋"/>
          <w:b w:val="0"/>
          <w:bCs/>
          <w:sz w:val="32"/>
          <w:szCs w:val="32"/>
        </w:rPr>
      </w:pPr>
      <w:r>
        <w:rPr>
          <w:rStyle w:val="15"/>
          <w:rFonts w:hint="eastAsia" w:ascii="仿宋" w:hAnsi="仿宋" w:eastAsia="仿宋"/>
          <w:sz w:val="32"/>
          <w:szCs w:val="32"/>
        </w:rPr>
        <w:t>16.一般公共服务（类）</w:t>
      </w:r>
      <w:r>
        <w:rPr>
          <w:rStyle w:val="15"/>
          <w:rFonts w:hint="eastAsia" w:ascii="仿宋" w:hAnsi="仿宋" w:eastAsia="仿宋" w:cs="仿宋"/>
          <w:color w:val="000000"/>
          <w:sz w:val="32"/>
          <w:szCs w:val="32"/>
        </w:rPr>
        <w:t>政府办公厅(室）信息统计事务（款）专项普查活动（项）</w:t>
      </w:r>
      <w:r>
        <w:rPr>
          <w:rStyle w:val="15"/>
          <w:rFonts w:ascii="仿宋" w:hAnsi="仿宋" w:eastAsia="仿宋"/>
          <w:sz w:val="32"/>
          <w:szCs w:val="32"/>
        </w:rPr>
        <w:t>:</w:t>
      </w:r>
      <w:r>
        <w:rPr>
          <w:rStyle w:val="15"/>
          <w:rFonts w:hint="eastAsia" w:ascii="仿宋" w:hAnsi="仿宋" w:eastAsia="仿宋"/>
          <w:bCs/>
          <w:sz w:val="32"/>
          <w:szCs w:val="32"/>
        </w:rPr>
        <w:t>指统计部门开展人口普查、经济普查、农业普查、投入产出调查等周期性普查工作的支出。</w:t>
      </w:r>
    </w:p>
    <w:p>
      <w:pPr>
        <w:pStyle w:val="31"/>
        <w:ind w:firstLine="643"/>
        <w:rPr>
          <w:rStyle w:val="15"/>
          <w:rFonts w:ascii="仿宋" w:hAnsi="仿宋" w:eastAsia="仿宋"/>
          <w:b w:val="0"/>
          <w:sz w:val="32"/>
          <w:szCs w:val="32"/>
        </w:rPr>
      </w:pPr>
      <w:r>
        <w:rPr>
          <w:rStyle w:val="15"/>
          <w:rFonts w:hint="eastAsia" w:ascii="仿宋" w:hAnsi="仿宋" w:eastAsia="仿宋"/>
          <w:sz w:val="32"/>
          <w:szCs w:val="32"/>
        </w:rPr>
        <w:t>17.公共安全支出</w:t>
      </w:r>
      <w:r>
        <w:rPr>
          <w:rStyle w:val="15"/>
          <w:rFonts w:hint="eastAsia" w:ascii="仿宋" w:hAnsi="仿宋" w:eastAsia="仿宋" w:cs="仿宋"/>
          <w:color w:val="000000"/>
          <w:sz w:val="32"/>
          <w:szCs w:val="32"/>
        </w:rPr>
        <w:t>(类）公安（款）其他公安支出（项）：指其他用于公安方面的支出。</w:t>
      </w:r>
    </w:p>
    <w:p>
      <w:pPr>
        <w:pStyle w:val="31"/>
        <w:ind w:firstLine="643"/>
        <w:rPr>
          <w:rStyle w:val="15"/>
          <w:rFonts w:ascii="仿宋" w:hAnsi="仿宋" w:eastAsia="仿宋"/>
          <w:b w:val="0"/>
          <w:sz w:val="32"/>
          <w:szCs w:val="32"/>
        </w:rPr>
      </w:pPr>
      <w:r>
        <w:rPr>
          <w:rStyle w:val="15"/>
          <w:rFonts w:hint="eastAsia" w:ascii="仿宋" w:hAnsi="仿宋" w:eastAsia="仿宋"/>
          <w:sz w:val="32"/>
          <w:szCs w:val="32"/>
        </w:rPr>
        <w:t>18.公共安全支出</w:t>
      </w:r>
      <w:r>
        <w:rPr>
          <w:rStyle w:val="15"/>
          <w:rFonts w:hint="eastAsia" w:ascii="仿宋" w:hAnsi="仿宋" w:eastAsia="仿宋" w:cs="仿宋"/>
          <w:color w:val="000000"/>
          <w:sz w:val="32"/>
          <w:szCs w:val="32"/>
        </w:rPr>
        <w:t>(类）司法（款）社区矫正（项）：指各级司法行政部门用于社区娇正的支出。</w:t>
      </w:r>
    </w:p>
    <w:p>
      <w:pPr>
        <w:pStyle w:val="31"/>
        <w:ind w:firstLine="643"/>
        <w:rPr>
          <w:rStyle w:val="15"/>
          <w:rFonts w:ascii="仿宋" w:hAnsi="仿宋" w:eastAsia="仿宋"/>
          <w:b w:val="0"/>
          <w:bCs/>
          <w:sz w:val="32"/>
          <w:szCs w:val="32"/>
        </w:rPr>
      </w:pPr>
      <w:r>
        <w:rPr>
          <w:rStyle w:val="15"/>
          <w:rFonts w:hint="eastAsia" w:ascii="仿宋" w:hAnsi="仿宋" w:eastAsia="仿宋"/>
          <w:sz w:val="32"/>
          <w:szCs w:val="32"/>
        </w:rPr>
        <w:t>19.文化旅游体育与传媒支出</w:t>
      </w:r>
      <w:r>
        <w:rPr>
          <w:rStyle w:val="15"/>
          <w:rFonts w:hint="eastAsia" w:ascii="仿宋" w:hAnsi="仿宋" w:eastAsia="仿宋" w:cs="仿宋"/>
          <w:color w:val="000000"/>
          <w:sz w:val="32"/>
          <w:szCs w:val="32"/>
        </w:rPr>
        <w:t>(类）文化和旅游（款）其他文化和旅游支出（项）：指其他用于文化和旅游方面的支出。</w:t>
      </w:r>
    </w:p>
    <w:p>
      <w:pPr>
        <w:pStyle w:val="31"/>
        <w:ind w:firstLine="643"/>
        <w:rPr>
          <w:rStyle w:val="15"/>
          <w:rFonts w:ascii="仿宋" w:hAnsi="仿宋" w:eastAsia="仿宋"/>
          <w:b w:val="0"/>
          <w:sz w:val="32"/>
          <w:szCs w:val="32"/>
        </w:rPr>
      </w:pPr>
      <w:r>
        <w:rPr>
          <w:rStyle w:val="15"/>
          <w:rFonts w:hint="eastAsia" w:ascii="仿宋" w:hAnsi="仿宋" w:eastAsia="仿宋"/>
          <w:sz w:val="32"/>
          <w:szCs w:val="32"/>
        </w:rPr>
        <w:t>20.文化旅游体育与传媒支出</w:t>
      </w:r>
      <w:r>
        <w:rPr>
          <w:rStyle w:val="15"/>
          <w:rFonts w:hint="eastAsia" w:ascii="仿宋" w:hAnsi="仿宋" w:eastAsia="仿宋" w:cs="仿宋"/>
          <w:color w:val="000000"/>
          <w:sz w:val="32"/>
          <w:szCs w:val="32"/>
        </w:rPr>
        <w:t>(类）广播电视（款）其他广播电视支出（项）</w:t>
      </w:r>
      <w:r>
        <w:rPr>
          <w:rStyle w:val="15"/>
          <w:rFonts w:ascii="仿宋" w:hAnsi="仿宋" w:eastAsia="仿宋"/>
          <w:sz w:val="32"/>
          <w:szCs w:val="32"/>
        </w:rPr>
        <w:t>:</w:t>
      </w:r>
      <w:r>
        <w:rPr>
          <w:rStyle w:val="15"/>
          <w:rFonts w:hint="eastAsia" w:ascii="仿宋" w:hAnsi="仿宋" w:eastAsia="仿宋"/>
          <w:sz w:val="32"/>
          <w:szCs w:val="32"/>
        </w:rPr>
        <w:t>指其他用于广播电视方面的支出。</w:t>
      </w:r>
    </w:p>
    <w:p>
      <w:pPr>
        <w:pStyle w:val="23"/>
        <w:spacing w:line="560" w:lineRule="exact"/>
        <w:ind w:firstLine="643" w:firstLineChars="200"/>
        <w:rPr>
          <w:rFonts w:hAnsi="仿宋"/>
          <w:sz w:val="32"/>
          <w:szCs w:val="32"/>
        </w:rPr>
      </w:pPr>
      <w:r>
        <w:rPr>
          <w:rStyle w:val="15"/>
          <w:rFonts w:hint="eastAsia" w:hAnsi="仿宋"/>
          <w:sz w:val="32"/>
          <w:szCs w:val="32"/>
        </w:rPr>
        <w:t>21.社会保障和就业支出(类）民政管理事务（款）基层政权建设和社区治理（项）：</w:t>
      </w:r>
      <w:r>
        <w:rPr>
          <w:rFonts w:hint="eastAsia" w:hAnsi="仿宋"/>
          <w:sz w:val="32"/>
          <w:szCs w:val="32"/>
        </w:rPr>
        <w:t>指开展村民自治村务公开等基层政权和社区建设工作的支出。</w:t>
      </w:r>
    </w:p>
    <w:p>
      <w:pPr>
        <w:pStyle w:val="31"/>
        <w:ind w:firstLine="643"/>
        <w:rPr>
          <w:rStyle w:val="15"/>
          <w:rFonts w:ascii="仿宋" w:hAnsi="仿宋" w:eastAsia="仿宋"/>
          <w:b w:val="0"/>
          <w:sz w:val="32"/>
          <w:szCs w:val="32"/>
        </w:rPr>
      </w:pPr>
      <w:r>
        <w:rPr>
          <w:rStyle w:val="15"/>
          <w:rFonts w:hint="eastAsia" w:ascii="仿宋" w:hAnsi="仿宋" w:eastAsia="仿宋"/>
          <w:sz w:val="32"/>
          <w:szCs w:val="32"/>
        </w:rPr>
        <w:t>22.社会保障和就业支出</w:t>
      </w:r>
      <w:r>
        <w:rPr>
          <w:rStyle w:val="15"/>
          <w:rFonts w:hint="eastAsia" w:ascii="仿宋" w:hAnsi="仿宋" w:eastAsia="仿宋" w:cs="仿宋"/>
          <w:color w:val="000000"/>
          <w:sz w:val="32"/>
          <w:szCs w:val="32"/>
        </w:rPr>
        <w:t>(类）行政事业单位养老支支（款）机关事业单位基本养老保险缴费支出（项）：</w:t>
      </w:r>
      <w:r>
        <w:rPr>
          <w:rFonts w:hint="eastAsia" w:ascii="仿宋" w:hAnsi="仿宋" w:eastAsia="仿宋" w:cs="仿宋"/>
          <w:color w:val="000000"/>
          <w:sz w:val="32"/>
          <w:szCs w:val="32"/>
        </w:rPr>
        <w:t>指机关事业单位实施养老保险制度由单位缴纳的基本养老保险费支出。</w:t>
      </w:r>
    </w:p>
    <w:p>
      <w:pPr>
        <w:ind w:firstLine="643" w:firstLineChars="200"/>
        <w:rPr>
          <w:rFonts w:ascii="仿宋" w:hAnsi="仿宋" w:eastAsia="仿宋" w:cs="仿宋"/>
          <w:color w:val="000000"/>
          <w:sz w:val="32"/>
          <w:szCs w:val="32"/>
        </w:rPr>
      </w:pPr>
      <w:r>
        <w:rPr>
          <w:rStyle w:val="15"/>
          <w:rFonts w:hint="eastAsia" w:ascii="仿宋" w:hAnsi="仿宋" w:eastAsia="仿宋"/>
          <w:sz w:val="32"/>
          <w:szCs w:val="32"/>
        </w:rPr>
        <w:t>23.社会保障和就业支出</w:t>
      </w:r>
      <w:r>
        <w:rPr>
          <w:rStyle w:val="15"/>
          <w:rFonts w:hint="eastAsia" w:ascii="仿宋" w:hAnsi="仿宋" w:eastAsia="仿宋" w:cs="仿宋"/>
          <w:color w:val="000000"/>
          <w:sz w:val="32"/>
          <w:szCs w:val="32"/>
        </w:rPr>
        <w:t>(类）行政事业单位养老支支（款）机关事业单位职业年金缴费支出（项）：</w:t>
      </w:r>
      <w:r>
        <w:rPr>
          <w:rFonts w:hint="eastAsia" w:ascii="仿宋" w:hAnsi="仿宋" w:eastAsia="仿宋" w:cs="仿宋"/>
          <w:color w:val="000000"/>
          <w:sz w:val="32"/>
          <w:szCs w:val="32"/>
        </w:rPr>
        <w:t>指机关事业单位实施养老保险制度由单位实际缴纳的职业年金支出。</w:t>
      </w:r>
    </w:p>
    <w:p>
      <w:pPr>
        <w:pStyle w:val="31"/>
        <w:ind w:firstLine="643"/>
        <w:rPr>
          <w:rStyle w:val="15"/>
          <w:rFonts w:ascii="仿宋" w:hAnsi="仿宋" w:eastAsia="仿宋"/>
          <w:b w:val="0"/>
          <w:sz w:val="32"/>
          <w:szCs w:val="32"/>
        </w:rPr>
      </w:pPr>
      <w:r>
        <w:rPr>
          <w:rStyle w:val="15"/>
          <w:rFonts w:hint="eastAsia" w:ascii="仿宋" w:hAnsi="仿宋" w:eastAsia="仿宋"/>
          <w:sz w:val="32"/>
          <w:szCs w:val="32"/>
        </w:rPr>
        <w:t>24.社会保障和就业支出</w:t>
      </w:r>
      <w:r>
        <w:rPr>
          <w:rStyle w:val="15"/>
          <w:rFonts w:hint="eastAsia" w:ascii="仿宋" w:hAnsi="仿宋" w:eastAsia="仿宋" w:cs="仿宋"/>
          <w:color w:val="000000"/>
          <w:sz w:val="32"/>
          <w:szCs w:val="32"/>
        </w:rPr>
        <w:t>(类）企业改革补助（款）其他企业改革发展补助（项）：指财政用于企业改革发展方面的补助</w:t>
      </w:r>
    </w:p>
    <w:p>
      <w:pPr>
        <w:pStyle w:val="23"/>
        <w:spacing w:line="560" w:lineRule="exact"/>
        <w:ind w:firstLine="643" w:firstLineChars="200"/>
        <w:rPr>
          <w:rFonts w:hAnsi="仿宋"/>
          <w:sz w:val="32"/>
          <w:szCs w:val="32"/>
        </w:rPr>
      </w:pPr>
      <w:r>
        <w:rPr>
          <w:rStyle w:val="15"/>
          <w:rFonts w:hint="eastAsia" w:hAnsi="仿宋"/>
          <w:sz w:val="32"/>
          <w:szCs w:val="32"/>
        </w:rPr>
        <w:t>25.社会保障和就业支出(类）就业补助（款）公益性岗位补贴（项）：</w:t>
      </w:r>
      <w:r>
        <w:rPr>
          <w:rFonts w:hint="eastAsia" w:hAnsi="仿宋"/>
          <w:sz w:val="32"/>
          <w:szCs w:val="32"/>
        </w:rPr>
        <w:t xml:space="preserve">其他用于社会保障和就业方面的支出。 </w:t>
      </w:r>
    </w:p>
    <w:p>
      <w:pPr>
        <w:pStyle w:val="31"/>
        <w:ind w:firstLine="643"/>
        <w:rPr>
          <w:rStyle w:val="15"/>
          <w:rFonts w:ascii="仿宋" w:hAnsi="仿宋" w:eastAsia="仿宋"/>
          <w:b w:val="0"/>
          <w:sz w:val="32"/>
          <w:szCs w:val="32"/>
        </w:rPr>
      </w:pPr>
      <w:r>
        <w:rPr>
          <w:rStyle w:val="15"/>
          <w:rFonts w:hint="eastAsia" w:ascii="仿宋" w:hAnsi="仿宋" w:eastAsia="仿宋"/>
          <w:sz w:val="32"/>
          <w:szCs w:val="32"/>
        </w:rPr>
        <w:t>26.社会保障和就业支出</w:t>
      </w:r>
      <w:r>
        <w:rPr>
          <w:rStyle w:val="15"/>
          <w:rFonts w:hint="eastAsia" w:ascii="仿宋" w:hAnsi="仿宋" w:eastAsia="仿宋" w:cs="仿宋"/>
          <w:color w:val="000000"/>
          <w:sz w:val="32"/>
          <w:szCs w:val="32"/>
        </w:rPr>
        <w:t>(类）抚恤（款）死亡抚恤（项）</w:t>
      </w:r>
      <w:r>
        <w:rPr>
          <w:rStyle w:val="15"/>
          <w:rFonts w:ascii="仿宋" w:hAnsi="仿宋" w:eastAsia="仿宋"/>
          <w:sz w:val="32"/>
          <w:szCs w:val="32"/>
        </w:rPr>
        <w:t>:</w:t>
      </w:r>
      <w:r>
        <w:rPr>
          <w:rStyle w:val="15"/>
          <w:rFonts w:hint="eastAsia" w:ascii="仿宋" w:hAnsi="仿宋" w:eastAsia="仿宋"/>
          <w:bCs/>
          <w:sz w:val="32"/>
          <w:szCs w:val="32"/>
        </w:rPr>
        <w:t>指按规定用于烈士和牺牲、病人故人员家属的一次性和定期抚恤以及丧葬补助费。</w:t>
      </w:r>
    </w:p>
    <w:p>
      <w:pPr>
        <w:ind w:firstLine="643" w:firstLineChars="200"/>
        <w:rPr>
          <w:rFonts w:ascii="仿宋" w:hAnsi="仿宋" w:eastAsia="仿宋" w:cs="仿宋"/>
          <w:color w:val="000000"/>
          <w:sz w:val="32"/>
          <w:szCs w:val="32"/>
        </w:rPr>
      </w:pPr>
      <w:r>
        <w:rPr>
          <w:rStyle w:val="15"/>
          <w:rFonts w:hint="eastAsia" w:ascii="仿宋" w:hAnsi="仿宋" w:eastAsia="仿宋"/>
          <w:sz w:val="32"/>
          <w:szCs w:val="32"/>
        </w:rPr>
        <w:t>27.社会保障和就业支出</w:t>
      </w:r>
      <w:r>
        <w:rPr>
          <w:rStyle w:val="15"/>
          <w:rFonts w:hint="eastAsia" w:ascii="仿宋" w:hAnsi="仿宋" w:eastAsia="仿宋" w:cs="仿宋"/>
          <w:color w:val="000000"/>
          <w:sz w:val="32"/>
          <w:szCs w:val="32"/>
        </w:rPr>
        <w:t>(类）抚恤（款）其他优抚支出（项）</w:t>
      </w:r>
      <w:r>
        <w:rPr>
          <w:rStyle w:val="15"/>
          <w:rFonts w:ascii="仿宋" w:hAnsi="仿宋" w:eastAsia="仿宋"/>
          <w:sz w:val="32"/>
          <w:szCs w:val="32"/>
        </w:rPr>
        <w:t>:</w:t>
      </w:r>
      <w:r>
        <w:rPr>
          <w:rFonts w:hint="eastAsia" w:ascii="仿宋" w:hAnsi="仿宋" w:eastAsia="仿宋" w:cs="仿宋"/>
          <w:color w:val="000000"/>
          <w:kern w:val="0"/>
          <w:sz w:val="32"/>
          <w:szCs w:val="32"/>
        </w:rPr>
        <w:t>指除上述项目以外其他用于优抚方面的支出，包括向优抚对象发放的价格临时补贴等支出。</w:t>
      </w:r>
    </w:p>
    <w:p>
      <w:pPr>
        <w:pStyle w:val="31"/>
        <w:ind w:firstLine="640"/>
        <w:rPr>
          <w:rStyle w:val="15"/>
          <w:rFonts w:ascii="仿宋" w:hAnsi="仿宋" w:eastAsia="仿宋"/>
          <w:b w:val="0"/>
          <w:sz w:val="32"/>
          <w:szCs w:val="32"/>
        </w:rPr>
      </w:pPr>
    </w:p>
    <w:p>
      <w:pPr>
        <w:pStyle w:val="31"/>
        <w:ind w:firstLine="321" w:firstLineChars="100"/>
        <w:rPr>
          <w:rStyle w:val="15"/>
          <w:rFonts w:ascii="仿宋" w:hAnsi="仿宋" w:eastAsia="仿宋"/>
          <w:b w:val="0"/>
          <w:sz w:val="32"/>
          <w:szCs w:val="32"/>
        </w:rPr>
      </w:pPr>
      <w:r>
        <w:rPr>
          <w:rStyle w:val="15"/>
          <w:rFonts w:hint="eastAsia" w:ascii="仿宋" w:hAnsi="仿宋" w:eastAsia="仿宋"/>
          <w:sz w:val="32"/>
          <w:szCs w:val="32"/>
        </w:rPr>
        <w:t>28.社会保障和就业支出</w:t>
      </w:r>
      <w:r>
        <w:rPr>
          <w:rStyle w:val="15"/>
          <w:rFonts w:hint="eastAsia" w:ascii="仿宋" w:hAnsi="仿宋" w:eastAsia="仿宋" w:cs="仿宋"/>
          <w:color w:val="000000"/>
          <w:sz w:val="32"/>
          <w:szCs w:val="32"/>
        </w:rPr>
        <w:t>(类）退役安置（款）其他退役安置支出（项）</w:t>
      </w:r>
      <w:r>
        <w:rPr>
          <w:rStyle w:val="15"/>
          <w:rFonts w:ascii="仿宋" w:hAnsi="仿宋" w:eastAsia="仿宋"/>
          <w:sz w:val="32"/>
          <w:szCs w:val="32"/>
        </w:rPr>
        <w:t xml:space="preserve">: </w:t>
      </w:r>
      <w:r>
        <w:rPr>
          <w:rStyle w:val="15"/>
          <w:rFonts w:hint="eastAsia" w:ascii="仿宋" w:hAnsi="仿宋" w:eastAsia="仿宋"/>
          <w:sz w:val="32"/>
          <w:szCs w:val="32"/>
        </w:rPr>
        <w:t>指其他用于退役安置方面的支出。</w:t>
      </w:r>
    </w:p>
    <w:p>
      <w:pPr>
        <w:pStyle w:val="23"/>
        <w:spacing w:line="560" w:lineRule="exact"/>
        <w:ind w:firstLine="321" w:firstLineChars="100"/>
        <w:rPr>
          <w:rFonts w:hAnsi="仿宋"/>
          <w:sz w:val="32"/>
          <w:szCs w:val="32"/>
        </w:rPr>
      </w:pPr>
      <w:r>
        <w:rPr>
          <w:rStyle w:val="15"/>
          <w:rFonts w:hint="eastAsia" w:hAnsi="仿宋"/>
          <w:bCs/>
          <w:sz w:val="32"/>
          <w:szCs w:val="32"/>
        </w:rPr>
        <w:t>29.</w:t>
      </w:r>
      <w:r>
        <w:rPr>
          <w:rStyle w:val="15"/>
          <w:rFonts w:hint="eastAsia" w:hAnsi="仿宋"/>
          <w:sz w:val="32"/>
          <w:szCs w:val="32"/>
        </w:rPr>
        <w:t>社会保障和就业支出(类）残疾人事业（款）其他残疾人事业支出（项）：指</w:t>
      </w:r>
      <w:r>
        <w:rPr>
          <w:rFonts w:hint="eastAsia" w:hAnsi="仿宋"/>
          <w:sz w:val="32"/>
          <w:szCs w:val="32"/>
        </w:rPr>
        <w:t>其他用于残疾人事业方面的支出。</w:t>
      </w:r>
    </w:p>
    <w:p>
      <w:pPr>
        <w:pStyle w:val="31"/>
        <w:ind w:firstLine="321" w:firstLineChars="100"/>
        <w:rPr>
          <w:rStyle w:val="15"/>
          <w:rFonts w:ascii="仿宋" w:hAnsi="仿宋" w:eastAsia="仿宋" w:cs="仿宋"/>
          <w:b w:val="0"/>
          <w:color w:val="000000"/>
          <w:sz w:val="32"/>
          <w:szCs w:val="32"/>
        </w:rPr>
      </w:pPr>
      <w:r>
        <w:rPr>
          <w:rStyle w:val="15"/>
          <w:rFonts w:hint="eastAsia" w:ascii="仿宋" w:hAnsi="仿宋" w:eastAsia="仿宋"/>
          <w:sz w:val="32"/>
          <w:szCs w:val="32"/>
        </w:rPr>
        <w:t>30.卫生健康支出</w:t>
      </w:r>
      <w:r>
        <w:rPr>
          <w:rStyle w:val="15"/>
          <w:rFonts w:hint="eastAsia" w:ascii="仿宋" w:hAnsi="仿宋" w:eastAsia="仿宋" w:cs="仿宋"/>
          <w:color w:val="000000"/>
          <w:sz w:val="32"/>
          <w:szCs w:val="32"/>
        </w:rPr>
        <w:t>(类）公共卫生（款）重大公共卫生服务（项）</w:t>
      </w:r>
      <w:r>
        <w:rPr>
          <w:rStyle w:val="15"/>
          <w:rFonts w:ascii="仿宋" w:hAnsi="仿宋" w:eastAsia="仿宋"/>
          <w:sz w:val="32"/>
          <w:szCs w:val="32"/>
        </w:rPr>
        <w:t>:</w:t>
      </w:r>
      <w:r>
        <w:rPr>
          <w:rStyle w:val="15"/>
          <w:rFonts w:hint="eastAsia" w:ascii="仿宋" w:hAnsi="仿宋" w:eastAsia="仿宋"/>
          <w:sz w:val="32"/>
          <w:szCs w:val="32"/>
        </w:rPr>
        <w:t>指反应重大疾病、重大传染病预防控制等重大公共卫生服务项目支出。</w:t>
      </w:r>
    </w:p>
    <w:p>
      <w:pPr>
        <w:ind w:firstLine="643" w:firstLineChars="200"/>
        <w:rPr>
          <w:rFonts w:ascii="仿宋" w:hAnsi="仿宋" w:eastAsia="仿宋" w:cs="仿宋"/>
          <w:color w:val="000000"/>
          <w:sz w:val="32"/>
          <w:szCs w:val="32"/>
        </w:rPr>
      </w:pPr>
      <w:r>
        <w:rPr>
          <w:rStyle w:val="15"/>
          <w:rFonts w:hint="eastAsia" w:ascii="仿宋" w:hAnsi="仿宋" w:eastAsia="仿宋"/>
          <w:sz w:val="32"/>
          <w:szCs w:val="32"/>
        </w:rPr>
        <w:t>31.卫生健康支出</w:t>
      </w:r>
      <w:r>
        <w:rPr>
          <w:rStyle w:val="15"/>
          <w:rFonts w:hint="eastAsia" w:ascii="仿宋" w:hAnsi="仿宋" w:eastAsia="仿宋" w:cs="仿宋"/>
          <w:color w:val="000000"/>
          <w:sz w:val="32"/>
          <w:szCs w:val="32"/>
        </w:rPr>
        <w:t>(类）行政事业单位医疗（款）行政单位医疗（项）</w:t>
      </w:r>
      <w:r>
        <w:rPr>
          <w:rStyle w:val="15"/>
          <w:rFonts w:ascii="仿宋" w:hAnsi="仿宋" w:eastAsia="仿宋"/>
          <w:sz w:val="32"/>
          <w:szCs w:val="32"/>
        </w:rPr>
        <w:t>:</w:t>
      </w:r>
      <w:r>
        <w:rPr>
          <w:rFonts w:hint="eastAsia" w:ascii="仿宋" w:hAnsi="仿宋" w:eastAsia="仿宋" w:cs="仿宋"/>
          <w:sz w:val="32"/>
          <w:szCs w:val="32"/>
        </w:rPr>
        <w:t>指财政部门安排的行政单位（包括实行公务员管理的事业单位，下同）基本医疗保险缴费经费，未参加医疗保险的行政单位的公费医疗经费，按国家规定享受离休人员、红军老战士待遇人员的医疗经费。</w:t>
      </w:r>
    </w:p>
    <w:p>
      <w:pPr>
        <w:ind w:firstLine="643" w:firstLineChars="200"/>
        <w:rPr>
          <w:rStyle w:val="15"/>
          <w:rFonts w:ascii="仿宋" w:hAnsi="仿宋" w:eastAsia="仿宋" w:cs="仿宋"/>
          <w:b w:val="0"/>
          <w:color w:val="000000"/>
          <w:sz w:val="32"/>
          <w:szCs w:val="32"/>
        </w:rPr>
      </w:pPr>
      <w:r>
        <w:rPr>
          <w:rStyle w:val="15"/>
          <w:rFonts w:hint="eastAsia" w:ascii="仿宋" w:hAnsi="仿宋" w:eastAsia="仿宋"/>
          <w:sz w:val="32"/>
          <w:szCs w:val="32"/>
        </w:rPr>
        <w:t>32.卫生健康支出</w:t>
      </w:r>
      <w:r>
        <w:rPr>
          <w:rStyle w:val="15"/>
          <w:rFonts w:hint="eastAsia" w:ascii="仿宋" w:hAnsi="仿宋" w:eastAsia="仿宋" w:cs="仿宋"/>
          <w:color w:val="000000"/>
          <w:sz w:val="32"/>
          <w:szCs w:val="32"/>
        </w:rPr>
        <w:t>(类）行政事业单位医疗（款）事业单位医疗（项）</w:t>
      </w:r>
      <w:r>
        <w:rPr>
          <w:rStyle w:val="15"/>
          <w:rFonts w:ascii="仿宋" w:hAnsi="仿宋" w:eastAsia="仿宋"/>
          <w:sz w:val="32"/>
          <w:szCs w:val="32"/>
        </w:rPr>
        <w:t>:</w:t>
      </w:r>
      <w:r>
        <w:rPr>
          <w:rFonts w:hint="eastAsia" w:ascii="仿宋" w:hAnsi="仿宋" w:eastAsia="仿宋" w:cs="仿宋"/>
          <w:sz w:val="32"/>
          <w:szCs w:val="32"/>
        </w:rPr>
        <w:t>指财政部门安排的事业单位基本医疗保险缴费经费，未参加医疗保险的事业单位的公费医疗经费，按国家规定享受离休人员待遇的医疗经费。</w:t>
      </w:r>
    </w:p>
    <w:p>
      <w:pPr>
        <w:pStyle w:val="31"/>
        <w:ind w:firstLine="643"/>
        <w:rPr>
          <w:rStyle w:val="15"/>
          <w:rFonts w:ascii="仿宋" w:hAnsi="仿宋" w:eastAsia="仿宋" w:cs="仿宋"/>
          <w:b w:val="0"/>
          <w:color w:val="000000"/>
          <w:sz w:val="32"/>
          <w:szCs w:val="32"/>
        </w:rPr>
      </w:pPr>
      <w:r>
        <w:rPr>
          <w:rStyle w:val="15"/>
          <w:rFonts w:hint="eastAsia" w:ascii="仿宋" w:hAnsi="仿宋" w:eastAsia="仿宋"/>
          <w:sz w:val="32"/>
          <w:szCs w:val="32"/>
        </w:rPr>
        <w:t>33.卫生健康支出</w:t>
      </w:r>
      <w:r>
        <w:rPr>
          <w:rStyle w:val="15"/>
          <w:rFonts w:hint="eastAsia" w:ascii="仿宋" w:hAnsi="仿宋" w:eastAsia="仿宋" w:cs="仿宋"/>
          <w:color w:val="000000"/>
          <w:sz w:val="32"/>
          <w:szCs w:val="32"/>
        </w:rPr>
        <w:t>(类）其他卫生健康支出（款）其他卫生健康支出（项）</w:t>
      </w:r>
      <w:r>
        <w:rPr>
          <w:rStyle w:val="15"/>
          <w:rFonts w:ascii="仿宋" w:hAnsi="仿宋" w:eastAsia="仿宋"/>
          <w:sz w:val="32"/>
          <w:szCs w:val="32"/>
        </w:rPr>
        <w:t>:</w:t>
      </w:r>
      <w:r>
        <w:rPr>
          <w:rFonts w:hint="eastAsia" w:ascii="仿宋" w:hAnsi="仿宋" w:eastAsia="仿宋" w:cs="仿宋"/>
          <w:sz w:val="32"/>
          <w:szCs w:val="32"/>
        </w:rPr>
        <w:t>指除上述项目以外其他用于卫生健康方面的支出。</w:t>
      </w:r>
    </w:p>
    <w:p>
      <w:pPr>
        <w:pStyle w:val="31"/>
        <w:ind w:firstLine="643"/>
        <w:rPr>
          <w:rStyle w:val="15"/>
          <w:rFonts w:ascii="仿宋" w:hAnsi="仿宋" w:eastAsia="仿宋" w:cs="仿宋"/>
          <w:b w:val="0"/>
          <w:color w:val="000000"/>
          <w:sz w:val="32"/>
          <w:szCs w:val="32"/>
        </w:rPr>
      </w:pPr>
      <w:r>
        <w:rPr>
          <w:rStyle w:val="15"/>
          <w:rFonts w:hint="eastAsia" w:ascii="仿宋" w:hAnsi="仿宋" w:eastAsia="仿宋"/>
          <w:sz w:val="32"/>
          <w:szCs w:val="32"/>
        </w:rPr>
        <w:t>34.城乡社区支出</w:t>
      </w:r>
      <w:r>
        <w:rPr>
          <w:rStyle w:val="15"/>
          <w:rFonts w:hint="eastAsia" w:ascii="仿宋" w:hAnsi="仿宋" w:eastAsia="仿宋" w:cs="仿宋"/>
          <w:color w:val="000000"/>
          <w:sz w:val="32"/>
          <w:szCs w:val="32"/>
        </w:rPr>
        <w:t>(类）城乡社区管理事务（款）其他城乡社区管理事务（项）</w:t>
      </w:r>
      <w:r>
        <w:rPr>
          <w:rStyle w:val="15"/>
          <w:rFonts w:ascii="仿宋" w:hAnsi="仿宋" w:eastAsia="仿宋"/>
          <w:sz w:val="32"/>
          <w:szCs w:val="32"/>
        </w:rPr>
        <w:t>:</w:t>
      </w:r>
      <w:r>
        <w:rPr>
          <w:rStyle w:val="15"/>
          <w:rFonts w:hint="eastAsia" w:ascii="仿宋" w:hAnsi="仿宋" w:eastAsia="仿宋"/>
          <w:sz w:val="32"/>
          <w:szCs w:val="32"/>
        </w:rPr>
        <w:t>指其他用于城乡社区管理事务方面的支出。</w:t>
      </w:r>
    </w:p>
    <w:p>
      <w:pPr>
        <w:pStyle w:val="31"/>
        <w:ind w:firstLine="643"/>
        <w:rPr>
          <w:rStyle w:val="15"/>
          <w:rFonts w:ascii="仿宋" w:hAnsi="仿宋" w:eastAsia="仿宋" w:cs="仿宋"/>
          <w:b w:val="0"/>
          <w:color w:val="000000"/>
          <w:sz w:val="32"/>
          <w:szCs w:val="32"/>
        </w:rPr>
      </w:pPr>
      <w:r>
        <w:rPr>
          <w:rStyle w:val="15"/>
          <w:rFonts w:hint="eastAsia" w:ascii="仿宋" w:hAnsi="仿宋" w:eastAsia="仿宋"/>
          <w:sz w:val="32"/>
          <w:szCs w:val="32"/>
        </w:rPr>
        <w:t>35.农林水支出</w:t>
      </w:r>
      <w:r>
        <w:rPr>
          <w:rStyle w:val="15"/>
          <w:rFonts w:hint="eastAsia" w:ascii="仿宋" w:hAnsi="仿宋" w:eastAsia="仿宋" w:cs="仿宋"/>
          <w:color w:val="000000"/>
          <w:sz w:val="32"/>
          <w:szCs w:val="32"/>
        </w:rPr>
        <w:t>(类）农业农村（款）对高校毕业生到基层任职补助（项）</w:t>
      </w:r>
      <w:r>
        <w:rPr>
          <w:rStyle w:val="15"/>
          <w:rFonts w:ascii="仿宋" w:hAnsi="仿宋" w:eastAsia="仿宋"/>
          <w:sz w:val="32"/>
          <w:szCs w:val="32"/>
        </w:rPr>
        <w:t>:</w:t>
      </w:r>
      <w:r>
        <w:rPr>
          <w:rStyle w:val="15"/>
          <w:rFonts w:hint="eastAsia" w:ascii="仿宋" w:hAnsi="仿宋" w:eastAsia="仿宋"/>
          <w:sz w:val="32"/>
          <w:szCs w:val="32"/>
        </w:rPr>
        <w:t>指按规定对高校毕业生到基层任职的补助支出。</w:t>
      </w:r>
    </w:p>
    <w:p>
      <w:pPr>
        <w:ind w:firstLine="643" w:firstLineChars="200"/>
        <w:rPr>
          <w:rFonts w:ascii="仿宋" w:hAnsi="仿宋" w:eastAsia="仿宋" w:cs="仿宋"/>
          <w:color w:val="000000"/>
          <w:sz w:val="32"/>
          <w:szCs w:val="32"/>
        </w:rPr>
      </w:pPr>
      <w:r>
        <w:rPr>
          <w:rStyle w:val="15"/>
          <w:rFonts w:hint="eastAsia" w:ascii="仿宋" w:hAnsi="仿宋" w:eastAsia="仿宋"/>
          <w:sz w:val="32"/>
          <w:szCs w:val="32"/>
        </w:rPr>
        <w:t>36.农林水支出</w:t>
      </w:r>
      <w:r>
        <w:rPr>
          <w:rStyle w:val="15"/>
          <w:rFonts w:hint="eastAsia" w:ascii="仿宋" w:hAnsi="仿宋" w:eastAsia="仿宋" w:cs="仿宋"/>
          <w:color w:val="000000"/>
          <w:sz w:val="32"/>
          <w:szCs w:val="32"/>
        </w:rPr>
        <w:t>(类）农业农村（款）其他农业农村支出（项）</w:t>
      </w:r>
      <w:r>
        <w:rPr>
          <w:rStyle w:val="15"/>
          <w:rFonts w:ascii="仿宋" w:hAnsi="仿宋" w:eastAsia="仿宋"/>
          <w:sz w:val="32"/>
          <w:szCs w:val="32"/>
        </w:rPr>
        <w:t>:</w:t>
      </w:r>
      <w:r>
        <w:rPr>
          <w:rFonts w:hint="eastAsia" w:ascii="仿宋" w:hAnsi="仿宋" w:eastAsia="仿宋" w:cs="仿宋"/>
          <w:color w:val="000000"/>
          <w:sz w:val="32"/>
          <w:szCs w:val="32"/>
        </w:rPr>
        <w:t>指用于除上述项目以外用于其他农业农村方面的支出。</w:t>
      </w:r>
    </w:p>
    <w:p>
      <w:pPr>
        <w:pStyle w:val="31"/>
        <w:ind w:firstLine="643"/>
        <w:rPr>
          <w:rFonts w:ascii="仿宋" w:hAnsi="仿宋" w:eastAsia="仿宋" w:cs="仿宋"/>
          <w:color w:val="000000"/>
          <w:sz w:val="32"/>
          <w:szCs w:val="32"/>
        </w:rPr>
      </w:pPr>
      <w:r>
        <w:rPr>
          <w:rStyle w:val="15"/>
          <w:rFonts w:hint="eastAsia" w:ascii="仿宋" w:hAnsi="仿宋" w:eastAsia="仿宋"/>
          <w:sz w:val="32"/>
          <w:szCs w:val="32"/>
        </w:rPr>
        <w:t>37.农林水支出</w:t>
      </w:r>
      <w:r>
        <w:rPr>
          <w:rStyle w:val="15"/>
          <w:rFonts w:hint="eastAsia" w:ascii="仿宋" w:hAnsi="仿宋" w:eastAsia="仿宋" w:cs="仿宋"/>
          <w:color w:val="000000"/>
          <w:sz w:val="32"/>
          <w:szCs w:val="32"/>
        </w:rPr>
        <w:t>(类）水利（款）水土保持（项）</w:t>
      </w:r>
      <w:r>
        <w:rPr>
          <w:rStyle w:val="15"/>
          <w:rFonts w:ascii="仿宋" w:hAnsi="仿宋" w:eastAsia="仿宋"/>
          <w:sz w:val="32"/>
          <w:szCs w:val="32"/>
        </w:rPr>
        <w:t>:</w:t>
      </w:r>
      <w:r>
        <w:rPr>
          <w:rStyle w:val="15"/>
          <w:rFonts w:hint="eastAsia" w:ascii="仿宋" w:hAnsi="仿宋" w:eastAsia="仿宋"/>
          <w:sz w:val="32"/>
          <w:szCs w:val="32"/>
        </w:rPr>
        <w:t>指水利系统纳入预算管理的水土保持事业单位的支出，包括规划制订和实施、治理、生态修复、预防监测、调查协调、综合治理、开发技术的示范、监督执法等支出以及水土保持生态工程措施和各项管理保护活动的支出。</w:t>
      </w:r>
    </w:p>
    <w:p>
      <w:pPr>
        <w:pStyle w:val="31"/>
        <w:ind w:firstLine="643"/>
        <w:rPr>
          <w:rFonts w:ascii="仿宋" w:hAnsi="仿宋" w:eastAsia="仿宋" w:cs="仿宋"/>
          <w:color w:val="000000"/>
          <w:sz w:val="32"/>
          <w:szCs w:val="32"/>
        </w:rPr>
      </w:pPr>
      <w:r>
        <w:rPr>
          <w:rStyle w:val="15"/>
          <w:rFonts w:hint="eastAsia" w:ascii="仿宋" w:hAnsi="仿宋" w:eastAsia="仿宋"/>
          <w:sz w:val="32"/>
          <w:szCs w:val="32"/>
        </w:rPr>
        <w:t>38.农林水支出</w:t>
      </w:r>
      <w:r>
        <w:rPr>
          <w:rStyle w:val="15"/>
          <w:rFonts w:hint="eastAsia" w:ascii="仿宋" w:hAnsi="仿宋" w:eastAsia="仿宋" w:cs="仿宋"/>
          <w:color w:val="000000"/>
          <w:sz w:val="32"/>
          <w:szCs w:val="32"/>
        </w:rPr>
        <w:t>(类）农村综合改革（款）对村级公益事业建设的补助（项）</w:t>
      </w:r>
      <w:r>
        <w:rPr>
          <w:rStyle w:val="15"/>
          <w:rFonts w:ascii="仿宋" w:hAnsi="仿宋" w:eastAsia="仿宋"/>
          <w:bCs/>
          <w:sz w:val="32"/>
          <w:szCs w:val="32"/>
        </w:rPr>
        <w:t>:</w:t>
      </w:r>
      <w:r>
        <w:rPr>
          <w:rStyle w:val="15"/>
          <w:rFonts w:hint="eastAsia" w:ascii="仿宋" w:hAnsi="仿宋" w:eastAsia="仿宋"/>
          <w:bCs/>
          <w:sz w:val="32"/>
          <w:szCs w:val="32"/>
        </w:rPr>
        <w:t>指对村级公益事业建设的补助支出。</w:t>
      </w:r>
    </w:p>
    <w:p>
      <w:pPr>
        <w:pStyle w:val="23"/>
        <w:spacing w:line="560" w:lineRule="exact"/>
        <w:ind w:firstLine="643" w:firstLineChars="200"/>
        <w:rPr>
          <w:rFonts w:hAnsi="仿宋"/>
          <w:sz w:val="32"/>
          <w:szCs w:val="32"/>
        </w:rPr>
      </w:pPr>
      <w:r>
        <w:rPr>
          <w:rStyle w:val="15"/>
          <w:rFonts w:hint="eastAsia" w:hAnsi="仿宋"/>
          <w:sz w:val="32"/>
          <w:szCs w:val="32"/>
        </w:rPr>
        <w:t>39.农林水支出(类）农村综合改革（款）对村民委员会和村党支部的补助（项）</w:t>
      </w:r>
      <w:r>
        <w:rPr>
          <w:rStyle w:val="15"/>
          <w:rFonts w:hAnsi="仿宋"/>
          <w:sz w:val="32"/>
          <w:szCs w:val="32"/>
        </w:rPr>
        <w:t>:</w:t>
      </w:r>
      <w:r>
        <w:rPr>
          <w:rFonts w:hint="eastAsia" w:hAnsi="仿宋"/>
          <w:sz w:val="32"/>
          <w:szCs w:val="32"/>
        </w:rPr>
        <w:t>指反映各级财政对村民委员会和党支部的补助支出，以及支持建立县级基本财力保障机制安排的村级组织运转奖补资金。</w:t>
      </w:r>
    </w:p>
    <w:p>
      <w:pPr>
        <w:pStyle w:val="31"/>
        <w:ind w:firstLine="643"/>
        <w:rPr>
          <w:rStyle w:val="15"/>
          <w:rFonts w:ascii="仿宋" w:hAnsi="仿宋" w:eastAsia="仿宋" w:cs="仿宋"/>
          <w:b w:val="0"/>
          <w:color w:val="000000"/>
          <w:sz w:val="32"/>
          <w:szCs w:val="32"/>
        </w:rPr>
      </w:pPr>
      <w:r>
        <w:rPr>
          <w:rStyle w:val="15"/>
          <w:rFonts w:hint="eastAsia" w:ascii="仿宋" w:hAnsi="仿宋" w:eastAsia="仿宋"/>
          <w:sz w:val="32"/>
          <w:szCs w:val="32"/>
        </w:rPr>
        <w:t>40.交通运输支出</w:t>
      </w:r>
      <w:r>
        <w:rPr>
          <w:rStyle w:val="15"/>
          <w:rFonts w:hint="eastAsia" w:ascii="仿宋" w:hAnsi="仿宋" w:eastAsia="仿宋" w:cs="仿宋"/>
          <w:color w:val="000000"/>
          <w:sz w:val="32"/>
          <w:szCs w:val="32"/>
        </w:rPr>
        <w:t>(类）公路水路运输（款）机关服务（项）</w:t>
      </w:r>
      <w:r>
        <w:rPr>
          <w:rStyle w:val="15"/>
          <w:rFonts w:ascii="仿宋" w:hAnsi="仿宋" w:eastAsia="仿宋"/>
          <w:sz w:val="32"/>
          <w:szCs w:val="32"/>
        </w:rPr>
        <w:t xml:space="preserve">: </w:t>
      </w:r>
      <w:r>
        <w:rPr>
          <w:rStyle w:val="15"/>
          <w:rFonts w:hint="eastAsia" w:ascii="仿宋" w:hAnsi="仿宋" w:eastAsia="仿宋"/>
          <w:sz w:val="32"/>
          <w:szCs w:val="32"/>
        </w:rPr>
        <w:t>指行政单位（包括实行公务员管理的事业单位）提供后勤服务的各类服务中心、医务室等附属事业单位的支出。其他事业单位的支出，凡单独设置了项级科目的，在单独设置的项级科目中反映。未单设项级科目的，在“其他”项级科目中反映。</w:t>
      </w:r>
    </w:p>
    <w:p>
      <w:pPr>
        <w:pStyle w:val="31"/>
        <w:ind w:firstLine="643"/>
        <w:rPr>
          <w:rStyle w:val="15"/>
          <w:rFonts w:ascii="仿宋" w:hAnsi="仿宋" w:eastAsia="仿宋" w:cs="仿宋"/>
          <w:b w:val="0"/>
          <w:color w:val="000000"/>
          <w:sz w:val="32"/>
          <w:szCs w:val="32"/>
        </w:rPr>
      </w:pPr>
      <w:r>
        <w:rPr>
          <w:rStyle w:val="15"/>
          <w:rFonts w:hint="eastAsia" w:ascii="仿宋" w:hAnsi="仿宋" w:eastAsia="仿宋"/>
          <w:sz w:val="32"/>
          <w:szCs w:val="32"/>
        </w:rPr>
        <w:t>41.交通运输支出</w:t>
      </w:r>
      <w:r>
        <w:rPr>
          <w:rStyle w:val="15"/>
          <w:rFonts w:hint="eastAsia" w:ascii="仿宋" w:hAnsi="仿宋" w:eastAsia="仿宋" w:cs="仿宋"/>
          <w:color w:val="000000"/>
          <w:sz w:val="32"/>
          <w:szCs w:val="32"/>
        </w:rPr>
        <w:t>(类）公路水路运输（款）海事管理（项）</w:t>
      </w:r>
      <w:r>
        <w:rPr>
          <w:rStyle w:val="15"/>
          <w:rFonts w:ascii="仿宋" w:hAnsi="仿宋" w:eastAsia="仿宋"/>
          <w:sz w:val="32"/>
          <w:szCs w:val="32"/>
        </w:rPr>
        <w:t xml:space="preserve">: </w:t>
      </w:r>
      <w:r>
        <w:rPr>
          <w:rStyle w:val="15"/>
          <w:rFonts w:hint="eastAsia" w:ascii="仿宋" w:hAnsi="仿宋" w:eastAsia="仿宋"/>
          <w:sz w:val="32"/>
          <w:szCs w:val="32"/>
        </w:rPr>
        <w:t>指海事管理方面的支出。</w:t>
      </w:r>
    </w:p>
    <w:p>
      <w:pPr>
        <w:spacing w:line="600" w:lineRule="exact"/>
        <w:ind w:firstLine="643" w:firstLineChars="200"/>
        <w:rPr>
          <w:rFonts w:ascii="仿宋" w:hAnsi="仿宋" w:eastAsia="仿宋" w:cs="仿宋"/>
          <w:color w:val="000000"/>
          <w:kern w:val="0"/>
          <w:sz w:val="32"/>
          <w:szCs w:val="32"/>
        </w:rPr>
      </w:pPr>
      <w:r>
        <w:rPr>
          <w:rStyle w:val="15"/>
          <w:rFonts w:hint="eastAsia" w:ascii="仿宋" w:hAnsi="仿宋" w:eastAsia="仿宋"/>
          <w:sz w:val="32"/>
          <w:szCs w:val="32"/>
        </w:rPr>
        <w:t>42.住房保障支出</w:t>
      </w:r>
      <w:r>
        <w:rPr>
          <w:rStyle w:val="15"/>
          <w:rFonts w:hint="eastAsia" w:ascii="仿宋" w:hAnsi="仿宋" w:eastAsia="仿宋" w:cs="仿宋"/>
          <w:color w:val="000000"/>
          <w:sz w:val="32"/>
          <w:szCs w:val="32"/>
        </w:rPr>
        <w:t>(类）住房改革支出（款）住房公积金（项）</w:t>
      </w:r>
      <w:r>
        <w:rPr>
          <w:rStyle w:val="15"/>
          <w:rFonts w:ascii="仿宋" w:hAnsi="仿宋" w:eastAsia="仿宋"/>
          <w:sz w:val="32"/>
          <w:szCs w:val="32"/>
        </w:rPr>
        <w:t xml:space="preserve">: </w:t>
      </w:r>
      <w:r>
        <w:rPr>
          <w:rFonts w:hint="eastAsia" w:ascii="仿宋" w:hAnsi="仿宋" w:eastAsia="仿宋" w:cs="仿宋"/>
          <w:color w:val="000000"/>
          <w:sz w:val="32"/>
          <w:szCs w:val="32"/>
        </w:rPr>
        <w:t>指行政事业单位按人力资源和社会保障部、财政部规定的基本工资和津贴补贴以及规定比例为职工缴纳的住房公积金。</w:t>
      </w:r>
    </w:p>
    <w:p>
      <w:pPr>
        <w:ind w:firstLine="643" w:firstLineChars="200"/>
        <w:rPr>
          <w:rFonts w:ascii="仿宋_GB2312" w:eastAsia="仿宋"/>
          <w:sz w:val="32"/>
          <w:szCs w:val="32"/>
        </w:rPr>
      </w:pPr>
      <w:r>
        <w:rPr>
          <w:rStyle w:val="15"/>
          <w:rFonts w:hint="eastAsia" w:ascii="仿宋" w:hAnsi="仿宋" w:eastAsia="仿宋"/>
          <w:sz w:val="32"/>
          <w:szCs w:val="32"/>
        </w:rPr>
        <w:t>43.灾害防治及应急管理支出</w:t>
      </w:r>
      <w:r>
        <w:rPr>
          <w:rStyle w:val="15"/>
          <w:rFonts w:hint="eastAsia" w:ascii="仿宋" w:hAnsi="仿宋" w:eastAsia="仿宋" w:cs="仿宋"/>
          <w:color w:val="000000"/>
          <w:sz w:val="32"/>
          <w:szCs w:val="32"/>
        </w:rPr>
        <w:t>(类）自然灾害防治（款）森林草原防灾减灾（项）</w:t>
      </w:r>
      <w:r>
        <w:rPr>
          <w:rStyle w:val="15"/>
          <w:rFonts w:ascii="仿宋" w:hAnsi="仿宋" w:eastAsia="仿宋"/>
          <w:sz w:val="32"/>
          <w:szCs w:val="32"/>
        </w:rPr>
        <w:t>:</w:t>
      </w:r>
      <w:r>
        <w:rPr>
          <w:rStyle w:val="15"/>
          <w:rFonts w:hint="eastAsia" w:ascii="仿宋" w:hAnsi="仿宋" w:eastAsia="仿宋"/>
          <w:sz w:val="32"/>
          <w:szCs w:val="32"/>
        </w:rPr>
        <w:t>指防治森林草原火灾、自然水旱灾害等发生的支出。</w:t>
      </w:r>
    </w:p>
    <w:p>
      <w:pPr>
        <w:pStyle w:val="31"/>
        <w:ind w:firstLine="643"/>
        <w:rPr>
          <w:rFonts w:ascii="仿宋_GB2312" w:eastAsia="仿宋_GB2312"/>
          <w:sz w:val="32"/>
          <w:szCs w:val="32"/>
        </w:rPr>
      </w:pPr>
      <w:r>
        <w:rPr>
          <w:rStyle w:val="15"/>
          <w:rFonts w:hint="eastAsia" w:ascii="仿宋" w:hAnsi="仿宋" w:eastAsia="仿宋"/>
          <w:sz w:val="32"/>
          <w:szCs w:val="32"/>
        </w:rPr>
        <w:t>44.灾害防治及应急管理支出</w:t>
      </w:r>
      <w:r>
        <w:rPr>
          <w:rStyle w:val="15"/>
          <w:rFonts w:hint="eastAsia" w:ascii="仿宋" w:hAnsi="仿宋" w:eastAsia="仿宋" w:cs="仿宋"/>
          <w:color w:val="000000"/>
          <w:sz w:val="32"/>
          <w:szCs w:val="32"/>
        </w:rPr>
        <w:t>(类）自然灾害救灾及恢复重建支出（款）自然灾害灾后重建补助（项）</w:t>
      </w:r>
      <w:r>
        <w:rPr>
          <w:rStyle w:val="15"/>
          <w:rFonts w:ascii="仿宋" w:hAnsi="仿宋" w:eastAsia="仿宋"/>
          <w:sz w:val="32"/>
          <w:szCs w:val="32"/>
        </w:rPr>
        <w:t>:</w:t>
      </w:r>
      <w:r>
        <w:rPr>
          <w:rStyle w:val="15"/>
          <w:rFonts w:hint="eastAsia" w:ascii="仿宋" w:hAnsi="仿宋" w:eastAsia="仿宋"/>
          <w:sz w:val="32"/>
          <w:szCs w:val="32"/>
        </w:rPr>
        <w:t>指政府预算安排用于自然灾害重建的补助支出。</w:t>
      </w:r>
    </w:p>
    <w:p>
      <w:pPr>
        <w:ind w:firstLine="640" w:firstLineChars="200"/>
        <w:rPr>
          <w:rFonts w:ascii="仿宋_GB2312" w:eastAsia="仿宋_GB2312"/>
          <w:sz w:val="32"/>
          <w:szCs w:val="32"/>
        </w:rPr>
      </w:pPr>
      <w:r>
        <w:rPr>
          <w:rFonts w:hint="eastAsia" w:ascii="仿宋_GB2312" w:eastAsia="仿宋_GB2312"/>
          <w:sz w:val="32"/>
          <w:szCs w:val="32"/>
        </w:rPr>
        <w:t>45</w:t>
      </w:r>
      <w:r>
        <w:rPr>
          <w:rFonts w:ascii="仿宋_GB2312" w:eastAsia="仿宋_GB2312"/>
          <w:sz w:val="32"/>
          <w:szCs w:val="32"/>
        </w:rPr>
        <w:t>.</w:t>
      </w:r>
      <w:r>
        <w:rPr>
          <w:rFonts w:hint="eastAsia" w:ascii="仿宋_GB2312" w:eastAsia="仿宋_GB2312"/>
          <w:sz w:val="32"/>
          <w:szCs w:val="32"/>
        </w:rPr>
        <w:t>基本支出：指为保障机构正常运转、完成日常工作任务而发生的人员支出和公用支出。</w:t>
      </w:r>
    </w:p>
    <w:p>
      <w:pPr>
        <w:ind w:firstLine="640" w:firstLineChars="200"/>
        <w:rPr>
          <w:rFonts w:ascii="仿宋_GB2312" w:eastAsia="仿宋_GB2312"/>
          <w:sz w:val="32"/>
          <w:szCs w:val="32"/>
        </w:rPr>
      </w:pPr>
      <w:r>
        <w:rPr>
          <w:rFonts w:hint="eastAsia" w:ascii="仿宋_GB2312" w:eastAsia="仿宋_GB2312"/>
          <w:sz w:val="32"/>
          <w:szCs w:val="32"/>
        </w:rPr>
        <w:t>46</w:t>
      </w:r>
      <w:r>
        <w:rPr>
          <w:rFonts w:ascii="仿宋_GB2312" w:eastAsia="仿宋_GB2312"/>
          <w:sz w:val="32"/>
          <w:szCs w:val="32"/>
        </w:rPr>
        <w:t>.</w:t>
      </w:r>
      <w:r>
        <w:rPr>
          <w:rFonts w:hint="eastAsia" w:ascii="仿宋_GB2312" w:eastAsia="仿宋_GB2312"/>
          <w:sz w:val="32"/>
          <w:szCs w:val="32"/>
        </w:rPr>
        <w:t>项目支出：指在基本支出之外为完成特定行政任务和事业发展目标所发生的支出。</w:t>
      </w:r>
    </w:p>
    <w:p>
      <w:pPr>
        <w:ind w:firstLine="640" w:firstLineChars="200"/>
        <w:rPr>
          <w:rFonts w:ascii="仿宋_GB2312" w:eastAsia="仿宋_GB2312"/>
          <w:sz w:val="32"/>
          <w:szCs w:val="32"/>
        </w:rPr>
      </w:pPr>
      <w:r>
        <w:rPr>
          <w:rFonts w:hint="eastAsia" w:ascii="仿宋_GB2312" w:eastAsia="仿宋_GB2312"/>
          <w:sz w:val="32"/>
          <w:szCs w:val="32"/>
        </w:rPr>
        <w:t>47</w:t>
      </w:r>
      <w:r>
        <w:rPr>
          <w:rFonts w:ascii="仿宋_GB2312" w:eastAsia="仿宋_GB2312"/>
          <w:sz w:val="32"/>
          <w:szCs w:val="32"/>
        </w:rPr>
        <w:t>.</w:t>
      </w:r>
      <w:r>
        <w:rPr>
          <w:rFonts w:hint="eastAsia" w:ascii="仿宋_GB2312" w:eastAsia="仿宋_GB2312"/>
          <w:sz w:val="32"/>
          <w:szCs w:val="32"/>
        </w:rPr>
        <w:t>经营支出：指事业单位在专业业务活动及其辅助活动之外开展非独立核算经营活动发生的支出。</w:t>
      </w:r>
    </w:p>
    <w:p>
      <w:pPr>
        <w:pStyle w:val="23"/>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48</w:t>
      </w:r>
      <w:r>
        <w:rPr>
          <w:rFonts w:ascii="仿宋_GB2312" w:eastAsia="仿宋_GB2312"/>
          <w:color w:val="auto"/>
          <w:sz w:val="32"/>
          <w:szCs w:val="32"/>
        </w:rPr>
        <w:t>.</w:t>
      </w:r>
      <w:r>
        <w:rPr>
          <w:rFonts w:hint="eastAsia" w:ascii="仿宋_GB2312" w:eastAsia="仿宋_GB2312"/>
          <w:color w:val="auto"/>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23"/>
        <w:spacing w:line="560" w:lineRule="exact"/>
        <w:ind w:firstLine="640" w:firstLineChars="200"/>
        <w:rPr>
          <w:rFonts w:ascii="仿宋_GB2312" w:eastAsia="仿宋_GB2312" w:cs="黑体"/>
          <w:color w:val="auto"/>
          <w:sz w:val="32"/>
          <w:szCs w:val="32"/>
        </w:rPr>
      </w:pPr>
      <w:r>
        <w:rPr>
          <w:rFonts w:hint="eastAsia" w:ascii="仿宋_GB2312" w:eastAsia="仿宋_GB2312"/>
          <w:color w:val="auto"/>
          <w:sz w:val="32"/>
          <w:szCs w:val="32"/>
        </w:rPr>
        <w:t>49</w:t>
      </w:r>
      <w:r>
        <w:rPr>
          <w:rFonts w:ascii="仿宋_GB2312" w:eastAsia="仿宋_GB2312"/>
          <w:color w:val="auto"/>
          <w:sz w:val="32"/>
          <w:szCs w:val="32"/>
        </w:rPr>
        <w:t>.</w:t>
      </w:r>
      <w:r>
        <w:rPr>
          <w:rFonts w:hint="eastAsia" w:ascii="仿宋_GB2312" w:eastAsia="仿宋_GB2312"/>
          <w:color w:val="auto"/>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spacing w:line="600" w:lineRule="exact"/>
        <w:jc w:val="center"/>
        <w:outlineLvl w:val="0"/>
        <w:rPr>
          <w:rStyle w:val="25"/>
          <w:rFonts w:ascii="黑体" w:hAnsi="黑体" w:eastAsia="黑体"/>
          <w:b w:val="0"/>
        </w:rPr>
      </w:pPr>
      <w:bookmarkStart w:id="94" w:name="_Toc15377226"/>
      <w:r>
        <w:rPr>
          <w:rFonts w:ascii="宋体"/>
          <w:b/>
          <w:sz w:val="44"/>
          <w:szCs w:val="44"/>
        </w:rPr>
        <w:br w:type="page"/>
      </w:r>
      <w:bookmarkStart w:id="95" w:name="_Toc22972_WPSOffice_Level1"/>
      <w:bookmarkStart w:id="96" w:name="_Toc15396614"/>
      <w:r>
        <w:rPr>
          <w:rFonts w:hint="eastAsia" w:ascii="黑体" w:hAnsi="黑体" w:eastAsia="黑体"/>
          <w:sz w:val="44"/>
          <w:szCs w:val="44"/>
        </w:rPr>
        <w:t>第</w:t>
      </w:r>
      <w:r>
        <w:rPr>
          <w:rStyle w:val="25"/>
          <w:rFonts w:hint="eastAsia" w:ascii="黑体" w:hAnsi="黑体" w:eastAsia="黑体"/>
        </w:rPr>
        <w:t>四部分 附件</w:t>
      </w:r>
      <w:bookmarkEnd w:id="95"/>
      <w:bookmarkEnd w:id="96"/>
    </w:p>
    <w:p>
      <w:pPr>
        <w:spacing w:line="572" w:lineRule="exact"/>
        <w:jc w:val="left"/>
        <w:outlineLvl w:val="0"/>
        <w:rPr>
          <w:rFonts w:ascii="方正小标宋简体" w:hAnsi="方正小标宋简体" w:eastAsia="方正小标宋简体" w:cs="方正小标宋简体"/>
          <w:sz w:val="44"/>
          <w:szCs w:val="44"/>
        </w:rPr>
      </w:pPr>
      <w:r>
        <w:rPr>
          <w:rFonts w:hint="eastAsia" w:ascii="黑体" w:hAnsi="黑体" w:eastAsia="黑体" w:cs="黑体"/>
          <w:sz w:val="32"/>
          <w:szCs w:val="32"/>
        </w:rPr>
        <w:t>附件1</w:t>
      </w:r>
    </w:p>
    <w:p>
      <w:pPr>
        <w:widowControl/>
        <w:spacing w:line="580" w:lineRule="exact"/>
        <w:contextualSpacing/>
        <w:jc w:val="center"/>
        <w:rPr>
          <w:rFonts w:ascii="黑体" w:hAnsi="黑体" w:eastAsia="黑体"/>
          <w:b/>
          <w:sz w:val="44"/>
          <w:szCs w:val="44"/>
          <w:shd w:val="clear" w:color="auto" w:fill="FFFFFF"/>
        </w:rPr>
      </w:pPr>
      <w:r>
        <w:rPr>
          <w:rFonts w:ascii="黑体" w:hAnsi="黑体" w:eastAsia="黑体"/>
          <w:b/>
          <w:sz w:val="44"/>
          <w:szCs w:val="44"/>
          <w:shd w:val="clear" w:color="auto" w:fill="FFFFFF"/>
        </w:rPr>
        <w:t>202</w:t>
      </w:r>
      <w:r>
        <w:rPr>
          <w:rFonts w:hint="eastAsia" w:ascii="黑体" w:hAnsi="黑体" w:eastAsia="黑体"/>
          <w:b/>
          <w:sz w:val="44"/>
          <w:szCs w:val="44"/>
          <w:shd w:val="clear" w:color="auto" w:fill="FFFFFF"/>
        </w:rPr>
        <w:t>1年度区级部门整体支出</w:t>
      </w:r>
    </w:p>
    <w:p>
      <w:pPr>
        <w:widowControl/>
        <w:spacing w:line="580" w:lineRule="exact"/>
        <w:contextualSpacing/>
        <w:jc w:val="center"/>
        <w:rPr>
          <w:rFonts w:ascii="黑体" w:hAnsi="黑体" w:eastAsia="黑体"/>
          <w:b/>
          <w:sz w:val="44"/>
          <w:szCs w:val="44"/>
          <w:shd w:val="clear" w:color="auto" w:fill="FFFFFF"/>
        </w:rPr>
      </w:pPr>
      <w:r>
        <w:rPr>
          <w:rFonts w:hint="eastAsia" w:ascii="黑体" w:hAnsi="黑体" w:eastAsia="黑体"/>
          <w:b/>
          <w:sz w:val="44"/>
          <w:szCs w:val="44"/>
          <w:shd w:val="clear" w:color="auto" w:fill="FFFFFF"/>
        </w:rPr>
        <w:t>绩效评价报告</w:t>
      </w:r>
    </w:p>
    <w:p>
      <w:pPr>
        <w:widowControl/>
        <w:adjustRightInd w:val="0"/>
        <w:snapToGrid w:val="0"/>
        <w:spacing w:line="580" w:lineRule="exact"/>
        <w:ind w:firstLine="640" w:firstLineChars="200"/>
        <w:contextualSpacing/>
        <w:jc w:val="left"/>
        <w:rPr>
          <w:rFonts w:ascii="黑体" w:hAnsi="黑体" w:eastAsia="黑体" w:cs="宋体"/>
          <w:color w:val="000000"/>
          <w:kern w:val="0"/>
          <w:sz w:val="32"/>
          <w:szCs w:val="32"/>
          <w:shd w:val="clear" w:color="auto" w:fill="FFFFFF"/>
        </w:rPr>
      </w:pPr>
    </w:p>
    <w:p>
      <w:pPr>
        <w:widowControl/>
        <w:adjustRightInd w:val="0"/>
        <w:snapToGrid w:val="0"/>
        <w:spacing w:line="580" w:lineRule="exact"/>
        <w:ind w:firstLine="640" w:firstLineChars="200"/>
        <w:contextualSpacing/>
        <w:jc w:val="left"/>
        <w:rPr>
          <w:rFonts w:ascii="黑体" w:hAnsi="黑体" w:eastAsia="黑体" w:cs="宋体"/>
          <w:color w:val="000000"/>
          <w:kern w:val="0"/>
          <w:sz w:val="32"/>
          <w:szCs w:val="32"/>
          <w:shd w:val="clear" w:color="auto" w:fill="FFFFFF"/>
          <w:lang w:val="zh-CN"/>
        </w:rPr>
      </w:pPr>
      <w:r>
        <w:rPr>
          <w:rFonts w:hint="eastAsia" w:ascii="黑体" w:hAnsi="黑体" w:eastAsia="黑体" w:cs="宋体"/>
          <w:color w:val="000000"/>
          <w:kern w:val="0"/>
          <w:sz w:val="32"/>
          <w:szCs w:val="32"/>
          <w:shd w:val="clear" w:color="auto" w:fill="FFFFFF"/>
        </w:rPr>
        <w:t>一、</w:t>
      </w:r>
      <w:r>
        <w:rPr>
          <w:rFonts w:hint="eastAsia" w:ascii="黑体" w:hAnsi="黑体" w:eastAsia="黑体" w:cs="宋体"/>
          <w:color w:val="000000"/>
          <w:kern w:val="0"/>
          <w:sz w:val="32"/>
          <w:szCs w:val="32"/>
          <w:shd w:val="clear" w:color="auto" w:fill="FFFFFF"/>
          <w:lang w:val="zh-CN"/>
        </w:rPr>
        <w:t>部门（单位）概况</w:t>
      </w:r>
    </w:p>
    <w:p>
      <w:pPr>
        <w:widowControl/>
        <w:adjustRightInd w:val="0"/>
        <w:snapToGrid w:val="0"/>
        <w:spacing w:line="580" w:lineRule="exact"/>
        <w:ind w:firstLine="640" w:firstLineChars="200"/>
        <w:contextualSpacing/>
        <w:jc w:val="left"/>
        <w:rPr>
          <w:rFonts w:ascii="仿宋" w:hAnsi="仿宋" w:eastAsia="仿宋" w:cs="宋体"/>
          <w:color w:val="000000"/>
          <w:kern w:val="0"/>
          <w:sz w:val="32"/>
          <w:szCs w:val="32"/>
          <w:shd w:val="clear" w:color="auto" w:fill="FFFFFF"/>
          <w:lang w:val="zh-CN"/>
        </w:rPr>
      </w:pPr>
      <w:r>
        <w:rPr>
          <w:rFonts w:hint="eastAsia" w:ascii="仿宋" w:hAnsi="仿宋" w:eastAsia="仿宋" w:cs="宋体"/>
          <w:color w:val="000000"/>
          <w:kern w:val="0"/>
          <w:sz w:val="32"/>
          <w:szCs w:val="32"/>
          <w:shd w:val="clear" w:color="auto" w:fill="FFFFFF"/>
          <w:lang w:val="zh-CN"/>
        </w:rPr>
        <w:t>（一）机构组成。</w:t>
      </w:r>
      <w:r>
        <w:rPr>
          <w:rFonts w:hint="eastAsia" w:ascii="仿宋" w:hAnsi="仿宋" w:eastAsia="仿宋"/>
          <w:sz w:val="32"/>
          <w:szCs w:val="32"/>
        </w:rPr>
        <w:t>平兴镇人民政府下设党政办公室、党建办公室、社会事务办公室、综合执法办公室、规划建设管理办公室、乡村振兴办公室、便民服务中心、农业综合服务中心、村（社区）治理服务中心、文化旅游服务中心。</w:t>
      </w:r>
    </w:p>
    <w:p>
      <w:pPr>
        <w:widowControl/>
        <w:adjustRightInd w:val="0"/>
        <w:snapToGrid w:val="0"/>
        <w:spacing w:line="580" w:lineRule="exact"/>
        <w:ind w:firstLine="640" w:firstLineChars="200"/>
        <w:contextualSpacing/>
        <w:jc w:val="left"/>
        <w:rPr>
          <w:rFonts w:ascii="仿宋" w:hAnsi="仿宋" w:eastAsia="仿宋" w:cs="宋体"/>
          <w:color w:val="000000"/>
          <w:kern w:val="0"/>
          <w:sz w:val="32"/>
          <w:szCs w:val="32"/>
          <w:shd w:val="clear" w:color="auto" w:fill="FFFFFF"/>
          <w:lang w:val="zh-CN"/>
        </w:rPr>
      </w:pPr>
      <w:r>
        <w:rPr>
          <w:rFonts w:hint="eastAsia" w:ascii="仿宋" w:hAnsi="仿宋" w:eastAsia="仿宋" w:cs="宋体"/>
          <w:color w:val="000000"/>
          <w:kern w:val="0"/>
          <w:sz w:val="32"/>
          <w:szCs w:val="32"/>
          <w:shd w:val="clear" w:color="auto" w:fill="FFFFFF"/>
          <w:lang w:val="zh-CN"/>
        </w:rPr>
        <w:t>（二）机构职能。</w:t>
      </w:r>
      <w:r>
        <w:rPr>
          <w:rFonts w:hint="eastAsia" w:ascii="仿宋" w:hAnsi="仿宋" w:eastAsia="仿宋"/>
          <w:sz w:val="32"/>
          <w:szCs w:val="32"/>
        </w:rPr>
        <w:t>依法行使公共管理、公共服务、公共安全、民生保障等基本职能。</w:t>
      </w:r>
    </w:p>
    <w:p>
      <w:pPr>
        <w:widowControl/>
        <w:adjustRightInd w:val="0"/>
        <w:snapToGrid w:val="0"/>
        <w:spacing w:line="580" w:lineRule="exact"/>
        <w:ind w:firstLine="640" w:firstLineChars="200"/>
        <w:contextualSpacing/>
        <w:jc w:val="left"/>
        <w:rPr>
          <w:rFonts w:ascii="仿宋" w:hAnsi="仿宋" w:eastAsia="仿宋" w:cs="宋体"/>
          <w:color w:val="000000"/>
          <w:kern w:val="0"/>
          <w:sz w:val="32"/>
          <w:szCs w:val="32"/>
          <w:shd w:val="clear" w:color="auto" w:fill="FFFFFF"/>
          <w:lang w:val="zh-CN"/>
        </w:rPr>
      </w:pPr>
      <w:r>
        <w:rPr>
          <w:rFonts w:hint="eastAsia" w:ascii="仿宋" w:hAnsi="仿宋" w:eastAsia="仿宋" w:cs="宋体"/>
          <w:color w:val="000000"/>
          <w:kern w:val="0"/>
          <w:sz w:val="32"/>
          <w:szCs w:val="32"/>
          <w:shd w:val="clear" w:color="auto" w:fill="FFFFFF"/>
          <w:lang w:val="zh-CN"/>
        </w:rPr>
        <w:t>（三）人员概况。</w:t>
      </w:r>
      <w:r>
        <w:rPr>
          <w:rFonts w:hint="eastAsia" w:ascii="仿宋" w:hAnsi="仿宋" w:eastAsia="仿宋"/>
          <w:sz w:val="32"/>
          <w:szCs w:val="32"/>
        </w:rPr>
        <w:t>平兴镇人民政府</w:t>
      </w:r>
      <w:r>
        <w:rPr>
          <w:rFonts w:ascii="仿宋" w:hAnsi="仿宋" w:eastAsia="仿宋"/>
          <w:sz w:val="32"/>
          <w:szCs w:val="32"/>
        </w:rPr>
        <w:t>202</w:t>
      </w:r>
      <w:r>
        <w:rPr>
          <w:rFonts w:hint="eastAsia" w:ascii="仿宋" w:hAnsi="仿宋" w:eastAsia="仿宋"/>
          <w:sz w:val="32"/>
          <w:szCs w:val="32"/>
        </w:rPr>
        <w:t>1年末有公务员</w:t>
      </w:r>
      <w:r>
        <w:rPr>
          <w:rFonts w:ascii="仿宋" w:hAnsi="仿宋" w:eastAsia="仿宋"/>
          <w:sz w:val="32"/>
          <w:szCs w:val="32"/>
        </w:rPr>
        <w:t>2</w:t>
      </w:r>
      <w:r>
        <w:rPr>
          <w:rFonts w:hint="eastAsia" w:ascii="仿宋" w:hAnsi="仿宋" w:eastAsia="仿宋"/>
          <w:sz w:val="32"/>
          <w:szCs w:val="32"/>
        </w:rPr>
        <w:t>4人，行政工人</w:t>
      </w:r>
      <w:r>
        <w:rPr>
          <w:rFonts w:ascii="仿宋" w:hAnsi="仿宋" w:eastAsia="仿宋"/>
          <w:sz w:val="32"/>
          <w:szCs w:val="32"/>
        </w:rPr>
        <w:t>2</w:t>
      </w:r>
      <w:r>
        <w:rPr>
          <w:rFonts w:hint="eastAsia" w:ascii="仿宋" w:hAnsi="仿宋" w:eastAsia="仿宋"/>
          <w:sz w:val="32"/>
          <w:szCs w:val="32"/>
        </w:rPr>
        <w:t>人，事业人员</w:t>
      </w:r>
      <w:r>
        <w:rPr>
          <w:rFonts w:ascii="仿宋" w:hAnsi="仿宋" w:eastAsia="仿宋"/>
          <w:sz w:val="32"/>
          <w:szCs w:val="32"/>
        </w:rPr>
        <w:t>2</w:t>
      </w:r>
      <w:r>
        <w:rPr>
          <w:rFonts w:hint="eastAsia" w:ascii="仿宋" w:hAnsi="仿宋" w:eastAsia="仿宋"/>
          <w:sz w:val="32"/>
          <w:szCs w:val="32"/>
        </w:rPr>
        <w:t>4人，临聘人员</w:t>
      </w:r>
      <w:r>
        <w:rPr>
          <w:rFonts w:ascii="仿宋" w:hAnsi="仿宋" w:eastAsia="仿宋"/>
          <w:sz w:val="32"/>
          <w:szCs w:val="32"/>
        </w:rPr>
        <w:t>1</w:t>
      </w:r>
      <w:r>
        <w:rPr>
          <w:rFonts w:hint="eastAsia" w:ascii="仿宋" w:hAnsi="仿宋" w:eastAsia="仿宋"/>
          <w:sz w:val="32"/>
          <w:szCs w:val="32"/>
        </w:rPr>
        <w:t>1人，退休人员</w:t>
      </w:r>
      <w:r>
        <w:rPr>
          <w:rFonts w:ascii="仿宋" w:hAnsi="仿宋" w:eastAsia="仿宋"/>
          <w:sz w:val="32"/>
          <w:szCs w:val="32"/>
        </w:rPr>
        <w:t>18</w:t>
      </w:r>
      <w:r>
        <w:rPr>
          <w:rFonts w:hint="eastAsia" w:ascii="仿宋" w:hAnsi="仿宋" w:eastAsia="仿宋"/>
          <w:sz w:val="32"/>
          <w:szCs w:val="32"/>
        </w:rPr>
        <w:t>人。</w:t>
      </w:r>
    </w:p>
    <w:p>
      <w:pPr>
        <w:widowControl/>
        <w:adjustRightInd w:val="0"/>
        <w:snapToGrid w:val="0"/>
        <w:spacing w:line="580" w:lineRule="exact"/>
        <w:ind w:firstLine="640" w:firstLineChars="200"/>
        <w:contextualSpacing/>
        <w:jc w:val="left"/>
        <w:rPr>
          <w:rFonts w:ascii="黑体" w:hAnsi="黑体" w:eastAsia="黑体" w:cs="宋体"/>
          <w:color w:val="000000"/>
          <w:kern w:val="0"/>
          <w:sz w:val="32"/>
          <w:szCs w:val="32"/>
          <w:shd w:val="clear" w:color="auto" w:fill="FFFFFF"/>
        </w:rPr>
      </w:pPr>
      <w:r>
        <w:rPr>
          <w:rFonts w:hint="eastAsia" w:ascii="黑体" w:hAnsi="黑体" w:eastAsia="黑体" w:cs="宋体"/>
          <w:color w:val="000000"/>
          <w:kern w:val="0"/>
          <w:sz w:val="32"/>
          <w:szCs w:val="32"/>
          <w:shd w:val="clear" w:color="auto" w:fill="FFFFFF"/>
        </w:rPr>
        <w:t>二、部门财政资金收支情况</w:t>
      </w:r>
    </w:p>
    <w:p>
      <w:pPr>
        <w:widowControl/>
        <w:adjustRightInd w:val="0"/>
        <w:snapToGrid w:val="0"/>
        <w:spacing w:line="580" w:lineRule="exact"/>
        <w:ind w:firstLine="640" w:firstLineChars="200"/>
        <w:contextualSpacing/>
        <w:jc w:val="left"/>
        <w:rPr>
          <w:rFonts w:ascii="仿宋" w:hAnsi="仿宋" w:eastAsia="仿宋" w:cs="宋体"/>
          <w:color w:val="000000"/>
          <w:kern w:val="0"/>
          <w:sz w:val="32"/>
          <w:szCs w:val="32"/>
          <w:shd w:val="clear" w:color="auto" w:fill="FFFFFF"/>
          <w:lang w:val="zh-CN"/>
        </w:rPr>
      </w:pPr>
      <w:r>
        <w:rPr>
          <w:rFonts w:hint="eastAsia" w:ascii="仿宋" w:hAnsi="仿宋" w:eastAsia="仿宋" w:cs="宋体"/>
          <w:color w:val="000000"/>
          <w:kern w:val="0"/>
          <w:sz w:val="32"/>
          <w:szCs w:val="32"/>
          <w:shd w:val="clear" w:color="auto" w:fill="FFFFFF"/>
          <w:lang w:val="zh-CN"/>
        </w:rPr>
        <w:t>（一）部门财政资金收入情况。</w:t>
      </w:r>
      <w:r>
        <w:rPr>
          <w:rFonts w:hint="eastAsia" w:ascii="仿宋" w:hAnsi="仿宋" w:eastAsia="仿宋"/>
          <w:sz w:val="32"/>
          <w:szCs w:val="32"/>
          <w:lang w:val="zh-CN"/>
        </w:rPr>
        <w:t>平兴镇人民政府</w:t>
      </w:r>
      <w:r>
        <w:rPr>
          <w:rFonts w:ascii="仿宋" w:hAnsi="仿宋" w:eastAsia="仿宋"/>
          <w:sz w:val="32"/>
          <w:szCs w:val="32"/>
          <w:lang w:val="zh-CN"/>
        </w:rPr>
        <w:t>202</w:t>
      </w:r>
      <w:r>
        <w:rPr>
          <w:rFonts w:hint="eastAsia" w:ascii="仿宋" w:hAnsi="仿宋" w:eastAsia="仿宋"/>
          <w:sz w:val="32"/>
          <w:szCs w:val="32"/>
        </w:rPr>
        <w:t>1</w:t>
      </w:r>
      <w:r>
        <w:rPr>
          <w:rFonts w:hint="eastAsia" w:ascii="仿宋" w:hAnsi="仿宋" w:eastAsia="仿宋"/>
          <w:sz w:val="32"/>
          <w:szCs w:val="32"/>
          <w:lang w:val="zh-CN"/>
        </w:rPr>
        <w:t>年全年收入总计</w:t>
      </w:r>
      <w:r>
        <w:rPr>
          <w:rFonts w:hint="eastAsia" w:ascii="仿宋" w:hAnsi="仿宋" w:eastAsia="仿宋"/>
          <w:sz w:val="32"/>
          <w:szCs w:val="32"/>
        </w:rPr>
        <w:t>1337.19</w:t>
      </w:r>
      <w:r>
        <w:rPr>
          <w:rFonts w:hint="eastAsia" w:ascii="仿宋" w:hAnsi="仿宋" w:eastAsia="仿宋"/>
          <w:sz w:val="32"/>
          <w:szCs w:val="32"/>
          <w:lang w:val="zh-CN"/>
        </w:rPr>
        <w:t>万元，其中一般公共预算财政拨款收入</w:t>
      </w:r>
      <w:r>
        <w:rPr>
          <w:rFonts w:ascii="仿宋" w:hAnsi="仿宋" w:eastAsia="仿宋"/>
          <w:sz w:val="32"/>
          <w:szCs w:val="32"/>
          <w:lang w:val="zh-CN"/>
        </w:rPr>
        <w:t>1</w:t>
      </w:r>
      <w:r>
        <w:rPr>
          <w:rFonts w:hint="eastAsia" w:ascii="仿宋" w:hAnsi="仿宋" w:eastAsia="仿宋"/>
          <w:sz w:val="32"/>
          <w:szCs w:val="32"/>
        </w:rPr>
        <w:t>193</w:t>
      </w:r>
      <w:r>
        <w:rPr>
          <w:rFonts w:ascii="仿宋" w:hAnsi="仿宋" w:eastAsia="仿宋"/>
          <w:sz w:val="32"/>
          <w:szCs w:val="32"/>
          <w:lang w:val="zh-CN"/>
        </w:rPr>
        <w:t>.</w:t>
      </w:r>
      <w:r>
        <w:rPr>
          <w:rFonts w:hint="eastAsia" w:ascii="仿宋" w:hAnsi="仿宋" w:eastAsia="仿宋"/>
          <w:sz w:val="32"/>
          <w:szCs w:val="32"/>
        </w:rPr>
        <w:t>96</w:t>
      </w:r>
      <w:r>
        <w:rPr>
          <w:rFonts w:hint="eastAsia" w:ascii="仿宋" w:hAnsi="仿宋" w:eastAsia="仿宋"/>
          <w:sz w:val="32"/>
          <w:szCs w:val="32"/>
          <w:lang w:val="zh-CN"/>
        </w:rPr>
        <w:t>万元，其他收入</w:t>
      </w:r>
      <w:r>
        <w:rPr>
          <w:rFonts w:hint="eastAsia" w:ascii="仿宋" w:hAnsi="仿宋" w:eastAsia="仿宋"/>
          <w:sz w:val="32"/>
          <w:szCs w:val="32"/>
        </w:rPr>
        <w:t>49.94</w:t>
      </w:r>
      <w:r>
        <w:rPr>
          <w:rFonts w:hint="eastAsia" w:ascii="仿宋" w:hAnsi="仿宋" w:eastAsia="仿宋"/>
          <w:sz w:val="32"/>
          <w:szCs w:val="32"/>
          <w:lang w:val="zh-CN"/>
        </w:rPr>
        <w:t>万元，上年结转</w:t>
      </w:r>
      <w:r>
        <w:rPr>
          <w:rFonts w:hint="eastAsia" w:ascii="仿宋" w:hAnsi="仿宋" w:eastAsia="仿宋"/>
          <w:sz w:val="32"/>
          <w:szCs w:val="32"/>
        </w:rPr>
        <w:t>93.29</w:t>
      </w:r>
      <w:r>
        <w:rPr>
          <w:rFonts w:hint="eastAsia" w:ascii="仿宋" w:hAnsi="仿宋" w:eastAsia="仿宋"/>
          <w:sz w:val="32"/>
          <w:szCs w:val="32"/>
          <w:lang w:val="zh-CN"/>
        </w:rPr>
        <w:t>万元。</w:t>
      </w:r>
    </w:p>
    <w:p>
      <w:pPr>
        <w:ind w:firstLine="640" w:firstLineChars="200"/>
        <w:rPr>
          <w:rFonts w:ascii="仿宋" w:hAnsi="仿宋" w:eastAsia="仿宋" w:cs="宋体"/>
          <w:color w:val="000000"/>
          <w:kern w:val="0"/>
          <w:sz w:val="32"/>
          <w:szCs w:val="32"/>
          <w:shd w:val="clear" w:color="auto" w:fill="FFFFFF"/>
          <w:lang w:val="zh-CN"/>
        </w:rPr>
      </w:pPr>
      <w:r>
        <w:rPr>
          <w:rFonts w:hint="eastAsia" w:ascii="仿宋" w:hAnsi="仿宋" w:eastAsia="仿宋" w:cs="宋体"/>
          <w:color w:val="000000"/>
          <w:kern w:val="0"/>
          <w:sz w:val="32"/>
          <w:szCs w:val="32"/>
          <w:shd w:val="clear" w:color="auto" w:fill="FFFFFF"/>
          <w:lang w:val="zh-CN"/>
        </w:rPr>
        <w:t>（二）部门财政资金支出情况。</w:t>
      </w:r>
      <w:r>
        <w:rPr>
          <w:rFonts w:hint="eastAsia" w:ascii="仿宋" w:hAnsi="仿宋" w:eastAsia="仿宋"/>
          <w:sz w:val="32"/>
          <w:szCs w:val="32"/>
          <w:lang w:val="zh-CN"/>
        </w:rPr>
        <w:t>平兴镇人民政府</w:t>
      </w:r>
      <w:r>
        <w:rPr>
          <w:rFonts w:ascii="仿宋" w:hAnsi="仿宋" w:eastAsia="仿宋"/>
          <w:sz w:val="32"/>
          <w:szCs w:val="32"/>
          <w:lang w:val="zh-CN"/>
        </w:rPr>
        <w:t>202</w:t>
      </w:r>
      <w:r>
        <w:rPr>
          <w:rFonts w:hint="eastAsia" w:ascii="仿宋" w:hAnsi="仿宋" w:eastAsia="仿宋"/>
          <w:sz w:val="32"/>
          <w:szCs w:val="32"/>
        </w:rPr>
        <w:t>1</w:t>
      </w:r>
      <w:r>
        <w:rPr>
          <w:rFonts w:hint="eastAsia" w:ascii="仿宋" w:hAnsi="仿宋" w:eastAsia="仿宋"/>
          <w:sz w:val="32"/>
          <w:szCs w:val="32"/>
          <w:lang w:val="zh-CN"/>
        </w:rPr>
        <w:t>年全年支出总计</w:t>
      </w:r>
      <w:r>
        <w:rPr>
          <w:rFonts w:ascii="仿宋" w:hAnsi="仿宋" w:eastAsia="仿宋"/>
          <w:sz w:val="32"/>
          <w:szCs w:val="32"/>
          <w:lang w:val="zh-CN"/>
        </w:rPr>
        <w:t>1</w:t>
      </w:r>
      <w:r>
        <w:rPr>
          <w:rFonts w:hint="eastAsia" w:ascii="仿宋" w:hAnsi="仿宋" w:eastAsia="仿宋"/>
          <w:sz w:val="32"/>
          <w:szCs w:val="32"/>
        </w:rPr>
        <w:t>337.19</w:t>
      </w:r>
      <w:r>
        <w:rPr>
          <w:rFonts w:hint="eastAsia" w:ascii="仿宋" w:hAnsi="仿宋" w:eastAsia="仿宋"/>
          <w:sz w:val="32"/>
          <w:szCs w:val="32"/>
          <w:lang w:val="zh-CN"/>
        </w:rPr>
        <w:t>万元，其中</w:t>
      </w:r>
      <w:r>
        <w:rPr>
          <w:rFonts w:hint="eastAsia" w:ascii="仿宋" w:hAnsi="仿宋" w:eastAsia="仿宋"/>
          <w:sz w:val="32"/>
          <w:szCs w:val="32"/>
        </w:rPr>
        <w:t>基本支出648.44</w:t>
      </w:r>
      <w:r>
        <w:rPr>
          <w:rFonts w:hint="eastAsia" w:ascii="仿宋" w:hAnsi="仿宋" w:eastAsia="仿宋"/>
          <w:sz w:val="32"/>
          <w:szCs w:val="32"/>
          <w:lang w:val="zh-CN"/>
        </w:rPr>
        <w:t>万元，</w:t>
      </w:r>
      <w:r>
        <w:rPr>
          <w:rFonts w:hint="eastAsia" w:ascii="仿宋" w:hAnsi="仿宋" w:eastAsia="仿宋"/>
          <w:sz w:val="32"/>
          <w:szCs w:val="32"/>
        </w:rPr>
        <w:t>项目支出632.86</w:t>
      </w:r>
      <w:r>
        <w:rPr>
          <w:rFonts w:hint="eastAsia" w:ascii="仿宋" w:hAnsi="仿宋" w:eastAsia="仿宋"/>
          <w:sz w:val="32"/>
          <w:szCs w:val="32"/>
          <w:lang w:val="zh-CN"/>
        </w:rPr>
        <w:t>万元，结转下年</w:t>
      </w:r>
      <w:r>
        <w:rPr>
          <w:rFonts w:hint="eastAsia" w:ascii="仿宋" w:hAnsi="仿宋" w:eastAsia="仿宋"/>
          <w:sz w:val="32"/>
          <w:szCs w:val="32"/>
        </w:rPr>
        <w:t>55.89</w:t>
      </w:r>
      <w:r>
        <w:rPr>
          <w:rFonts w:hint="eastAsia" w:ascii="仿宋" w:hAnsi="仿宋" w:eastAsia="仿宋"/>
          <w:sz w:val="32"/>
          <w:szCs w:val="32"/>
          <w:lang w:val="zh-CN"/>
        </w:rPr>
        <w:t>万元。</w:t>
      </w:r>
    </w:p>
    <w:p>
      <w:pPr>
        <w:widowControl/>
        <w:adjustRightInd w:val="0"/>
        <w:snapToGrid w:val="0"/>
        <w:spacing w:line="580" w:lineRule="exact"/>
        <w:ind w:firstLine="640" w:firstLineChars="200"/>
        <w:contextualSpacing/>
        <w:jc w:val="left"/>
        <w:rPr>
          <w:rFonts w:ascii="黑体" w:hAnsi="黑体" w:eastAsia="黑体" w:cs="宋体"/>
          <w:color w:val="000000"/>
          <w:kern w:val="0"/>
          <w:sz w:val="32"/>
          <w:szCs w:val="32"/>
          <w:shd w:val="clear" w:color="auto" w:fill="FFFFFF"/>
        </w:rPr>
      </w:pPr>
      <w:r>
        <w:rPr>
          <w:rFonts w:hint="eastAsia" w:ascii="黑体" w:hAnsi="黑体" w:eastAsia="黑体" w:cs="宋体"/>
          <w:color w:val="000000"/>
          <w:kern w:val="0"/>
          <w:sz w:val="32"/>
          <w:szCs w:val="32"/>
          <w:shd w:val="clear" w:color="auto" w:fill="FFFFFF"/>
        </w:rPr>
        <w:t>三、部门整体预算绩效管理情况</w:t>
      </w:r>
    </w:p>
    <w:p>
      <w:pPr>
        <w:widowControl/>
        <w:adjustRightInd w:val="0"/>
        <w:snapToGrid w:val="0"/>
        <w:spacing w:line="580" w:lineRule="exact"/>
        <w:ind w:firstLine="640" w:firstLineChars="200"/>
        <w:contextualSpacing/>
        <w:jc w:val="left"/>
        <w:rPr>
          <w:rFonts w:ascii="仿宋" w:hAnsi="仿宋" w:eastAsia="仿宋" w:cs="宋体"/>
          <w:color w:val="000000"/>
          <w:kern w:val="0"/>
          <w:sz w:val="32"/>
          <w:szCs w:val="32"/>
          <w:shd w:val="clear" w:color="auto" w:fill="FFFFFF"/>
          <w:lang w:val="zh-CN"/>
        </w:rPr>
      </w:pPr>
      <w:r>
        <w:rPr>
          <w:rFonts w:hint="eastAsia" w:ascii="仿宋" w:hAnsi="仿宋" w:eastAsia="仿宋" w:cs="宋体"/>
          <w:color w:val="000000"/>
          <w:kern w:val="0"/>
          <w:sz w:val="32"/>
          <w:szCs w:val="32"/>
          <w:shd w:val="clear" w:color="auto" w:fill="FFFFFF"/>
          <w:lang w:val="zh-CN"/>
        </w:rPr>
        <w:t>（一）部门预算管理。</w:t>
      </w:r>
    </w:p>
    <w:p>
      <w:pPr>
        <w:pStyle w:val="34"/>
        <w:ind w:firstLine="640"/>
        <w:rPr>
          <w:rFonts w:ascii="仿宋" w:hAnsi="仿宋" w:eastAsia="仿宋"/>
          <w:shd w:val="clear" w:color="auto" w:fill="FFFFFF"/>
          <w:lang w:val="zh-CN"/>
        </w:rPr>
      </w:pPr>
      <w:r>
        <w:rPr>
          <w:rFonts w:hint="eastAsia" w:ascii="仿宋" w:hAnsi="仿宋" w:eastAsia="仿宋"/>
          <w:shd w:val="clear" w:color="auto" w:fill="FFFFFF"/>
          <w:lang w:val="zh-CN"/>
        </w:rPr>
        <w:t>平兴镇人民政府按照上级部门预算编制通知和有关要求，按时完成基础、项目库报送工作，按时完成预算编制；同时申报完成绩效目标的申报工作，部门整体绩效目标编制完整、合理，项目绩效目标编制明确、量化。在预算执行过程中严格按资金用途使用，预算执行过程中发生的预警全部整改完毕。在规定时限内按要求对绩效目标的申报进行了公开。</w:t>
      </w:r>
    </w:p>
    <w:p>
      <w:pPr>
        <w:widowControl/>
        <w:adjustRightInd w:val="0"/>
        <w:snapToGrid w:val="0"/>
        <w:spacing w:line="580" w:lineRule="exact"/>
        <w:ind w:firstLine="640" w:firstLineChars="200"/>
        <w:contextualSpacing/>
        <w:jc w:val="left"/>
        <w:rPr>
          <w:rFonts w:ascii="仿宋" w:hAnsi="仿宋" w:eastAsia="仿宋" w:cs="宋体"/>
          <w:color w:val="000000"/>
          <w:kern w:val="0"/>
          <w:sz w:val="32"/>
          <w:szCs w:val="32"/>
          <w:shd w:val="clear" w:color="auto" w:fill="FFFFFF"/>
          <w:lang w:val="zh-CN"/>
        </w:rPr>
      </w:pPr>
      <w:r>
        <w:rPr>
          <w:rFonts w:hint="eastAsia" w:ascii="仿宋" w:hAnsi="仿宋" w:eastAsia="仿宋" w:cs="宋体"/>
          <w:color w:val="000000"/>
          <w:kern w:val="0"/>
          <w:sz w:val="32"/>
          <w:szCs w:val="32"/>
          <w:shd w:val="clear" w:color="auto" w:fill="FFFFFF"/>
          <w:lang w:val="zh-CN"/>
        </w:rPr>
        <w:t>（二）结果应用情况。</w:t>
      </w:r>
    </w:p>
    <w:p>
      <w:pPr>
        <w:widowControl/>
        <w:adjustRightInd w:val="0"/>
        <w:snapToGrid w:val="0"/>
        <w:spacing w:line="580" w:lineRule="exact"/>
        <w:ind w:firstLine="640" w:firstLineChars="200"/>
        <w:contextualSpacing/>
        <w:jc w:val="left"/>
        <w:rPr>
          <w:rFonts w:ascii="仿宋" w:hAnsi="仿宋" w:eastAsia="仿宋" w:cs="宋体"/>
          <w:color w:val="000000"/>
          <w:kern w:val="0"/>
          <w:sz w:val="32"/>
          <w:szCs w:val="32"/>
          <w:shd w:val="clear" w:color="auto" w:fill="FFFFFF"/>
          <w:lang w:val="zh-CN"/>
        </w:rPr>
      </w:pPr>
      <w:r>
        <w:rPr>
          <w:rFonts w:hint="eastAsia" w:ascii="仿宋" w:hAnsi="仿宋" w:eastAsia="仿宋"/>
          <w:sz w:val="32"/>
          <w:szCs w:val="32"/>
        </w:rPr>
        <w:t>按要求开展整体绩效评价，向财政部门报告绩效自评报告，针对绩效评价发现的问题制定整改措施并整改落实到位；按要求开展相关自查自纠、按时上报自查自纠报告及报表，针对问题制定整改措施并整改落实到位。</w:t>
      </w:r>
    </w:p>
    <w:p>
      <w:pPr>
        <w:widowControl/>
        <w:adjustRightInd w:val="0"/>
        <w:snapToGrid w:val="0"/>
        <w:spacing w:line="580" w:lineRule="exact"/>
        <w:ind w:firstLine="640" w:firstLineChars="200"/>
        <w:contextualSpacing/>
        <w:jc w:val="left"/>
        <w:rPr>
          <w:rFonts w:ascii="黑体" w:hAnsi="黑体" w:eastAsia="黑体" w:cs="宋体"/>
          <w:color w:val="000000"/>
          <w:kern w:val="0"/>
          <w:sz w:val="32"/>
          <w:szCs w:val="32"/>
          <w:shd w:val="clear" w:color="auto" w:fill="FFFFFF"/>
        </w:rPr>
      </w:pPr>
      <w:r>
        <w:rPr>
          <w:rFonts w:hint="eastAsia" w:ascii="黑体" w:hAnsi="黑体" w:eastAsia="黑体" w:cs="宋体"/>
          <w:color w:val="000000"/>
          <w:kern w:val="0"/>
          <w:sz w:val="32"/>
          <w:szCs w:val="32"/>
          <w:shd w:val="clear" w:color="auto" w:fill="FFFFFF"/>
        </w:rPr>
        <w:t>四、评价结论及建议</w:t>
      </w:r>
    </w:p>
    <w:p>
      <w:pPr>
        <w:widowControl/>
        <w:adjustRightInd w:val="0"/>
        <w:snapToGrid w:val="0"/>
        <w:spacing w:line="580" w:lineRule="exact"/>
        <w:ind w:firstLine="640" w:firstLineChars="200"/>
        <w:contextualSpacing/>
        <w:jc w:val="left"/>
        <w:rPr>
          <w:rFonts w:ascii="仿宋" w:hAnsi="仿宋" w:eastAsia="仿宋" w:cs="宋体"/>
          <w:color w:val="000000"/>
          <w:kern w:val="0"/>
          <w:sz w:val="32"/>
          <w:szCs w:val="32"/>
          <w:shd w:val="clear" w:color="auto" w:fill="FFFFFF"/>
          <w:lang w:val="zh-CN"/>
        </w:rPr>
      </w:pPr>
      <w:r>
        <w:rPr>
          <w:rFonts w:hint="eastAsia" w:ascii="仿宋" w:hAnsi="仿宋" w:eastAsia="仿宋" w:cs="宋体"/>
          <w:color w:val="000000"/>
          <w:kern w:val="0"/>
          <w:sz w:val="32"/>
          <w:szCs w:val="32"/>
          <w:shd w:val="clear" w:color="auto" w:fill="FFFFFF"/>
          <w:lang w:val="zh-CN"/>
        </w:rPr>
        <w:t>（一）评价结论。</w:t>
      </w:r>
      <w:r>
        <w:rPr>
          <w:rFonts w:hint="eastAsia" w:ascii="仿宋" w:hAnsi="仿宋" w:eastAsia="仿宋"/>
          <w:sz w:val="32"/>
          <w:szCs w:val="32"/>
        </w:rPr>
        <w:t>平兴镇人民政府</w:t>
      </w:r>
      <w:r>
        <w:rPr>
          <w:rFonts w:ascii="仿宋" w:hAnsi="仿宋" w:eastAsia="仿宋"/>
          <w:sz w:val="32"/>
          <w:szCs w:val="32"/>
        </w:rPr>
        <w:t>202</w:t>
      </w:r>
      <w:r>
        <w:rPr>
          <w:rFonts w:hint="eastAsia" w:ascii="仿宋" w:hAnsi="仿宋" w:eastAsia="仿宋"/>
          <w:sz w:val="32"/>
          <w:szCs w:val="32"/>
        </w:rPr>
        <w:t>1年部门整体支出绩效良好，可进一步提高。</w:t>
      </w:r>
    </w:p>
    <w:p>
      <w:pPr>
        <w:widowControl/>
        <w:adjustRightInd w:val="0"/>
        <w:snapToGrid w:val="0"/>
        <w:spacing w:line="580" w:lineRule="exact"/>
        <w:ind w:firstLine="640" w:firstLineChars="200"/>
        <w:contextualSpacing/>
        <w:jc w:val="left"/>
        <w:rPr>
          <w:rFonts w:ascii="仿宋" w:hAnsi="仿宋" w:eastAsia="仿宋" w:cs="宋体"/>
          <w:color w:val="000000"/>
          <w:kern w:val="0"/>
          <w:sz w:val="32"/>
          <w:szCs w:val="32"/>
          <w:shd w:val="clear" w:color="auto" w:fill="FFFFFF"/>
          <w:lang w:val="zh-CN"/>
        </w:rPr>
      </w:pPr>
      <w:r>
        <w:rPr>
          <w:rFonts w:hint="eastAsia" w:ascii="仿宋" w:hAnsi="仿宋" w:eastAsia="仿宋" w:cs="宋体"/>
          <w:color w:val="000000"/>
          <w:kern w:val="0"/>
          <w:sz w:val="32"/>
          <w:szCs w:val="32"/>
          <w:shd w:val="clear" w:color="auto" w:fill="FFFFFF"/>
          <w:lang w:val="zh-CN"/>
        </w:rPr>
        <w:t>（二）存在问题。预算追加数大，影响整体预算执行率。</w:t>
      </w:r>
    </w:p>
    <w:p>
      <w:pPr>
        <w:widowControl/>
        <w:adjustRightInd w:val="0"/>
        <w:snapToGrid w:val="0"/>
        <w:spacing w:line="580" w:lineRule="exact"/>
        <w:ind w:firstLine="640" w:firstLineChars="200"/>
        <w:contextualSpacing/>
        <w:jc w:val="left"/>
        <w:rPr>
          <w:rFonts w:ascii="仿宋" w:hAnsi="仿宋" w:eastAsia="仿宋" w:cs="宋体"/>
          <w:color w:val="000000"/>
          <w:kern w:val="0"/>
          <w:sz w:val="32"/>
          <w:szCs w:val="32"/>
          <w:shd w:val="clear" w:color="auto" w:fill="FFFFFF"/>
          <w:lang w:val="zh-CN"/>
        </w:rPr>
      </w:pPr>
      <w:r>
        <w:rPr>
          <w:rFonts w:hint="eastAsia" w:ascii="仿宋" w:hAnsi="仿宋" w:eastAsia="仿宋" w:cs="宋体"/>
          <w:color w:val="000000"/>
          <w:kern w:val="0"/>
          <w:sz w:val="32"/>
          <w:szCs w:val="32"/>
          <w:shd w:val="clear" w:color="auto" w:fill="FFFFFF"/>
          <w:lang w:val="zh-CN"/>
        </w:rPr>
        <w:t>（三）改进建议。加强预算编制完整性，做到应编尽编。</w:t>
      </w:r>
    </w:p>
    <w:p>
      <w:pPr>
        <w:widowControl/>
        <w:adjustRightInd w:val="0"/>
        <w:snapToGrid w:val="0"/>
        <w:spacing w:line="580" w:lineRule="exact"/>
        <w:ind w:firstLine="640" w:firstLineChars="200"/>
        <w:contextualSpacing/>
        <w:jc w:val="left"/>
        <w:rPr>
          <w:rFonts w:hint="eastAsia" w:ascii="仿宋" w:hAnsi="仿宋" w:eastAsia="仿宋" w:cs="宋体"/>
          <w:color w:val="000000"/>
          <w:kern w:val="0"/>
          <w:sz w:val="32"/>
          <w:szCs w:val="32"/>
          <w:shd w:val="clear" w:color="auto" w:fill="FFFFFF"/>
          <w:lang w:val="zh-CN"/>
        </w:rPr>
      </w:pPr>
    </w:p>
    <w:p>
      <w:pPr>
        <w:pStyle w:val="2"/>
        <w:spacing w:before="93"/>
        <w:rPr>
          <w:rFonts w:hint="eastAsia"/>
          <w:lang w:val="zh-CN"/>
        </w:rPr>
      </w:pPr>
    </w:p>
    <w:p>
      <w:pPr>
        <w:pStyle w:val="3"/>
        <w:rPr>
          <w:rFonts w:hint="eastAsia"/>
          <w:lang w:val="zh-CN"/>
        </w:rPr>
      </w:pPr>
    </w:p>
    <w:p>
      <w:pPr>
        <w:rPr>
          <w:rFonts w:hint="eastAsia"/>
          <w:lang w:val="zh-CN"/>
        </w:rPr>
      </w:pPr>
    </w:p>
    <w:p>
      <w:pPr>
        <w:pStyle w:val="2"/>
        <w:spacing w:before="93"/>
        <w:rPr>
          <w:lang w:val="zh-CN"/>
        </w:rPr>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pPr>
    </w:p>
    <w:tbl>
      <w:tblPr>
        <w:tblStyle w:val="13"/>
        <w:tblpPr w:leftFromText="180" w:rightFromText="180" w:vertAnchor="text" w:horzAnchor="page" w:tblpX="106" w:tblpY="585"/>
        <w:tblOverlap w:val="never"/>
        <w:tblW w:w="16585" w:type="dxa"/>
        <w:tblInd w:w="0" w:type="dxa"/>
        <w:tblLayout w:type="fixed"/>
        <w:tblCellMar>
          <w:top w:w="0" w:type="dxa"/>
          <w:left w:w="108" w:type="dxa"/>
          <w:bottom w:w="0" w:type="dxa"/>
          <w:right w:w="108" w:type="dxa"/>
        </w:tblCellMar>
      </w:tblPr>
      <w:tblGrid>
        <w:gridCol w:w="578"/>
        <w:gridCol w:w="682"/>
        <w:gridCol w:w="147"/>
        <w:gridCol w:w="305"/>
        <w:gridCol w:w="1208"/>
        <w:gridCol w:w="777"/>
        <w:gridCol w:w="1610"/>
        <w:gridCol w:w="113"/>
        <w:gridCol w:w="262"/>
        <w:gridCol w:w="2518"/>
        <w:gridCol w:w="433"/>
        <w:gridCol w:w="2852"/>
        <w:gridCol w:w="1140"/>
        <w:gridCol w:w="987"/>
        <w:gridCol w:w="2973"/>
      </w:tblGrid>
      <w:tr>
        <w:tblPrEx>
          <w:tblCellMar>
            <w:top w:w="0" w:type="dxa"/>
            <w:left w:w="108" w:type="dxa"/>
            <w:bottom w:w="0" w:type="dxa"/>
            <w:right w:w="108" w:type="dxa"/>
          </w:tblCellMar>
        </w:tblPrEx>
        <w:trPr>
          <w:trHeight w:val="319" w:hRule="atLeast"/>
        </w:trPr>
        <w:tc>
          <w:tcPr>
            <w:tcW w:w="1260" w:type="dxa"/>
            <w:gridSpan w:val="2"/>
            <w:tcBorders>
              <w:top w:val="nil"/>
              <w:left w:val="nil"/>
              <w:bottom w:val="nil"/>
              <w:right w:val="nil"/>
            </w:tcBorders>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附件1</w:t>
            </w:r>
          </w:p>
        </w:tc>
        <w:tc>
          <w:tcPr>
            <w:tcW w:w="1660" w:type="dxa"/>
            <w:gridSpan w:val="3"/>
            <w:tcBorders>
              <w:top w:val="nil"/>
              <w:left w:val="nil"/>
              <w:bottom w:val="nil"/>
              <w:right w:val="nil"/>
            </w:tcBorders>
            <w:shd w:val="clear" w:color="auto" w:fill="auto"/>
            <w:noWrap/>
            <w:vAlign w:val="bottom"/>
          </w:tcPr>
          <w:p>
            <w:pPr>
              <w:widowControl/>
              <w:jc w:val="left"/>
              <w:rPr>
                <w:rFonts w:ascii="等线" w:hAnsi="等线" w:eastAsia="等线" w:cs="宋体"/>
                <w:color w:val="000000"/>
                <w:kern w:val="0"/>
                <w:sz w:val="22"/>
                <w:szCs w:val="22"/>
              </w:rPr>
            </w:pPr>
          </w:p>
        </w:tc>
        <w:tc>
          <w:tcPr>
            <w:tcW w:w="2500" w:type="dxa"/>
            <w:gridSpan w:val="3"/>
            <w:tcBorders>
              <w:top w:val="nil"/>
              <w:left w:val="nil"/>
              <w:bottom w:val="nil"/>
              <w:right w:val="nil"/>
            </w:tcBorders>
            <w:shd w:val="clear" w:color="auto" w:fill="auto"/>
            <w:noWrap/>
            <w:vAlign w:val="bottom"/>
          </w:tcPr>
          <w:p>
            <w:pPr>
              <w:widowControl/>
              <w:jc w:val="left"/>
              <w:rPr>
                <w:rFonts w:ascii="等线" w:hAnsi="等线" w:eastAsia="等线" w:cs="宋体"/>
                <w:color w:val="000000"/>
                <w:kern w:val="0"/>
                <w:sz w:val="22"/>
                <w:szCs w:val="22"/>
              </w:rPr>
            </w:pPr>
          </w:p>
        </w:tc>
        <w:tc>
          <w:tcPr>
            <w:tcW w:w="2780" w:type="dxa"/>
            <w:gridSpan w:val="2"/>
            <w:tcBorders>
              <w:top w:val="nil"/>
              <w:left w:val="nil"/>
              <w:bottom w:val="nil"/>
              <w:right w:val="nil"/>
            </w:tcBorders>
            <w:shd w:val="clear" w:color="auto" w:fill="auto"/>
            <w:noWrap/>
            <w:vAlign w:val="bottom"/>
          </w:tcPr>
          <w:p>
            <w:pPr>
              <w:widowControl/>
              <w:jc w:val="left"/>
              <w:rPr>
                <w:rFonts w:ascii="等线" w:hAnsi="等线" w:eastAsia="等线" w:cs="宋体"/>
                <w:color w:val="000000"/>
                <w:kern w:val="0"/>
                <w:sz w:val="22"/>
                <w:szCs w:val="22"/>
              </w:rPr>
            </w:pPr>
          </w:p>
        </w:tc>
        <w:tc>
          <w:tcPr>
            <w:tcW w:w="433" w:type="dxa"/>
            <w:tcBorders>
              <w:top w:val="nil"/>
              <w:left w:val="nil"/>
              <w:bottom w:val="nil"/>
              <w:right w:val="nil"/>
            </w:tcBorders>
            <w:shd w:val="clear" w:color="auto" w:fill="auto"/>
            <w:noWrap/>
            <w:vAlign w:val="bottom"/>
          </w:tcPr>
          <w:p>
            <w:pPr>
              <w:widowControl/>
              <w:jc w:val="left"/>
              <w:rPr>
                <w:rFonts w:ascii="等线" w:hAnsi="等线" w:eastAsia="等线" w:cs="宋体"/>
                <w:color w:val="000000"/>
                <w:kern w:val="0"/>
                <w:sz w:val="22"/>
                <w:szCs w:val="22"/>
              </w:rPr>
            </w:pPr>
          </w:p>
        </w:tc>
        <w:tc>
          <w:tcPr>
            <w:tcW w:w="2852" w:type="dxa"/>
            <w:tcBorders>
              <w:top w:val="nil"/>
              <w:left w:val="nil"/>
              <w:bottom w:val="nil"/>
              <w:right w:val="nil"/>
            </w:tcBorders>
            <w:shd w:val="clear" w:color="auto" w:fill="auto"/>
            <w:noWrap/>
            <w:vAlign w:val="bottom"/>
          </w:tcPr>
          <w:p>
            <w:pPr>
              <w:widowControl/>
              <w:jc w:val="left"/>
              <w:rPr>
                <w:rFonts w:ascii="等线" w:hAnsi="等线" w:eastAsia="等线" w:cs="宋体"/>
                <w:color w:val="000000"/>
                <w:kern w:val="0"/>
                <w:sz w:val="22"/>
                <w:szCs w:val="22"/>
              </w:rPr>
            </w:pPr>
          </w:p>
        </w:tc>
        <w:tc>
          <w:tcPr>
            <w:tcW w:w="1140" w:type="dxa"/>
            <w:tcBorders>
              <w:top w:val="nil"/>
              <w:left w:val="nil"/>
              <w:bottom w:val="nil"/>
              <w:right w:val="nil"/>
            </w:tcBorders>
            <w:shd w:val="clear" w:color="auto" w:fill="auto"/>
            <w:noWrap/>
            <w:vAlign w:val="bottom"/>
          </w:tcPr>
          <w:p>
            <w:pPr>
              <w:widowControl/>
              <w:jc w:val="left"/>
              <w:rPr>
                <w:rFonts w:ascii="等线" w:hAnsi="等线" w:eastAsia="等线" w:cs="宋体"/>
                <w:color w:val="000000"/>
                <w:kern w:val="0"/>
                <w:sz w:val="22"/>
                <w:szCs w:val="22"/>
              </w:rPr>
            </w:pPr>
          </w:p>
        </w:tc>
        <w:tc>
          <w:tcPr>
            <w:tcW w:w="987" w:type="dxa"/>
            <w:tcBorders>
              <w:top w:val="nil"/>
              <w:left w:val="nil"/>
              <w:bottom w:val="nil"/>
              <w:right w:val="nil"/>
            </w:tcBorders>
            <w:shd w:val="clear" w:color="auto" w:fill="auto"/>
            <w:noWrap/>
            <w:vAlign w:val="bottom"/>
          </w:tcPr>
          <w:p>
            <w:pPr>
              <w:widowControl/>
              <w:jc w:val="left"/>
              <w:rPr>
                <w:rFonts w:ascii="等线" w:hAnsi="等线" w:eastAsia="等线" w:cs="宋体"/>
                <w:color w:val="000000"/>
                <w:kern w:val="0"/>
                <w:sz w:val="22"/>
                <w:szCs w:val="22"/>
              </w:rPr>
            </w:pPr>
          </w:p>
        </w:tc>
        <w:tc>
          <w:tcPr>
            <w:tcW w:w="2973" w:type="dxa"/>
            <w:tcBorders>
              <w:top w:val="nil"/>
              <w:left w:val="nil"/>
              <w:bottom w:val="nil"/>
              <w:right w:val="nil"/>
            </w:tcBorders>
            <w:shd w:val="clear" w:color="auto" w:fill="auto"/>
            <w:noWrap/>
            <w:vAlign w:val="bottom"/>
          </w:tcPr>
          <w:p>
            <w:pPr>
              <w:widowControl/>
              <w:jc w:val="left"/>
              <w:rPr>
                <w:rFonts w:ascii="等线" w:hAnsi="等线" w:eastAsia="等线" w:cs="宋体"/>
                <w:color w:val="000000"/>
                <w:kern w:val="0"/>
                <w:sz w:val="22"/>
                <w:szCs w:val="22"/>
              </w:rPr>
            </w:pPr>
          </w:p>
        </w:tc>
      </w:tr>
      <w:tr>
        <w:tblPrEx>
          <w:tblCellMar>
            <w:top w:w="0" w:type="dxa"/>
            <w:left w:w="108" w:type="dxa"/>
            <w:bottom w:w="0" w:type="dxa"/>
            <w:right w:w="108" w:type="dxa"/>
          </w:tblCellMar>
        </w:tblPrEx>
        <w:trPr>
          <w:trHeight w:val="259" w:hRule="atLeast"/>
        </w:trPr>
        <w:tc>
          <w:tcPr>
            <w:tcW w:w="8200" w:type="dxa"/>
            <w:gridSpan w:val="10"/>
            <w:tcBorders>
              <w:top w:val="nil"/>
              <w:left w:val="nil"/>
              <w:bottom w:val="nil"/>
              <w:right w:val="nil"/>
            </w:tcBorders>
            <w:shd w:val="clear" w:color="auto" w:fill="auto"/>
            <w:noWrap/>
            <w:vAlign w:val="bottom"/>
          </w:tcPr>
          <w:p>
            <w:pPr>
              <w:widowControl/>
              <w:jc w:val="left"/>
              <w:rPr>
                <w:rFonts w:ascii="等线" w:hAnsi="等线" w:eastAsia="等线" w:cs="宋体"/>
                <w:color w:val="FF0000"/>
                <w:kern w:val="0"/>
                <w:sz w:val="22"/>
                <w:szCs w:val="22"/>
              </w:rPr>
            </w:pPr>
          </w:p>
        </w:tc>
        <w:tc>
          <w:tcPr>
            <w:tcW w:w="433" w:type="dxa"/>
            <w:tcBorders>
              <w:top w:val="nil"/>
              <w:left w:val="nil"/>
              <w:bottom w:val="nil"/>
              <w:right w:val="nil"/>
            </w:tcBorders>
            <w:shd w:val="clear" w:color="auto" w:fill="auto"/>
            <w:noWrap/>
            <w:vAlign w:val="bottom"/>
          </w:tcPr>
          <w:p>
            <w:pPr>
              <w:widowControl/>
              <w:jc w:val="left"/>
              <w:rPr>
                <w:rFonts w:ascii="等线" w:hAnsi="等线" w:eastAsia="等线" w:cs="宋体"/>
                <w:color w:val="000000"/>
                <w:kern w:val="0"/>
                <w:sz w:val="22"/>
                <w:szCs w:val="22"/>
              </w:rPr>
            </w:pPr>
          </w:p>
        </w:tc>
        <w:tc>
          <w:tcPr>
            <w:tcW w:w="2852" w:type="dxa"/>
            <w:tcBorders>
              <w:top w:val="nil"/>
              <w:left w:val="nil"/>
              <w:bottom w:val="nil"/>
              <w:right w:val="nil"/>
            </w:tcBorders>
            <w:shd w:val="clear" w:color="auto" w:fill="auto"/>
            <w:noWrap/>
            <w:vAlign w:val="bottom"/>
          </w:tcPr>
          <w:p>
            <w:pPr>
              <w:widowControl/>
              <w:jc w:val="left"/>
              <w:rPr>
                <w:rFonts w:ascii="等线" w:hAnsi="等线" w:eastAsia="等线" w:cs="宋体"/>
                <w:color w:val="000000"/>
                <w:kern w:val="0"/>
                <w:sz w:val="22"/>
                <w:szCs w:val="22"/>
              </w:rPr>
            </w:pPr>
          </w:p>
        </w:tc>
        <w:tc>
          <w:tcPr>
            <w:tcW w:w="1140" w:type="dxa"/>
            <w:tcBorders>
              <w:top w:val="nil"/>
              <w:left w:val="nil"/>
              <w:bottom w:val="nil"/>
              <w:right w:val="nil"/>
            </w:tcBorders>
            <w:shd w:val="clear" w:color="auto" w:fill="auto"/>
            <w:noWrap/>
            <w:vAlign w:val="bottom"/>
          </w:tcPr>
          <w:p>
            <w:pPr>
              <w:widowControl/>
              <w:jc w:val="left"/>
              <w:rPr>
                <w:rFonts w:ascii="等线" w:hAnsi="等线" w:eastAsia="等线" w:cs="宋体"/>
                <w:color w:val="000000"/>
                <w:kern w:val="0"/>
                <w:sz w:val="22"/>
                <w:szCs w:val="22"/>
              </w:rPr>
            </w:pPr>
          </w:p>
        </w:tc>
        <w:tc>
          <w:tcPr>
            <w:tcW w:w="987" w:type="dxa"/>
            <w:tcBorders>
              <w:top w:val="nil"/>
              <w:left w:val="nil"/>
              <w:bottom w:val="nil"/>
              <w:right w:val="nil"/>
            </w:tcBorders>
            <w:shd w:val="clear" w:color="auto" w:fill="auto"/>
            <w:noWrap/>
            <w:vAlign w:val="bottom"/>
          </w:tcPr>
          <w:p>
            <w:pPr>
              <w:widowControl/>
              <w:jc w:val="left"/>
              <w:rPr>
                <w:rFonts w:ascii="等线" w:hAnsi="等线" w:eastAsia="等线" w:cs="宋体"/>
                <w:color w:val="000000"/>
                <w:kern w:val="0"/>
                <w:sz w:val="22"/>
                <w:szCs w:val="22"/>
              </w:rPr>
            </w:pPr>
          </w:p>
        </w:tc>
        <w:tc>
          <w:tcPr>
            <w:tcW w:w="2973" w:type="dxa"/>
            <w:tcBorders>
              <w:top w:val="nil"/>
              <w:left w:val="nil"/>
              <w:bottom w:val="nil"/>
              <w:right w:val="nil"/>
            </w:tcBorders>
            <w:shd w:val="clear" w:color="auto" w:fill="auto"/>
            <w:noWrap/>
            <w:vAlign w:val="bottom"/>
          </w:tcPr>
          <w:p>
            <w:pPr>
              <w:widowControl/>
              <w:jc w:val="left"/>
              <w:rPr>
                <w:rFonts w:ascii="等线" w:hAnsi="等线" w:eastAsia="等线" w:cs="宋体"/>
                <w:color w:val="000000"/>
                <w:kern w:val="0"/>
                <w:sz w:val="22"/>
                <w:szCs w:val="22"/>
              </w:rPr>
            </w:pPr>
          </w:p>
        </w:tc>
      </w:tr>
      <w:tr>
        <w:tblPrEx>
          <w:tblCellMar>
            <w:top w:w="0" w:type="dxa"/>
            <w:left w:w="108" w:type="dxa"/>
            <w:bottom w:w="0" w:type="dxa"/>
            <w:right w:w="108" w:type="dxa"/>
          </w:tblCellMar>
        </w:tblPrEx>
        <w:trPr>
          <w:trHeight w:val="698" w:hRule="atLeast"/>
        </w:trPr>
        <w:tc>
          <w:tcPr>
            <w:tcW w:w="16585" w:type="dxa"/>
            <w:gridSpan w:val="15"/>
            <w:tcBorders>
              <w:top w:val="nil"/>
              <w:left w:val="nil"/>
              <w:bottom w:val="nil"/>
              <w:right w:val="nil"/>
            </w:tcBorders>
            <w:shd w:val="clear" w:color="auto" w:fill="auto"/>
            <w:noWrap/>
            <w:vAlign w:val="center"/>
          </w:tcPr>
          <w:p>
            <w:pPr>
              <w:widowControl/>
              <w:jc w:val="center"/>
              <w:rPr>
                <w:rFonts w:ascii="宋体" w:hAnsi="宋体" w:cs="宋体"/>
                <w:b/>
                <w:bCs/>
                <w:color w:val="000000"/>
                <w:kern w:val="0"/>
                <w:sz w:val="48"/>
                <w:szCs w:val="48"/>
              </w:rPr>
            </w:pPr>
            <w:r>
              <w:rPr>
                <w:rFonts w:hint="eastAsia" w:ascii="宋体" w:hAnsi="宋体" w:cs="宋体"/>
                <w:b/>
                <w:bCs/>
                <w:color w:val="000000"/>
                <w:kern w:val="0"/>
                <w:sz w:val="48"/>
                <w:szCs w:val="48"/>
              </w:rPr>
              <w:t>2021年度部门整体支出绩效自评表</w:t>
            </w:r>
          </w:p>
        </w:tc>
      </w:tr>
      <w:tr>
        <w:tblPrEx>
          <w:tblCellMar>
            <w:top w:w="0" w:type="dxa"/>
            <w:left w:w="108" w:type="dxa"/>
            <w:bottom w:w="0" w:type="dxa"/>
            <w:right w:w="108" w:type="dxa"/>
          </w:tblCellMar>
        </w:tblPrEx>
        <w:trPr>
          <w:trHeight w:val="314" w:hRule="atLeast"/>
        </w:trPr>
        <w:tc>
          <w:tcPr>
            <w:tcW w:w="1712"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b/>
                <w:bCs/>
                <w:color w:val="000000"/>
                <w:kern w:val="0"/>
                <w:sz w:val="24"/>
              </w:rPr>
            </w:pPr>
            <w:r>
              <w:rPr>
                <w:rFonts w:hint="eastAsia" w:ascii="宋体" w:hAnsi="宋体" w:cs="宋体"/>
                <w:b/>
                <w:bCs/>
                <w:color w:val="000000"/>
                <w:kern w:val="0"/>
                <w:sz w:val="24"/>
              </w:rPr>
              <w:t>部门名称</w:t>
            </w:r>
          </w:p>
        </w:tc>
        <w:tc>
          <w:tcPr>
            <w:tcW w:w="14873" w:type="dxa"/>
            <w:gridSpan w:val="11"/>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cs="宋体"/>
                <w:b/>
                <w:bCs/>
                <w:color w:val="000000"/>
                <w:kern w:val="0"/>
                <w:sz w:val="24"/>
              </w:rPr>
            </w:pPr>
            <w:r>
              <w:rPr>
                <w:rFonts w:hint="eastAsia" w:ascii="宋体" w:hAnsi="宋体" w:cs="宋体"/>
                <w:b/>
                <w:bCs/>
                <w:color w:val="000000"/>
                <w:kern w:val="0"/>
                <w:sz w:val="24"/>
              </w:rPr>
              <w:t>乐山市市中区平兴镇人民政府</w:t>
            </w:r>
          </w:p>
        </w:tc>
      </w:tr>
      <w:tr>
        <w:tblPrEx>
          <w:tblCellMar>
            <w:top w:w="0" w:type="dxa"/>
            <w:left w:w="108" w:type="dxa"/>
            <w:bottom w:w="0" w:type="dxa"/>
            <w:right w:w="108" w:type="dxa"/>
          </w:tblCellMar>
        </w:tblPrEx>
        <w:trPr>
          <w:trHeight w:val="688" w:hRule="atLeast"/>
        </w:trPr>
        <w:tc>
          <w:tcPr>
            <w:tcW w:w="1712" w:type="dxa"/>
            <w:gridSpan w:val="4"/>
            <w:tcBorders>
              <w:top w:val="single" w:color="auto" w:sz="4" w:space="0"/>
              <w:left w:val="single" w:color="auto" w:sz="4" w:space="0"/>
              <w:bottom w:val="single" w:color="auto" w:sz="4" w:space="0"/>
              <w:right w:val="single" w:color="000000" w:sz="4" w:space="0"/>
            </w:tcBorders>
            <w:shd w:val="clear" w:color="auto" w:fill="auto"/>
            <w:noWrap/>
            <w:vAlign w:val="center"/>
          </w:tcPr>
          <w:p>
            <w:pPr>
              <w:widowControl/>
              <w:jc w:val="center"/>
              <w:rPr>
                <w:rFonts w:ascii="宋体" w:hAnsi="宋体" w:cs="宋体"/>
                <w:b/>
                <w:bCs/>
                <w:color w:val="000000"/>
                <w:kern w:val="0"/>
                <w:sz w:val="24"/>
              </w:rPr>
            </w:pPr>
            <w:r>
              <w:rPr>
                <w:rFonts w:hint="eastAsia" w:ascii="宋体" w:hAnsi="宋体" w:cs="宋体"/>
                <w:b/>
                <w:bCs/>
                <w:color w:val="000000"/>
                <w:kern w:val="0"/>
                <w:sz w:val="24"/>
              </w:rPr>
              <w:t>机构设置</w:t>
            </w:r>
          </w:p>
        </w:tc>
        <w:tc>
          <w:tcPr>
            <w:tcW w:w="14873" w:type="dxa"/>
            <w:gridSpan w:val="11"/>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cs="宋体"/>
                <w:b/>
                <w:bCs/>
                <w:color w:val="000000"/>
                <w:kern w:val="0"/>
                <w:sz w:val="24"/>
              </w:rPr>
            </w:pPr>
            <w:r>
              <w:rPr>
                <w:rFonts w:hint="eastAsia" w:ascii="宋体" w:hAnsi="宋体" w:cs="宋体"/>
                <w:b/>
                <w:bCs/>
                <w:color w:val="000000"/>
                <w:kern w:val="0"/>
                <w:sz w:val="24"/>
              </w:rPr>
              <w:t>下设党政办公室、党建办公室、社会事务办公室、综合执法办公室、规划建设管理办公室、乡村振兴办公室、便民服务中心、农业综合服务中心、村（社区）治理服务中心、文化旅游服务中心等</w:t>
            </w:r>
          </w:p>
        </w:tc>
      </w:tr>
      <w:tr>
        <w:tblPrEx>
          <w:tblCellMar>
            <w:top w:w="0" w:type="dxa"/>
            <w:left w:w="108" w:type="dxa"/>
            <w:bottom w:w="0" w:type="dxa"/>
            <w:right w:w="108" w:type="dxa"/>
          </w:tblCellMar>
        </w:tblPrEx>
        <w:trPr>
          <w:trHeight w:val="1271" w:hRule="atLeast"/>
        </w:trPr>
        <w:tc>
          <w:tcPr>
            <w:tcW w:w="1712" w:type="dxa"/>
            <w:gridSpan w:val="4"/>
            <w:tcBorders>
              <w:top w:val="single" w:color="auto" w:sz="4" w:space="0"/>
              <w:left w:val="single" w:color="auto" w:sz="4" w:space="0"/>
              <w:bottom w:val="single" w:color="auto" w:sz="4" w:space="0"/>
              <w:right w:val="single" w:color="000000" w:sz="4" w:space="0"/>
            </w:tcBorders>
            <w:shd w:val="clear" w:color="auto" w:fill="auto"/>
            <w:noWrap/>
            <w:vAlign w:val="center"/>
          </w:tcPr>
          <w:p>
            <w:pPr>
              <w:widowControl/>
              <w:jc w:val="center"/>
              <w:rPr>
                <w:rFonts w:ascii="宋体" w:hAnsi="宋体" w:cs="宋体"/>
                <w:b/>
                <w:bCs/>
                <w:color w:val="000000"/>
                <w:kern w:val="0"/>
                <w:sz w:val="24"/>
              </w:rPr>
            </w:pPr>
            <w:r>
              <w:rPr>
                <w:rFonts w:hint="eastAsia" w:ascii="宋体" w:hAnsi="宋体" w:cs="宋体"/>
                <w:b/>
                <w:bCs/>
                <w:color w:val="000000"/>
                <w:kern w:val="0"/>
                <w:sz w:val="24"/>
              </w:rPr>
              <w:t>主要职能职责</w:t>
            </w:r>
          </w:p>
        </w:tc>
        <w:tc>
          <w:tcPr>
            <w:tcW w:w="14873" w:type="dxa"/>
            <w:gridSpan w:val="11"/>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cs="宋体"/>
                <w:b/>
                <w:bCs/>
                <w:color w:val="000000"/>
                <w:kern w:val="0"/>
                <w:sz w:val="24"/>
              </w:rPr>
            </w:pPr>
            <w:r>
              <w:rPr>
                <w:rFonts w:hint="eastAsia" w:ascii="宋体" w:hAnsi="宋体" w:cs="宋体"/>
                <w:b/>
                <w:bCs/>
                <w:color w:val="000000"/>
                <w:kern w:val="0"/>
                <w:sz w:val="24"/>
              </w:rPr>
              <w:t>宣传、落实好国家各项法律法规，加强对村民委员会的指导，科学制订发展规划，营造农村经济发展环境，完善农业社会化服务体系，提高社会主义新农村建设水平。加强社会综合治安管理、加强民事纠纷调解、化解农村社会矛盾，开展农村扶贫和社会救助，维护农村社会稳定。加强各项农村社会事务管理，加强环境保护，做好防灾减灾工作。发展农村社会公益事业和集体公益事业，加强农村基础设施建设，及时向上级党委，政府反映民情，进一步密切党和政府与人民群众的关系。</w:t>
            </w:r>
          </w:p>
        </w:tc>
      </w:tr>
      <w:tr>
        <w:tblPrEx>
          <w:tblCellMar>
            <w:top w:w="0" w:type="dxa"/>
            <w:left w:w="108" w:type="dxa"/>
            <w:bottom w:w="0" w:type="dxa"/>
            <w:right w:w="108" w:type="dxa"/>
          </w:tblCellMar>
        </w:tblPrEx>
        <w:trPr>
          <w:trHeight w:val="602" w:hRule="atLeast"/>
        </w:trPr>
        <w:tc>
          <w:tcPr>
            <w:tcW w:w="1712" w:type="dxa"/>
            <w:gridSpan w:val="4"/>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4"/>
              </w:rPr>
            </w:pPr>
            <w:r>
              <w:rPr>
                <w:rFonts w:hint="eastAsia" w:ascii="宋体" w:hAnsi="宋体" w:cs="宋体"/>
                <w:b/>
                <w:bCs/>
                <w:color w:val="000000"/>
                <w:kern w:val="0"/>
                <w:sz w:val="24"/>
              </w:rPr>
              <w:t>部门资金使用情况</w:t>
            </w:r>
            <w:r>
              <w:rPr>
                <w:rFonts w:hint="eastAsia" w:ascii="宋体" w:hAnsi="宋体" w:cs="宋体"/>
                <w:b/>
                <w:bCs/>
                <w:color w:val="000000"/>
                <w:kern w:val="0"/>
                <w:sz w:val="24"/>
              </w:rPr>
              <w:br w:type="textWrapping"/>
            </w:r>
            <w:r>
              <w:rPr>
                <w:rFonts w:hint="eastAsia" w:ascii="宋体" w:hAnsi="宋体" w:cs="宋体"/>
                <w:b/>
                <w:bCs/>
                <w:color w:val="000000"/>
                <w:kern w:val="0"/>
                <w:sz w:val="24"/>
              </w:rPr>
              <w:t>（万元）</w:t>
            </w:r>
          </w:p>
        </w:tc>
        <w:tc>
          <w:tcPr>
            <w:tcW w:w="3595" w:type="dxa"/>
            <w:gridSpan w:val="3"/>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b/>
                <w:bCs/>
                <w:color w:val="000000"/>
                <w:kern w:val="0"/>
                <w:sz w:val="24"/>
              </w:rPr>
            </w:pPr>
            <w:r>
              <w:rPr>
                <w:rFonts w:hint="eastAsia" w:ascii="宋体" w:hAnsi="宋体" w:cs="宋体"/>
                <w:b/>
                <w:bCs/>
                <w:color w:val="000000"/>
                <w:kern w:val="0"/>
                <w:sz w:val="24"/>
              </w:rPr>
              <w:t>预算数</w:t>
            </w:r>
          </w:p>
        </w:tc>
        <w:tc>
          <w:tcPr>
            <w:tcW w:w="7318" w:type="dxa"/>
            <w:gridSpan w:val="6"/>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b/>
                <w:bCs/>
                <w:color w:val="000000"/>
                <w:kern w:val="0"/>
                <w:sz w:val="24"/>
              </w:rPr>
            </w:pPr>
            <w:r>
              <w:rPr>
                <w:rFonts w:hint="eastAsia" w:ascii="宋体" w:hAnsi="宋体" w:cs="宋体"/>
                <w:b/>
                <w:bCs/>
                <w:color w:val="000000"/>
                <w:kern w:val="0"/>
                <w:sz w:val="24"/>
              </w:rPr>
              <w:t>决算数</w:t>
            </w:r>
          </w:p>
        </w:tc>
        <w:tc>
          <w:tcPr>
            <w:tcW w:w="3960" w:type="dxa"/>
            <w:gridSpan w:val="2"/>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b/>
                <w:bCs/>
                <w:color w:val="000000"/>
                <w:kern w:val="0"/>
                <w:sz w:val="24"/>
              </w:rPr>
            </w:pPr>
            <w:r>
              <w:rPr>
                <w:rFonts w:hint="eastAsia" w:ascii="宋体" w:hAnsi="宋体" w:cs="宋体"/>
                <w:b/>
                <w:bCs/>
                <w:color w:val="000000"/>
                <w:kern w:val="0"/>
                <w:sz w:val="24"/>
              </w:rPr>
              <w:t>预算执行率</w:t>
            </w:r>
          </w:p>
        </w:tc>
      </w:tr>
      <w:tr>
        <w:tblPrEx>
          <w:tblCellMar>
            <w:top w:w="0" w:type="dxa"/>
            <w:left w:w="108" w:type="dxa"/>
            <w:bottom w:w="0" w:type="dxa"/>
            <w:right w:w="108" w:type="dxa"/>
          </w:tblCellMar>
        </w:tblPrEx>
        <w:trPr>
          <w:trHeight w:val="568" w:hRule="atLeast"/>
        </w:trPr>
        <w:tc>
          <w:tcPr>
            <w:tcW w:w="1712" w:type="dxa"/>
            <w:gridSpan w:val="4"/>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4"/>
              </w:rPr>
            </w:pPr>
          </w:p>
        </w:tc>
        <w:tc>
          <w:tcPr>
            <w:tcW w:w="3595" w:type="dxa"/>
            <w:gridSpan w:val="3"/>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861.91</w:t>
            </w:r>
          </w:p>
        </w:tc>
        <w:tc>
          <w:tcPr>
            <w:tcW w:w="7318" w:type="dxa"/>
            <w:gridSpan w:val="6"/>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1231.35</w:t>
            </w:r>
          </w:p>
        </w:tc>
        <w:tc>
          <w:tcPr>
            <w:tcW w:w="3960" w:type="dxa"/>
            <w:gridSpan w:val="2"/>
            <w:tcBorders>
              <w:top w:val="single" w:color="auto" w:sz="4" w:space="0"/>
              <w:left w:val="nil"/>
              <w:bottom w:val="single" w:color="auto" w:sz="4" w:space="0"/>
              <w:right w:val="single" w:color="auto" w:sz="4" w:space="0"/>
            </w:tcBorders>
            <w:shd w:val="clear" w:color="000000" w:fill="F2F2F2"/>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1.428629439</w:t>
            </w:r>
          </w:p>
        </w:tc>
      </w:tr>
      <w:tr>
        <w:tblPrEx>
          <w:tblCellMar>
            <w:top w:w="0" w:type="dxa"/>
            <w:left w:w="108" w:type="dxa"/>
            <w:bottom w:w="0" w:type="dxa"/>
            <w:right w:w="108" w:type="dxa"/>
          </w:tblCellMar>
        </w:tblPrEx>
        <w:trPr>
          <w:trHeight w:val="900" w:hRule="atLeast"/>
        </w:trPr>
        <w:tc>
          <w:tcPr>
            <w:tcW w:w="57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4"/>
              </w:rPr>
            </w:pPr>
            <w:r>
              <w:rPr>
                <w:rFonts w:hint="eastAsia" w:ascii="宋体" w:hAnsi="宋体" w:cs="宋体"/>
                <w:b/>
                <w:bCs/>
                <w:color w:val="000000"/>
                <w:kern w:val="0"/>
                <w:sz w:val="24"/>
              </w:rPr>
              <w:t>一级指标</w:t>
            </w:r>
          </w:p>
        </w:tc>
        <w:tc>
          <w:tcPr>
            <w:tcW w:w="1134" w:type="dxa"/>
            <w:gridSpan w:val="3"/>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4"/>
              </w:rPr>
            </w:pPr>
            <w:r>
              <w:rPr>
                <w:rFonts w:hint="eastAsia" w:ascii="宋体" w:hAnsi="宋体" w:cs="宋体"/>
                <w:b/>
                <w:bCs/>
                <w:color w:val="000000"/>
                <w:kern w:val="0"/>
                <w:sz w:val="24"/>
              </w:rPr>
              <w:t>二级指标</w:t>
            </w:r>
          </w:p>
        </w:tc>
        <w:tc>
          <w:tcPr>
            <w:tcW w:w="1985"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b/>
                <w:bCs/>
                <w:color w:val="000000"/>
                <w:kern w:val="0"/>
                <w:sz w:val="24"/>
              </w:rPr>
            </w:pPr>
            <w:r>
              <w:rPr>
                <w:rFonts w:hint="eastAsia" w:ascii="宋体" w:hAnsi="宋体" w:cs="宋体"/>
                <w:b/>
                <w:bCs/>
                <w:color w:val="000000"/>
                <w:kern w:val="0"/>
                <w:sz w:val="24"/>
              </w:rPr>
              <w:t>三级指标</w:t>
            </w:r>
          </w:p>
        </w:tc>
        <w:tc>
          <w:tcPr>
            <w:tcW w:w="161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b/>
                <w:bCs/>
                <w:color w:val="000000"/>
                <w:kern w:val="0"/>
                <w:sz w:val="24"/>
              </w:rPr>
            </w:pPr>
            <w:r>
              <w:rPr>
                <w:rFonts w:hint="eastAsia" w:ascii="宋体" w:hAnsi="宋体" w:cs="宋体"/>
                <w:b/>
                <w:bCs/>
                <w:color w:val="000000"/>
                <w:kern w:val="0"/>
                <w:sz w:val="24"/>
              </w:rPr>
              <w:t>年初预期值</w:t>
            </w:r>
          </w:p>
        </w:tc>
        <w:tc>
          <w:tcPr>
            <w:tcW w:w="3326" w:type="dxa"/>
            <w:gridSpan w:val="4"/>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b/>
                <w:bCs/>
                <w:color w:val="000000"/>
                <w:kern w:val="0"/>
                <w:sz w:val="24"/>
              </w:rPr>
            </w:pPr>
            <w:r>
              <w:rPr>
                <w:rFonts w:hint="eastAsia" w:ascii="宋体" w:hAnsi="宋体" w:cs="宋体"/>
                <w:b/>
                <w:bCs/>
                <w:color w:val="000000"/>
                <w:kern w:val="0"/>
                <w:sz w:val="24"/>
              </w:rPr>
              <w:t>实际完成值</w:t>
            </w:r>
          </w:p>
        </w:tc>
        <w:tc>
          <w:tcPr>
            <w:tcW w:w="285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b/>
                <w:bCs/>
                <w:color w:val="000000"/>
                <w:kern w:val="0"/>
                <w:sz w:val="24"/>
              </w:rPr>
            </w:pPr>
            <w:r>
              <w:rPr>
                <w:rFonts w:hint="eastAsia" w:ascii="宋体" w:hAnsi="宋体" w:cs="宋体"/>
                <w:b/>
                <w:bCs/>
                <w:color w:val="000000"/>
                <w:kern w:val="0"/>
                <w:sz w:val="24"/>
              </w:rPr>
              <w:t>分值</w:t>
            </w:r>
          </w:p>
        </w:tc>
        <w:tc>
          <w:tcPr>
            <w:tcW w:w="114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b/>
                <w:bCs/>
                <w:color w:val="000000"/>
                <w:kern w:val="0"/>
                <w:sz w:val="24"/>
              </w:rPr>
            </w:pPr>
            <w:r>
              <w:rPr>
                <w:rFonts w:hint="eastAsia" w:ascii="宋体" w:hAnsi="宋体" w:cs="宋体"/>
                <w:b/>
                <w:bCs/>
                <w:color w:val="000000"/>
                <w:kern w:val="0"/>
                <w:sz w:val="24"/>
              </w:rPr>
              <w:t>得分</w:t>
            </w:r>
          </w:p>
        </w:tc>
        <w:tc>
          <w:tcPr>
            <w:tcW w:w="3960"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4"/>
              </w:rPr>
            </w:pPr>
            <w:r>
              <w:rPr>
                <w:rFonts w:hint="eastAsia" w:ascii="宋体" w:hAnsi="宋体" w:cs="宋体"/>
                <w:b/>
                <w:bCs/>
                <w:color w:val="000000"/>
                <w:kern w:val="0"/>
                <w:sz w:val="24"/>
              </w:rPr>
              <w:t>扣分原因分析</w:t>
            </w:r>
          </w:p>
        </w:tc>
      </w:tr>
      <w:tr>
        <w:tblPrEx>
          <w:tblCellMar>
            <w:top w:w="0" w:type="dxa"/>
            <w:left w:w="108" w:type="dxa"/>
            <w:bottom w:w="0" w:type="dxa"/>
            <w:right w:w="108" w:type="dxa"/>
          </w:tblCellMar>
        </w:tblPrEx>
        <w:trPr>
          <w:trHeight w:val="275" w:hRule="atLeast"/>
        </w:trPr>
        <w:tc>
          <w:tcPr>
            <w:tcW w:w="578" w:type="dxa"/>
            <w:vMerge w:val="restart"/>
            <w:tcBorders>
              <w:top w:val="nil"/>
              <w:left w:val="single" w:color="auto" w:sz="4" w:space="0"/>
              <w:bottom w:val="nil"/>
              <w:right w:val="single" w:color="auto" w:sz="4" w:space="0"/>
            </w:tcBorders>
            <w:shd w:val="clear" w:color="auto" w:fill="auto"/>
            <w:vAlign w:val="center"/>
          </w:tcPr>
          <w:p>
            <w:pPr>
              <w:widowControl/>
              <w:jc w:val="center"/>
              <w:rPr>
                <w:rFonts w:ascii="宋体" w:hAnsi="宋体" w:cs="宋体"/>
                <w:b/>
                <w:bCs/>
                <w:color w:val="000000"/>
                <w:kern w:val="0"/>
                <w:sz w:val="24"/>
              </w:rPr>
            </w:pPr>
            <w:r>
              <w:rPr>
                <w:rFonts w:hint="eastAsia" w:ascii="宋体" w:hAnsi="宋体" w:cs="宋体"/>
                <w:b/>
                <w:bCs/>
                <w:color w:val="000000"/>
                <w:kern w:val="0"/>
                <w:sz w:val="24"/>
              </w:rPr>
              <w:t>绩效情况</w:t>
            </w:r>
          </w:p>
        </w:tc>
        <w:tc>
          <w:tcPr>
            <w:tcW w:w="8055" w:type="dxa"/>
            <w:gridSpan w:val="10"/>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cs="宋体"/>
                <w:b/>
                <w:bCs/>
                <w:color w:val="000000"/>
                <w:kern w:val="0"/>
                <w:sz w:val="24"/>
              </w:rPr>
            </w:pPr>
            <w:r>
              <w:rPr>
                <w:rFonts w:hint="eastAsia" w:ascii="宋体" w:hAnsi="宋体" w:cs="宋体"/>
                <w:b/>
                <w:bCs/>
                <w:color w:val="000000"/>
                <w:kern w:val="0"/>
                <w:sz w:val="24"/>
              </w:rPr>
              <w:t>得  分</w:t>
            </w:r>
          </w:p>
        </w:tc>
        <w:tc>
          <w:tcPr>
            <w:tcW w:w="2852" w:type="dxa"/>
            <w:tcBorders>
              <w:top w:val="nil"/>
              <w:left w:val="nil"/>
              <w:bottom w:val="single" w:color="auto" w:sz="4" w:space="0"/>
              <w:right w:val="single" w:color="auto" w:sz="4" w:space="0"/>
            </w:tcBorders>
            <w:shd w:val="clear" w:color="000000" w:fill="EDEDED"/>
            <w:noWrap/>
            <w:vAlign w:val="center"/>
          </w:tcPr>
          <w:p>
            <w:pPr>
              <w:widowControl/>
              <w:jc w:val="center"/>
              <w:rPr>
                <w:rFonts w:ascii="宋体" w:hAnsi="宋体" w:cs="宋体"/>
                <w:b/>
                <w:bCs/>
                <w:color w:val="000000"/>
                <w:kern w:val="0"/>
                <w:sz w:val="24"/>
              </w:rPr>
            </w:pPr>
            <w:r>
              <w:rPr>
                <w:rFonts w:hint="eastAsia" w:ascii="宋体" w:hAnsi="宋体" w:cs="宋体"/>
                <w:b/>
                <w:bCs/>
                <w:color w:val="000000"/>
                <w:kern w:val="0"/>
                <w:sz w:val="24"/>
              </w:rPr>
              <w:t>100</w:t>
            </w:r>
          </w:p>
        </w:tc>
        <w:tc>
          <w:tcPr>
            <w:tcW w:w="1140" w:type="dxa"/>
            <w:tcBorders>
              <w:top w:val="nil"/>
              <w:left w:val="nil"/>
              <w:bottom w:val="single" w:color="auto" w:sz="4" w:space="0"/>
              <w:right w:val="single" w:color="auto" w:sz="4" w:space="0"/>
            </w:tcBorders>
            <w:shd w:val="clear" w:color="000000" w:fill="EDEDED"/>
            <w:noWrap/>
            <w:vAlign w:val="center"/>
          </w:tcPr>
          <w:p>
            <w:pPr>
              <w:widowControl/>
              <w:jc w:val="center"/>
              <w:rPr>
                <w:rFonts w:ascii="宋体" w:hAnsi="宋体" w:cs="宋体"/>
                <w:b/>
                <w:bCs/>
                <w:color w:val="000000"/>
                <w:kern w:val="0"/>
                <w:sz w:val="24"/>
              </w:rPr>
            </w:pPr>
            <w:r>
              <w:rPr>
                <w:rFonts w:hint="eastAsia" w:ascii="宋体" w:hAnsi="宋体" w:cs="宋体"/>
                <w:b/>
                <w:bCs/>
                <w:color w:val="000000"/>
                <w:kern w:val="0"/>
                <w:sz w:val="24"/>
              </w:rPr>
              <w:t>95.7137</w:t>
            </w:r>
          </w:p>
        </w:tc>
        <w:tc>
          <w:tcPr>
            <w:tcW w:w="3960" w:type="dxa"/>
            <w:gridSpan w:val="2"/>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r>
      <w:tr>
        <w:tblPrEx>
          <w:tblCellMar>
            <w:top w:w="0" w:type="dxa"/>
            <w:left w:w="108" w:type="dxa"/>
            <w:bottom w:w="0" w:type="dxa"/>
            <w:right w:w="108" w:type="dxa"/>
          </w:tblCellMar>
        </w:tblPrEx>
        <w:trPr>
          <w:trHeight w:val="462" w:hRule="atLeast"/>
        </w:trPr>
        <w:tc>
          <w:tcPr>
            <w:tcW w:w="578" w:type="dxa"/>
            <w:vMerge w:val="continue"/>
            <w:tcBorders>
              <w:top w:val="nil"/>
              <w:left w:val="single" w:color="auto" w:sz="4" w:space="0"/>
              <w:bottom w:val="nil"/>
              <w:right w:val="single" w:color="auto" w:sz="4" w:space="0"/>
            </w:tcBorders>
            <w:vAlign w:val="center"/>
          </w:tcPr>
          <w:p>
            <w:pPr>
              <w:widowControl/>
              <w:jc w:val="left"/>
              <w:rPr>
                <w:rFonts w:ascii="宋体" w:hAnsi="宋体" w:cs="宋体"/>
                <w:b/>
                <w:bCs/>
                <w:color w:val="000000"/>
                <w:kern w:val="0"/>
                <w:sz w:val="24"/>
              </w:rPr>
            </w:pPr>
          </w:p>
        </w:tc>
        <w:tc>
          <w:tcPr>
            <w:tcW w:w="829" w:type="dxa"/>
            <w:gridSpan w:val="2"/>
            <w:vMerge w:val="restart"/>
            <w:tcBorders>
              <w:top w:val="nil"/>
              <w:left w:val="single" w:color="auto" w:sz="4" w:space="0"/>
              <w:bottom w:val="single" w:color="000000" w:sz="4" w:space="0"/>
              <w:right w:val="nil"/>
            </w:tcBorders>
            <w:shd w:val="clear" w:color="auto" w:fill="auto"/>
            <w:vAlign w:val="center"/>
          </w:tcPr>
          <w:p>
            <w:pPr>
              <w:widowControl/>
              <w:jc w:val="center"/>
              <w:rPr>
                <w:rFonts w:ascii="宋体" w:hAnsi="宋体" w:cs="宋体"/>
                <w:b/>
                <w:bCs/>
                <w:color w:val="000000"/>
                <w:kern w:val="0"/>
                <w:sz w:val="24"/>
              </w:rPr>
            </w:pPr>
            <w:r>
              <w:rPr>
                <w:rFonts w:hint="eastAsia" w:ascii="宋体" w:hAnsi="宋体" w:cs="宋体"/>
                <w:b/>
                <w:bCs/>
                <w:color w:val="000000"/>
                <w:kern w:val="0"/>
                <w:sz w:val="24"/>
              </w:rPr>
              <w:t>管理指标</w:t>
            </w:r>
          </w:p>
        </w:tc>
        <w:tc>
          <w:tcPr>
            <w:tcW w:w="2290"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预算编制合理性</w:t>
            </w:r>
          </w:p>
        </w:tc>
        <w:tc>
          <w:tcPr>
            <w:tcW w:w="4936" w:type="dxa"/>
            <w:gridSpan w:val="5"/>
            <w:tcBorders>
              <w:top w:val="single" w:color="auto" w:sz="4" w:space="0"/>
              <w:left w:val="nil"/>
              <w:bottom w:val="nil"/>
              <w:right w:val="single" w:color="000000"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（管理指标不设绩效指标，按指标评价内容直接评分）</w:t>
            </w:r>
          </w:p>
        </w:tc>
        <w:tc>
          <w:tcPr>
            <w:tcW w:w="2852" w:type="dxa"/>
            <w:tcBorders>
              <w:top w:val="nil"/>
              <w:left w:val="nil"/>
              <w:bottom w:val="single" w:color="auto" w:sz="4" w:space="0"/>
              <w:right w:val="single" w:color="auto" w:sz="4" w:space="0"/>
            </w:tcBorders>
            <w:shd w:val="clear" w:color="000000" w:fill="EDEDED"/>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10</w:t>
            </w:r>
          </w:p>
        </w:tc>
        <w:tc>
          <w:tcPr>
            <w:tcW w:w="1140"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宋体"/>
                <w:color w:val="000000"/>
                <w:kern w:val="0"/>
                <w:sz w:val="24"/>
              </w:rPr>
            </w:pPr>
            <w:r>
              <w:rPr>
                <w:rFonts w:hint="eastAsia" w:ascii="宋体" w:hAnsi="宋体" w:cs="宋体"/>
                <w:color w:val="000000"/>
                <w:kern w:val="0"/>
                <w:sz w:val="24"/>
              </w:rPr>
              <w:t>10</w:t>
            </w:r>
          </w:p>
        </w:tc>
        <w:tc>
          <w:tcPr>
            <w:tcW w:w="396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r>
      <w:tr>
        <w:tblPrEx>
          <w:tblCellMar>
            <w:top w:w="0" w:type="dxa"/>
            <w:left w:w="108" w:type="dxa"/>
            <w:bottom w:w="0" w:type="dxa"/>
            <w:right w:w="108" w:type="dxa"/>
          </w:tblCellMar>
        </w:tblPrEx>
        <w:trPr>
          <w:trHeight w:val="916" w:hRule="atLeast"/>
        </w:trPr>
        <w:tc>
          <w:tcPr>
            <w:tcW w:w="578" w:type="dxa"/>
            <w:vMerge w:val="continue"/>
            <w:tcBorders>
              <w:top w:val="nil"/>
              <w:left w:val="single" w:color="auto" w:sz="4" w:space="0"/>
              <w:bottom w:val="nil"/>
              <w:right w:val="single" w:color="auto" w:sz="4" w:space="0"/>
            </w:tcBorders>
            <w:vAlign w:val="center"/>
          </w:tcPr>
          <w:p>
            <w:pPr>
              <w:widowControl/>
              <w:jc w:val="left"/>
              <w:rPr>
                <w:rFonts w:ascii="宋体" w:hAnsi="宋体" w:cs="宋体"/>
                <w:b/>
                <w:bCs/>
                <w:color w:val="000000"/>
                <w:kern w:val="0"/>
                <w:sz w:val="24"/>
              </w:rPr>
            </w:pPr>
          </w:p>
        </w:tc>
        <w:tc>
          <w:tcPr>
            <w:tcW w:w="829" w:type="dxa"/>
            <w:gridSpan w:val="2"/>
            <w:vMerge w:val="continue"/>
            <w:tcBorders>
              <w:top w:val="nil"/>
              <w:left w:val="single" w:color="auto" w:sz="4" w:space="0"/>
              <w:bottom w:val="single" w:color="000000" w:sz="4" w:space="0"/>
              <w:right w:val="nil"/>
            </w:tcBorders>
            <w:vAlign w:val="center"/>
          </w:tcPr>
          <w:p>
            <w:pPr>
              <w:widowControl/>
              <w:jc w:val="left"/>
              <w:rPr>
                <w:rFonts w:ascii="宋体" w:hAnsi="宋体" w:cs="宋体"/>
                <w:b/>
                <w:bCs/>
                <w:color w:val="000000"/>
                <w:kern w:val="0"/>
                <w:sz w:val="24"/>
              </w:rPr>
            </w:pPr>
          </w:p>
        </w:tc>
        <w:tc>
          <w:tcPr>
            <w:tcW w:w="2290"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预算执行率</w:t>
            </w:r>
          </w:p>
        </w:tc>
        <w:tc>
          <w:tcPr>
            <w:tcW w:w="4936" w:type="dxa"/>
            <w:gridSpan w:val="5"/>
            <w:tcBorders>
              <w:top w:val="single" w:color="auto" w:sz="4" w:space="0"/>
              <w:left w:val="nil"/>
              <w:bottom w:val="nil"/>
              <w:right w:val="single" w:color="000000"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预算执行率=1，得10分；预算执行率&lt;1时，按预算执行率*10计算；2&gt;预算执行率&gt;1时，按（2-预算执行率）*10计算；预算执行率≥2时，不得分。</w:t>
            </w:r>
          </w:p>
        </w:tc>
        <w:tc>
          <w:tcPr>
            <w:tcW w:w="2852" w:type="dxa"/>
            <w:tcBorders>
              <w:top w:val="nil"/>
              <w:left w:val="nil"/>
              <w:bottom w:val="single" w:color="auto" w:sz="4" w:space="0"/>
              <w:right w:val="single" w:color="auto" w:sz="4" w:space="0"/>
            </w:tcBorders>
            <w:shd w:val="clear" w:color="000000" w:fill="EDEDED"/>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10</w:t>
            </w:r>
          </w:p>
        </w:tc>
        <w:tc>
          <w:tcPr>
            <w:tcW w:w="1140"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宋体"/>
                <w:color w:val="000000"/>
                <w:kern w:val="0"/>
                <w:sz w:val="24"/>
              </w:rPr>
            </w:pPr>
            <w:r>
              <w:rPr>
                <w:rFonts w:hint="eastAsia" w:ascii="宋体" w:hAnsi="宋体" w:cs="宋体"/>
                <w:color w:val="000000"/>
                <w:kern w:val="0"/>
                <w:sz w:val="24"/>
              </w:rPr>
              <w:t>5.7137</w:t>
            </w:r>
          </w:p>
        </w:tc>
        <w:tc>
          <w:tcPr>
            <w:tcW w:w="396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中途追加预算数大</w:t>
            </w:r>
          </w:p>
        </w:tc>
      </w:tr>
      <w:tr>
        <w:tblPrEx>
          <w:tblCellMar>
            <w:top w:w="0" w:type="dxa"/>
            <w:left w:w="108" w:type="dxa"/>
            <w:bottom w:w="0" w:type="dxa"/>
            <w:right w:w="108" w:type="dxa"/>
          </w:tblCellMar>
        </w:tblPrEx>
        <w:trPr>
          <w:trHeight w:val="513" w:hRule="atLeast"/>
        </w:trPr>
        <w:tc>
          <w:tcPr>
            <w:tcW w:w="578" w:type="dxa"/>
            <w:vMerge w:val="continue"/>
            <w:tcBorders>
              <w:top w:val="nil"/>
              <w:left w:val="single" w:color="auto" w:sz="4" w:space="0"/>
              <w:bottom w:val="nil"/>
              <w:right w:val="single" w:color="auto" w:sz="4" w:space="0"/>
            </w:tcBorders>
            <w:vAlign w:val="center"/>
          </w:tcPr>
          <w:p>
            <w:pPr>
              <w:widowControl/>
              <w:jc w:val="left"/>
              <w:rPr>
                <w:rFonts w:ascii="宋体" w:hAnsi="宋体" w:cs="宋体"/>
                <w:b/>
                <w:bCs/>
                <w:color w:val="000000"/>
                <w:kern w:val="0"/>
                <w:sz w:val="24"/>
              </w:rPr>
            </w:pPr>
          </w:p>
        </w:tc>
        <w:tc>
          <w:tcPr>
            <w:tcW w:w="829" w:type="dxa"/>
            <w:gridSpan w:val="2"/>
            <w:vMerge w:val="continue"/>
            <w:tcBorders>
              <w:top w:val="nil"/>
              <w:left w:val="single" w:color="auto" w:sz="4" w:space="0"/>
              <w:bottom w:val="single" w:color="000000" w:sz="4" w:space="0"/>
              <w:right w:val="nil"/>
            </w:tcBorders>
            <w:vAlign w:val="center"/>
          </w:tcPr>
          <w:p>
            <w:pPr>
              <w:widowControl/>
              <w:jc w:val="left"/>
              <w:rPr>
                <w:rFonts w:ascii="宋体" w:hAnsi="宋体" w:cs="宋体"/>
                <w:b/>
                <w:bCs/>
                <w:color w:val="000000"/>
                <w:kern w:val="0"/>
                <w:sz w:val="24"/>
              </w:rPr>
            </w:pPr>
          </w:p>
        </w:tc>
        <w:tc>
          <w:tcPr>
            <w:tcW w:w="2290"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三公经费控制率</w:t>
            </w:r>
          </w:p>
        </w:tc>
        <w:tc>
          <w:tcPr>
            <w:tcW w:w="4936" w:type="dxa"/>
            <w:gridSpan w:val="5"/>
            <w:tcBorders>
              <w:top w:val="single" w:color="auto" w:sz="4" w:space="0"/>
              <w:left w:val="nil"/>
              <w:bottom w:val="nil"/>
              <w:right w:val="single" w:color="000000"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（管理指标不设绩效指标，按指标评价内容直接评分）</w:t>
            </w:r>
          </w:p>
        </w:tc>
        <w:tc>
          <w:tcPr>
            <w:tcW w:w="2852" w:type="dxa"/>
            <w:tcBorders>
              <w:top w:val="nil"/>
              <w:left w:val="nil"/>
              <w:bottom w:val="single" w:color="auto" w:sz="4" w:space="0"/>
              <w:right w:val="single" w:color="auto" w:sz="4" w:space="0"/>
            </w:tcBorders>
            <w:shd w:val="clear" w:color="000000" w:fill="EDEDED"/>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10</w:t>
            </w:r>
          </w:p>
        </w:tc>
        <w:tc>
          <w:tcPr>
            <w:tcW w:w="1140"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宋体"/>
                <w:color w:val="000000"/>
                <w:kern w:val="0"/>
                <w:sz w:val="24"/>
              </w:rPr>
            </w:pPr>
            <w:r>
              <w:rPr>
                <w:rFonts w:hint="eastAsia" w:ascii="宋体" w:hAnsi="宋体" w:cs="宋体"/>
                <w:color w:val="000000"/>
                <w:kern w:val="0"/>
                <w:sz w:val="24"/>
              </w:rPr>
              <w:t>10</w:t>
            </w:r>
          </w:p>
        </w:tc>
        <w:tc>
          <w:tcPr>
            <w:tcW w:w="3960" w:type="dxa"/>
            <w:gridSpan w:val="2"/>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r>
      <w:tr>
        <w:tblPrEx>
          <w:tblCellMar>
            <w:top w:w="0" w:type="dxa"/>
            <w:left w:w="108" w:type="dxa"/>
            <w:bottom w:w="0" w:type="dxa"/>
            <w:right w:w="108" w:type="dxa"/>
          </w:tblCellMar>
        </w:tblPrEx>
        <w:trPr>
          <w:trHeight w:val="435" w:hRule="atLeast"/>
        </w:trPr>
        <w:tc>
          <w:tcPr>
            <w:tcW w:w="578" w:type="dxa"/>
            <w:vMerge w:val="continue"/>
            <w:tcBorders>
              <w:top w:val="nil"/>
              <w:left w:val="single" w:color="auto" w:sz="4" w:space="0"/>
              <w:bottom w:val="nil"/>
              <w:right w:val="single" w:color="auto" w:sz="4" w:space="0"/>
            </w:tcBorders>
            <w:vAlign w:val="center"/>
          </w:tcPr>
          <w:p>
            <w:pPr>
              <w:widowControl/>
              <w:jc w:val="left"/>
              <w:rPr>
                <w:rFonts w:ascii="宋体" w:hAnsi="宋体" w:cs="宋体"/>
                <w:b/>
                <w:bCs/>
                <w:color w:val="000000"/>
                <w:kern w:val="0"/>
                <w:sz w:val="24"/>
              </w:rPr>
            </w:pPr>
          </w:p>
        </w:tc>
        <w:tc>
          <w:tcPr>
            <w:tcW w:w="829" w:type="dxa"/>
            <w:gridSpan w:val="2"/>
            <w:vMerge w:val="continue"/>
            <w:tcBorders>
              <w:top w:val="nil"/>
              <w:left w:val="single" w:color="auto" w:sz="4" w:space="0"/>
              <w:bottom w:val="single" w:color="000000" w:sz="4" w:space="0"/>
              <w:right w:val="nil"/>
            </w:tcBorders>
            <w:vAlign w:val="center"/>
          </w:tcPr>
          <w:p>
            <w:pPr>
              <w:widowControl/>
              <w:jc w:val="left"/>
              <w:rPr>
                <w:rFonts w:ascii="宋体" w:hAnsi="宋体" w:cs="宋体"/>
                <w:b/>
                <w:bCs/>
                <w:color w:val="000000"/>
                <w:kern w:val="0"/>
                <w:sz w:val="24"/>
              </w:rPr>
            </w:pPr>
          </w:p>
        </w:tc>
        <w:tc>
          <w:tcPr>
            <w:tcW w:w="2290" w:type="dxa"/>
            <w:gridSpan w:val="3"/>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财务管理制度健全性</w:t>
            </w:r>
          </w:p>
        </w:tc>
        <w:tc>
          <w:tcPr>
            <w:tcW w:w="4936" w:type="dxa"/>
            <w:gridSpan w:val="5"/>
            <w:tcBorders>
              <w:top w:val="single" w:color="auto" w:sz="4" w:space="0"/>
              <w:left w:val="nil"/>
              <w:bottom w:val="nil"/>
              <w:right w:val="single" w:color="000000"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（管理指标不设绩效指标，按指标评价内容直接评分）</w:t>
            </w:r>
          </w:p>
        </w:tc>
        <w:tc>
          <w:tcPr>
            <w:tcW w:w="2852" w:type="dxa"/>
            <w:tcBorders>
              <w:top w:val="nil"/>
              <w:left w:val="nil"/>
              <w:bottom w:val="single" w:color="auto" w:sz="4" w:space="0"/>
              <w:right w:val="single" w:color="auto" w:sz="4" w:space="0"/>
            </w:tcBorders>
            <w:shd w:val="clear" w:color="000000" w:fill="EDEDED"/>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5</w:t>
            </w:r>
          </w:p>
        </w:tc>
        <w:tc>
          <w:tcPr>
            <w:tcW w:w="1140"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宋体"/>
                <w:color w:val="000000"/>
                <w:kern w:val="0"/>
                <w:sz w:val="24"/>
              </w:rPr>
            </w:pPr>
            <w:r>
              <w:rPr>
                <w:rFonts w:hint="eastAsia" w:ascii="宋体" w:hAnsi="宋体" w:cs="宋体"/>
                <w:color w:val="000000"/>
                <w:kern w:val="0"/>
                <w:sz w:val="24"/>
              </w:rPr>
              <w:t>5</w:t>
            </w:r>
          </w:p>
        </w:tc>
        <w:tc>
          <w:tcPr>
            <w:tcW w:w="396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r>
      <w:tr>
        <w:tblPrEx>
          <w:tblCellMar>
            <w:top w:w="0" w:type="dxa"/>
            <w:left w:w="108" w:type="dxa"/>
            <w:bottom w:w="0" w:type="dxa"/>
            <w:right w:w="108" w:type="dxa"/>
          </w:tblCellMar>
        </w:tblPrEx>
        <w:trPr>
          <w:trHeight w:val="398" w:hRule="atLeast"/>
        </w:trPr>
        <w:tc>
          <w:tcPr>
            <w:tcW w:w="578" w:type="dxa"/>
            <w:vMerge w:val="continue"/>
            <w:tcBorders>
              <w:top w:val="nil"/>
              <w:left w:val="single" w:color="auto" w:sz="4" w:space="0"/>
              <w:bottom w:val="nil"/>
              <w:right w:val="single" w:color="auto" w:sz="4" w:space="0"/>
            </w:tcBorders>
            <w:vAlign w:val="center"/>
          </w:tcPr>
          <w:p>
            <w:pPr>
              <w:widowControl/>
              <w:jc w:val="left"/>
              <w:rPr>
                <w:rFonts w:ascii="宋体" w:hAnsi="宋体" w:cs="宋体"/>
                <w:b/>
                <w:bCs/>
                <w:color w:val="000000"/>
                <w:kern w:val="0"/>
                <w:sz w:val="24"/>
              </w:rPr>
            </w:pPr>
          </w:p>
        </w:tc>
        <w:tc>
          <w:tcPr>
            <w:tcW w:w="829" w:type="dxa"/>
            <w:gridSpan w:val="2"/>
            <w:vMerge w:val="continue"/>
            <w:tcBorders>
              <w:top w:val="nil"/>
              <w:left w:val="single" w:color="auto" w:sz="4" w:space="0"/>
              <w:bottom w:val="single" w:color="000000" w:sz="4" w:space="0"/>
              <w:right w:val="nil"/>
            </w:tcBorders>
            <w:vAlign w:val="center"/>
          </w:tcPr>
          <w:p>
            <w:pPr>
              <w:widowControl/>
              <w:jc w:val="left"/>
              <w:rPr>
                <w:rFonts w:ascii="宋体" w:hAnsi="宋体" w:cs="宋体"/>
                <w:b/>
                <w:bCs/>
                <w:color w:val="000000"/>
                <w:kern w:val="0"/>
                <w:sz w:val="24"/>
              </w:rPr>
            </w:pPr>
          </w:p>
        </w:tc>
        <w:tc>
          <w:tcPr>
            <w:tcW w:w="2290"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资金使用合规性</w:t>
            </w:r>
          </w:p>
        </w:tc>
        <w:tc>
          <w:tcPr>
            <w:tcW w:w="4936" w:type="dxa"/>
            <w:gridSpan w:val="5"/>
            <w:tcBorders>
              <w:top w:val="single" w:color="auto" w:sz="4" w:space="0"/>
              <w:left w:val="nil"/>
              <w:bottom w:val="nil"/>
              <w:right w:val="single" w:color="000000"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（管理指标不设绩效指标，按指标评价内容直接评分）</w:t>
            </w:r>
          </w:p>
        </w:tc>
        <w:tc>
          <w:tcPr>
            <w:tcW w:w="2852" w:type="dxa"/>
            <w:tcBorders>
              <w:top w:val="nil"/>
              <w:left w:val="nil"/>
              <w:bottom w:val="single" w:color="auto" w:sz="4" w:space="0"/>
              <w:right w:val="single" w:color="auto" w:sz="4" w:space="0"/>
            </w:tcBorders>
            <w:shd w:val="clear" w:color="000000" w:fill="EDEDED"/>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5</w:t>
            </w:r>
          </w:p>
        </w:tc>
        <w:tc>
          <w:tcPr>
            <w:tcW w:w="1140"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宋体"/>
                <w:color w:val="000000"/>
                <w:kern w:val="0"/>
                <w:sz w:val="24"/>
              </w:rPr>
            </w:pPr>
            <w:r>
              <w:rPr>
                <w:rFonts w:hint="eastAsia" w:ascii="宋体" w:hAnsi="宋体" w:cs="宋体"/>
                <w:color w:val="000000"/>
                <w:kern w:val="0"/>
                <w:sz w:val="24"/>
              </w:rPr>
              <w:t>5</w:t>
            </w:r>
          </w:p>
        </w:tc>
        <w:tc>
          <w:tcPr>
            <w:tcW w:w="396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r>
      <w:tr>
        <w:tblPrEx>
          <w:tblCellMar>
            <w:top w:w="0" w:type="dxa"/>
            <w:left w:w="108" w:type="dxa"/>
            <w:bottom w:w="0" w:type="dxa"/>
            <w:right w:w="108" w:type="dxa"/>
          </w:tblCellMar>
        </w:tblPrEx>
        <w:trPr>
          <w:trHeight w:val="418" w:hRule="atLeast"/>
        </w:trPr>
        <w:tc>
          <w:tcPr>
            <w:tcW w:w="578" w:type="dxa"/>
            <w:vMerge w:val="continue"/>
            <w:tcBorders>
              <w:top w:val="nil"/>
              <w:left w:val="single" w:color="auto" w:sz="4" w:space="0"/>
              <w:bottom w:val="nil"/>
              <w:right w:val="single" w:color="auto" w:sz="4" w:space="0"/>
            </w:tcBorders>
            <w:vAlign w:val="center"/>
          </w:tcPr>
          <w:p>
            <w:pPr>
              <w:widowControl/>
              <w:jc w:val="left"/>
              <w:rPr>
                <w:rFonts w:ascii="宋体" w:hAnsi="宋体" w:cs="宋体"/>
                <w:b/>
                <w:bCs/>
                <w:color w:val="000000"/>
                <w:kern w:val="0"/>
                <w:sz w:val="24"/>
              </w:rPr>
            </w:pPr>
          </w:p>
        </w:tc>
        <w:tc>
          <w:tcPr>
            <w:tcW w:w="829" w:type="dxa"/>
            <w:gridSpan w:val="2"/>
            <w:vMerge w:val="continue"/>
            <w:tcBorders>
              <w:top w:val="nil"/>
              <w:left w:val="single" w:color="auto" w:sz="4" w:space="0"/>
              <w:bottom w:val="single" w:color="000000" w:sz="4" w:space="0"/>
              <w:right w:val="nil"/>
            </w:tcBorders>
            <w:vAlign w:val="center"/>
          </w:tcPr>
          <w:p>
            <w:pPr>
              <w:widowControl/>
              <w:jc w:val="left"/>
              <w:rPr>
                <w:rFonts w:ascii="宋体" w:hAnsi="宋体" w:cs="宋体"/>
                <w:b/>
                <w:bCs/>
                <w:color w:val="000000"/>
                <w:kern w:val="0"/>
                <w:sz w:val="24"/>
              </w:rPr>
            </w:pPr>
          </w:p>
        </w:tc>
        <w:tc>
          <w:tcPr>
            <w:tcW w:w="2290"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政府采购规范性</w:t>
            </w:r>
          </w:p>
        </w:tc>
        <w:tc>
          <w:tcPr>
            <w:tcW w:w="4936" w:type="dxa"/>
            <w:gridSpan w:val="5"/>
            <w:tcBorders>
              <w:top w:val="single" w:color="auto" w:sz="4" w:space="0"/>
              <w:left w:val="nil"/>
              <w:bottom w:val="nil"/>
              <w:right w:val="single" w:color="000000"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（管理指标不设绩效指标，按指标评价内容直接评分）</w:t>
            </w:r>
          </w:p>
        </w:tc>
        <w:tc>
          <w:tcPr>
            <w:tcW w:w="2852" w:type="dxa"/>
            <w:tcBorders>
              <w:top w:val="nil"/>
              <w:left w:val="nil"/>
              <w:bottom w:val="single" w:color="auto" w:sz="4" w:space="0"/>
              <w:right w:val="single" w:color="auto" w:sz="4" w:space="0"/>
            </w:tcBorders>
            <w:shd w:val="clear" w:color="000000" w:fill="EDEDED"/>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5</w:t>
            </w:r>
          </w:p>
        </w:tc>
        <w:tc>
          <w:tcPr>
            <w:tcW w:w="1140"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宋体"/>
                <w:color w:val="000000"/>
                <w:kern w:val="0"/>
                <w:sz w:val="24"/>
              </w:rPr>
            </w:pPr>
            <w:r>
              <w:rPr>
                <w:rFonts w:hint="eastAsia" w:ascii="宋体" w:hAnsi="宋体" w:cs="宋体"/>
                <w:color w:val="000000"/>
                <w:kern w:val="0"/>
                <w:sz w:val="24"/>
              </w:rPr>
              <w:t>5</w:t>
            </w:r>
          </w:p>
        </w:tc>
        <w:tc>
          <w:tcPr>
            <w:tcW w:w="396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r>
      <w:tr>
        <w:tblPrEx>
          <w:tblCellMar>
            <w:top w:w="0" w:type="dxa"/>
            <w:left w:w="108" w:type="dxa"/>
            <w:bottom w:w="0" w:type="dxa"/>
            <w:right w:w="108" w:type="dxa"/>
          </w:tblCellMar>
        </w:tblPrEx>
        <w:trPr>
          <w:trHeight w:val="425" w:hRule="atLeast"/>
        </w:trPr>
        <w:tc>
          <w:tcPr>
            <w:tcW w:w="578" w:type="dxa"/>
            <w:vMerge w:val="continue"/>
            <w:tcBorders>
              <w:top w:val="nil"/>
              <w:left w:val="single" w:color="auto" w:sz="4" w:space="0"/>
              <w:bottom w:val="nil"/>
              <w:right w:val="single" w:color="auto" w:sz="4" w:space="0"/>
            </w:tcBorders>
            <w:vAlign w:val="center"/>
          </w:tcPr>
          <w:p>
            <w:pPr>
              <w:widowControl/>
              <w:jc w:val="left"/>
              <w:rPr>
                <w:rFonts w:ascii="宋体" w:hAnsi="宋体" w:cs="宋体"/>
                <w:b/>
                <w:bCs/>
                <w:color w:val="000000"/>
                <w:kern w:val="0"/>
                <w:sz w:val="24"/>
              </w:rPr>
            </w:pPr>
          </w:p>
        </w:tc>
        <w:tc>
          <w:tcPr>
            <w:tcW w:w="829" w:type="dxa"/>
            <w:gridSpan w:val="2"/>
            <w:vMerge w:val="continue"/>
            <w:tcBorders>
              <w:top w:val="nil"/>
              <w:left w:val="single" w:color="auto" w:sz="4" w:space="0"/>
              <w:bottom w:val="single" w:color="000000" w:sz="4" w:space="0"/>
              <w:right w:val="nil"/>
            </w:tcBorders>
            <w:vAlign w:val="center"/>
          </w:tcPr>
          <w:p>
            <w:pPr>
              <w:widowControl/>
              <w:jc w:val="left"/>
              <w:rPr>
                <w:rFonts w:ascii="宋体" w:hAnsi="宋体" w:cs="宋体"/>
                <w:b/>
                <w:bCs/>
                <w:color w:val="000000"/>
                <w:kern w:val="0"/>
                <w:sz w:val="24"/>
              </w:rPr>
            </w:pPr>
          </w:p>
        </w:tc>
        <w:tc>
          <w:tcPr>
            <w:tcW w:w="2290"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资产管理有效性</w:t>
            </w:r>
          </w:p>
        </w:tc>
        <w:tc>
          <w:tcPr>
            <w:tcW w:w="4936" w:type="dxa"/>
            <w:gridSpan w:val="5"/>
            <w:tcBorders>
              <w:top w:val="single" w:color="auto" w:sz="4" w:space="0"/>
              <w:left w:val="nil"/>
              <w:bottom w:val="nil"/>
              <w:right w:val="single" w:color="000000"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（管理指标不设绩效指标，按指标评价内容直接评分）</w:t>
            </w:r>
          </w:p>
        </w:tc>
        <w:tc>
          <w:tcPr>
            <w:tcW w:w="2852" w:type="dxa"/>
            <w:tcBorders>
              <w:top w:val="nil"/>
              <w:left w:val="nil"/>
              <w:bottom w:val="single" w:color="auto" w:sz="4" w:space="0"/>
              <w:right w:val="single" w:color="auto" w:sz="4" w:space="0"/>
            </w:tcBorders>
            <w:shd w:val="clear" w:color="000000" w:fill="EDEDED"/>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5</w:t>
            </w:r>
          </w:p>
        </w:tc>
        <w:tc>
          <w:tcPr>
            <w:tcW w:w="1140"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宋体"/>
                <w:color w:val="000000"/>
                <w:kern w:val="0"/>
                <w:sz w:val="24"/>
              </w:rPr>
            </w:pPr>
            <w:r>
              <w:rPr>
                <w:rFonts w:hint="eastAsia" w:ascii="宋体" w:hAnsi="宋体" w:cs="宋体"/>
                <w:color w:val="000000"/>
                <w:kern w:val="0"/>
                <w:sz w:val="24"/>
              </w:rPr>
              <w:t>5</w:t>
            </w:r>
          </w:p>
        </w:tc>
        <w:tc>
          <w:tcPr>
            <w:tcW w:w="396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r>
      <w:tr>
        <w:tblPrEx>
          <w:tblCellMar>
            <w:top w:w="0" w:type="dxa"/>
            <w:left w:w="108" w:type="dxa"/>
            <w:bottom w:w="0" w:type="dxa"/>
            <w:right w:w="108" w:type="dxa"/>
          </w:tblCellMar>
        </w:tblPrEx>
        <w:trPr>
          <w:trHeight w:val="842" w:hRule="atLeast"/>
        </w:trPr>
        <w:tc>
          <w:tcPr>
            <w:tcW w:w="578" w:type="dxa"/>
            <w:vMerge w:val="continue"/>
            <w:tcBorders>
              <w:top w:val="nil"/>
              <w:left w:val="single" w:color="auto" w:sz="4" w:space="0"/>
              <w:bottom w:val="nil"/>
              <w:right w:val="single" w:color="auto" w:sz="4" w:space="0"/>
            </w:tcBorders>
            <w:vAlign w:val="center"/>
          </w:tcPr>
          <w:p>
            <w:pPr>
              <w:widowControl/>
              <w:jc w:val="left"/>
              <w:rPr>
                <w:rFonts w:ascii="宋体" w:hAnsi="宋体" w:cs="宋体"/>
                <w:b/>
                <w:bCs/>
                <w:color w:val="000000"/>
                <w:kern w:val="0"/>
                <w:sz w:val="24"/>
              </w:rPr>
            </w:pPr>
          </w:p>
        </w:tc>
        <w:tc>
          <w:tcPr>
            <w:tcW w:w="829" w:type="dxa"/>
            <w:gridSpan w:val="2"/>
            <w:vMerge w:val="restart"/>
            <w:tcBorders>
              <w:top w:val="nil"/>
              <w:left w:val="single" w:color="auto" w:sz="4" w:space="0"/>
              <w:bottom w:val="nil"/>
              <w:right w:val="single" w:color="auto" w:sz="4" w:space="0"/>
            </w:tcBorders>
            <w:shd w:val="clear" w:color="auto" w:fill="auto"/>
            <w:vAlign w:val="center"/>
          </w:tcPr>
          <w:p>
            <w:pPr>
              <w:widowControl/>
              <w:jc w:val="center"/>
              <w:rPr>
                <w:rFonts w:ascii="宋体" w:hAnsi="宋体" w:cs="宋体"/>
                <w:b/>
                <w:bCs/>
                <w:color w:val="000000"/>
                <w:kern w:val="0"/>
                <w:sz w:val="24"/>
              </w:rPr>
            </w:pPr>
            <w:r>
              <w:rPr>
                <w:rFonts w:hint="eastAsia" w:ascii="宋体" w:hAnsi="宋体" w:cs="宋体"/>
                <w:b/>
                <w:bCs/>
                <w:color w:val="000000"/>
                <w:kern w:val="0"/>
                <w:sz w:val="24"/>
              </w:rPr>
              <w:t>履职情况</w:t>
            </w:r>
          </w:p>
        </w:tc>
        <w:tc>
          <w:tcPr>
            <w:tcW w:w="2290"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完成情况</w:t>
            </w:r>
          </w:p>
        </w:tc>
        <w:tc>
          <w:tcPr>
            <w:tcW w:w="1985"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（部门预期完成的收入金额、项目个数，质量，时效，成本等）</w:t>
            </w:r>
          </w:p>
        </w:tc>
        <w:tc>
          <w:tcPr>
            <w:tcW w:w="2951"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（部门实际完成的收入金额、项目个数，质量，时效，成本等）</w:t>
            </w:r>
          </w:p>
        </w:tc>
        <w:tc>
          <w:tcPr>
            <w:tcW w:w="2852" w:type="dxa"/>
            <w:tcBorders>
              <w:top w:val="nil"/>
              <w:left w:val="nil"/>
              <w:bottom w:val="single" w:color="auto" w:sz="4" w:space="0"/>
              <w:right w:val="single" w:color="auto" w:sz="4" w:space="0"/>
            </w:tcBorders>
            <w:shd w:val="clear" w:color="000000" w:fill="EDEDED"/>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20</w:t>
            </w:r>
          </w:p>
        </w:tc>
        <w:tc>
          <w:tcPr>
            <w:tcW w:w="1140"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宋体"/>
                <w:color w:val="000000"/>
                <w:kern w:val="0"/>
                <w:sz w:val="24"/>
              </w:rPr>
            </w:pPr>
            <w:r>
              <w:rPr>
                <w:rFonts w:hint="eastAsia" w:ascii="宋体" w:hAnsi="宋体" w:cs="宋体"/>
                <w:color w:val="000000"/>
                <w:kern w:val="0"/>
                <w:sz w:val="24"/>
              </w:rPr>
              <w:t>20</w:t>
            </w:r>
          </w:p>
        </w:tc>
        <w:tc>
          <w:tcPr>
            <w:tcW w:w="396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r>
      <w:tr>
        <w:tblPrEx>
          <w:tblCellMar>
            <w:top w:w="0" w:type="dxa"/>
            <w:left w:w="108" w:type="dxa"/>
            <w:bottom w:w="0" w:type="dxa"/>
            <w:right w:w="108" w:type="dxa"/>
          </w:tblCellMar>
        </w:tblPrEx>
        <w:trPr>
          <w:trHeight w:val="600" w:hRule="atLeast"/>
        </w:trPr>
        <w:tc>
          <w:tcPr>
            <w:tcW w:w="578" w:type="dxa"/>
            <w:vMerge w:val="continue"/>
            <w:tcBorders>
              <w:top w:val="nil"/>
              <w:left w:val="single" w:color="auto" w:sz="4" w:space="0"/>
              <w:bottom w:val="nil"/>
              <w:right w:val="single" w:color="auto" w:sz="4" w:space="0"/>
            </w:tcBorders>
            <w:vAlign w:val="center"/>
          </w:tcPr>
          <w:p>
            <w:pPr>
              <w:widowControl/>
              <w:jc w:val="left"/>
              <w:rPr>
                <w:rFonts w:ascii="宋体" w:hAnsi="宋体" w:cs="宋体"/>
                <w:b/>
                <w:bCs/>
                <w:color w:val="000000"/>
                <w:kern w:val="0"/>
                <w:sz w:val="24"/>
              </w:rPr>
            </w:pPr>
          </w:p>
        </w:tc>
        <w:tc>
          <w:tcPr>
            <w:tcW w:w="829" w:type="dxa"/>
            <w:gridSpan w:val="2"/>
            <w:vMerge w:val="continue"/>
            <w:tcBorders>
              <w:top w:val="nil"/>
              <w:left w:val="single" w:color="auto" w:sz="4" w:space="0"/>
              <w:bottom w:val="nil"/>
              <w:right w:val="single" w:color="auto" w:sz="4" w:space="0"/>
            </w:tcBorders>
            <w:vAlign w:val="center"/>
          </w:tcPr>
          <w:p>
            <w:pPr>
              <w:widowControl/>
              <w:jc w:val="left"/>
              <w:rPr>
                <w:rFonts w:ascii="宋体" w:hAnsi="宋体" w:cs="宋体"/>
                <w:b/>
                <w:bCs/>
                <w:color w:val="000000"/>
                <w:kern w:val="0"/>
                <w:sz w:val="24"/>
              </w:rPr>
            </w:pPr>
          </w:p>
        </w:tc>
        <w:tc>
          <w:tcPr>
            <w:tcW w:w="2290"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效益情况</w:t>
            </w:r>
          </w:p>
        </w:tc>
        <w:tc>
          <w:tcPr>
            <w:tcW w:w="1985" w:type="dxa"/>
            <w:gridSpan w:val="3"/>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（部门预期取得的效益及受益人员满意度等）</w:t>
            </w:r>
          </w:p>
        </w:tc>
        <w:tc>
          <w:tcPr>
            <w:tcW w:w="2951"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（部门实际取得的效益及受益人员满意度等）</w:t>
            </w:r>
          </w:p>
        </w:tc>
        <w:tc>
          <w:tcPr>
            <w:tcW w:w="2852" w:type="dxa"/>
            <w:tcBorders>
              <w:top w:val="nil"/>
              <w:left w:val="nil"/>
              <w:bottom w:val="single" w:color="auto" w:sz="4" w:space="0"/>
              <w:right w:val="single" w:color="auto" w:sz="4" w:space="0"/>
            </w:tcBorders>
            <w:shd w:val="clear" w:color="000000" w:fill="EDEDED"/>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30</w:t>
            </w:r>
          </w:p>
        </w:tc>
        <w:tc>
          <w:tcPr>
            <w:tcW w:w="1140"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宋体"/>
                <w:color w:val="000000"/>
                <w:kern w:val="0"/>
                <w:sz w:val="24"/>
              </w:rPr>
            </w:pPr>
            <w:r>
              <w:rPr>
                <w:rFonts w:hint="eastAsia" w:ascii="宋体" w:hAnsi="宋体" w:cs="宋体"/>
                <w:color w:val="000000"/>
                <w:kern w:val="0"/>
                <w:sz w:val="24"/>
              </w:rPr>
              <w:t>30</w:t>
            </w:r>
          </w:p>
        </w:tc>
        <w:tc>
          <w:tcPr>
            <w:tcW w:w="3960" w:type="dxa"/>
            <w:gridSpan w:val="2"/>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r>
      <w:tr>
        <w:tblPrEx>
          <w:tblCellMar>
            <w:top w:w="0" w:type="dxa"/>
            <w:left w:w="108" w:type="dxa"/>
            <w:bottom w:w="0" w:type="dxa"/>
            <w:right w:w="108" w:type="dxa"/>
          </w:tblCellMar>
        </w:tblPrEx>
        <w:trPr>
          <w:trHeight w:val="383" w:hRule="atLeast"/>
        </w:trPr>
        <w:tc>
          <w:tcPr>
            <w:tcW w:w="1407"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b/>
                <w:bCs/>
                <w:color w:val="000000"/>
                <w:kern w:val="0"/>
                <w:sz w:val="24"/>
              </w:rPr>
            </w:pPr>
            <w:r>
              <w:rPr>
                <w:rFonts w:hint="eastAsia" w:ascii="宋体" w:hAnsi="宋体" w:cs="宋体"/>
                <w:b/>
                <w:bCs/>
                <w:color w:val="000000"/>
                <w:kern w:val="0"/>
                <w:sz w:val="24"/>
              </w:rPr>
              <w:t>存在问题</w:t>
            </w:r>
          </w:p>
        </w:tc>
        <w:tc>
          <w:tcPr>
            <w:tcW w:w="15178" w:type="dxa"/>
            <w:gridSpan w:val="1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中途追加预算数大</w:t>
            </w:r>
          </w:p>
        </w:tc>
      </w:tr>
      <w:tr>
        <w:tblPrEx>
          <w:tblCellMar>
            <w:top w:w="0" w:type="dxa"/>
            <w:left w:w="108" w:type="dxa"/>
            <w:bottom w:w="0" w:type="dxa"/>
            <w:right w:w="108" w:type="dxa"/>
          </w:tblCellMar>
        </w:tblPrEx>
        <w:trPr>
          <w:trHeight w:val="417" w:hRule="atLeast"/>
        </w:trPr>
        <w:tc>
          <w:tcPr>
            <w:tcW w:w="1407"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b/>
                <w:bCs/>
                <w:color w:val="000000"/>
                <w:kern w:val="0"/>
                <w:sz w:val="24"/>
              </w:rPr>
            </w:pPr>
            <w:r>
              <w:rPr>
                <w:rFonts w:hint="eastAsia" w:ascii="宋体" w:hAnsi="宋体" w:cs="宋体"/>
                <w:b/>
                <w:bCs/>
                <w:color w:val="000000"/>
                <w:kern w:val="0"/>
                <w:sz w:val="24"/>
              </w:rPr>
              <w:t>改进措施</w:t>
            </w:r>
          </w:p>
        </w:tc>
        <w:tc>
          <w:tcPr>
            <w:tcW w:w="15178" w:type="dxa"/>
            <w:gridSpan w:val="1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加强预算编制完整性，做到应编尽编</w:t>
            </w:r>
          </w:p>
        </w:tc>
      </w:tr>
      <w:tr>
        <w:tblPrEx>
          <w:tblCellMar>
            <w:top w:w="0" w:type="dxa"/>
            <w:left w:w="108" w:type="dxa"/>
            <w:bottom w:w="0" w:type="dxa"/>
            <w:right w:w="108" w:type="dxa"/>
          </w:tblCellMar>
        </w:tblPrEx>
        <w:trPr>
          <w:trHeight w:val="241" w:hRule="atLeast"/>
        </w:trPr>
        <w:tc>
          <w:tcPr>
            <w:tcW w:w="16585" w:type="dxa"/>
            <w:gridSpan w:val="15"/>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ind w:firstLine="13200" w:firstLineChars="5500"/>
              <w:jc w:val="both"/>
              <w:rPr>
                <w:rFonts w:ascii="宋体" w:hAnsi="宋体" w:cs="宋体"/>
                <w:color w:val="000000"/>
                <w:kern w:val="0"/>
                <w:sz w:val="24"/>
              </w:rPr>
            </w:pPr>
            <w:r>
              <w:rPr>
                <w:rFonts w:hint="eastAsia" w:ascii="宋体" w:hAnsi="宋体" w:cs="宋体"/>
                <w:color w:val="000000"/>
                <w:kern w:val="0"/>
                <w:sz w:val="24"/>
              </w:rPr>
              <w:t xml:space="preserve">填报人：戴文豪                </w:t>
            </w:r>
          </w:p>
        </w:tc>
      </w:tr>
    </w:tbl>
    <w:p>
      <w:pPr>
        <w:snapToGrid w:val="0"/>
        <w:spacing w:line="600" w:lineRule="exact"/>
        <w:jc w:val="center"/>
        <w:rPr>
          <w:rFonts w:ascii="黑体" w:hAnsi="黑体" w:eastAsia="黑体"/>
          <w:sz w:val="44"/>
          <w:szCs w:val="44"/>
        </w:rPr>
        <w:sectPr>
          <w:pgSz w:w="16838" w:h="11906" w:orient="landscape"/>
          <w:pgMar w:top="1800" w:right="1440" w:bottom="1800" w:left="1440" w:header="851" w:footer="992" w:gutter="0"/>
          <w:pgNumType w:start="1"/>
          <w:cols w:space="425" w:num="1"/>
          <w:titlePg/>
          <w:docGrid w:type="lines" w:linePitch="312" w:charSpace="0"/>
        </w:sectPr>
      </w:pPr>
      <w:bookmarkStart w:id="97" w:name="_Toc15396618"/>
      <w:bookmarkStart w:id="98" w:name="_Toc15575_WPSOffice_Level1"/>
    </w:p>
    <w:p>
      <w:pPr>
        <w:snapToGrid w:val="0"/>
        <w:spacing w:line="600" w:lineRule="exact"/>
        <w:jc w:val="center"/>
        <w:rPr>
          <w:rFonts w:hint="eastAsia" w:ascii="黑体" w:hAnsi="黑体" w:eastAsia="黑体"/>
          <w:sz w:val="44"/>
          <w:szCs w:val="44"/>
        </w:rPr>
      </w:pPr>
      <w:r>
        <w:rPr>
          <w:rFonts w:ascii="黑体" w:hAnsi="黑体" w:eastAsia="黑体"/>
          <w:sz w:val="44"/>
          <w:szCs w:val="44"/>
        </w:rPr>
        <w:t>202</w:t>
      </w:r>
      <w:r>
        <w:rPr>
          <w:rFonts w:hint="eastAsia" w:ascii="黑体" w:hAnsi="黑体" w:eastAsia="黑体"/>
          <w:sz w:val="44"/>
          <w:szCs w:val="44"/>
        </w:rPr>
        <w:t>1年度部门预算项目支出</w:t>
      </w:r>
    </w:p>
    <w:p>
      <w:pPr>
        <w:snapToGrid w:val="0"/>
        <w:spacing w:line="600" w:lineRule="exact"/>
        <w:jc w:val="center"/>
        <w:rPr>
          <w:rFonts w:ascii="黑体" w:hAnsi="黑体" w:eastAsia="黑体"/>
          <w:sz w:val="44"/>
          <w:szCs w:val="44"/>
        </w:rPr>
      </w:pPr>
      <w:r>
        <w:rPr>
          <w:rFonts w:hint="eastAsia" w:ascii="黑体" w:hAnsi="黑体" w:eastAsia="黑体"/>
          <w:sz w:val="44"/>
          <w:szCs w:val="44"/>
        </w:rPr>
        <w:t>绩效自评报告</w:t>
      </w:r>
    </w:p>
    <w:p>
      <w:pPr>
        <w:tabs>
          <w:tab w:val="left" w:pos="3885"/>
        </w:tabs>
        <w:snapToGrid w:val="0"/>
        <w:spacing w:line="600" w:lineRule="exact"/>
        <w:jc w:val="center"/>
        <w:rPr>
          <w:rFonts w:ascii="仿宋" w:hAnsi="仿宋" w:eastAsia="仿宋"/>
        </w:rPr>
      </w:pPr>
      <w:r>
        <w:rPr>
          <w:rFonts w:hint="eastAsia" w:ascii="仿宋" w:hAnsi="仿宋" w:eastAsia="仿宋"/>
        </w:rPr>
        <w:t>（平兴镇人民政府基本运转经费）</w:t>
      </w:r>
    </w:p>
    <w:p>
      <w:pPr>
        <w:tabs>
          <w:tab w:val="left" w:pos="3885"/>
        </w:tabs>
        <w:snapToGrid w:val="0"/>
        <w:spacing w:line="600" w:lineRule="exact"/>
        <w:ind w:firstLine="640" w:firstLineChars="200"/>
        <w:rPr>
          <w:rFonts w:ascii="黑体" w:hAnsi="黑体" w:eastAsia="黑体"/>
          <w:sz w:val="32"/>
          <w:szCs w:val="32"/>
        </w:rPr>
      </w:pPr>
      <w:r>
        <w:rPr>
          <w:rFonts w:hint="eastAsia" w:ascii="黑体" w:hAnsi="黑体" w:eastAsia="黑体"/>
          <w:sz w:val="32"/>
          <w:szCs w:val="32"/>
        </w:rPr>
        <w:t>一、基本情况</w:t>
      </w:r>
    </w:p>
    <w:p>
      <w:pPr>
        <w:tabs>
          <w:tab w:val="left" w:pos="3885"/>
        </w:tabs>
        <w:snapToGrid w:val="0"/>
        <w:spacing w:line="600" w:lineRule="exact"/>
        <w:ind w:firstLine="640" w:firstLineChars="200"/>
        <w:jc w:val="left"/>
        <w:rPr>
          <w:rFonts w:ascii="仿宋" w:hAnsi="仿宋" w:eastAsia="仿宋" w:cs="仿宋_GB2312"/>
          <w:color w:val="000000" w:themeColor="text1"/>
          <w:sz w:val="32"/>
          <w:szCs w:val="32"/>
        </w:rPr>
      </w:pPr>
      <w:r>
        <w:rPr>
          <w:rFonts w:hint="eastAsia" w:ascii="仿宋" w:hAnsi="仿宋" w:eastAsia="仿宋" w:cs="仿宋_GB2312"/>
          <w:sz w:val="32"/>
          <w:szCs w:val="32"/>
        </w:rPr>
        <w:t>平兴镇</w:t>
      </w:r>
      <w:r>
        <w:rPr>
          <w:rFonts w:hint="eastAsia" w:ascii="仿宋" w:hAnsi="仿宋" w:eastAsia="仿宋"/>
          <w:sz w:val="32"/>
          <w:szCs w:val="32"/>
        </w:rPr>
        <w:t>人民政府基本运转经费包括乡镇（街道）工作经费、人大代表活动经费、村办公费、社区办公费</w:t>
      </w:r>
      <w:r>
        <w:rPr>
          <w:rFonts w:hint="eastAsia" w:ascii="仿宋" w:hAnsi="仿宋" w:eastAsia="仿宋"/>
          <w:color w:val="000000" w:themeColor="text1"/>
          <w:sz w:val="32"/>
          <w:szCs w:val="32"/>
        </w:rPr>
        <w:t>。镇人大代表活动经费年初预算3.64万元，乡镇（街道）工作经费年初预算18万元，中途追加7万元，完成预算25万元，维稳工作经费2.5万元，村办公费年初预算</w:t>
      </w:r>
      <w:r>
        <w:rPr>
          <w:rFonts w:ascii="仿宋" w:hAnsi="仿宋" w:eastAsia="仿宋"/>
          <w:color w:val="000000" w:themeColor="text1"/>
          <w:sz w:val="32"/>
          <w:szCs w:val="32"/>
        </w:rPr>
        <w:t>3</w:t>
      </w:r>
      <w:r>
        <w:rPr>
          <w:rFonts w:hint="eastAsia" w:ascii="仿宋" w:hAnsi="仿宋" w:eastAsia="仿宋"/>
          <w:color w:val="000000" w:themeColor="text1"/>
          <w:sz w:val="32"/>
          <w:szCs w:val="32"/>
        </w:rPr>
        <w:t>2万元，三支一扶工资及保险预算26万元，中途追加3.82万元，完成预算15.3万元，完成率0.513，原因是中途有三支一扶人员调出。基层组织活动和公共运行经费年初预算46万元，中途追加49.67万元，完成预算95.67万元，已全面完成预算执行。全面完成年初项目支出绩效申报的项目绩效目标，保障乡镇工作顺利开展，保障</w:t>
      </w:r>
      <w:r>
        <w:rPr>
          <w:rFonts w:ascii="仿宋" w:hAnsi="仿宋" w:eastAsia="仿宋"/>
          <w:color w:val="000000" w:themeColor="text1"/>
          <w:sz w:val="32"/>
          <w:szCs w:val="32"/>
        </w:rPr>
        <w:t>51</w:t>
      </w:r>
      <w:r>
        <w:rPr>
          <w:rFonts w:hint="eastAsia" w:ascii="仿宋" w:hAnsi="仿宋" w:eastAsia="仿宋"/>
          <w:color w:val="000000" w:themeColor="text1"/>
          <w:sz w:val="32"/>
          <w:szCs w:val="32"/>
        </w:rPr>
        <w:t>名人大代表开展活动，确保社会稳定，服务对象满意度大于</w:t>
      </w:r>
      <w:r>
        <w:rPr>
          <w:rFonts w:ascii="仿宋" w:hAnsi="仿宋" w:eastAsia="仿宋"/>
          <w:color w:val="000000" w:themeColor="text1"/>
          <w:sz w:val="32"/>
          <w:szCs w:val="32"/>
        </w:rPr>
        <w:t>99%</w:t>
      </w:r>
      <w:r>
        <w:rPr>
          <w:rFonts w:hint="eastAsia" w:ascii="仿宋" w:hAnsi="仿宋" w:eastAsia="仿宋"/>
          <w:color w:val="000000" w:themeColor="text1"/>
          <w:sz w:val="32"/>
          <w:szCs w:val="32"/>
        </w:rPr>
        <w:t>。</w:t>
      </w:r>
    </w:p>
    <w:p>
      <w:pPr>
        <w:tabs>
          <w:tab w:val="left" w:pos="3885"/>
        </w:tabs>
        <w:snapToGrid w:val="0"/>
        <w:spacing w:line="600" w:lineRule="exact"/>
        <w:ind w:firstLine="640" w:firstLineChars="200"/>
        <w:rPr>
          <w:rFonts w:ascii="黑体" w:hAnsi="黑体" w:eastAsia="黑体"/>
          <w:sz w:val="32"/>
          <w:szCs w:val="32"/>
        </w:rPr>
      </w:pPr>
      <w:r>
        <w:rPr>
          <w:rFonts w:hint="eastAsia" w:ascii="黑体" w:hAnsi="黑体" w:eastAsia="黑体"/>
          <w:sz w:val="32"/>
          <w:szCs w:val="32"/>
        </w:rPr>
        <w:t>二、评价工作开展情况</w:t>
      </w:r>
    </w:p>
    <w:p>
      <w:pPr>
        <w:snapToGrid w:val="0"/>
        <w:spacing w:line="60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组织开展了绩效评价工作，严格按照</w:t>
      </w:r>
      <w:r>
        <w:rPr>
          <w:rFonts w:ascii="仿宋" w:hAnsi="仿宋" w:eastAsia="仿宋" w:cs="仿宋_GB2312"/>
          <w:sz w:val="32"/>
          <w:szCs w:val="32"/>
        </w:rPr>
        <w:t>202</w:t>
      </w:r>
      <w:r>
        <w:rPr>
          <w:rFonts w:hint="eastAsia" w:ascii="仿宋" w:hAnsi="仿宋" w:eastAsia="仿宋" w:cs="仿宋_GB2312"/>
          <w:sz w:val="32"/>
          <w:szCs w:val="32"/>
        </w:rPr>
        <w:t>1年四川省政策支出绩效评价指标体系、</w:t>
      </w:r>
      <w:r>
        <w:rPr>
          <w:rFonts w:ascii="仿宋" w:hAnsi="仿宋" w:eastAsia="仿宋" w:cs="仿宋_GB2312"/>
          <w:sz w:val="32"/>
          <w:szCs w:val="32"/>
        </w:rPr>
        <w:t>202</w:t>
      </w:r>
      <w:r>
        <w:rPr>
          <w:rFonts w:hint="eastAsia" w:ascii="仿宋" w:hAnsi="仿宋" w:eastAsia="仿宋" w:cs="仿宋_GB2312"/>
          <w:sz w:val="32"/>
          <w:szCs w:val="32"/>
        </w:rPr>
        <w:t>1年四川省专项项目支出绩效评价指标体系、</w:t>
      </w:r>
      <w:r>
        <w:rPr>
          <w:rFonts w:ascii="仿宋" w:hAnsi="仿宋" w:eastAsia="仿宋" w:cs="仿宋_GB2312"/>
          <w:sz w:val="32"/>
          <w:szCs w:val="32"/>
        </w:rPr>
        <w:t>202</w:t>
      </w:r>
      <w:r>
        <w:rPr>
          <w:rFonts w:hint="eastAsia" w:ascii="仿宋" w:hAnsi="仿宋" w:eastAsia="仿宋" w:cs="仿宋_GB2312"/>
          <w:sz w:val="32"/>
          <w:szCs w:val="32"/>
        </w:rPr>
        <w:t>1年部门整体支出绩效评价指标体系开展了绩效评价，撰写自评报告。</w:t>
      </w:r>
    </w:p>
    <w:p>
      <w:pPr>
        <w:tabs>
          <w:tab w:val="left" w:pos="3885"/>
        </w:tabs>
        <w:snapToGrid w:val="0"/>
        <w:spacing w:line="600" w:lineRule="exact"/>
        <w:ind w:firstLine="640" w:firstLineChars="200"/>
        <w:rPr>
          <w:rFonts w:ascii="黑体" w:hAnsi="黑体" w:eastAsia="黑体"/>
          <w:sz w:val="32"/>
          <w:szCs w:val="32"/>
        </w:rPr>
      </w:pPr>
      <w:r>
        <w:rPr>
          <w:rFonts w:hint="eastAsia" w:ascii="黑体" w:hAnsi="黑体" w:eastAsia="黑体"/>
          <w:sz w:val="32"/>
          <w:szCs w:val="32"/>
        </w:rPr>
        <w:t>三、综合评价结论</w:t>
      </w:r>
    </w:p>
    <w:p>
      <w:pPr>
        <w:ind w:firstLine="640" w:firstLineChars="200"/>
        <w:rPr>
          <w:rFonts w:ascii="仿宋" w:hAnsi="仿宋" w:eastAsia="仿宋"/>
          <w:sz w:val="32"/>
          <w:szCs w:val="32"/>
        </w:rPr>
      </w:pPr>
      <w:r>
        <w:rPr>
          <w:rFonts w:hint="eastAsia" w:ascii="仿宋" w:hAnsi="仿宋" w:eastAsia="仿宋"/>
          <w:sz w:val="32"/>
          <w:szCs w:val="32"/>
        </w:rPr>
        <w:t>本年预算安排控制较好，基本运转经费项目预算执行率达1.14，预算执行方面，支出总额控制在预算总额以内，不存在截留或滞留专项资金情况。</w:t>
      </w:r>
    </w:p>
    <w:p>
      <w:pPr>
        <w:snapToGrid w:val="0"/>
        <w:spacing w:line="600" w:lineRule="exact"/>
        <w:ind w:firstLine="640" w:firstLineChars="200"/>
        <w:rPr>
          <w:rFonts w:ascii="黑体" w:hAnsi="黑体" w:eastAsia="黑体" w:cs="黑体"/>
          <w:bCs/>
          <w:sz w:val="32"/>
          <w:szCs w:val="32"/>
        </w:rPr>
      </w:pPr>
      <w:r>
        <w:rPr>
          <w:rFonts w:hint="eastAsia" w:ascii="黑体" w:hAnsi="黑体" w:eastAsia="黑体" w:cs="黑体"/>
          <w:bCs/>
          <w:sz w:val="32"/>
          <w:szCs w:val="32"/>
        </w:rPr>
        <w:t>四、绩效评价分析</w:t>
      </w:r>
    </w:p>
    <w:p>
      <w:pPr>
        <w:snapToGrid w:val="0"/>
        <w:spacing w:line="600" w:lineRule="exact"/>
        <w:ind w:firstLine="643" w:firstLineChars="200"/>
        <w:rPr>
          <w:rFonts w:ascii="仿宋" w:hAnsi="仿宋" w:eastAsia="仿宋"/>
          <w:b/>
          <w:sz w:val="32"/>
          <w:szCs w:val="32"/>
        </w:rPr>
      </w:pPr>
      <w:r>
        <w:rPr>
          <w:rFonts w:hint="eastAsia" w:ascii="仿宋" w:hAnsi="仿宋" w:eastAsia="仿宋"/>
          <w:b/>
          <w:sz w:val="32"/>
          <w:szCs w:val="32"/>
        </w:rPr>
        <w:t>（一）项目决策情况</w:t>
      </w:r>
    </w:p>
    <w:p>
      <w:pPr>
        <w:snapToGrid w:val="0"/>
        <w:spacing w:line="600" w:lineRule="exact"/>
        <w:ind w:firstLine="640" w:firstLineChars="200"/>
        <w:rPr>
          <w:rFonts w:ascii="仿宋" w:hAnsi="仿宋" w:eastAsia="仿宋"/>
          <w:sz w:val="32"/>
          <w:szCs w:val="32"/>
        </w:rPr>
      </w:pPr>
      <w:r>
        <w:rPr>
          <w:rFonts w:hint="eastAsia" w:ascii="仿宋" w:hAnsi="仿宋" w:eastAsia="仿宋"/>
          <w:sz w:val="32"/>
          <w:szCs w:val="32"/>
        </w:rPr>
        <w:t>根据实际需要，严格按照上级财政部门的要求编制年初预算，确保项目实施的可执行性。</w:t>
      </w:r>
    </w:p>
    <w:p>
      <w:pPr>
        <w:snapToGrid w:val="0"/>
        <w:spacing w:line="600" w:lineRule="exact"/>
        <w:ind w:firstLine="643" w:firstLineChars="200"/>
        <w:rPr>
          <w:rFonts w:ascii="仿宋" w:hAnsi="仿宋" w:eastAsia="仿宋"/>
          <w:b/>
          <w:sz w:val="32"/>
          <w:szCs w:val="32"/>
        </w:rPr>
      </w:pPr>
      <w:r>
        <w:rPr>
          <w:rFonts w:hint="eastAsia" w:ascii="仿宋" w:hAnsi="仿宋" w:eastAsia="仿宋"/>
          <w:b/>
          <w:sz w:val="32"/>
          <w:szCs w:val="32"/>
        </w:rPr>
        <w:t>（二）项目管理情况</w:t>
      </w:r>
    </w:p>
    <w:p>
      <w:pPr>
        <w:snapToGrid w:val="0"/>
        <w:spacing w:line="600" w:lineRule="exact"/>
        <w:ind w:firstLine="640" w:firstLineChars="200"/>
        <w:rPr>
          <w:rFonts w:ascii="仿宋" w:hAnsi="仿宋" w:eastAsia="仿宋"/>
          <w:sz w:val="32"/>
          <w:szCs w:val="32"/>
        </w:rPr>
      </w:pPr>
      <w:r>
        <w:rPr>
          <w:rFonts w:hint="eastAsia" w:ascii="仿宋" w:hAnsi="仿宋" w:eastAsia="仿宋"/>
          <w:sz w:val="32"/>
          <w:szCs w:val="32"/>
        </w:rPr>
        <w:t>严格由上级财政部门对项目实施的过程进行全程监督，确保项目执行进度全面按期完成。</w:t>
      </w:r>
    </w:p>
    <w:p>
      <w:pPr>
        <w:snapToGrid w:val="0"/>
        <w:spacing w:line="600" w:lineRule="exact"/>
        <w:ind w:firstLine="643" w:firstLineChars="200"/>
        <w:rPr>
          <w:rFonts w:ascii="仿宋" w:hAnsi="仿宋" w:eastAsia="仿宋"/>
          <w:b/>
          <w:sz w:val="32"/>
          <w:szCs w:val="32"/>
        </w:rPr>
      </w:pPr>
      <w:r>
        <w:rPr>
          <w:rFonts w:hint="eastAsia" w:ascii="仿宋" w:hAnsi="仿宋" w:eastAsia="仿宋"/>
          <w:b/>
          <w:sz w:val="32"/>
          <w:szCs w:val="32"/>
        </w:rPr>
        <w:t>（三）项目产出情况</w:t>
      </w:r>
    </w:p>
    <w:p>
      <w:pPr>
        <w:snapToGrid w:val="0"/>
        <w:spacing w:line="600" w:lineRule="exact"/>
        <w:ind w:left="420" w:leftChars="200"/>
        <w:rPr>
          <w:rFonts w:ascii="仿宋" w:hAnsi="仿宋" w:eastAsia="仿宋"/>
          <w:sz w:val="32"/>
          <w:szCs w:val="32"/>
        </w:rPr>
      </w:pPr>
      <w:r>
        <w:rPr>
          <w:rFonts w:hint="eastAsia" w:ascii="仿宋" w:hAnsi="仿宋" w:eastAsia="仿宋"/>
          <w:sz w:val="32"/>
          <w:szCs w:val="32"/>
        </w:rPr>
        <w:t>保障乡镇工作顺利开展，保障</w:t>
      </w:r>
      <w:r>
        <w:rPr>
          <w:rFonts w:ascii="仿宋" w:hAnsi="仿宋" w:eastAsia="仿宋"/>
          <w:sz w:val="32"/>
          <w:szCs w:val="32"/>
        </w:rPr>
        <w:t>51</w:t>
      </w:r>
      <w:r>
        <w:rPr>
          <w:rFonts w:hint="eastAsia" w:ascii="仿宋" w:hAnsi="仿宋" w:eastAsia="仿宋"/>
          <w:sz w:val="32"/>
          <w:szCs w:val="32"/>
        </w:rPr>
        <w:t>名人大代表开展活动，</w:t>
      </w:r>
    </w:p>
    <w:p>
      <w:pPr>
        <w:snapToGrid w:val="0"/>
        <w:spacing w:line="600" w:lineRule="exact"/>
        <w:rPr>
          <w:rFonts w:ascii="仿宋" w:hAnsi="仿宋" w:eastAsia="仿宋"/>
          <w:sz w:val="32"/>
          <w:szCs w:val="32"/>
        </w:rPr>
      </w:pPr>
      <w:r>
        <w:rPr>
          <w:rFonts w:hint="eastAsia" w:ascii="仿宋" w:hAnsi="仿宋" w:eastAsia="仿宋"/>
          <w:sz w:val="32"/>
          <w:szCs w:val="32"/>
        </w:rPr>
        <w:t>保障</w:t>
      </w:r>
      <w:r>
        <w:rPr>
          <w:rFonts w:ascii="仿宋" w:hAnsi="仿宋" w:eastAsia="仿宋"/>
          <w:sz w:val="32"/>
          <w:szCs w:val="32"/>
        </w:rPr>
        <w:t>8</w:t>
      </w:r>
      <w:r>
        <w:rPr>
          <w:rFonts w:hint="eastAsia" w:ascii="仿宋" w:hAnsi="仿宋" w:eastAsia="仿宋"/>
          <w:sz w:val="32"/>
          <w:szCs w:val="32"/>
        </w:rPr>
        <w:t>个村社区办公费支出，人口普查活动开展。</w:t>
      </w:r>
    </w:p>
    <w:p>
      <w:pPr>
        <w:snapToGrid w:val="0"/>
        <w:spacing w:line="600" w:lineRule="exact"/>
        <w:ind w:left="420" w:leftChars="200"/>
        <w:rPr>
          <w:rFonts w:ascii="仿宋" w:hAnsi="仿宋" w:eastAsia="仿宋"/>
          <w:b/>
          <w:sz w:val="32"/>
          <w:szCs w:val="32"/>
        </w:rPr>
      </w:pPr>
      <w:r>
        <w:rPr>
          <w:rFonts w:hint="eastAsia" w:ascii="仿宋" w:hAnsi="仿宋" w:eastAsia="仿宋"/>
          <w:b/>
          <w:sz w:val="32"/>
          <w:szCs w:val="32"/>
        </w:rPr>
        <w:t>（四）项目效益情况</w:t>
      </w:r>
    </w:p>
    <w:p>
      <w:pPr>
        <w:snapToGrid w:val="0"/>
        <w:spacing w:line="600" w:lineRule="exact"/>
        <w:ind w:firstLine="640" w:firstLineChars="200"/>
        <w:rPr>
          <w:rFonts w:ascii="仿宋" w:hAnsi="仿宋" w:eastAsia="仿宋"/>
          <w:sz w:val="32"/>
          <w:szCs w:val="32"/>
        </w:rPr>
      </w:pPr>
      <w:r>
        <w:rPr>
          <w:rFonts w:hint="eastAsia" w:ascii="仿宋" w:hAnsi="仿宋" w:eastAsia="仿宋"/>
          <w:sz w:val="32"/>
          <w:szCs w:val="32"/>
        </w:rPr>
        <w:t>全面完成年初项目支出绩效申报的项目绩效目标，确保社会稳定，服务对象满意度大于</w:t>
      </w:r>
      <w:r>
        <w:rPr>
          <w:rFonts w:ascii="仿宋" w:hAnsi="仿宋" w:eastAsia="仿宋"/>
          <w:sz w:val="32"/>
          <w:szCs w:val="32"/>
        </w:rPr>
        <w:t>99%</w:t>
      </w:r>
      <w:r>
        <w:rPr>
          <w:rFonts w:hint="eastAsia" w:ascii="仿宋" w:hAnsi="仿宋" w:eastAsia="仿宋"/>
          <w:sz w:val="32"/>
          <w:szCs w:val="32"/>
        </w:rPr>
        <w:t>。</w:t>
      </w:r>
    </w:p>
    <w:p>
      <w:pPr>
        <w:snapToGrid w:val="0"/>
        <w:spacing w:line="600" w:lineRule="exact"/>
        <w:ind w:firstLine="640" w:firstLineChars="200"/>
        <w:rPr>
          <w:rFonts w:ascii="黑体" w:hAnsi="黑体" w:eastAsia="黑体" w:cs="黑体"/>
          <w:bCs/>
          <w:sz w:val="32"/>
          <w:szCs w:val="32"/>
        </w:rPr>
      </w:pPr>
      <w:r>
        <w:rPr>
          <w:rFonts w:hint="eastAsia" w:ascii="黑体" w:hAnsi="黑体" w:eastAsia="黑体" w:cs="黑体"/>
          <w:bCs/>
          <w:sz w:val="32"/>
          <w:szCs w:val="32"/>
        </w:rPr>
        <w:t>五、存在主要问题</w:t>
      </w:r>
    </w:p>
    <w:p>
      <w:pPr>
        <w:snapToGrid w:val="0"/>
        <w:spacing w:line="600" w:lineRule="exact"/>
        <w:ind w:firstLine="640" w:firstLineChars="200"/>
        <w:rPr>
          <w:rFonts w:ascii="仿宋" w:hAnsi="仿宋" w:eastAsia="仿宋"/>
          <w:sz w:val="32"/>
          <w:szCs w:val="32"/>
        </w:rPr>
      </w:pPr>
      <w:r>
        <w:rPr>
          <w:rFonts w:hint="eastAsia" w:ascii="仿宋" w:hAnsi="仿宋" w:eastAsia="仿宋"/>
          <w:sz w:val="32"/>
          <w:szCs w:val="32"/>
        </w:rPr>
        <w:t>评价指标设置的科学性、合理性、可执行性需进一步提高。</w:t>
      </w:r>
    </w:p>
    <w:p>
      <w:pPr>
        <w:snapToGrid w:val="0"/>
        <w:spacing w:line="600" w:lineRule="exact"/>
        <w:ind w:firstLine="640" w:firstLineChars="200"/>
        <w:rPr>
          <w:rFonts w:ascii="黑体" w:hAnsi="黑体" w:eastAsia="黑体" w:cs="黑体"/>
          <w:bCs/>
          <w:sz w:val="32"/>
          <w:szCs w:val="32"/>
        </w:rPr>
      </w:pPr>
      <w:r>
        <w:rPr>
          <w:rFonts w:hint="eastAsia" w:ascii="黑体" w:hAnsi="黑体" w:eastAsia="黑体" w:cs="黑体"/>
          <w:bCs/>
          <w:sz w:val="32"/>
          <w:szCs w:val="32"/>
        </w:rPr>
        <w:t>六、相关措施建议</w:t>
      </w:r>
    </w:p>
    <w:p>
      <w:pPr>
        <w:snapToGrid w:val="0"/>
        <w:spacing w:line="600" w:lineRule="exact"/>
        <w:ind w:firstLine="640" w:firstLineChars="200"/>
        <w:rPr>
          <w:rFonts w:ascii="仿宋" w:hAnsi="仿宋" w:eastAsia="仿宋"/>
          <w:sz w:val="32"/>
          <w:szCs w:val="32"/>
        </w:rPr>
      </w:pPr>
      <w:r>
        <w:rPr>
          <w:rFonts w:hint="eastAsia" w:ascii="仿宋" w:hAnsi="仿宋" w:eastAsia="仿宋"/>
          <w:sz w:val="32"/>
          <w:szCs w:val="32"/>
        </w:rPr>
        <w:t>无</w:t>
      </w:r>
    </w:p>
    <w:p>
      <w:pPr>
        <w:widowControl/>
        <w:adjustRightInd w:val="0"/>
        <w:snapToGrid w:val="0"/>
        <w:spacing w:line="580" w:lineRule="exact"/>
        <w:ind w:firstLine="3840" w:firstLineChars="1200"/>
        <w:contextualSpacing/>
        <w:jc w:val="left"/>
        <w:rPr>
          <w:rFonts w:ascii="仿宋" w:hAnsi="仿宋" w:eastAsia="仿宋" w:cs="宋体"/>
          <w:color w:val="000000"/>
          <w:kern w:val="0"/>
          <w:sz w:val="32"/>
          <w:szCs w:val="32"/>
          <w:shd w:val="clear" w:color="auto" w:fill="FFFFFF"/>
        </w:rPr>
      </w:pPr>
    </w:p>
    <w:p>
      <w:pPr>
        <w:snapToGrid w:val="0"/>
        <w:spacing w:line="600" w:lineRule="exact"/>
        <w:jc w:val="center"/>
        <w:rPr>
          <w:rFonts w:hint="eastAsia" w:ascii="仿宋" w:hAnsi="仿宋" w:eastAsia="仿宋" w:cs="宋体"/>
          <w:color w:val="000000"/>
          <w:kern w:val="0"/>
          <w:sz w:val="32"/>
          <w:szCs w:val="32"/>
          <w:shd w:val="clear" w:color="auto" w:fill="FFFFFF"/>
        </w:rPr>
      </w:pPr>
    </w:p>
    <w:p>
      <w:pPr>
        <w:snapToGrid w:val="0"/>
        <w:spacing w:line="600" w:lineRule="exact"/>
        <w:jc w:val="center"/>
        <w:rPr>
          <w:rFonts w:hint="eastAsia" w:ascii="仿宋" w:hAnsi="仿宋" w:eastAsia="仿宋" w:cs="宋体"/>
          <w:color w:val="000000"/>
          <w:kern w:val="0"/>
          <w:sz w:val="32"/>
          <w:szCs w:val="32"/>
          <w:shd w:val="clear" w:color="auto" w:fill="FFFFFF"/>
        </w:rPr>
      </w:pPr>
    </w:p>
    <w:p>
      <w:pPr>
        <w:snapToGrid w:val="0"/>
        <w:spacing w:line="600" w:lineRule="exact"/>
        <w:jc w:val="center"/>
        <w:rPr>
          <w:rFonts w:hint="eastAsia" w:ascii="仿宋" w:hAnsi="仿宋" w:eastAsia="仿宋" w:cs="宋体"/>
          <w:color w:val="000000"/>
          <w:kern w:val="0"/>
          <w:sz w:val="32"/>
          <w:szCs w:val="32"/>
          <w:shd w:val="clear" w:color="auto" w:fill="FFFFFF"/>
        </w:rPr>
      </w:pPr>
    </w:p>
    <w:p>
      <w:pPr>
        <w:snapToGrid w:val="0"/>
        <w:spacing w:line="600" w:lineRule="exact"/>
        <w:jc w:val="center"/>
        <w:rPr>
          <w:rFonts w:hint="eastAsia" w:ascii="黑体" w:hAnsi="黑体" w:eastAsia="黑体"/>
          <w:sz w:val="44"/>
          <w:szCs w:val="44"/>
        </w:rPr>
      </w:pPr>
      <w:r>
        <w:rPr>
          <w:rFonts w:ascii="黑体" w:hAnsi="黑体" w:eastAsia="黑体"/>
          <w:sz w:val="44"/>
          <w:szCs w:val="44"/>
        </w:rPr>
        <w:t>202</w:t>
      </w:r>
      <w:r>
        <w:rPr>
          <w:rFonts w:hint="eastAsia" w:ascii="黑体" w:hAnsi="黑体" w:eastAsia="黑体"/>
          <w:sz w:val="44"/>
          <w:szCs w:val="44"/>
        </w:rPr>
        <w:t>1年度部门预算项目支出</w:t>
      </w:r>
    </w:p>
    <w:p>
      <w:pPr>
        <w:snapToGrid w:val="0"/>
        <w:spacing w:line="600" w:lineRule="exact"/>
        <w:jc w:val="center"/>
        <w:rPr>
          <w:rFonts w:ascii="黑体" w:hAnsi="黑体" w:eastAsia="黑体"/>
          <w:sz w:val="44"/>
          <w:szCs w:val="44"/>
        </w:rPr>
      </w:pPr>
      <w:r>
        <w:rPr>
          <w:rFonts w:hint="eastAsia" w:ascii="黑体" w:hAnsi="黑体" w:eastAsia="黑体"/>
          <w:sz w:val="44"/>
          <w:szCs w:val="44"/>
        </w:rPr>
        <w:t>绩效自评报告</w:t>
      </w:r>
    </w:p>
    <w:p>
      <w:pPr>
        <w:tabs>
          <w:tab w:val="left" w:pos="3885"/>
        </w:tabs>
        <w:snapToGrid w:val="0"/>
        <w:spacing w:line="600" w:lineRule="exact"/>
        <w:jc w:val="center"/>
        <w:rPr>
          <w:rFonts w:ascii="仿宋" w:hAnsi="仿宋" w:eastAsia="仿宋"/>
          <w:b/>
          <w:szCs w:val="21"/>
        </w:rPr>
      </w:pPr>
      <w:r>
        <w:rPr>
          <w:rFonts w:hint="eastAsia" w:ascii="仿宋" w:hAnsi="仿宋" w:eastAsia="仿宋"/>
          <w:szCs w:val="21"/>
        </w:rPr>
        <w:t>（平兴镇人民政府人员经费）</w:t>
      </w:r>
    </w:p>
    <w:p>
      <w:pPr>
        <w:numPr>
          <w:ilvl w:val="0"/>
          <w:numId w:val="6"/>
        </w:numPr>
        <w:tabs>
          <w:tab w:val="left" w:pos="3885"/>
        </w:tabs>
        <w:snapToGrid w:val="0"/>
        <w:spacing w:line="600" w:lineRule="exact"/>
        <w:ind w:firstLine="640" w:firstLineChars="200"/>
        <w:jc w:val="left"/>
        <w:rPr>
          <w:rFonts w:ascii="黑体" w:hAnsi="黑体" w:eastAsia="黑体"/>
          <w:sz w:val="32"/>
          <w:szCs w:val="32"/>
        </w:rPr>
      </w:pPr>
      <w:r>
        <w:rPr>
          <w:rFonts w:hint="eastAsia" w:ascii="黑体" w:hAnsi="黑体" w:eastAsia="黑体"/>
          <w:sz w:val="32"/>
          <w:szCs w:val="32"/>
        </w:rPr>
        <w:t>基本情况</w:t>
      </w:r>
    </w:p>
    <w:p>
      <w:pPr>
        <w:tabs>
          <w:tab w:val="left" w:pos="3885"/>
        </w:tabs>
        <w:snapToGrid w:val="0"/>
        <w:spacing w:line="600" w:lineRule="exact"/>
        <w:ind w:firstLine="640" w:firstLineChars="200"/>
        <w:jc w:val="left"/>
        <w:rPr>
          <w:rFonts w:ascii="仿宋" w:hAnsi="仿宋" w:eastAsia="仿宋" w:cs="仿宋_GB2312"/>
          <w:sz w:val="32"/>
          <w:szCs w:val="32"/>
        </w:rPr>
      </w:pPr>
      <w:r>
        <w:rPr>
          <w:rFonts w:hint="eastAsia" w:ascii="仿宋" w:hAnsi="仿宋" w:eastAsia="仿宋" w:cs="仿宋_GB2312"/>
          <w:sz w:val="32"/>
          <w:szCs w:val="32"/>
        </w:rPr>
        <w:t>平兴镇</w:t>
      </w:r>
      <w:r>
        <w:rPr>
          <w:rFonts w:hint="eastAsia" w:ascii="仿宋" w:hAnsi="仿宋" w:eastAsia="仿宋"/>
          <w:sz w:val="32"/>
          <w:szCs w:val="32"/>
        </w:rPr>
        <w:t>人民政府人员经费包括村干部工资、社区干部工资、三支一扶工资及保险。村干部工资年初预算213万元，中途追加171.51万元，完成预算384.51万元，原因是村干部工资调标追加；已全面完成预算执行。全面完成年初项目支出绩效申报的项目绩效目标，全面保障了114名村社区干部全年工资待遇按时发放，完成提标部分补发；全额保障了2名三支一扶人员工资待遇按时发放、保险按时缴纳。服务对象满意度大于</w:t>
      </w:r>
      <w:r>
        <w:rPr>
          <w:rFonts w:ascii="仿宋" w:hAnsi="仿宋" w:eastAsia="仿宋"/>
          <w:sz w:val="32"/>
          <w:szCs w:val="32"/>
        </w:rPr>
        <w:t>99%</w:t>
      </w:r>
      <w:r>
        <w:rPr>
          <w:rFonts w:hint="eastAsia" w:ascii="仿宋" w:hAnsi="仿宋" w:eastAsia="仿宋"/>
          <w:sz w:val="32"/>
          <w:szCs w:val="32"/>
        </w:rPr>
        <w:t>。</w:t>
      </w:r>
    </w:p>
    <w:p>
      <w:pPr>
        <w:tabs>
          <w:tab w:val="left" w:pos="3885"/>
        </w:tabs>
        <w:snapToGrid w:val="0"/>
        <w:spacing w:line="600" w:lineRule="exact"/>
        <w:ind w:left="640"/>
        <w:jc w:val="left"/>
        <w:rPr>
          <w:rFonts w:ascii="仿宋" w:hAnsi="仿宋" w:eastAsia="仿宋"/>
          <w:sz w:val="32"/>
          <w:szCs w:val="32"/>
        </w:rPr>
      </w:pPr>
      <w:r>
        <w:rPr>
          <w:rFonts w:hint="eastAsia" w:ascii="黑体" w:hAnsi="黑体" w:eastAsia="黑体"/>
          <w:sz w:val="32"/>
          <w:szCs w:val="32"/>
        </w:rPr>
        <w:t>二、评价工作开展情况</w:t>
      </w:r>
    </w:p>
    <w:p>
      <w:pPr>
        <w:snapToGrid w:val="0"/>
        <w:spacing w:line="60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组织开展了绩效评价工作，严格按照</w:t>
      </w:r>
      <w:r>
        <w:rPr>
          <w:rFonts w:ascii="仿宋" w:hAnsi="仿宋" w:eastAsia="仿宋" w:cs="仿宋_GB2312"/>
          <w:sz w:val="32"/>
          <w:szCs w:val="32"/>
        </w:rPr>
        <w:t>202</w:t>
      </w:r>
      <w:r>
        <w:rPr>
          <w:rFonts w:hint="eastAsia" w:ascii="仿宋" w:hAnsi="仿宋" w:eastAsia="仿宋" w:cs="仿宋_GB2312"/>
          <w:sz w:val="32"/>
          <w:szCs w:val="32"/>
        </w:rPr>
        <w:t>1年四川省政策支出绩效评价指标体系、</w:t>
      </w:r>
      <w:r>
        <w:rPr>
          <w:rFonts w:ascii="仿宋" w:hAnsi="仿宋" w:eastAsia="仿宋" w:cs="仿宋_GB2312"/>
          <w:sz w:val="32"/>
          <w:szCs w:val="32"/>
        </w:rPr>
        <w:t>202</w:t>
      </w:r>
      <w:r>
        <w:rPr>
          <w:rFonts w:hint="eastAsia" w:ascii="仿宋" w:hAnsi="仿宋" w:eastAsia="仿宋" w:cs="仿宋_GB2312"/>
          <w:sz w:val="32"/>
          <w:szCs w:val="32"/>
        </w:rPr>
        <w:t>1年四川省专项项目支出绩效评价指标体系、</w:t>
      </w:r>
      <w:r>
        <w:rPr>
          <w:rFonts w:ascii="仿宋" w:hAnsi="仿宋" w:eastAsia="仿宋" w:cs="仿宋_GB2312"/>
          <w:sz w:val="32"/>
          <w:szCs w:val="32"/>
        </w:rPr>
        <w:t>202</w:t>
      </w:r>
      <w:r>
        <w:rPr>
          <w:rFonts w:hint="eastAsia" w:ascii="仿宋" w:hAnsi="仿宋" w:eastAsia="仿宋" w:cs="仿宋_GB2312"/>
          <w:sz w:val="32"/>
          <w:szCs w:val="32"/>
        </w:rPr>
        <w:t>1年部门整体支出绩效评价指标体系开展了绩效评价，撰写自评报告。</w:t>
      </w:r>
    </w:p>
    <w:p>
      <w:pPr>
        <w:ind w:firstLine="640" w:firstLineChars="200"/>
        <w:jc w:val="left"/>
        <w:rPr>
          <w:rFonts w:ascii="黑体" w:hAnsi="黑体" w:eastAsia="黑体"/>
          <w:sz w:val="32"/>
          <w:szCs w:val="32"/>
        </w:rPr>
      </w:pPr>
      <w:r>
        <w:rPr>
          <w:rFonts w:hint="eastAsia" w:ascii="黑体" w:hAnsi="黑体" w:eastAsia="黑体"/>
          <w:sz w:val="32"/>
          <w:szCs w:val="32"/>
        </w:rPr>
        <w:t>三、综合评价结论</w:t>
      </w:r>
    </w:p>
    <w:p>
      <w:pPr>
        <w:ind w:firstLine="640" w:firstLineChars="200"/>
        <w:jc w:val="left"/>
        <w:rPr>
          <w:rFonts w:ascii="仿宋" w:hAnsi="仿宋" w:eastAsia="仿宋"/>
          <w:sz w:val="32"/>
          <w:szCs w:val="32"/>
        </w:rPr>
      </w:pPr>
      <w:r>
        <w:rPr>
          <w:rFonts w:hint="eastAsia" w:ascii="仿宋" w:hAnsi="仿宋" w:eastAsia="仿宋"/>
          <w:sz w:val="32"/>
          <w:szCs w:val="32"/>
        </w:rPr>
        <w:t>本年预算安排控制较好，人员经费项目预算执行率达1.66，预算执行方面，支出总额控制在预算总额以内，不存在截留或滞留专项资金情况。</w:t>
      </w:r>
    </w:p>
    <w:p>
      <w:pPr>
        <w:ind w:firstLine="640" w:firstLineChars="200"/>
        <w:jc w:val="left"/>
        <w:rPr>
          <w:rFonts w:ascii="黑体" w:hAnsi="黑体" w:eastAsia="黑体"/>
          <w:sz w:val="32"/>
          <w:szCs w:val="32"/>
        </w:rPr>
      </w:pPr>
      <w:r>
        <w:rPr>
          <w:rFonts w:hint="eastAsia" w:ascii="黑体" w:hAnsi="黑体" w:eastAsia="黑体"/>
          <w:sz w:val="32"/>
          <w:szCs w:val="32"/>
        </w:rPr>
        <w:t>四、绩效评价分析</w:t>
      </w:r>
    </w:p>
    <w:p>
      <w:pPr>
        <w:snapToGrid w:val="0"/>
        <w:spacing w:line="600" w:lineRule="exact"/>
        <w:ind w:firstLine="643" w:firstLineChars="200"/>
        <w:rPr>
          <w:rFonts w:ascii="仿宋" w:hAnsi="仿宋" w:eastAsia="仿宋"/>
          <w:b/>
          <w:sz w:val="32"/>
          <w:szCs w:val="32"/>
        </w:rPr>
      </w:pPr>
      <w:r>
        <w:rPr>
          <w:rFonts w:hint="eastAsia" w:ascii="仿宋" w:hAnsi="仿宋" w:eastAsia="仿宋"/>
          <w:b/>
          <w:sz w:val="32"/>
          <w:szCs w:val="32"/>
        </w:rPr>
        <w:t>（一）项目决策情况</w:t>
      </w:r>
    </w:p>
    <w:p>
      <w:pPr>
        <w:snapToGrid w:val="0"/>
        <w:spacing w:line="600" w:lineRule="exact"/>
        <w:ind w:firstLine="640" w:firstLineChars="200"/>
        <w:rPr>
          <w:rFonts w:ascii="仿宋" w:hAnsi="仿宋" w:eastAsia="仿宋"/>
          <w:sz w:val="32"/>
          <w:szCs w:val="32"/>
        </w:rPr>
      </w:pPr>
      <w:r>
        <w:rPr>
          <w:rFonts w:hint="eastAsia" w:ascii="仿宋" w:hAnsi="仿宋" w:eastAsia="仿宋"/>
          <w:sz w:val="32"/>
          <w:szCs w:val="32"/>
        </w:rPr>
        <w:t>根据实际需要，严格按照上级财政部门的要求编制年初预算，确保项目实施的可执行性。</w:t>
      </w:r>
    </w:p>
    <w:p>
      <w:pPr>
        <w:snapToGrid w:val="0"/>
        <w:spacing w:line="600" w:lineRule="exact"/>
        <w:ind w:firstLine="643" w:firstLineChars="200"/>
        <w:rPr>
          <w:rFonts w:ascii="仿宋" w:hAnsi="仿宋" w:eastAsia="仿宋"/>
          <w:b/>
          <w:sz w:val="32"/>
          <w:szCs w:val="32"/>
        </w:rPr>
      </w:pPr>
      <w:r>
        <w:rPr>
          <w:rFonts w:hint="eastAsia" w:ascii="仿宋" w:hAnsi="仿宋" w:eastAsia="仿宋"/>
          <w:b/>
          <w:sz w:val="32"/>
          <w:szCs w:val="32"/>
        </w:rPr>
        <w:t>（二）项目管理情况</w:t>
      </w:r>
    </w:p>
    <w:p>
      <w:pPr>
        <w:snapToGrid w:val="0"/>
        <w:spacing w:line="600" w:lineRule="exact"/>
        <w:ind w:firstLine="640" w:firstLineChars="200"/>
        <w:rPr>
          <w:rFonts w:ascii="仿宋" w:hAnsi="仿宋" w:eastAsia="仿宋"/>
          <w:sz w:val="32"/>
          <w:szCs w:val="32"/>
        </w:rPr>
      </w:pPr>
      <w:r>
        <w:rPr>
          <w:rFonts w:hint="eastAsia" w:ascii="仿宋" w:hAnsi="仿宋" w:eastAsia="仿宋"/>
          <w:sz w:val="32"/>
          <w:szCs w:val="32"/>
        </w:rPr>
        <w:t>严格由上级财政部门对项目实施的过程进行全程监督，确保项目执行进度全面按期完成。</w:t>
      </w:r>
    </w:p>
    <w:p>
      <w:pPr>
        <w:snapToGrid w:val="0"/>
        <w:spacing w:line="600" w:lineRule="exact"/>
        <w:ind w:firstLine="643" w:firstLineChars="200"/>
        <w:rPr>
          <w:rFonts w:ascii="仿宋" w:hAnsi="仿宋" w:eastAsia="仿宋"/>
          <w:b/>
          <w:sz w:val="32"/>
          <w:szCs w:val="32"/>
        </w:rPr>
      </w:pPr>
      <w:r>
        <w:rPr>
          <w:rFonts w:hint="eastAsia" w:ascii="仿宋" w:hAnsi="仿宋" w:eastAsia="仿宋"/>
          <w:b/>
          <w:sz w:val="32"/>
          <w:szCs w:val="32"/>
        </w:rPr>
        <w:t>（三）项目产出情况</w:t>
      </w:r>
    </w:p>
    <w:p>
      <w:pPr>
        <w:snapToGrid w:val="0"/>
        <w:spacing w:line="600" w:lineRule="exact"/>
        <w:ind w:firstLine="640" w:firstLineChars="200"/>
        <w:rPr>
          <w:rFonts w:ascii="仿宋" w:hAnsi="仿宋" w:eastAsia="仿宋"/>
          <w:sz w:val="32"/>
          <w:szCs w:val="32"/>
        </w:rPr>
      </w:pPr>
      <w:r>
        <w:rPr>
          <w:rFonts w:hint="eastAsia" w:ascii="仿宋" w:hAnsi="仿宋" w:eastAsia="仿宋"/>
          <w:sz w:val="32"/>
          <w:szCs w:val="32"/>
        </w:rPr>
        <w:t>全面保障了114名村社区干部全年工资待遇按时发放，完成提标部分补发；全额保障了2名三支一扶人员工资待遇按时发放、保险按时缴纳。</w:t>
      </w:r>
    </w:p>
    <w:p>
      <w:pPr>
        <w:snapToGrid w:val="0"/>
        <w:spacing w:line="600" w:lineRule="exact"/>
        <w:ind w:left="420" w:leftChars="200"/>
        <w:rPr>
          <w:rFonts w:ascii="仿宋" w:hAnsi="仿宋" w:eastAsia="仿宋"/>
          <w:b/>
          <w:sz w:val="32"/>
          <w:szCs w:val="32"/>
        </w:rPr>
      </w:pPr>
      <w:r>
        <w:rPr>
          <w:rFonts w:hint="eastAsia" w:ascii="仿宋" w:hAnsi="仿宋" w:eastAsia="仿宋"/>
          <w:b/>
          <w:sz w:val="32"/>
          <w:szCs w:val="32"/>
        </w:rPr>
        <w:t>（四）项目效益情况</w:t>
      </w:r>
    </w:p>
    <w:p>
      <w:pPr>
        <w:snapToGrid w:val="0"/>
        <w:spacing w:line="600" w:lineRule="exact"/>
        <w:ind w:firstLine="640" w:firstLineChars="200"/>
        <w:rPr>
          <w:rFonts w:ascii="仿宋" w:hAnsi="仿宋" w:eastAsia="仿宋"/>
          <w:sz w:val="32"/>
          <w:szCs w:val="32"/>
        </w:rPr>
      </w:pPr>
      <w:r>
        <w:rPr>
          <w:rFonts w:hint="eastAsia" w:ascii="仿宋" w:hAnsi="仿宋" w:eastAsia="仿宋"/>
          <w:sz w:val="32"/>
          <w:szCs w:val="32"/>
        </w:rPr>
        <w:t>全面完成年初项目支出绩效申报的项目绩效目标，确保人员稳定，服务对象满意度大于</w:t>
      </w:r>
      <w:r>
        <w:rPr>
          <w:rFonts w:ascii="仿宋" w:hAnsi="仿宋" w:eastAsia="仿宋"/>
          <w:sz w:val="32"/>
          <w:szCs w:val="32"/>
        </w:rPr>
        <w:t>99%</w:t>
      </w:r>
      <w:r>
        <w:rPr>
          <w:rFonts w:hint="eastAsia" w:ascii="仿宋" w:hAnsi="仿宋" w:eastAsia="仿宋"/>
          <w:sz w:val="32"/>
          <w:szCs w:val="32"/>
        </w:rPr>
        <w:t>。</w:t>
      </w:r>
    </w:p>
    <w:p>
      <w:pPr>
        <w:ind w:firstLine="640" w:firstLineChars="200"/>
        <w:jc w:val="left"/>
        <w:rPr>
          <w:rFonts w:ascii="黑体" w:hAnsi="黑体" w:eastAsia="黑体"/>
          <w:sz w:val="32"/>
          <w:szCs w:val="32"/>
        </w:rPr>
      </w:pPr>
      <w:r>
        <w:rPr>
          <w:rFonts w:hint="eastAsia" w:ascii="黑体" w:hAnsi="黑体" w:eastAsia="黑体"/>
          <w:sz w:val="32"/>
          <w:szCs w:val="32"/>
        </w:rPr>
        <w:t>五、存在主要问题</w:t>
      </w:r>
    </w:p>
    <w:p>
      <w:pPr>
        <w:snapToGrid w:val="0"/>
        <w:spacing w:line="600" w:lineRule="exact"/>
        <w:ind w:firstLine="640" w:firstLineChars="200"/>
        <w:rPr>
          <w:rFonts w:ascii="仿宋" w:hAnsi="仿宋" w:eastAsia="仿宋"/>
          <w:sz w:val="32"/>
          <w:szCs w:val="32"/>
        </w:rPr>
      </w:pPr>
      <w:r>
        <w:rPr>
          <w:rFonts w:hint="eastAsia" w:ascii="仿宋" w:hAnsi="仿宋" w:eastAsia="仿宋"/>
          <w:sz w:val="32"/>
          <w:szCs w:val="32"/>
        </w:rPr>
        <w:t>评价指标设置的科学性、合理性、可执行性需进一步提高。</w:t>
      </w:r>
    </w:p>
    <w:p>
      <w:pPr>
        <w:snapToGrid w:val="0"/>
        <w:spacing w:line="600" w:lineRule="exact"/>
        <w:ind w:firstLine="640" w:firstLineChars="200"/>
        <w:rPr>
          <w:rFonts w:hint="eastAsia" w:ascii="黑体" w:hAnsi="黑体" w:eastAsia="黑体"/>
          <w:sz w:val="32"/>
          <w:szCs w:val="32"/>
        </w:rPr>
      </w:pPr>
      <w:r>
        <w:rPr>
          <w:rFonts w:hint="eastAsia" w:ascii="黑体" w:hAnsi="黑体" w:eastAsia="黑体"/>
          <w:sz w:val="32"/>
          <w:szCs w:val="32"/>
        </w:rPr>
        <w:t>六、相关措施建议</w:t>
      </w:r>
    </w:p>
    <w:p>
      <w:pPr>
        <w:snapToGrid w:val="0"/>
        <w:spacing w:line="600" w:lineRule="exact"/>
        <w:ind w:firstLine="640" w:firstLineChars="200"/>
        <w:rPr>
          <w:rFonts w:ascii="仿宋" w:hAnsi="仿宋" w:eastAsia="仿宋"/>
          <w:sz w:val="32"/>
          <w:szCs w:val="32"/>
        </w:rPr>
      </w:pPr>
      <w:r>
        <w:rPr>
          <w:rFonts w:hint="eastAsia" w:ascii="仿宋" w:hAnsi="仿宋" w:eastAsia="仿宋"/>
          <w:sz w:val="32"/>
          <w:szCs w:val="32"/>
        </w:rPr>
        <w:t>无</w:t>
      </w:r>
    </w:p>
    <w:p>
      <w:pPr>
        <w:ind w:firstLine="640" w:firstLineChars="200"/>
        <w:jc w:val="left"/>
        <w:rPr>
          <w:rFonts w:ascii="仿宋" w:hAnsi="仿宋" w:eastAsia="仿宋"/>
          <w:sz w:val="32"/>
          <w:szCs w:val="32"/>
        </w:rPr>
      </w:pPr>
    </w:p>
    <w:p>
      <w:pPr>
        <w:snapToGrid w:val="0"/>
        <w:spacing w:line="600" w:lineRule="exact"/>
        <w:ind w:firstLine="640" w:firstLineChars="200"/>
        <w:rPr>
          <w:rFonts w:hint="eastAsia" w:ascii="仿宋" w:hAnsi="仿宋" w:eastAsia="仿宋"/>
          <w:sz w:val="32"/>
          <w:szCs w:val="32"/>
        </w:rPr>
        <w:sectPr>
          <w:pgSz w:w="11906" w:h="16838"/>
          <w:pgMar w:top="1440" w:right="1800" w:bottom="1440" w:left="1800" w:header="851" w:footer="992" w:gutter="0"/>
          <w:pgNumType w:start="1"/>
          <w:cols w:space="425" w:num="1"/>
          <w:titlePg/>
          <w:docGrid w:type="lines" w:linePitch="312" w:charSpace="0"/>
        </w:sectPr>
      </w:pPr>
    </w:p>
    <w:tbl>
      <w:tblPr>
        <w:tblStyle w:val="13"/>
        <w:tblpPr w:leftFromText="180" w:rightFromText="180" w:vertAnchor="text" w:horzAnchor="page" w:tblpX="1291" w:tblpY="785"/>
        <w:tblOverlap w:val="never"/>
        <w:tblW w:w="15188" w:type="dxa"/>
        <w:tblInd w:w="0" w:type="dxa"/>
        <w:tblLayout w:type="fixed"/>
        <w:tblCellMar>
          <w:top w:w="0" w:type="dxa"/>
          <w:left w:w="108" w:type="dxa"/>
          <w:bottom w:w="0" w:type="dxa"/>
          <w:right w:w="108" w:type="dxa"/>
        </w:tblCellMar>
      </w:tblPr>
      <w:tblGrid>
        <w:gridCol w:w="1260"/>
        <w:gridCol w:w="1660"/>
        <w:gridCol w:w="1033"/>
        <w:gridCol w:w="1140"/>
        <w:gridCol w:w="2175"/>
        <w:gridCol w:w="2070"/>
        <w:gridCol w:w="1905"/>
        <w:gridCol w:w="510"/>
        <w:gridCol w:w="303"/>
        <w:gridCol w:w="837"/>
        <w:gridCol w:w="303"/>
        <w:gridCol w:w="1422"/>
        <w:gridCol w:w="118"/>
        <w:gridCol w:w="452"/>
      </w:tblGrid>
      <w:tr>
        <w:tblPrEx>
          <w:tblCellMar>
            <w:top w:w="0" w:type="dxa"/>
            <w:left w:w="108" w:type="dxa"/>
            <w:bottom w:w="0" w:type="dxa"/>
            <w:right w:w="108" w:type="dxa"/>
          </w:tblCellMar>
        </w:tblPrEx>
        <w:trPr>
          <w:trHeight w:val="495" w:hRule="atLeast"/>
        </w:trPr>
        <w:tc>
          <w:tcPr>
            <w:tcW w:w="1260" w:type="dxa"/>
            <w:tcBorders>
              <w:top w:val="nil"/>
              <w:left w:val="nil"/>
              <w:bottom w:val="nil"/>
              <w:right w:val="nil"/>
            </w:tcBorders>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附件2</w:t>
            </w:r>
          </w:p>
        </w:tc>
        <w:tc>
          <w:tcPr>
            <w:tcW w:w="1660" w:type="dxa"/>
            <w:tcBorders>
              <w:top w:val="nil"/>
              <w:left w:val="nil"/>
              <w:bottom w:val="nil"/>
              <w:right w:val="nil"/>
            </w:tcBorders>
            <w:shd w:val="clear" w:color="auto" w:fill="auto"/>
            <w:noWrap/>
            <w:vAlign w:val="bottom"/>
          </w:tcPr>
          <w:p>
            <w:pPr>
              <w:widowControl/>
              <w:jc w:val="left"/>
              <w:rPr>
                <w:rFonts w:ascii="等线" w:hAnsi="等线" w:eastAsia="等线" w:cs="宋体"/>
                <w:color w:val="000000"/>
                <w:kern w:val="0"/>
                <w:sz w:val="22"/>
                <w:szCs w:val="22"/>
              </w:rPr>
            </w:pPr>
          </w:p>
        </w:tc>
        <w:tc>
          <w:tcPr>
            <w:tcW w:w="1033" w:type="dxa"/>
            <w:tcBorders>
              <w:top w:val="nil"/>
              <w:left w:val="nil"/>
              <w:bottom w:val="nil"/>
              <w:right w:val="nil"/>
            </w:tcBorders>
            <w:shd w:val="clear" w:color="auto" w:fill="auto"/>
            <w:noWrap/>
            <w:vAlign w:val="bottom"/>
          </w:tcPr>
          <w:p>
            <w:pPr>
              <w:widowControl/>
              <w:jc w:val="left"/>
              <w:rPr>
                <w:rFonts w:ascii="等线" w:hAnsi="等线" w:eastAsia="等线" w:cs="宋体"/>
                <w:color w:val="000000"/>
                <w:kern w:val="0"/>
                <w:sz w:val="22"/>
                <w:szCs w:val="22"/>
              </w:rPr>
            </w:pPr>
          </w:p>
        </w:tc>
        <w:tc>
          <w:tcPr>
            <w:tcW w:w="1140" w:type="dxa"/>
            <w:tcBorders>
              <w:top w:val="nil"/>
              <w:left w:val="nil"/>
              <w:bottom w:val="nil"/>
              <w:right w:val="nil"/>
            </w:tcBorders>
            <w:shd w:val="clear" w:color="auto" w:fill="auto"/>
            <w:noWrap/>
            <w:vAlign w:val="bottom"/>
          </w:tcPr>
          <w:p>
            <w:pPr>
              <w:widowControl/>
              <w:jc w:val="left"/>
              <w:rPr>
                <w:rFonts w:ascii="等线" w:hAnsi="等线" w:eastAsia="等线" w:cs="宋体"/>
                <w:color w:val="000000"/>
                <w:kern w:val="0"/>
                <w:sz w:val="22"/>
                <w:szCs w:val="22"/>
              </w:rPr>
            </w:pPr>
          </w:p>
        </w:tc>
        <w:tc>
          <w:tcPr>
            <w:tcW w:w="2175" w:type="dxa"/>
            <w:tcBorders>
              <w:top w:val="nil"/>
              <w:left w:val="nil"/>
              <w:bottom w:val="nil"/>
              <w:right w:val="nil"/>
            </w:tcBorders>
            <w:shd w:val="clear" w:color="auto" w:fill="auto"/>
            <w:noWrap/>
            <w:vAlign w:val="bottom"/>
          </w:tcPr>
          <w:p>
            <w:pPr>
              <w:widowControl/>
              <w:jc w:val="left"/>
              <w:rPr>
                <w:rFonts w:ascii="等线" w:hAnsi="等线" w:eastAsia="等线" w:cs="宋体"/>
                <w:color w:val="000000"/>
                <w:kern w:val="0"/>
                <w:sz w:val="22"/>
                <w:szCs w:val="22"/>
              </w:rPr>
            </w:pPr>
          </w:p>
        </w:tc>
        <w:tc>
          <w:tcPr>
            <w:tcW w:w="2070" w:type="dxa"/>
            <w:tcBorders>
              <w:top w:val="nil"/>
              <w:left w:val="nil"/>
              <w:bottom w:val="nil"/>
              <w:right w:val="nil"/>
            </w:tcBorders>
            <w:shd w:val="clear" w:color="auto" w:fill="auto"/>
            <w:noWrap/>
            <w:vAlign w:val="bottom"/>
          </w:tcPr>
          <w:p>
            <w:pPr>
              <w:widowControl/>
              <w:jc w:val="left"/>
              <w:rPr>
                <w:rFonts w:ascii="等线" w:hAnsi="等线" w:eastAsia="等线" w:cs="宋体"/>
                <w:color w:val="000000"/>
                <w:kern w:val="0"/>
                <w:sz w:val="22"/>
                <w:szCs w:val="22"/>
              </w:rPr>
            </w:pPr>
          </w:p>
        </w:tc>
        <w:tc>
          <w:tcPr>
            <w:tcW w:w="1905" w:type="dxa"/>
            <w:tcBorders>
              <w:top w:val="nil"/>
              <w:left w:val="nil"/>
              <w:bottom w:val="nil"/>
              <w:right w:val="nil"/>
            </w:tcBorders>
            <w:shd w:val="clear" w:color="auto" w:fill="auto"/>
            <w:noWrap/>
            <w:vAlign w:val="bottom"/>
          </w:tcPr>
          <w:p>
            <w:pPr>
              <w:widowControl/>
              <w:jc w:val="left"/>
              <w:rPr>
                <w:rFonts w:ascii="等线" w:hAnsi="等线" w:eastAsia="等线" w:cs="宋体"/>
                <w:color w:val="000000"/>
                <w:kern w:val="0"/>
                <w:sz w:val="22"/>
                <w:szCs w:val="22"/>
              </w:rPr>
            </w:pPr>
          </w:p>
        </w:tc>
        <w:tc>
          <w:tcPr>
            <w:tcW w:w="510" w:type="dxa"/>
            <w:tcBorders>
              <w:top w:val="nil"/>
              <w:left w:val="nil"/>
              <w:bottom w:val="nil"/>
              <w:right w:val="nil"/>
            </w:tcBorders>
            <w:shd w:val="clear" w:color="auto" w:fill="auto"/>
            <w:noWrap/>
            <w:vAlign w:val="bottom"/>
          </w:tcPr>
          <w:p>
            <w:pPr>
              <w:widowControl/>
              <w:jc w:val="left"/>
              <w:rPr>
                <w:rFonts w:ascii="等线" w:hAnsi="等线" w:eastAsia="等线" w:cs="宋体"/>
                <w:color w:val="000000"/>
                <w:kern w:val="0"/>
                <w:sz w:val="22"/>
                <w:szCs w:val="22"/>
              </w:rPr>
            </w:pPr>
          </w:p>
        </w:tc>
        <w:tc>
          <w:tcPr>
            <w:tcW w:w="3435" w:type="dxa"/>
            <w:gridSpan w:val="6"/>
            <w:tcBorders>
              <w:top w:val="nil"/>
              <w:left w:val="nil"/>
              <w:bottom w:val="nil"/>
              <w:right w:val="nil"/>
            </w:tcBorders>
            <w:shd w:val="clear" w:color="auto" w:fill="auto"/>
            <w:noWrap/>
            <w:vAlign w:val="bottom"/>
          </w:tcPr>
          <w:p>
            <w:pPr>
              <w:widowControl/>
              <w:jc w:val="left"/>
              <w:rPr>
                <w:rFonts w:ascii="等线" w:hAnsi="等线" w:eastAsia="等线" w:cs="宋体"/>
                <w:color w:val="000000"/>
                <w:kern w:val="0"/>
                <w:sz w:val="22"/>
                <w:szCs w:val="22"/>
              </w:rPr>
            </w:pPr>
          </w:p>
        </w:tc>
      </w:tr>
      <w:tr>
        <w:tblPrEx>
          <w:tblCellMar>
            <w:top w:w="0" w:type="dxa"/>
            <w:left w:w="108" w:type="dxa"/>
            <w:bottom w:w="0" w:type="dxa"/>
            <w:right w:w="108" w:type="dxa"/>
          </w:tblCellMar>
        </w:tblPrEx>
        <w:trPr>
          <w:trHeight w:val="690" w:hRule="atLeast"/>
        </w:trPr>
        <w:tc>
          <w:tcPr>
            <w:tcW w:w="9338" w:type="dxa"/>
            <w:gridSpan w:val="6"/>
            <w:tcBorders>
              <w:top w:val="nil"/>
              <w:left w:val="nil"/>
              <w:bottom w:val="nil"/>
              <w:right w:val="nil"/>
            </w:tcBorders>
            <w:shd w:val="clear" w:color="auto" w:fill="auto"/>
          </w:tcPr>
          <w:p>
            <w:pPr>
              <w:widowControl/>
              <w:jc w:val="left"/>
              <w:rPr>
                <w:rFonts w:ascii="等线" w:hAnsi="等线" w:eastAsia="等线" w:cs="宋体"/>
                <w:color w:val="FF0000"/>
                <w:kern w:val="0"/>
                <w:sz w:val="22"/>
                <w:szCs w:val="22"/>
              </w:rPr>
            </w:pPr>
          </w:p>
        </w:tc>
        <w:tc>
          <w:tcPr>
            <w:tcW w:w="2718" w:type="dxa"/>
            <w:gridSpan w:val="3"/>
            <w:tcBorders>
              <w:top w:val="nil"/>
              <w:left w:val="nil"/>
              <w:bottom w:val="nil"/>
              <w:right w:val="nil"/>
            </w:tcBorders>
            <w:shd w:val="clear" w:color="auto" w:fill="auto"/>
            <w:noWrap/>
            <w:vAlign w:val="bottom"/>
          </w:tcPr>
          <w:p>
            <w:pPr>
              <w:widowControl/>
              <w:jc w:val="left"/>
              <w:rPr>
                <w:rFonts w:ascii="等线" w:hAnsi="等线" w:eastAsia="等线" w:cs="宋体"/>
                <w:color w:val="000000"/>
                <w:kern w:val="0"/>
                <w:sz w:val="22"/>
                <w:szCs w:val="22"/>
              </w:rPr>
            </w:pPr>
          </w:p>
        </w:tc>
        <w:tc>
          <w:tcPr>
            <w:tcW w:w="1140" w:type="dxa"/>
            <w:gridSpan w:val="2"/>
            <w:tcBorders>
              <w:top w:val="nil"/>
              <w:left w:val="nil"/>
              <w:bottom w:val="nil"/>
              <w:right w:val="nil"/>
            </w:tcBorders>
            <w:shd w:val="clear" w:color="auto" w:fill="auto"/>
            <w:noWrap/>
            <w:vAlign w:val="bottom"/>
          </w:tcPr>
          <w:p>
            <w:pPr>
              <w:widowControl/>
              <w:jc w:val="left"/>
              <w:rPr>
                <w:rFonts w:ascii="等线" w:hAnsi="等线" w:eastAsia="等线" w:cs="宋体"/>
                <w:color w:val="000000"/>
                <w:kern w:val="0"/>
                <w:sz w:val="22"/>
                <w:szCs w:val="22"/>
              </w:rPr>
            </w:pPr>
          </w:p>
        </w:tc>
        <w:tc>
          <w:tcPr>
            <w:tcW w:w="1540" w:type="dxa"/>
            <w:gridSpan w:val="2"/>
            <w:tcBorders>
              <w:top w:val="nil"/>
              <w:left w:val="nil"/>
              <w:bottom w:val="nil"/>
              <w:right w:val="nil"/>
            </w:tcBorders>
            <w:shd w:val="clear" w:color="auto" w:fill="auto"/>
            <w:noWrap/>
            <w:vAlign w:val="bottom"/>
          </w:tcPr>
          <w:p>
            <w:pPr>
              <w:widowControl/>
              <w:jc w:val="left"/>
              <w:rPr>
                <w:rFonts w:ascii="等线" w:hAnsi="等线" w:eastAsia="等线" w:cs="宋体"/>
                <w:color w:val="000000"/>
                <w:kern w:val="0"/>
                <w:sz w:val="22"/>
                <w:szCs w:val="22"/>
              </w:rPr>
            </w:pPr>
          </w:p>
        </w:tc>
        <w:tc>
          <w:tcPr>
            <w:tcW w:w="452" w:type="dxa"/>
            <w:tcBorders>
              <w:top w:val="nil"/>
              <w:left w:val="nil"/>
              <w:bottom w:val="nil"/>
              <w:right w:val="nil"/>
            </w:tcBorders>
            <w:shd w:val="clear" w:color="auto" w:fill="auto"/>
            <w:noWrap/>
            <w:vAlign w:val="bottom"/>
          </w:tcPr>
          <w:p>
            <w:pPr>
              <w:widowControl/>
              <w:jc w:val="left"/>
              <w:rPr>
                <w:rFonts w:ascii="等线" w:hAnsi="等线" w:eastAsia="等线" w:cs="宋体"/>
                <w:color w:val="000000"/>
                <w:kern w:val="0"/>
                <w:sz w:val="22"/>
                <w:szCs w:val="22"/>
              </w:rPr>
            </w:pPr>
          </w:p>
        </w:tc>
      </w:tr>
      <w:tr>
        <w:tblPrEx>
          <w:tblCellMar>
            <w:top w:w="0" w:type="dxa"/>
            <w:left w:w="108" w:type="dxa"/>
            <w:bottom w:w="0" w:type="dxa"/>
            <w:right w:w="108" w:type="dxa"/>
          </w:tblCellMar>
        </w:tblPrEx>
        <w:trPr>
          <w:trHeight w:val="698" w:hRule="atLeast"/>
        </w:trPr>
        <w:tc>
          <w:tcPr>
            <w:tcW w:w="15188" w:type="dxa"/>
            <w:gridSpan w:val="14"/>
            <w:tcBorders>
              <w:top w:val="nil"/>
              <w:left w:val="nil"/>
              <w:bottom w:val="nil"/>
              <w:right w:val="nil"/>
            </w:tcBorders>
            <w:shd w:val="clear" w:color="auto" w:fill="auto"/>
            <w:noWrap/>
            <w:vAlign w:val="center"/>
          </w:tcPr>
          <w:p>
            <w:pPr>
              <w:widowControl/>
              <w:jc w:val="center"/>
              <w:rPr>
                <w:rFonts w:ascii="宋体" w:hAnsi="宋体" w:cs="宋体"/>
                <w:b/>
                <w:bCs/>
                <w:color w:val="000000"/>
                <w:kern w:val="0"/>
                <w:sz w:val="48"/>
                <w:szCs w:val="48"/>
              </w:rPr>
            </w:pPr>
            <w:r>
              <w:rPr>
                <w:rFonts w:hint="eastAsia" w:ascii="宋体" w:hAnsi="宋体" w:cs="宋体"/>
                <w:b/>
                <w:bCs/>
                <w:color w:val="000000"/>
                <w:kern w:val="0"/>
                <w:sz w:val="48"/>
                <w:szCs w:val="48"/>
              </w:rPr>
              <w:t>2021年度项目支出绩效自评表（共2个项目）</w:t>
            </w:r>
          </w:p>
        </w:tc>
      </w:tr>
      <w:tr>
        <w:tblPrEx>
          <w:tblCellMar>
            <w:top w:w="0" w:type="dxa"/>
            <w:left w:w="108" w:type="dxa"/>
            <w:bottom w:w="0" w:type="dxa"/>
            <w:right w:w="108" w:type="dxa"/>
          </w:tblCellMar>
        </w:tblPrEx>
        <w:trPr>
          <w:trHeight w:val="615" w:hRule="atLeast"/>
        </w:trPr>
        <w:tc>
          <w:tcPr>
            <w:tcW w:w="2920" w:type="dxa"/>
            <w:gridSpan w:val="2"/>
            <w:tcBorders>
              <w:top w:val="single" w:color="auto" w:sz="4" w:space="0"/>
              <w:left w:val="single" w:color="auto" w:sz="4" w:space="0"/>
              <w:bottom w:val="single" w:color="auto" w:sz="4" w:space="0"/>
              <w:right w:val="nil"/>
            </w:tcBorders>
            <w:shd w:val="clear" w:color="auto" w:fill="auto"/>
            <w:noWrap/>
            <w:vAlign w:val="center"/>
          </w:tcPr>
          <w:p>
            <w:pPr>
              <w:widowControl/>
              <w:jc w:val="center"/>
              <w:rPr>
                <w:rFonts w:ascii="宋体" w:hAnsi="宋体" w:cs="宋体"/>
                <w:b/>
                <w:bCs/>
                <w:color w:val="000000"/>
                <w:kern w:val="0"/>
                <w:sz w:val="24"/>
              </w:rPr>
            </w:pPr>
            <w:r>
              <w:rPr>
                <w:rFonts w:hint="eastAsia" w:ascii="宋体" w:hAnsi="宋体" w:cs="宋体"/>
                <w:b/>
                <w:bCs/>
                <w:color w:val="000000"/>
                <w:kern w:val="0"/>
                <w:sz w:val="24"/>
              </w:rPr>
              <w:t>主管部门</w:t>
            </w:r>
          </w:p>
        </w:tc>
        <w:tc>
          <w:tcPr>
            <w:tcW w:w="6418"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ind w:right="664" w:rightChars="316"/>
              <w:jc w:val="center"/>
              <w:rPr>
                <w:rFonts w:ascii="宋体" w:hAnsi="宋体" w:cs="宋体"/>
                <w:b/>
                <w:bCs/>
                <w:color w:val="000000"/>
                <w:kern w:val="0"/>
                <w:sz w:val="24"/>
              </w:rPr>
            </w:pPr>
            <w:r>
              <w:rPr>
                <w:rFonts w:hint="eastAsia" w:ascii="宋体" w:hAnsi="宋体" w:cs="宋体"/>
                <w:b/>
                <w:bCs/>
                <w:color w:val="000000"/>
                <w:kern w:val="0"/>
                <w:sz w:val="24"/>
              </w:rPr>
              <w:t>平兴镇人民政府</w:t>
            </w:r>
          </w:p>
        </w:tc>
        <w:tc>
          <w:tcPr>
            <w:tcW w:w="2718" w:type="dxa"/>
            <w:gridSpan w:val="3"/>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b/>
                <w:bCs/>
                <w:color w:val="000000"/>
                <w:kern w:val="0"/>
                <w:sz w:val="24"/>
              </w:rPr>
            </w:pPr>
            <w:r>
              <w:rPr>
                <w:rFonts w:hint="eastAsia" w:ascii="宋体" w:hAnsi="宋体" w:cs="宋体"/>
                <w:b/>
                <w:bCs/>
                <w:color w:val="000000"/>
                <w:kern w:val="0"/>
                <w:sz w:val="24"/>
              </w:rPr>
              <w:t>实施单位</w:t>
            </w:r>
          </w:p>
        </w:tc>
        <w:tc>
          <w:tcPr>
            <w:tcW w:w="3132" w:type="dxa"/>
            <w:gridSpan w:val="5"/>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b/>
                <w:bCs/>
                <w:color w:val="000000"/>
                <w:kern w:val="0"/>
                <w:sz w:val="24"/>
              </w:rPr>
            </w:pPr>
            <w:r>
              <w:rPr>
                <w:rFonts w:hint="eastAsia" w:ascii="宋体" w:hAnsi="宋体" w:cs="宋体"/>
                <w:b/>
                <w:bCs/>
                <w:color w:val="000000"/>
                <w:kern w:val="0"/>
                <w:sz w:val="24"/>
              </w:rPr>
              <w:t>平兴镇人民政府</w:t>
            </w:r>
          </w:p>
        </w:tc>
      </w:tr>
      <w:tr>
        <w:tblPrEx>
          <w:tblCellMar>
            <w:top w:w="0" w:type="dxa"/>
            <w:left w:w="108" w:type="dxa"/>
            <w:bottom w:w="0" w:type="dxa"/>
            <w:right w:w="108" w:type="dxa"/>
          </w:tblCellMar>
        </w:tblPrEx>
        <w:trPr>
          <w:trHeight w:val="600" w:hRule="atLeast"/>
        </w:trPr>
        <w:tc>
          <w:tcPr>
            <w:tcW w:w="1260" w:type="dxa"/>
            <w:vMerge w:val="restart"/>
            <w:tcBorders>
              <w:top w:val="nil"/>
              <w:left w:val="single" w:color="auto" w:sz="4" w:space="0"/>
              <w:bottom w:val="single" w:color="auto" w:sz="4" w:space="0"/>
              <w:right w:val="single" w:color="auto" w:sz="4" w:space="0"/>
            </w:tcBorders>
            <w:shd w:val="clear" w:color="000000" w:fill="FBE4D5"/>
            <w:noWrap/>
            <w:vAlign w:val="center"/>
          </w:tcPr>
          <w:p>
            <w:pPr>
              <w:widowControl/>
              <w:jc w:val="center"/>
              <w:rPr>
                <w:rFonts w:ascii="宋体" w:hAnsi="宋体" w:cs="宋体"/>
                <w:b/>
                <w:bCs/>
                <w:color w:val="000000"/>
                <w:kern w:val="0"/>
                <w:sz w:val="24"/>
              </w:rPr>
            </w:pPr>
            <w:r>
              <w:rPr>
                <w:rFonts w:hint="eastAsia" w:ascii="宋体" w:hAnsi="宋体" w:cs="宋体"/>
                <w:b/>
                <w:bCs/>
                <w:color w:val="000000"/>
                <w:kern w:val="0"/>
                <w:sz w:val="24"/>
              </w:rPr>
              <w:t>项目1</w:t>
            </w:r>
          </w:p>
        </w:tc>
        <w:tc>
          <w:tcPr>
            <w:tcW w:w="16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b/>
                <w:bCs/>
                <w:color w:val="000000"/>
                <w:kern w:val="0"/>
                <w:sz w:val="24"/>
              </w:rPr>
            </w:pPr>
            <w:r>
              <w:rPr>
                <w:rFonts w:hint="eastAsia" w:ascii="宋体" w:hAnsi="宋体" w:cs="宋体"/>
                <w:b/>
                <w:bCs/>
                <w:color w:val="000000"/>
                <w:kern w:val="0"/>
                <w:sz w:val="24"/>
              </w:rPr>
              <w:t>项目名称</w:t>
            </w:r>
          </w:p>
        </w:tc>
        <w:tc>
          <w:tcPr>
            <w:tcW w:w="12268" w:type="dxa"/>
            <w:gridSpan w:val="12"/>
            <w:tcBorders>
              <w:top w:val="single" w:color="auto" w:sz="4" w:space="0"/>
              <w:left w:val="nil"/>
              <w:bottom w:val="single" w:color="auto" w:sz="4" w:space="0"/>
              <w:right w:val="single" w:color="000000" w:sz="4" w:space="0"/>
            </w:tcBorders>
            <w:shd w:val="clear" w:color="auto" w:fill="auto"/>
            <w:noWrap/>
            <w:vAlign w:val="center"/>
          </w:tcPr>
          <w:p>
            <w:pPr>
              <w:widowControl/>
              <w:ind w:right="-46" w:rightChars="-22"/>
              <w:jc w:val="center"/>
              <w:rPr>
                <w:rFonts w:ascii="宋体" w:hAnsi="宋体" w:cs="宋体"/>
                <w:b/>
                <w:bCs/>
                <w:color w:val="000000"/>
                <w:kern w:val="0"/>
                <w:sz w:val="24"/>
              </w:rPr>
            </w:pPr>
            <w:r>
              <w:rPr>
                <w:rFonts w:hint="eastAsia" w:ascii="宋体" w:hAnsi="宋体" w:cs="宋体"/>
                <w:b/>
                <w:bCs/>
                <w:color w:val="000000"/>
                <w:kern w:val="0"/>
                <w:sz w:val="24"/>
              </w:rPr>
              <w:t>平兴镇人民政府基本运转经费</w:t>
            </w:r>
          </w:p>
        </w:tc>
      </w:tr>
      <w:tr>
        <w:tblPrEx>
          <w:tblCellMar>
            <w:top w:w="0" w:type="dxa"/>
            <w:left w:w="108" w:type="dxa"/>
            <w:bottom w:w="0" w:type="dxa"/>
            <w:right w:w="108" w:type="dxa"/>
          </w:tblCellMar>
        </w:tblPrEx>
        <w:trPr>
          <w:trHeight w:val="600" w:hRule="atLeast"/>
        </w:trPr>
        <w:tc>
          <w:tcPr>
            <w:tcW w:w="12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4"/>
              </w:rPr>
            </w:pPr>
          </w:p>
        </w:tc>
        <w:tc>
          <w:tcPr>
            <w:tcW w:w="16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b/>
                <w:bCs/>
                <w:color w:val="000000"/>
                <w:kern w:val="0"/>
                <w:sz w:val="24"/>
              </w:rPr>
            </w:pPr>
            <w:r>
              <w:rPr>
                <w:rFonts w:hint="eastAsia" w:ascii="宋体" w:hAnsi="宋体" w:cs="宋体"/>
                <w:b/>
                <w:bCs/>
                <w:color w:val="000000"/>
                <w:kern w:val="0"/>
                <w:sz w:val="24"/>
              </w:rPr>
              <w:t>项目情况概述</w:t>
            </w:r>
          </w:p>
        </w:tc>
        <w:tc>
          <w:tcPr>
            <w:tcW w:w="12268" w:type="dxa"/>
            <w:gridSpan w:val="12"/>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cs="宋体"/>
                <w:b/>
                <w:bCs/>
                <w:color w:val="000000"/>
                <w:kern w:val="0"/>
                <w:sz w:val="24"/>
              </w:rPr>
            </w:pPr>
            <w:r>
              <w:rPr>
                <w:rFonts w:hint="eastAsia" w:ascii="宋体" w:hAnsi="宋体" w:cs="宋体"/>
                <w:b/>
                <w:bCs/>
                <w:color w:val="000000"/>
                <w:kern w:val="0"/>
                <w:sz w:val="24"/>
              </w:rPr>
              <w:t>用于乡镇（街道）工作经费；区人大代表活动经费；乡人大代表活动经费；村社区办公费；企业军转干和自主择业干部活动经费等</w:t>
            </w:r>
          </w:p>
        </w:tc>
      </w:tr>
      <w:tr>
        <w:tblPrEx>
          <w:tblCellMar>
            <w:top w:w="0" w:type="dxa"/>
            <w:left w:w="108" w:type="dxa"/>
            <w:bottom w:w="0" w:type="dxa"/>
            <w:right w:w="108" w:type="dxa"/>
          </w:tblCellMar>
        </w:tblPrEx>
        <w:trPr>
          <w:trHeight w:val="672" w:hRule="atLeast"/>
        </w:trPr>
        <w:tc>
          <w:tcPr>
            <w:tcW w:w="12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4"/>
              </w:rPr>
            </w:pPr>
          </w:p>
        </w:tc>
        <w:tc>
          <w:tcPr>
            <w:tcW w:w="166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4"/>
              </w:rPr>
            </w:pPr>
            <w:r>
              <w:rPr>
                <w:rFonts w:hint="eastAsia" w:ascii="宋体" w:hAnsi="宋体" w:cs="宋体"/>
                <w:b/>
                <w:bCs/>
                <w:color w:val="000000"/>
                <w:kern w:val="0"/>
                <w:sz w:val="24"/>
              </w:rPr>
              <w:t>资金执行情况（万元）</w:t>
            </w:r>
          </w:p>
        </w:tc>
        <w:tc>
          <w:tcPr>
            <w:tcW w:w="2173" w:type="dxa"/>
            <w:gridSpan w:val="2"/>
            <w:tcBorders>
              <w:top w:val="single" w:color="auto" w:sz="4" w:space="0"/>
              <w:left w:val="nil"/>
              <w:bottom w:val="single" w:color="auto" w:sz="4" w:space="0"/>
              <w:right w:val="single" w:color="000000" w:sz="4" w:space="0"/>
            </w:tcBorders>
            <w:shd w:val="clear" w:color="auto" w:fill="auto"/>
            <w:noWrap/>
            <w:vAlign w:val="center"/>
          </w:tcPr>
          <w:p>
            <w:pPr>
              <w:widowControl/>
              <w:jc w:val="center"/>
              <w:rPr>
                <w:rFonts w:ascii="宋体" w:hAnsi="宋体" w:cs="宋体"/>
                <w:b/>
                <w:bCs/>
                <w:color w:val="000000"/>
                <w:kern w:val="0"/>
                <w:sz w:val="24"/>
              </w:rPr>
            </w:pPr>
            <w:r>
              <w:rPr>
                <w:rFonts w:hint="eastAsia" w:ascii="宋体" w:hAnsi="宋体" w:cs="宋体"/>
                <w:b/>
                <w:bCs/>
                <w:color w:val="000000"/>
                <w:kern w:val="0"/>
                <w:sz w:val="24"/>
              </w:rPr>
              <w:t>预算数</w:t>
            </w:r>
          </w:p>
        </w:tc>
        <w:tc>
          <w:tcPr>
            <w:tcW w:w="4245" w:type="dxa"/>
            <w:gridSpan w:val="2"/>
            <w:tcBorders>
              <w:top w:val="single" w:color="auto" w:sz="4" w:space="0"/>
              <w:left w:val="nil"/>
              <w:bottom w:val="single" w:color="auto" w:sz="4" w:space="0"/>
              <w:right w:val="single" w:color="000000" w:sz="4" w:space="0"/>
            </w:tcBorders>
            <w:shd w:val="clear" w:color="auto" w:fill="auto"/>
            <w:noWrap/>
            <w:vAlign w:val="center"/>
          </w:tcPr>
          <w:p>
            <w:pPr>
              <w:widowControl/>
              <w:jc w:val="center"/>
              <w:rPr>
                <w:rFonts w:ascii="宋体" w:hAnsi="宋体" w:cs="宋体"/>
                <w:b/>
                <w:bCs/>
                <w:color w:val="000000"/>
                <w:kern w:val="0"/>
                <w:sz w:val="24"/>
              </w:rPr>
            </w:pPr>
            <w:r>
              <w:rPr>
                <w:rFonts w:hint="eastAsia" w:ascii="宋体" w:hAnsi="宋体" w:cs="宋体"/>
                <w:b/>
                <w:bCs/>
                <w:color w:val="000000"/>
                <w:kern w:val="0"/>
                <w:sz w:val="24"/>
              </w:rPr>
              <w:t>决算数</w:t>
            </w:r>
          </w:p>
        </w:tc>
        <w:tc>
          <w:tcPr>
            <w:tcW w:w="5850" w:type="dxa"/>
            <w:gridSpan w:val="8"/>
            <w:tcBorders>
              <w:top w:val="single" w:color="auto" w:sz="4" w:space="0"/>
              <w:left w:val="nil"/>
              <w:bottom w:val="single" w:color="auto" w:sz="4" w:space="0"/>
              <w:right w:val="single" w:color="000000" w:sz="4" w:space="0"/>
            </w:tcBorders>
            <w:shd w:val="clear" w:color="auto" w:fill="auto"/>
            <w:noWrap/>
            <w:vAlign w:val="center"/>
          </w:tcPr>
          <w:p>
            <w:pPr>
              <w:widowControl/>
              <w:jc w:val="center"/>
              <w:rPr>
                <w:rFonts w:ascii="宋体" w:hAnsi="宋体" w:cs="宋体"/>
                <w:b/>
                <w:bCs/>
                <w:color w:val="000000"/>
                <w:kern w:val="0"/>
                <w:sz w:val="24"/>
              </w:rPr>
            </w:pPr>
            <w:r>
              <w:rPr>
                <w:rFonts w:hint="eastAsia" w:ascii="宋体" w:hAnsi="宋体" w:cs="宋体"/>
                <w:b/>
                <w:bCs/>
                <w:color w:val="000000"/>
                <w:kern w:val="0"/>
                <w:sz w:val="24"/>
              </w:rPr>
              <w:t>预算执行率</w:t>
            </w:r>
          </w:p>
        </w:tc>
      </w:tr>
      <w:tr>
        <w:tblPrEx>
          <w:tblCellMar>
            <w:top w:w="0" w:type="dxa"/>
            <w:left w:w="108" w:type="dxa"/>
            <w:bottom w:w="0" w:type="dxa"/>
            <w:right w:w="108" w:type="dxa"/>
          </w:tblCellMar>
        </w:tblPrEx>
        <w:trPr>
          <w:trHeight w:val="792" w:hRule="atLeast"/>
        </w:trPr>
        <w:tc>
          <w:tcPr>
            <w:tcW w:w="12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4"/>
              </w:rPr>
            </w:pPr>
          </w:p>
        </w:tc>
        <w:tc>
          <w:tcPr>
            <w:tcW w:w="16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4"/>
              </w:rPr>
            </w:pPr>
          </w:p>
        </w:tc>
        <w:tc>
          <w:tcPr>
            <w:tcW w:w="2173" w:type="dxa"/>
            <w:gridSpan w:val="2"/>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570.27</w:t>
            </w:r>
          </w:p>
        </w:tc>
        <w:tc>
          <w:tcPr>
            <w:tcW w:w="4245" w:type="dxa"/>
            <w:gridSpan w:val="2"/>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648.44</w:t>
            </w:r>
          </w:p>
        </w:tc>
        <w:tc>
          <w:tcPr>
            <w:tcW w:w="5850" w:type="dxa"/>
            <w:gridSpan w:val="8"/>
            <w:tcBorders>
              <w:top w:val="single" w:color="auto" w:sz="4" w:space="0"/>
              <w:left w:val="nil"/>
              <w:bottom w:val="single" w:color="auto" w:sz="4" w:space="0"/>
              <w:right w:val="single" w:color="auto" w:sz="4" w:space="0"/>
            </w:tcBorders>
            <w:shd w:val="clear" w:color="000000" w:fill="F2F2F2"/>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1.13707542</w:t>
            </w:r>
          </w:p>
        </w:tc>
      </w:tr>
      <w:tr>
        <w:tblPrEx>
          <w:tblCellMar>
            <w:top w:w="0" w:type="dxa"/>
            <w:left w:w="108" w:type="dxa"/>
            <w:bottom w:w="0" w:type="dxa"/>
            <w:right w:w="108" w:type="dxa"/>
          </w:tblCellMar>
        </w:tblPrEx>
        <w:trPr>
          <w:trHeight w:val="1020" w:hRule="atLeast"/>
        </w:trPr>
        <w:tc>
          <w:tcPr>
            <w:tcW w:w="12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4"/>
              </w:rPr>
            </w:pPr>
          </w:p>
        </w:tc>
        <w:tc>
          <w:tcPr>
            <w:tcW w:w="16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4"/>
              </w:rPr>
            </w:pPr>
            <w:r>
              <w:rPr>
                <w:rFonts w:hint="eastAsia" w:ascii="宋体" w:hAnsi="宋体" w:cs="宋体"/>
                <w:b/>
                <w:bCs/>
                <w:color w:val="000000"/>
                <w:kern w:val="0"/>
                <w:sz w:val="24"/>
              </w:rPr>
              <w:t>一级指标</w:t>
            </w:r>
          </w:p>
        </w:tc>
        <w:tc>
          <w:tcPr>
            <w:tcW w:w="103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4"/>
              </w:rPr>
            </w:pPr>
            <w:r>
              <w:rPr>
                <w:rFonts w:hint="eastAsia" w:ascii="宋体" w:hAnsi="宋体" w:cs="宋体"/>
                <w:b/>
                <w:bCs/>
                <w:color w:val="000000"/>
                <w:kern w:val="0"/>
                <w:sz w:val="24"/>
              </w:rPr>
              <w:t>二级指标</w:t>
            </w:r>
          </w:p>
        </w:tc>
        <w:tc>
          <w:tcPr>
            <w:tcW w:w="114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b/>
                <w:bCs/>
                <w:color w:val="000000"/>
                <w:kern w:val="0"/>
                <w:sz w:val="24"/>
              </w:rPr>
            </w:pPr>
            <w:r>
              <w:rPr>
                <w:rFonts w:hint="eastAsia" w:ascii="宋体" w:hAnsi="宋体" w:cs="宋体"/>
                <w:b/>
                <w:bCs/>
                <w:color w:val="000000"/>
                <w:kern w:val="0"/>
                <w:sz w:val="24"/>
              </w:rPr>
              <w:t>三级指标</w:t>
            </w:r>
          </w:p>
        </w:tc>
        <w:tc>
          <w:tcPr>
            <w:tcW w:w="217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b/>
                <w:bCs/>
                <w:color w:val="000000"/>
                <w:kern w:val="0"/>
                <w:sz w:val="24"/>
              </w:rPr>
            </w:pPr>
            <w:r>
              <w:rPr>
                <w:rFonts w:hint="eastAsia" w:ascii="宋体" w:hAnsi="宋体" w:cs="宋体"/>
                <w:b/>
                <w:bCs/>
                <w:color w:val="000000"/>
                <w:kern w:val="0"/>
                <w:sz w:val="24"/>
              </w:rPr>
              <w:t>年初预期值</w:t>
            </w:r>
          </w:p>
        </w:tc>
        <w:tc>
          <w:tcPr>
            <w:tcW w:w="207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b/>
                <w:bCs/>
                <w:color w:val="000000"/>
                <w:kern w:val="0"/>
                <w:sz w:val="24"/>
              </w:rPr>
            </w:pPr>
            <w:r>
              <w:rPr>
                <w:rFonts w:hint="eastAsia" w:ascii="宋体" w:hAnsi="宋体" w:cs="宋体"/>
                <w:b/>
                <w:bCs/>
                <w:color w:val="000000"/>
                <w:kern w:val="0"/>
                <w:sz w:val="24"/>
              </w:rPr>
              <w:t>实际完成值</w:t>
            </w:r>
          </w:p>
        </w:tc>
        <w:tc>
          <w:tcPr>
            <w:tcW w:w="190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b/>
                <w:bCs/>
                <w:color w:val="000000"/>
                <w:kern w:val="0"/>
                <w:sz w:val="24"/>
              </w:rPr>
            </w:pPr>
            <w:r>
              <w:rPr>
                <w:rFonts w:hint="eastAsia" w:ascii="宋体" w:hAnsi="宋体" w:cs="宋体"/>
                <w:b/>
                <w:bCs/>
                <w:color w:val="000000"/>
                <w:kern w:val="0"/>
                <w:sz w:val="24"/>
              </w:rPr>
              <w:t>分值</w:t>
            </w:r>
          </w:p>
        </w:tc>
        <w:tc>
          <w:tcPr>
            <w:tcW w:w="51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b/>
                <w:bCs/>
                <w:color w:val="000000"/>
                <w:kern w:val="0"/>
                <w:sz w:val="24"/>
              </w:rPr>
            </w:pPr>
            <w:r>
              <w:rPr>
                <w:rFonts w:hint="eastAsia" w:ascii="宋体" w:hAnsi="宋体" w:cs="宋体"/>
                <w:b/>
                <w:bCs/>
                <w:color w:val="000000"/>
                <w:kern w:val="0"/>
                <w:sz w:val="24"/>
              </w:rPr>
              <w:t>得分</w:t>
            </w:r>
          </w:p>
        </w:tc>
        <w:tc>
          <w:tcPr>
            <w:tcW w:w="3435" w:type="dxa"/>
            <w:gridSpan w:val="6"/>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4"/>
              </w:rPr>
            </w:pPr>
            <w:r>
              <w:rPr>
                <w:rFonts w:hint="eastAsia" w:ascii="宋体" w:hAnsi="宋体" w:cs="宋体"/>
                <w:b/>
                <w:bCs/>
                <w:color w:val="000000"/>
                <w:kern w:val="0"/>
                <w:sz w:val="24"/>
              </w:rPr>
              <w:t>扣分原因分析</w:t>
            </w:r>
          </w:p>
        </w:tc>
      </w:tr>
      <w:tr>
        <w:tblPrEx>
          <w:tblCellMar>
            <w:top w:w="0" w:type="dxa"/>
            <w:left w:w="108" w:type="dxa"/>
            <w:bottom w:w="0" w:type="dxa"/>
            <w:right w:w="108" w:type="dxa"/>
          </w:tblCellMar>
        </w:tblPrEx>
        <w:trPr>
          <w:trHeight w:val="720" w:hRule="atLeast"/>
        </w:trPr>
        <w:tc>
          <w:tcPr>
            <w:tcW w:w="12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4"/>
              </w:rPr>
            </w:pPr>
          </w:p>
        </w:tc>
        <w:tc>
          <w:tcPr>
            <w:tcW w:w="166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cs="宋体"/>
                <w:b/>
                <w:bCs/>
                <w:color w:val="000000"/>
                <w:kern w:val="0"/>
                <w:sz w:val="24"/>
              </w:rPr>
            </w:pPr>
            <w:r>
              <w:rPr>
                <w:rFonts w:hint="eastAsia" w:ascii="宋体" w:hAnsi="宋体" w:cs="宋体"/>
                <w:b/>
                <w:bCs/>
                <w:color w:val="000000"/>
                <w:kern w:val="0"/>
                <w:sz w:val="24"/>
              </w:rPr>
              <w:t>绩效情况</w:t>
            </w:r>
          </w:p>
        </w:tc>
        <w:tc>
          <w:tcPr>
            <w:tcW w:w="8833" w:type="dxa"/>
            <w:gridSpan w:val="6"/>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cs="宋体"/>
                <w:b/>
                <w:bCs/>
                <w:color w:val="000000"/>
                <w:kern w:val="0"/>
                <w:sz w:val="24"/>
              </w:rPr>
            </w:pPr>
            <w:r>
              <w:rPr>
                <w:rFonts w:hint="eastAsia" w:ascii="宋体" w:hAnsi="宋体" w:cs="宋体"/>
                <w:b/>
                <w:bCs/>
                <w:color w:val="000000"/>
                <w:kern w:val="0"/>
                <w:sz w:val="24"/>
              </w:rPr>
              <w:t>得  分</w:t>
            </w:r>
          </w:p>
        </w:tc>
        <w:tc>
          <w:tcPr>
            <w:tcW w:w="1140" w:type="dxa"/>
            <w:gridSpan w:val="2"/>
            <w:tcBorders>
              <w:top w:val="nil"/>
              <w:left w:val="nil"/>
              <w:bottom w:val="single" w:color="auto" w:sz="4" w:space="0"/>
              <w:right w:val="single" w:color="auto" w:sz="4" w:space="0"/>
            </w:tcBorders>
            <w:shd w:val="clear" w:color="000000" w:fill="FBE4D5"/>
            <w:noWrap/>
            <w:vAlign w:val="center"/>
          </w:tcPr>
          <w:p>
            <w:pPr>
              <w:widowControl/>
              <w:jc w:val="center"/>
              <w:rPr>
                <w:rFonts w:ascii="宋体" w:hAnsi="宋体" w:cs="宋体"/>
                <w:b/>
                <w:bCs/>
                <w:color w:val="000000"/>
                <w:kern w:val="0"/>
                <w:sz w:val="24"/>
              </w:rPr>
            </w:pPr>
            <w:r>
              <w:rPr>
                <w:rFonts w:hint="eastAsia" w:ascii="宋体" w:hAnsi="宋体" w:cs="宋体"/>
                <w:b/>
                <w:bCs/>
                <w:color w:val="000000"/>
                <w:kern w:val="0"/>
                <w:sz w:val="24"/>
              </w:rPr>
              <w:t>100</w:t>
            </w:r>
          </w:p>
        </w:tc>
        <w:tc>
          <w:tcPr>
            <w:tcW w:w="1725" w:type="dxa"/>
            <w:gridSpan w:val="2"/>
            <w:tcBorders>
              <w:top w:val="nil"/>
              <w:left w:val="nil"/>
              <w:bottom w:val="single" w:color="auto" w:sz="4" w:space="0"/>
              <w:right w:val="single" w:color="auto" w:sz="4" w:space="0"/>
            </w:tcBorders>
            <w:shd w:val="clear" w:color="000000" w:fill="FBE4D5"/>
            <w:noWrap/>
            <w:vAlign w:val="center"/>
          </w:tcPr>
          <w:p>
            <w:pPr>
              <w:widowControl/>
              <w:ind w:right="263" w:rightChars="125"/>
              <w:jc w:val="center"/>
              <w:rPr>
                <w:rFonts w:ascii="宋体" w:hAnsi="宋体" w:cs="宋体"/>
                <w:b/>
                <w:bCs/>
                <w:color w:val="000000"/>
                <w:kern w:val="0"/>
                <w:sz w:val="24"/>
              </w:rPr>
            </w:pPr>
            <w:r>
              <w:rPr>
                <w:rFonts w:hint="eastAsia" w:ascii="宋体" w:hAnsi="宋体" w:cs="宋体"/>
                <w:b/>
                <w:bCs/>
                <w:color w:val="000000"/>
                <w:kern w:val="0"/>
                <w:sz w:val="24"/>
              </w:rPr>
              <w:t>98.629245</w:t>
            </w:r>
          </w:p>
        </w:tc>
        <w:tc>
          <w:tcPr>
            <w:tcW w:w="570"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r>
      <w:tr>
        <w:tblPrEx>
          <w:tblCellMar>
            <w:top w:w="0" w:type="dxa"/>
            <w:left w:w="108" w:type="dxa"/>
            <w:bottom w:w="0" w:type="dxa"/>
            <w:right w:w="108" w:type="dxa"/>
          </w:tblCellMar>
        </w:tblPrEx>
        <w:trPr>
          <w:trHeight w:val="900" w:hRule="atLeast"/>
        </w:trPr>
        <w:tc>
          <w:tcPr>
            <w:tcW w:w="12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4"/>
              </w:rPr>
            </w:pPr>
          </w:p>
        </w:tc>
        <w:tc>
          <w:tcPr>
            <w:tcW w:w="166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b/>
                <w:bCs/>
                <w:color w:val="000000"/>
                <w:kern w:val="0"/>
                <w:sz w:val="24"/>
              </w:rPr>
            </w:pPr>
          </w:p>
        </w:tc>
        <w:tc>
          <w:tcPr>
            <w:tcW w:w="1033"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cs="宋体"/>
                <w:b/>
                <w:bCs/>
                <w:color w:val="000000"/>
                <w:kern w:val="0"/>
                <w:sz w:val="24"/>
              </w:rPr>
            </w:pPr>
            <w:r>
              <w:rPr>
                <w:rFonts w:hint="eastAsia" w:ascii="宋体" w:hAnsi="宋体" w:cs="宋体"/>
                <w:b/>
                <w:bCs/>
                <w:color w:val="000000"/>
                <w:kern w:val="0"/>
                <w:sz w:val="24"/>
              </w:rPr>
              <w:t>管理指标</w:t>
            </w:r>
          </w:p>
        </w:tc>
        <w:tc>
          <w:tcPr>
            <w:tcW w:w="114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预算执行率</w:t>
            </w:r>
          </w:p>
        </w:tc>
        <w:tc>
          <w:tcPr>
            <w:tcW w:w="4245" w:type="dxa"/>
            <w:gridSpan w:val="2"/>
            <w:tcBorders>
              <w:top w:val="single" w:color="auto" w:sz="4" w:space="0"/>
              <w:left w:val="nil"/>
              <w:bottom w:val="nil"/>
              <w:right w:val="single" w:color="000000"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预算执行率=1，得10分；预算执行率&lt;1时，按预算执行率*10计算；2&gt;预算执行率&gt;1时，按（2-预算执行率）*10计算；预算执行率≥2时，不得分。</w:t>
            </w:r>
          </w:p>
        </w:tc>
        <w:tc>
          <w:tcPr>
            <w:tcW w:w="1905" w:type="dxa"/>
            <w:tcBorders>
              <w:top w:val="nil"/>
              <w:left w:val="nil"/>
              <w:bottom w:val="single" w:color="auto" w:sz="4" w:space="0"/>
              <w:right w:val="single" w:color="auto" w:sz="4" w:space="0"/>
            </w:tcBorders>
            <w:shd w:val="clear" w:color="000000" w:fill="FBE4D5"/>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10</w:t>
            </w:r>
          </w:p>
        </w:tc>
        <w:tc>
          <w:tcPr>
            <w:tcW w:w="510"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宋体"/>
                <w:color w:val="000000"/>
                <w:kern w:val="0"/>
                <w:sz w:val="24"/>
              </w:rPr>
            </w:pPr>
            <w:r>
              <w:rPr>
                <w:rFonts w:hint="eastAsia" w:ascii="宋体" w:hAnsi="宋体" w:cs="宋体"/>
                <w:color w:val="000000"/>
                <w:kern w:val="0"/>
                <w:sz w:val="24"/>
              </w:rPr>
              <w:t>8.629245</w:t>
            </w:r>
          </w:p>
        </w:tc>
        <w:tc>
          <w:tcPr>
            <w:tcW w:w="3435" w:type="dxa"/>
            <w:gridSpan w:val="6"/>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预算编制不够准确</w:t>
            </w:r>
          </w:p>
        </w:tc>
      </w:tr>
      <w:tr>
        <w:tblPrEx>
          <w:tblCellMar>
            <w:top w:w="0" w:type="dxa"/>
            <w:left w:w="108" w:type="dxa"/>
            <w:bottom w:w="0" w:type="dxa"/>
            <w:right w:w="108" w:type="dxa"/>
          </w:tblCellMar>
        </w:tblPrEx>
        <w:trPr>
          <w:trHeight w:val="792" w:hRule="atLeast"/>
        </w:trPr>
        <w:tc>
          <w:tcPr>
            <w:tcW w:w="12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4"/>
              </w:rPr>
            </w:pPr>
          </w:p>
        </w:tc>
        <w:tc>
          <w:tcPr>
            <w:tcW w:w="166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b/>
                <w:bCs/>
                <w:color w:val="000000"/>
                <w:kern w:val="0"/>
                <w:sz w:val="24"/>
              </w:rPr>
            </w:pPr>
          </w:p>
        </w:tc>
        <w:tc>
          <w:tcPr>
            <w:tcW w:w="1033"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b/>
                <w:bCs/>
                <w:color w:val="000000"/>
                <w:kern w:val="0"/>
                <w:sz w:val="24"/>
              </w:rPr>
            </w:pPr>
          </w:p>
        </w:tc>
        <w:tc>
          <w:tcPr>
            <w:tcW w:w="11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财务管理制度健全性</w:t>
            </w:r>
          </w:p>
        </w:tc>
        <w:tc>
          <w:tcPr>
            <w:tcW w:w="4245" w:type="dxa"/>
            <w:gridSpan w:val="2"/>
            <w:tcBorders>
              <w:top w:val="single" w:color="auto" w:sz="4" w:space="0"/>
              <w:left w:val="nil"/>
              <w:bottom w:val="nil"/>
              <w:right w:val="single" w:color="000000"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（管理指标不设绩效指标，按指标评价内容直接评分）</w:t>
            </w:r>
          </w:p>
        </w:tc>
        <w:tc>
          <w:tcPr>
            <w:tcW w:w="1905" w:type="dxa"/>
            <w:tcBorders>
              <w:top w:val="nil"/>
              <w:left w:val="nil"/>
              <w:bottom w:val="single" w:color="auto" w:sz="4" w:space="0"/>
              <w:right w:val="single" w:color="auto" w:sz="4" w:space="0"/>
            </w:tcBorders>
            <w:shd w:val="clear" w:color="000000" w:fill="FBE4D5"/>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5</w:t>
            </w:r>
          </w:p>
        </w:tc>
        <w:tc>
          <w:tcPr>
            <w:tcW w:w="510"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宋体"/>
                <w:color w:val="000000"/>
                <w:kern w:val="0"/>
                <w:sz w:val="24"/>
              </w:rPr>
            </w:pPr>
            <w:r>
              <w:rPr>
                <w:rFonts w:hint="eastAsia" w:ascii="宋体" w:hAnsi="宋体" w:cs="宋体"/>
                <w:color w:val="000000"/>
                <w:kern w:val="0"/>
                <w:sz w:val="24"/>
              </w:rPr>
              <w:t>5</w:t>
            </w:r>
          </w:p>
        </w:tc>
        <w:tc>
          <w:tcPr>
            <w:tcW w:w="3435" w:type="dxa"/>
            <w:gridSpan w:val="6"/>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r>
      <w:tr>
        <w:tblPrEx>
          <w:tblCellMar>
            <w:top w:w="0" w:type="dxa"/>
            <w:left w:w="108" w:type="dxa"/>
            <w:bottom w:w="0" w:type="dxa"/>
            <w:right w:w="108" w:type="dxa"/>
          </w:tblCellMar>
        </w:tblPrEx>
        <w:trPr>
          <w:trHeight w:val="792" w:hRule="atLeast"/>
        </w:trPr>
        <w:tc>
          <w:tcPr>
            <w:tcW w:w="12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4"/>
              </w:rPr>
            </w:pPr>
          </w:p>
        </w:tc>
        <w:tc>
          <w:tcPr>
            <w:tcW w:w="166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b/>
                <w:bCs/>
                <w:color w:val="000000"/>
                <w:kern w:val="0"/>
                <w:sz w:val="24"/>
              </w:rPr>
            </w:pPr>
          </w:p>
        </w:tc>
        <w:tc>
          <w:tcPr>
            <w:tcW w:w="1033"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b/>
                <w:bCs/>
                <w:color w:val="000000"/>
                <w:kern w:val="0"/>
                <w:sz w:val="24"/>
              </w:rPr>
            </w:pPr>
          </w:p>
        </w:tc>
        <w:tc>
          <w:tcPr>
            <w:tcW w:w="114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财务监控有效性</w:t>
            </w:r>
          </w:p>
        </w:tc>
        <w:tc>
          <w:tcPr>
            <w:tcW w:w="4245" w:type="dxa"/>
            <w:gridSpan w:val="2"/>
            <w:tcBorders>
              <w:top w:val="single" w:color="auto" w:sz="4" w:space="0"/>
              <w:left w:val="nil"/>
              <w:bottom w:val="nil"/>
              <w:right w:val="single" w:color="000000"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（管理指标不设绩效指标，按指标评价内容直接评分）</w:t>
            </w:r>
          </w:p>
        </w:tc>
        <w:tc>
          <w:tcPr>
            <w:tcW w:w="1905" w:type="dxa"/>
            <w:tcBorders>
              <w:top w:val="nil"/>
              <w:left w:val="nil"/>
              <w:bottom w:val="single" w:color="auto" w:sz="4" w:space="0"/>
              <w:right w:val="single" w:color="auto" w:sz="4" w:space="0"/>
            </w:tcBorders>
            <w:shd w:val="clear" w:color="000000" w:fill="FBE4D5"/>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5</w:t>
            </w:r>
          </w:p>
        </w:tc>
        <w:tc>
          <w:tcPr>
            <w:tcW w:w="510"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宋体"/>
                <w:color w:val="000000"/>
                <w:kern w:val="0"/>
                <w:sz w:val="24"/>
              </w:rPr>
            </w:pPr>
            <w:r>
              <w:rPr>
                <w:rFonts w:hint="eastAsia" w:ascii="宋体" w:hAnsi="宋体" w:cs="宋体"/>
                <w:color w:val="000000"/>
                <w:kern w:val="0"/>
                <w:sz w:val="24"/>
              </w:rPr>
              <w:t>5</w:t>
            </w:r>
          </w:p>
        </w:tc>
        <w:tc>
          <w:tcPr>
            <w:tcW w:w="3435" w:type="dxa"/>
            <w:gridSpan w:val="6"/>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r>
      <w:tr>
        <w:tblPrEx>
          <w:tblCellMar>
            <w:top w:w="0" w:type="dxa"/>
            <w:left w:w="108" w:type="dxa"/>
            <w:bottom w:w="0" w:type="dxa"/>
            <w:right w:w="108" w:type="dxa"/>
          </w:tblCellMar>
        </w:tblPrEx>
        <w:trPr>
          <w:trHeight w:val="792" w:hRule="atLeast"/>
        </w:trPr>
        <w:tc>
          <w:tcPr>
            <w:tcW w:w="12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4"/>
              </w:rPr>
            </w:pPr>
          </w:p>
        </w:tc>
        <w:tc>
          <w:tcPr>
            <w:tcW w:w="166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b/>
                <w:bCs/>
                <w:color w:val="000000"/>
                <w:kern w:val="0"/>
                <w:sz w:val="24"/>
              </w:rPr>
            </w:pPr>
          </w:p>
        </w:tc>
        <w:tc>
          <w:tcPr>
            <w:tcW w:w="1033"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b/>
                <w:bCs/>
                <w:color w:val="000000"/>
                <w:kern w:val="0"/>
                <w:sz w:val="24"/>
              </w:rPr>
            </w:pPr>
          </w:p>
        </w:tc>
        <w:tc>
          <w:tcPr>
            <w:tcW w:w="114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项目申报规范性</w:t>
            </w:r>
          </w:p>
        </w:tc>
        <w:tc>
          <w:tcPr>
            <w:tcW w:w="4245" w:type="dxa"/>
            <w:gridSpan w:val="2"/>
            <w:tcBorders>
              <w:top w:val="single" w:color="auto" w:sz="4" w:space="0"/>
              <w:left w:val="nil"/>
              <w:bottom w:val="nil"/>
              <w:right w:val="single" w:color="000000"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（管理指标不设绩效指标，按指标评价内容直接评分）</w:t>
            </w:r>
          </w:p>
        </w:tc>
        <w:tc>
          <w:tcPr>
            <w:tcW w:w="1905" w:type="dxa"/>
            <w:tcBorders>
              <w:top w:val="nil"/>
              <w:left w:val="nil"/>
              <w:bottom w:val="single" w:color="auto" w:sz="4" w:space="0"/>
              <w:right w:val="single" w:color="auto" w:sz="4" w:space="0"/>
            </w:tcBorders>
            <w:shd w:val="clear" w:color="000000" w:fill="FBE4D5"/>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3</w:t>
            </w:r>
          </w:p>
        </w:tc>
        <w:tc>
          <w:tcPr>
            <w:tcW w:w="510"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宋体"/>
                <w:color w:val="000000"/>
                <w:kern w:val="0"/>
                <w:sz w:val="24"/>
              </w:rPr>
            </w:pPr>
            <w:r>
              <w:rPr>
                <w:rFonts w:hint="eastAsia" w:ascii="宋体" w:hAnsi="宋体" w:cs="宋体"/>
                <w:color w:val="000000"/>
                <w:kern w:val="0"/>
                <w:sz w:val="24"/>
              </w:rPr>
              <w:t>3</w:t>
            </w:r>
          </w:p>
        </w:tc>
        <w:tc>
          <w:tcPr>
            <w:tcW w:w="3435" w:type="dxa"/>
            <w:gridSpan w:val="6"/>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r>
      <w:tr>
        <w:tblPrEx>
          <w:tblCellMar>
            <w:top w:w="0" w:type="dxa"/>
            <w:left w:w="108" w:type="dxa"/>
            <w:bottom w:w="0" w:type="dxa"/>
            <w:right w:w="108" w:type="dxa"/>
          </w:tblCellMar>
        </w:tblPrEx>
        <w:trPr>
          <w:trHeight w:val="792" w:hRule="atLeast"/>
        </w:trPr>
        <w:tc>
          <w:tcPr>
            <w:tcW w:w="12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4"/>
              </w:rPr>
            </w:pPr>
          </w:p>
        </w:tc>
        <w:tc>
          <w:tcPr>
            <w:tcW w:w="166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b/>
                <w:bCs/>
                <w:color w:val="000000"/>
                <w:kern w:val="0"/>
                <w:sz w:val="24"/>
              </w:rPr>
            </w:pPr>
          </w:p>
        </w:tc>
        <w:tc>
          <w:tcPr>
            <w:tcW w:w="1033"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b/>
                <w:bCs/>
                <w:color w:val="000000"/>
                <w:kern w:val="0"/>
                <w:sz w:val="24"/>
              </w:rPr>
            </w:pPr>
          </w:p>
        </w:tc>
        <w:tc>
          <w:tcPr>
            <w:tcW w:w="114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资金分配规范性</w:t>
            </w:r>
          </w:p>
        </w:tc>
        <w:tc>
          <w:tcPr>
            <w:tcW w:w="4245" w:type="dxa"/>
            <w:gridSpan w:val="2"/>
            <w:tcBorders>
              <w:top w:val="single" w:color="auto" w:sz="4" w:space="0"/>
              <w:left w:val="nil"/>
              <w:bottom w:val="nil"/>
              <w:right w:val="single" w:color="000000"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（管理指标不设绩效指标，按指标评价内容直接评分）</w:t>
            </w:r>
          </w:p>
        </w:tc>
        <w:tc>
          <w:tcPr>
            <w:tcW w:w="1905" w:type="dxa"/>
            <w:tcBorders>
              <w:top w:val="nil"/>
              <w:left w:val="nil"/>
              <w:bottom w:val="single" w:color="auto" w:sz="4" w:space="0"/>
              <w:right w:val="single" w:color="auto" w:sz="4" w:space="0"/>
            </w:tcBorders>
            <w:shd w:val="clear" w:color="000000" w:fill="FBE4D5"/>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3</w:t>
            </w:r>
          </w:p>
        </w:tc>
        <w:tc>
          <w:tcPr>
            <w:tcW w:w="510"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宋体"/>
                <w:color w:val="000000"/>
                <w:kern w:val="0"/>
                <w:sz w:val="24"/>
              </w:rPr>
            </w:pPr>
            <w:r>
              <w:rPr>
                <w:rFonts w:hint="eastAsia" w:ascii="宋体" w:hAnsi="宋体" w:cs="宋体"/>
                <w:color w:val="000000"/>
                <w:kern w:val="0"/>
                <w:sz w:val="24"/>
              </w:rPr>
              <w:t>3</w:t>
            </w:r>
          </w:p>
        </w:tc>
        <w:tc>
          <w:tcPr>
            <w:tcW w:w="3435" w:type="dxa"/>
            <w:gridSpan w:val="6"/>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r>
      <w:tr>
        <w:tblPrEx>
          <w:tblCellMar>
            <w:top w:w="0" w:type="dxa"/>
            <w:left w:w="108" w:type="dxa"/>
            <w:bottom w:w="0" w:type="dxa"/>
            <w:right w:w="108" w:type="dxa"/>
          </w:tblCellMar>
        </w:tblPrEx>
        <w:trPr>
          <w:trHeight w:val="792" w:hRule="atLeast"/>
        </w:trPr>
        <w:tc>
          <w:tcPr>
            <w:tcW w:w="12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4"/>
              </w:rPr>
            </w:pPr>
          </w:p>
        </w:tc>
        <w:tc>
          <w:tcPr>
            <w:tcW w:w="166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b/>
                <w:bCs/>
                <w:color w:val="000000"/>
                <w:kern w:val="0"/>
                <w:sz w:val="24"/>
              </w:rPr>
            </w:pPr>
          </w:p>
        </w:tc>
        <w:tc>
          <w:tcPr>
            <w:tcW w:w="1033"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b/>
                <w:bCs/>
                <w:color w:val="000000"/>
                <w:kern w:val="0"/>
                <w:sz w:val="24"/>
              </w:rPr>
            </w:pPr>
          </w:p>
        </w:tc>
        <w:tc>
          <w:tcPr>
            <w:tcW w:w="114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信息公开情况</w:t>
            </w:r>
          </w:p>
        </w:tc>
        <w:tc>
          <w:tcPr>
            <w:tcW w:w="4245" w:type="dxa"/>
            <w:gridSpan w:val="2"/>
            <w:tcBorders>
              <w:top w:val="single" w:color="auto" w:sz="4" w:space="0"/>
              <w:left w:val="nil"/>
              <w:bottom w:val="nil"/>
              <w:right w:val="single" w:color="000000"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（管理指标不设绩效指标，按指标评价内容直接评分）</w:t>
            </w:r>
          </w:p>
        </w:tc>
        <w:tc>
          <w:tcPr>
            <w:tcW w:w="1905" w:type="dxa"/>
            <w:tcBorders>
              <w:top w:val="nil"/>
              <w:left w:val="nil"/>
              <w:bottom w:val="single" w:color="auto" w:sz="4" w:space="0"/>
              <w:right w:val="single" w:color="auto" w:sz="4" w:space="0"/>
            </w:tcBorders>
            <w:shd w:val="clear" w:color="000000" w:fill="FBE4D5"/>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4</w:t>
            </w:r>
          </w:p>
        </w:tc>
        <w:tc>
          <w:tcPr>
            <w:tcW w:w="510"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宋体"/>
                <w:color w:val="000000"/>
                <w:kern w:val="0"/>
                <w:sz w:val="24"/>
              </w:rPr>
            </w:pPr>
            <w:r>
              <w:rPr>
                <w:rFonts w:hint="eastAsia" w:ascii="宋体" w:hAnsi="宋体" w:cs="宋体"/>
                <w:color w:val="000000"/>
                <w:kern w:val="0"/>
                <w:sz w:val="24"/>
              </w:rPr>
              <w:t>4</w:t>
            </w:r>
          </w:p>
        </w:tc>
        <w:tc>
          <w:tcPr>
            <w:tcW w:w="3435" w:type="dxa"/>
            <w:gridSpan w:val="6"/>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r>
      <w:tr>
        <w:tblPrEx>
          <w:tblCellMar>
            <w:top w:w="0" w:type="dxa"/>
            <w:left w:w="108" w:type="dxa"/>
            <w:bottom w:w="0" w:type="dxa"/>
            <w:right w:w="108" w:type="dxa"/>
          </w:tblCellMar>
        </w:tblPrEx>
        <w:trPr>
          <w:trHeight w:val="792" w:hRule="atLeast"/>
        </w:trPr>
        <w:tc>
          <w:tcPr>
            <w:tcW w:w="12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4"/>
              </w:rPr>
            </w:pPr>
          </w:p>
        </w:tc>
        <w:tc>
          <w:tcPr>
            <w:tcW w:w="166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b/>
                <w:bCs/>
                <w:color w:val="000000"/>
                <w:kern w:val="0"/>
                <w:sz w:val="24"/>
              </w:rPr>
            </w:pPr>
          </w:p>
        </w:tc>
        <w:tc>
          <w:tcPr>
            <w:tcW w:w="1033"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cs="宋体"/>
                <w:b/>
                <w:bCs/>
                <w:color w:val="000000"/>
                <w:kern w:val="0"/>
                <w:sz w:val="24"/>
              </w:rPr>
            </w:pPr>
            <w:r>
              <w:rPr>
                <w:rFonts w:hint="eastAsia" w:ascii="宋体" w:hAnsi="宋体" w:cs="宋体"/>
                <w:b/>
                <w:bCs/>
                <w:color w:val="000000"/>
                <w:kern w:val="0"/>
                <w:sz w:val="24"/>
              </w:rPr>
              <w:t>项目绩效</w:t>
            </w:r>
          </w:p>
        </w:tc>
        <w:tc>
          <w:tcPr>
            <w:tcW w:w="114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完成情况</w:t>
            </w:r>
          </w:p>
        </w:tc>
        <w:tc>
          <w:tcPr>
            <w:tcW w:w="2175"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（项目预期完成情况，含数量，质量，时效，成本等）</w:t>
            </w:r>
          </w:p>
        </w:tc>
        <w:tc>
          <w:tcPr>
            <w:tcW w:w="2070"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（项目实际完成情况，含数量，质量，时效，成本等）</w:t>
            </w:r>
          </w:p>
        </w:tc>
        <w:tc>
          <w:tcPr>
            <w:tcW w:w="1905" w:type="dxa"/>
            <w:tcBorders>
              <w:top w:val="nil"/>
              <w:left w:val="nil"/>
              <w:bottom w:val="single" w:color="auto" w:sz="4" w:space="0"/>
              <w:right w:val="single" w:color="auto" w:sz="4" w:space="0"/>
            </w:tcBorders>
            <w:shd w:val="clear" w:color="000000" w:fill="FBE4D5"/>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20</w:t>
            </w:r>
          </w:p>
        </w:tc>
        <w:tc>
          <w:tcPr>
            <w:tcW w:w="510"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宋体"/>
                <w:color w:val="000000"/>
                <w:kern w:val="0"/>
                <w:sz w:val="24"/>
              </w:rPr>
            </w:pPr>
            <w:r>
              <w:rPr>
                <w:rFonts w:hint="eastAsia" w:ascii="宋体" w:hAnsi="宋体" w:cs="宋体"/>
                <w:color w:val="000000"/>
                <w:kern w:val="0"/>
                <w:sz w:val="24"/>
              </w:rPr>
              <w:t>20</w:t>
            </w:r>
          </w:p>
        </w:tc>
        <w:tc>
          <w:tcPr>
            <w:tcW w:w="3435" w:type="dxa"/>
            <w:gridSpan w:val="6"/>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r>
      <w:tr>
        <w:tblPrEx>
          <w:tblCellMar>
            <w:top w:w="0" w:type="dxa"/>
            <w:left w:w="108" w:type="dxa"/>
            <w:bottom w:w="0" w:type="dxa"/>
            <w:right w:w="108" w:type="dxa"/>
          </w:tblCellMar>
        </w:tblPrEx>
        <w:trPr>
          <w:trHeight w:val="792" w:hRule="atLeast"/>
        </w:trPr>
        <w:tc>
          <w:tcPr>
            <w:tcW w:w="12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4"/>
              </w:rPr>
            </w:pPr>
          </w:p>
        </w:tc>
        <w:tc>
          <w:tcPr>
            <w:tcW w:w="166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b/>
                <w:bCs/>
                <w:color w:val="000000"/>
                <w:kern w:val="0"/>
                <w:sz w:val="24"/>
              </w:rPr>
            </w:pPr>
          </w:p>
        </w:tc>
        <w:tc>
          <w:tcPr>
            <w:tcW w:w="1033"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b/>
                <w:bCs/>
                <w:color w:val="000000"/>
                <w:kern w:val="0"/>
                <w:sz w:val="24"/>
              </w:rPr>
            </w:pPr>
          </w:p>
        </w:tc>
        <w:tc>
          <w:tcPr>
            <w:tcW w:w="114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效益情况</w:t>
            </w:r>
          </w:p>
        </w:tc>
        <w:tc>
          <w:tcPr>
            <w:tcW w:w="217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（项目预期取得的效益及受益人员满意度等）</w:t>
            </w:r>
          </w:p>
        </w:tc>
        <w:tc>
          <w:tcPr>
            <w:tcW w:w="207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（项目实际取得的效益及受益人员满意度等）</w:t>
            </w:r>
          </w:p>
        </w:tc>
        <w:tc>
          <w:tcPr>
            <w:tcW w:w="1905" w:type="dxa"/>
            <w:tcBorders>
              <w:top w:val="nil"/>
              <w:left w:val="nil"/>
              <w:bottom w:val="single" w:color="auto" w:sz="4" w:space="0"/>
              <w:right w:val="single" w:color="auto" w:sz="4" w:space="0"/>
            </w:tcBorders>
            <w:shd w:val="clear" w:color="000000" w:fill="FBE4D5"/>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50</w:t>
            </w:r>
          </w:p>
        </w:tc>
        <w:tc>
          <w:tcPr>
            <w:tcW w:w="510"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宋体"/>
                <w:color w:val="000000"/>
                <w:kern w:val="0"/>
                <w:sz w:val="24"/>
              </w:rPr>
            </w:pPr>
            <w:r>
              <w:rPr>
                <w:rFonts w:hint="eastAsia" w:ascii="宋体" w:hAnsi="宋体" w:cs="宋体"/>
                <w:color w:val="000000"/>
                <w:kern w:val="0"/>
                <w:sz w:val="24"/>
              </w:rPr>
              <w:t>50</w:t>
            </w:r>
          </w:p>
        </w:tc>
        <w:tc>
          <w:tcPr>
            <w:tcW w:w="3435" w:type="dxa"/>
            <w:gridSpan w:val="6"/>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r>
      <w:tr>
        <w:tblPrEx>
          <w:tblCellMar>
            <w:top w:w="0" w:type="dxa"/>
            <w:left w:w="108" w:type="dxa"/>
            <w:bottom w:w="0" w:type="dxa"/>
            <w:right w:w="108" w:type="dxa"/>
          </w:tblCellMar>
        </w:tblPrEx>
        <w:trPr>
          <w:trHeight w:val="672" w:hRule="atLeast"/>
        </w:trPr>
        <w:tc>
          <w:tcPr>
            <w:tcW w:w="12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4"/>
              </w:rPr>
            </w:pPr>
          </w:p>
        </w:tc>
        <w:tc>
          <w:tcPr>
            <w:tcW w:w="16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b/>
                <w:bCs/>
                <w:color w:val="000000"/>
                <w:kern w:val="0"/>
                <w:sz w:val="24"/>
              </w:rPr>
            </w:pPr>
            <w:r>
              <w:rPr>
                <w:rFonts w:hint="eastAsia" w:ascii="宋体" w:hAnsi="宋体" w:cs="宋体"/>
                <w:b/>
                <w:bCs/>
                <w:color w:val="000000"/>
                <w:kern w:val="0"/>
                <w:sz w:val="24"/>
              </w:rPr>
              <w:t>存在问题</w:t>
            </w:r>
          </w:p>
        </w:tc>
        <w:tc>
          <w:tcPr>
            <w:tcW w:w="12268" w:type="dxa"/>
            <w:gridSpan w:val="12"/>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预算编制不够准确</w:t>
            </w:r>
          </w:p>
        </w:tc>
      </w:tr>
      <w:tr>
        <w:tblPrEx>
          <w:tblCellMar>
            <w:top w:w="0" w:type="dxa"/>
            <w:left w:w="108" w:type="dxa"/>
            <w:bottom w:w="0" w:type="dxa"/>
            <w:right w:w="108" w:type="dxa"/>
          </w:tblCellMar>
        </w:tblPrEx>
        <w:trPr>
          <w:trHeight w:val="720" w:hRule="atLeast"/>
        </w:trPr>
        <w:tc>
          <w:tcPr>
            <w:tcW w:w="12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4"/>
              </w:rPr>
            </w:pPr>
          </w:p>
        </w:tc>
        <w:tc>
          <w:tcPr>
            <w:tcW w:w="1660" w:type="dxa"/>
            <w:tcBorders>
              <w:top w:val="nil"/>
              <w:left w:val="nil"/>
              <w:bottom w:val="nil"/>
              <w:right w:val="single" w:color="auto" w:sz="4" w:space="0"/>
            </w:tcBorders>
            <w:shd w:val="clear" w:color="auto" w:fill="auto"/>
            <w:noWrap/>
            <w:vAlign w:val="center"/>
          </w:tcPr>
          <w:p>
            <w:pPr>
              <w:widowControl/>
              <w:jc w:val="center"/>
              <w:rPr>
                <w:rFonts w:ascii="宋体" w:hAnsi="宋体" w:cs="宋体"/>
                <w:b/>
                <w:bCs/>
                <w:color w:val="000000"/>
                <w:kern w:val="0"/>
                <w:sz w:val="24"/>
              </w:rPr>
            </w:pPr>
            <w:r>
              <w:rPr>
                <w:rFonts w:hint="eastAsia" w:ascii="宋体" w:hAnsi="宋体" w:cs="宋体"/>
                <w:b/>
                <w:bCs/>
                <w:color w:val="000000"/>
                <w:kern w:val="0"/>
                <w:sz w:val="24"/>
              </w:rPr>
              <w:t>改进措施</w:t>
            </w:r>
          </w:p>
        </w:tc>
        <w:tc>
          <w:tcPr>
            <w:tcW w:w="12268" w:type="dxa"/>
            <w:gridSpan w:val="12"/>
            <w:tcBorders>
              <w:top w:val="single" w:color="auto" w:sz="4" w:space="0"/>
              <w:left w:val="nil"/>
              <w:bottom w:val="nil"/>
              <w:right w:val="single" w:color="000000"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加强预算编制完整性，做到应编尽编</w:t>
            </w:r>
          </w:p>
        </w:tc>
      </w:tr>
      <w:tr>
        <w:tblPrEx>
          <w:tblCellMar>
            <w:top w:w="0" w:type="dxa"/>
            <w:left w:w="108" w:type="dxa"/>
            <w:bottom w:w="0" w:type="dxa"/>
            <w:right w:w="108" w:type="dxa"/>
          </w:tblCellMar>
        </w:tblPrEx>
        <w:trPr>
          <w:trHeight w:val="578" w:hRule="atLeast"/>
        </w:trPr>
        <w:tc>
          <w:tcPr>
            <w:tcW w:w="15188" w:type="dxa"/>
            <w:gridSpan w:val="14"/>
            <w:tcBorders>
              <w:top w:val="single" w:color="auto" w:sz="4" w:space="0"/>
              <w:left w:val="single" w:color="auto" w:sz="4" w:space="0"/>
              <w:bottom w:val="single" w:color="auto" w:sz="4" w:space="0"/>
              <w:right w:val="single" w:color="000000" w:sz="4" w:space="0"/>
            </w:tcBorders>
            <w:shd w:val="clear" w:color="auto" w:fill="auto"/>
            <w:noWrap/>
            <w:vAlign w:val="center"/>
          </w:tcPr>
          <w:p>
            <w:pPr>
              <w:widowControl/>
              <w:jc w:val="right"/>
              <w:rPr>
                <w:rFonts w:ascii="宋体" w:hAnsi="宋体" w:cs="宋体"/>
                <w:color w:val="000000"/>
                <w:kern w:val="0"/>
                <w:sz w:val="24"/>
              </w:rPr>
            </w:pPr>
            <w:r>
              <w:rPr>
                <w:rFonts w:hint="eastAsia" w:ascii="宋体" w:hAnsi="宋体" w:cs="宋体"/>
                <w:color w:val="000000"/>
                <w:kern w:val="0"/>
                <w:sz w:val="24"/>
              </w:rPr>
              <w:t xml:space="preserve"> 填报人：戴文豪              </w:t>
            </w:r>
          </w:p>
        </w:tc>
      </w:tr>
      <w:tr>
        <w:tblPrEx>
          <w:tblCellMar>
            <w:top w:w="0" w:type="dxa"/>
            <w:left w:w="108" w:type="dxa"/>
            <w:bottom w:w="0" w:type="dxa"/>
            <w:right w:w="108" w:type="dxa"/>
          </w:tblCellMar>
        </w:tblPrEx>
        <w:trPr>
          <w:trHeight w:val="720" w:hRule="atLeast"/>
        </w:trPr>
        <w:tc>
          <w:tcPr>
            <w:tcW w:w="1260" w:type="dxa"/>
            <w:tcBorders>
              <w:top w:val="nil"/>
              <w:left w:val="single" w:color="auto" w:sz="4" w:space="0"/>
              <w:bottom w:val="single" w:color="auto" w:sz="4" w:space="0"/>
              <w:right w:val="nil"/>
            </w:tcBorders>
            <w:shd w:val="clear" w:color="auto" w:fill="auto"/>
            <w:noWrap/>
            <w:vAlign w:val="center"/>
          </w:tcPr>
          <w:p>
            <w:pPr>
              <w:widowControl/>
              <w:jc w:val="center"/>
              <w:rPr>
                <w:rFonts w:ascii="宋体" w:hAnsi="宋体" w:cs="宋体"/>
                <w:b/>
                <w:bCs/>
                <w:color w:val="000000"/>
                <w:kern w:val="0"/>
                <w:sz w:val="24"/>
              </w:rPr>
            </w:pPr>
            <w:r>
              <w:rPr>
                <w:rFonts w:hint="eastAsia" w:ascii="宋体" w:hAnsi="宋体" w:cs="宋体"/>
                <w:b/>
                <w:bCs/>
                <w:color w:val="000000"/>
                <w:kern w:val="0"/>
                <w:sz w:val="24"/>
              </w:rPr>
              <w:t>　</w:t>
            </w:r>
          </w:p>
        </w:tc>
        <w:tc>
          <w:tcPr>
            <w:tcW w:w="1660" w:type="dxa"/>
            <w:tcBorders>
              <w:top w:val="nil"/>
              <w:left w:val="nil"/>
              <w:bottom w:val="single" w:color="auto" w:sz="4" w:space="0"/>
              <w:right w:val="nil"/>
            </w:tcBorders>
            <w:shd w:val="clear" w:color="auto" w:fill="auto"/>
            <w:noWrap/>
            <w:vAlign w:val="center"/>
          </w:tcPr>
          <w:p>
            <w:pPr>
              <w:widowControl/>
              <w:jc w:val="center"/>
              <w:rPr>
                <w:rFonts w:ascii="宋体" w:hAnsi="宋体" w:cs="宋体"/>
                <w:b/>
                <w:bCs/>
                <w:color w:val="000000"/>
                <w:kern w:val="0"/>
                <w:sz w:val="24"/>
              </w:rPr>
            </w:pPr>
            <w:r>
              <w:rPr>
                <w:rFonts w:hint="eastAsia" w:ascii="宋体" w:hAnsi="宋体" w:cs="宋体"/>
                <w:b/>
                <w:bCs/>
                <w:color w:val="000000"/>
                <w:kern w:val="0"/>
                <w:sz w:val="24"/>
              </w:rPr>
              <w:t>　</w:t>
            </w:r>
          </w:p>
        </w:tc>
        <w:tc>
          <w:tcPr>
            <w:tcW w:w="1033" w:type="dxa"/>
            <w:tcBorders>
              <w:top w:val="nil"/>
              <w:left w:val="nil"/>
              <w:bottom w:val="single" w:color="auto" w:sz="4" w:space="0"/>
              <w:right w:val="nil"/>
            </w:tcBorders>
            <w:shd w:val="clear" w:color="auto" w:fill="auto"/>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1140" w:type="dxa"/>
            <w:tcBorders>
              <w:top w:val="nil"/>
              <w:left w:val="nil"/>
              <w:bottom w:val="single" w:color="auto" w:sz="4" w:space="0"/>
              <w:right w:val="nil"/>
            </w:tcBorders>
            <w:shd w:val="clear" w:color="auto" w:fill="auto"/>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2175" w:type="dxa"/>
            <w:tcBorders>
              <w:top w:val="nil"/>
              <w:left w:val="nil"/>
              <w:bottom w:val="single" w:color="auto" w:sz="4" w:space="0"/>
              <w:right w:val="nil"/>
            </w:tcBorders>
            <w:shd w:val="clear" w:color="auto" w:fill="auto"/>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2070" w:type="dxa"/>
            <w:tcBorders>
              <w:top w:val="nil"/>
              <w:left w:val="nil"/>
              <w:bottom w:val="single" w:color="auto" w:sz="4" w:space="0"/>
              <w:right w:val="nil"/>
            </w:tcBorders>
            <w:shd w:val="clear" w:color="auto" w:fill="auto"/>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1905" w:type="dxa"/>
            <w:tcBorders>
              <w:top w:val="nil"/>
              <w:left w:val="nil"/>
              <w:bottom w:val="single" w:color="auto" w:sz="4" w:space="0"/>
              <w:right w:val="nil"/>
            </w:tcBorders>
            <w:shd w:val="clear" w:color="auto" w:fill="auto"/>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510" w:type="dxa"/>
            <w:tcBorders>
              <w:top w:val="nil"/>
              <w:left w:val="nil"/>
              <w:bottom w:val="single" w:color="auto" w:sz="4" w:space="0"/>
              <w:right w:val="nil"/>
            </w:tcBorders>
            <w:shd w:val="clear" w:color="auto" w:fill="auto"/>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3435" w:type="dxa"/>
            <w:gridSpan w:val="6"/>
            <w:tcBorders>
              <w:top w:val="nil"/>
              <w:left w:val="nil"/>
              <w:bottom w:val="single" w:color="auto" w:sz="4" w:space="0"/>
              <w:right w:val="nil"/>
            </w:tcBorders>
            <w:shd w:val="clear" w:color="auto" w:fill="auto"/>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r>
      <w:tr>
        <w:tblPrEx>
          <w:tblCellMar>
            <w:top w:w="0" w:type="dxa"/>
            <w:left w:w="108" w:type="dxa"/>
            <w:bottom w:w="0" w:type="dxa"/>
            <w:right w:w="108" w:type="dxa"/>
          </w:tblCellMar>
        </w:tblPrEx>
        <w:trPr>
          <w:trHeight w:val="720" w:hRule="atLeast"/>
        </w:trPr>
        <w:tc>
          <w:tcPr>
            <w:tcW w:w="2920" w:type="dxa"/>
            <w:gridSpan w:val="2"/>
            <w:tcBorders>
              <w:top w:val="nil"/>
              <w:left w:val="single" w:color="auto" w:sz="4" w:space="0"/>
              <w:bottom w:val="single" w:color="auto" w:sz="4" w:space="0"/>
              <w:right w:val="nil"/>
            </w:tcBorders>
            <w:shd w:val="clear" w:color="auto" w:fill="auto"/>
            <w:noWrap/>
            <w:vAlign w:val="center"/>
          </w:tcPr>
          <w:p>
            <w:pPr>
              <w:widowControl/>
              <w:jc w:val="center"/>
              <w:rPr>
                <w:rFonts w:ascii="宋体" w:hAnsi="宋体" w:cs="宋体"/>
                <w:b/>
                <w:bCs/>
                <w:color w:val="000000"/>
                <w:kern w:val="0"/>
                <w:sz w:val="24"/>
              </w:rPr>
            </w:pPr>
            <w:r>
              <w:rPr>
                <w:rFonts w:hint="eastAsia" w:ascii="宋体" w:hAnsi="宋体" w:cs="宋体"/>
                <w:b/>
                <w:bCs/>
                <w:color w:val="000000"/>
                <w:kern w:val="0"/>
                <w:sz w:val="24"/>
              </w:rPr>
              <w:t>主管部门</w:t>
            </w:r>
          </w:p>
        </w:tc>
        <w:tc>
          <w:tcPr>
            <w:tcW w:w="6418"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b/>
                <w:bCs/>
                <w:color w:val="000000"/>
                <w:kern w:val="0"/>
                <w:sz w:val="24"/>
              </w:rPr>
            </w:pPr>
            <w:r>
              <w:rPr>
                <w:rFonts w:hint="eastAsia" w:ascii="宋体" w:hAnsi="宋体" w:cs="宋体"/>
                <w:b/>
                <w:bCs/>
                <w:color w:val="000000"/>
                <w:kern w:val="0"/>
                <w:sz w:val="24"/>
              </w:rPr>
              <w:t>平兴镇人民政府</w:t>
            </w:r>
          </w:p>
        </w:tc>
        <w:tc>
          <w:tcPr>
            <w:tcW w:w="2718"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b/>
                <w:bCs/>
                <w:color w:val="000000"/>
                <w:kern w:val="0"/>
                <w:sz w:val="24"/>
              </w:rPr>
            </w:pPr>
            <w:r>
              <w:rPr>
                <w:rFonts w:hint="eastAsia" w:ascii="宋体" w:hAnsi="宋体" w:cs="宋体"/>
                <w:b/>
                <w:bCs/>
                <w:color w:val="000000"/>
                <w:kern w:val="0"/>
                <w:sz w:val="24"/>
              </w:rPr>
              <w:t>实施单位</w:t>
            </w:r>
          </w:p>
        </w:tc>
        <w:tc>
          <w:tcPr>
            <w:tcW w:w="3132" w:type="dxa"/>
            <w:gridSpan w:val="5"/>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b/>
                <w:bCs/>
                <w:color w:val="000000"/>
                <w:kern w:val="0"/>
                <w:sz w:val="24"/>
              </w:rPr>
            </w:pPr>
            <w:r>
              <w:rPr>
                <w:rFonts w:hint="eastAsia" w:ascii="宋体" w:hAnsi="宋体" w:cs="宋体"/>
                <w:b/>
                <w:bCs/>
                <w:color w:val="000000"/>
                <w:kern w:val="0"/>
                <w:sz w:val="24"/>
              </w:rPr>
              <w:t>平兴镇人民政府</w:t>
            </w:r>
          </w:p>
        </w:tc>
      </w:tr>
      <w:tr>
        <w:tblPrEx>
          <w:tblCellMar>
            <w:top w:w="0" w:type="dxa"/>
            <w:left w:w="108" w:type="dxa"/>
            <w:bottom w:w="0" w:type="dxa"/>
            <w:right w:w="108" w:type="dxa"/>
          </w:tblCellMar>
        </w:tblPrEx>
        <w:trPr>
          <w:trHeight w:val="705" w:hRule="atLeast"/>
        </w:trPr>
        <w:tc>
          <w:tcPr>
            <w:tcW w:w="1260" w:type="dxa"/>
            <w:vMerge w:val="restart"/>
            <w:tcBorders>
              <w:top w:val="nil"/>
              <w:left w:val="single" w:color="auto" w:sz="4" w:space="0"/>
              <w:bottom w:val="single" w:color="auto" w:sz="4" w:space="0"/>
              <w:right w:val="single" w:color="auto" w:sz="4" w:space="0"/>
            </w:tcBorders>
            <w:shd w:val="clear" w:color="000000" w:fill="D9E2F3"/>
            <w:noWrap/>
            <w:vAlign w:val="center"/>
          </w:tcPr>
          <w:p>
            <w:pPr>
              <w:widowControl/>
              <w:jc w:val="center"/>
              <w:rPr>
                <w:rFonts w:ascii="宋体" w:hAnsi="宋体" w:cs="宋体"/>
                <w:b/>
                <w:bCs/>
                <w:color w:val="000000"/>
                <w:kern w:val="0"/>
                <w:sz w:val="24"/>
              </w:rPr>
            </w:pPr>
            <w:r>
              <w:rPr>
                <w:rFonts w:hint="eastAsia" w:ascii="宋体" w:hAnsi="宋体" w:cs="宋体"/>
                <w:b/>
                <w:bCs/>
                <w:color w:val="000000"/>
                <w:kern w:val="0"/>
                <w:sz w:val="24"/>
              </w:rPr>
              <w:t>项目2</w:t>
            </w:r>
          </w:p>
        </w:tc>
        <w:tc>
          <w:tcPr>
            <w:tcW w:w="16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b/>
                <w:bCs/>
                <w:color w:val="000000"/>
                <w:kern w:val="0"/>
                <w:sz w:val="24"/>
              </w:rPr>
            </w:pPr>
            <w:r>
              <w:rPr>
                <w:rFonts w:hint="eastAsia" w:ascii="宋体" w:hAnsi="宋体" w:cs="宋体"/>
                <w:b/>
                <w:bCs/>
                <w:color w:val="000000"/>
                <w:kern w:val="0"/>
                <w:sz w:val="24"/>
              </w:rPr>
              <w:t>项目名称</w:t>
            </w:r>
          </w:p>
        </w:tc>
        <w:tc>
          <w:tcPr>
            <w:tcW w:w="12268" w:type="dxa"/>
            <w:gridSpan w:val="12"/>
            <w:tcBorders>
              <w:top w:val="single" w:color="auto" w:sz="4" w:space="0"/>
              <w:left w:val="nil"/>
              <w:bottom w:val="single" w:color="auto" w:sz="4" w:space="0"/>
              <w:right w:val="single" w:color="000000" w:sz="4" w:space="0"/>
            </w:tcBorders>
            <w:shd w:val="clear" w:color="auto" w:fill="auto"/>
            <w:noWrap/>
            <w:vAlign w:val="center"/>
          </w:tcPr>
          <w:p>
            <w:pPr>
              <w:widowControl/>
              <w:jc w:val="center"/>
              <w:rPr>
                <w:rFonts w:ascii="宋体" w:hAnsi="宋体" w:cs="宋体"/>
                <w:b/>
                <w:bCs/>
                <w:color w:val="000000"/>
                <w:kern w:val="0"/>
                <w:sz w:val="24"/>
              </w:rPr>
            </w:pPr>
            <w:r>
              <w:rPr>
                <w:rFonts w:hint="eastAsia" w:ascii="宋体" w:hAnsi="宋体" w:cs="宋体"/>
                <w:b/>
                <w:bCs/>
                <w:color w:val="000000"/>
                <w:kern w:val="0"/>
                <w:sz w:val="24"/>
              </w:rPr>
              <w:t>平兴镇人民政府人员经费</w:t>
            </w:r>
          </w:p>
        </w:tc>
      </w:tr>
      <w:tr>
        <w:tblPrEx>
          <w:tblCellMar>
            <w:top w:w="0" w:type="dxa"/>
            <w:left w:w="108" w:type="dxa"/>
            <w:bottom w:w="0" w:type="dxa"/>
            <w:right w:w="108" w:type="dxa"/>
          </w:tblCellMar>
        </w:tblPrEx>
        <w:trPr>
          <w:trHeight w:val="705" w:hRule="atLeast"/>
        </w:trPr>
        <w:tc>
          <w:tcPr>
            <w:tcW w:w="12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4"/>
              </w:rPr>
            </w:pPr>
          </w:p>
        </w:tc>
        <w:tc>
          <w:tcPr>
            <w:tcW w:w="16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b/>
                <w:bCs/>
                <w:color w:val="000000"/>
                <w:kern w:val="0"/>
                <w:sz w:val="24"/>
              </w:rPr>
            </w:pPr>
            <w:r>
              <w:rPr>
                <w:rFonts w:hint="eastAsia" w:ascii="宋体" w:hAnsi="宋体" w:cs="宋体"/>
                <w:b/>
                <w:bCs/>
                <w:color w:val="000000"/>
                <w:kern w:val="0"/>
                <w:sz w:val="24"/>
              </w:rPr>
              <w:t>项目情况概述</w:t>
            </w:r>
          </w:p>
        </w:tc>
        <w:tc>
          <w:tcPr>
            <w:tcW w:w="12268" w:type="dxa"/>
            <w:gridSpan w:val="12"/>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cs="宋体"/>
                <w:b/>
                <w:bCs/>
                <w:color w:val="000000"/>
                <w:kern w:val="0"/>
                <w:sz w:val="24"/>
              </w:rPr>
            </w:pPr>
            <w:r>
              <w:rPr>
                <w:rFonts w:hint="eastAsia" w:ascii="宋体" w:hAnsi="宋体" w:cs="宋体"/>
                <w:b/>
                <w:bCs/>
                <w:color w:val="000000"/>
                <w:kern w:val="0"/>
                <w:sz w:val="24"/>
              </w:rPr>
              <w:t>用于村社区干部工资，三支一扶工资及保险等</w:t>
            </w:r>
          </w:p>
        </w:tc>
      </w:tr>
      <w:tr>
        <w:tblPrEx>
          <w:tblCellMar>
            <w:top w:w="0" w:type="dxa"/>
            <w:left w:w="108" w:type="dxa"/>
            <w:bottom w:w="0" w:type="dxa"/>
            <w:right w:w="108" w:type="dxa"/>
          </w:tblCellMar>
        </w:tblPrEx>
        <w:trPr>
          <w:trHeight w:val="705" w:hRule="atLeast"/>
        </w:trPr>
        <w:tc>
          <w:tcPr>
            <w:tcW w:w="12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4"/>
              </w:rPr>
            </w:pPr>
          </w:p>
        </w:tc>
        <w:tc>
          <w:tcPr>
            <w:tcW w:w="166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4"/>
              </w:rPr>
            </w:pPr>
            <w:r>
              <w:rPr>
                <w:rFonts w:hint="eastAsia" w:ascii="宋体" w:hAnsi="宋体" w:cs="宋体"/>
                <w:b/>
                <w:bCs/>
                <w:color w:val="000000"/>
                <w:kern w:val="0"/>
                <w:sz w:val="24"/>
              </w:rPr>
              <w:t>资金执行情况（万元）</w:t>
            </w:r>
          </w:p>
        </w:tc>
        <w:tc>
          <w:tcPr>
            <w:tcW w:w="2173" w:type="dxa"/>
            <w:gridSpan w:val="2"/>
            <w:tcBorders>
              <w:top w:val="single" w:color="auto" w:sz="4" w:space="0"/>
              <w:left w:val="nil"/>
              <w:bottom w:val="single" w:color="auto" w:sz="4" w:space="0"/>
              <w:right w:val="single" w:color="000000" w:sz="4" w:space="0"/>
            </w:tcBorders>
            <w:shd w:val="clear" w:color="auto" w:fill="auto"/>
            <w:noWrap/>
            <w:vAlign w:val="center"/>
          </w:tcPr>
          <w:p>
            <w:pPr>
              <w:widowControl/>
              <w:jc w:val="center"/>
              <w:rPr>
                <w:rFonts w:ascii="宋体" w:hAnsi="宋体" w:cs="宋体"/>
                <w:b/>
                <w:bCs/>
                <w:color w:val="000000"/>
                <w:kern w:val="0"/>
                <w:sz w:val="24"/>
              </w:rPr>
            </w:pPr>
            <w:r>
              <w:rPr>
                <w:rFonts w:hint="eastAsia" w:ascii="宋体" w:hAnsi="宋体" w:cs="宋体"/>
                <w:b/>
                <w:bCs/>
                <w:color w:val="000000"/>
                <w:kern w:val="0"/>
                <w:sz w:val="24"/>
              </w:rPr>
              <w:t>预算数</w:t>
            </w:r>
          </w:p>
        </w:tc>
        <w:tc>
          <w:tcPr>
            <w:tcW w:w="4245" w:type="dxa"/>
            <w:gridSpan w:val="2"/>
            <w:tcBorders>
              <w:top w:val="single" w:color="auto" w:sz="4" w:space="0"/>
              <w:left w:val="nil"/>
              <w:bottom w:val="single" w:color="auto" w:sz="4" w:space="0"/>
              <w:right w:val="single" w:color="000000" w:sz="4" w:space="0"/>
            </w:tcBorders>
            <w:shd w:val="clear" w:color="auto" w:fill="auto"/>
            <w:noWrap/>
            <w:vAlign w:val="center"/>
          </w:tcPr>
          <w:p>
            <w:pPr>
              <w:widowControl/>
              <w:jc w:val="center"/>
              <w:rPr>
                <w:rFonts w:ascii="宋体" w:hAnsi="宋体" w:cs="宋体"/>
                <w:b/>
                <w:bCs/>
                <w:color w:val="000000"/>
                <w:kern w:val="0"/>
                <w:sz w:val="24"/>
              </w:rPr>
            </w:pPr>
            <w:r>
              <w:rPr>
                <w:rFonts w:hint="eastAsia" w:ascii="宋体" w:hAnsi="宋体" w:cs="宋体"/>
                <w:b/>
                <w:bCs/>
                <w:color w:val="000000"/>
                <w:kern w:val="0"/>
                <w:sz w:val="24"/>
              </w:rPr>
              <w:t>决算数</w:t>
            </w:r>
          </w:p>
        </w:tc>
        <w:tc>
          <w:tcPr>
            <w:tcW w:w="5850" w:type="dxa"/>
            <w:gridSpan w:val="8"/>
            <w:tcBorders>
              <w:top w:val="single" w:color="auto" w:sz="4" w:space="0"/>
              <w:left w:val="nil"/>
              <w:bottom w:val="single" w:color="auto" w:sz="4" w:space="0"/>
              <w:right w:val="single" w:color="000000" w:sz="4" w:space="0"/>
            </w:tcBorders>
            <w:shd w:val="clear" w:color="auto" w:fill="auto"/>
            <w:noWrap/>
            <w:vAlign w:val="center"/>
          </w:tcPr>
          <w:p>
            <w:pPr>
              <w:widowControl/>
              <w:jc w:val="center"/>
              <w:rPr>
                <w:rFonts w:ascii="宋体" w:hAnsi="宋体" w:cs="宋体"/>
                <w:b/>
                <w:bCs/>
                <w:color w:val="000000"/>
                <w:kern w:val="0"/>
                <w:sz w:val="24"/>
              </w:rPr>
            </w:pPr>
            <w:r>
              <w:rPr>
                <w:rFonts w:hint="eastAsia" w:ascii="宋体" w:hAnsi="宋体" w:cs="宋体"/>
                <w:b/>
                <w:bCs/>
                <w:color w:val="000000"/>
                <w:kern w:val="0"/>
                <w:sz w:val="24"/>
              </w:rPr>
              <w:t>预算执行率</w:t>
            </w:r>
          </w:p>
        </w:tc>
      </w:tr>
      <w:tr>
        <w:tblPrEx>
          <w:tblCellMar>
            <w:top w:w="0" w:type="dxa"/>
            <w:left w:w="108" w:type="dxa"/>
            <w:bottom w:w="0" w:type="dxa"/>
            <w:right w:w="108" w:type="dxa"/>
          </w:tblCellMar>
        </w:tblPrEx>
        <w:trPr>
          <w:trHeight w:val="705" w:hRule="atLeast"/>
        </w:trPr>
        <w:tc>
          <w:tcPr>
            <w:tcW w:w="12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4"/>
              </w:rPr>
            </w:pPr>
          </w:p>
        </w:tc>
        <w:tc>
          <w:tcPr>
            <w:tcW w:w="16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4"/>
              </w:rPr>
            </w:pPr>
          </w:p>
        </w:tc>
        <w:tc>
          <w:tcPr>
            <w:tcW w:w="2173" w:type="dxa"/>
            <w:gridSpan w:val="2"/>
            <w:tcBorders>
              <w:top w:val="single" w:color="auto" w:sz="4" w:space="0"/>
              <w:left w:val="nil"/>
              <w:bottom w:val="single" w:color="auto" w:sz="4" w:space="0"/>
              <w:right w:val="single" w:color="000000" w:sz="4" w:space="0"/>
            </w:tcBorders>
            <w:shd w:val="clear" w:color="auto" w:fill="auto"/>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231</w:t>
            </w:r>
          </w:p>
        </w:tc>
        <w:tc>
          <w:tcPr>
            <w:tcW w:w="4245" w:type="dxa"/>
            <w:gridSpan w:val="2"/>
            <w:tcBorders>
              <w:top w:val="single" w:color="auto" w:sz="4" w:space="0"/>
              <w:left w:val="nil"/>
              <w:bottom w:val="single" w:color="auto" w:sz="4" w:space="0"/>
              <w:right w:val="single" w:color="000000" w:sz="4" w:space="0"/>
            </w:tcBorders>
            <w:shd w:val="clear" w:color="auto" w:fill="auto"/>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384.51</w:t>
            </w:r>
          </w:p>
        </w:tc>
        <w:tc>
          <w:tcPr>
            <w:tcW w:w="5850" w:type="dxa"/>
            <w:gridSpan w:val="8"/>
            <w:tcBorders>
              <w:top w:val="single" w:color="auto" w:sz="4" w:space="0"/>
              <w:left w:val="nil"/>
              <w:bottom w:val="single" w:color="auto" w:sz="4" w:space="0"/>
              <w:right w:val="single" w:color="000000" w:sz="4" w:space="0"/>
            </w:tcBorders>
            <w:shd w:val="clear" w:color="000000" w:fill="D9E2F3"/>
            <w:noWrap/>
            <w:vAlign w:val="center"/>
          </w:tcPr>
          <w:p>
            <w:pPr>
              <w:widowControl/>
              <w:jc w:val="center"/>
              <w:rPr>
                <w:rFonts w:ascii="宋体" w:hAnsi="宋体" w:cs="宋体"/>
                <w:b/>
                <w:bCs/>
                <w:color w:val="000000"/>
                <w:kern w:val="0"/>
                <w:sz w:val="24"/>
              </w:rPr>
            </w:pPr>
            <w:r>
              <w:rPr>
                <w:rFonts w:hint="eastAsia" w:ascii="宋体" w:hAnsi="宋体" w:cs="宋体"/>
                <w:b/>
                <w:bCs/>
                <w:color w:val="000000"/>
                <w:kern w:val="0"/>
                <w:sz w:val="24"/>
              </w:rPr>
              <w:t>1.664545455</w:t>
            </w:r>
          </w:p>
        </w:tc>
      </w:tr>
      <w:tr>
        <w:tblPrEx>
          <w:tblCellMar>
            <w:top w:w="0" w:type="dxa"/>
            <w:left w:w="108" w:type="dxa"/>
            <w:bottom w:w="0" w:type="dxa"/>
            <w:right w:w="108" w:type="dxa"/>
          </w:tblCellMar>
        </w:tblPrEx>
        <w:trPr>
          <w:trHeight w:val="998" w:hRule="atLeast"/>
        </w:trPr>
        <w:tc>
          <w:tcPr>
            <w:tcW w:w="12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4"/>
              </w:rPr>
            </w:pPr>
          </w:p>
        </w:tc>
        <w:tc>
          <w:tcPr>
            <w:tcW w:w="16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4"/>
              </w:rPr>
            </w:pPr>
            <w:r>
              <w:rPr>
                <w:rFonts w:hint="eastAsia" w:ascii="宋体" w:hAnsi="宋体" w:cs="宋体"/>
                <w:b/>
                <w:bCs/>
                <w:color w:val="000000"/>
                <w:kern w:val="0"/>
                <w:sz w:val="24"/>
              </w:rPr>
              <w:t>一级指标</w:t>
            </w:r>
          </w:p>
        </w:tc>
        <w:tc>
          <w:tcPr>
            <w:tcW w:w="103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4"/>
              </w:rPr>
            </w:pPr>
            <w:r>
              <w:rPr>
                <w:rFonts w:hint="eastAsia" w:ascii="宋体" w:hAnsi="宋体" w:cs="宋体"/>
                <w:b/>
                <w:bCs/>
                <w:color w:val="000000"/>
                <w:kern w:val="0"/>
                <w:sz w:val="24"/>
              </w:rPr>
              <w:t>二级指标</w:t>
            </w:r>
          </w:p>
        </w:tc>
        <w:tc>
          <w:tcPr>
            <w:tcW w:w="114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b/>
                <w:bCs/>
                <w:color w:val="000000"/>
                <w:kern w:val="0"/>
                <w:sz w:val="24"/>
              </w:rPr>
            </w:pPr>
            <w:r>
              <w:rPr>
                <w:rFonts w:hint="eastAsia" w:ascii="宋体" w:hAnsi="宋体" w:cs="宋体"/>
                <w:b/>
                <w:bCs/>
                <w:color w:val="000000"/>
                <w:kern w:val="0"/>
                <w:sz w:val="24"/>
              </w:rPr>
              <w:t>三级指标</w:t>
            </w:r>
          </w:p>
        </w:tc>
        <w:tc>
          <w:tcPr>
            <w:tcW w:w="217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b/>
                <w:bCs/>
                <w:color w:val="000000"/>
                <w:kern w:val="0"/>
                <w:sz w:val="24"/>
              </w:rPr>
            </w:pPr>
            <w:r>
              <w:rPr>
                <w:rFonts w:hint="eastAsia" w:ascii="宋体" w:hAnsi="宋体" w:cs="宋体"/>
                <w:b/>
                <w:bCs/>
                <w:color w:val="000000"/>
                <w:kern w:val="0"/>
                <w:sz w:val="24"/>
              </w:rPr>
              <w:t>年初预期值</w:t>
            </w:r>
          </w:p>
        </w:tc>
        <w:tc>
          <w:tcPr>
            <w:tcW w:w="207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b/>
                <w:bCs/>
                <w:color w:val="000000"/>
                <w:kern w:val="0"/>
                <w:sz w:val="24"/>
              </w:rPr>
            </w:pPr>
            <w:r>
              <w:rPr>
                <w:rFonts w:hint="eastAsia" w:ascii="宋体" w:hAnsi="宋体" w:cs="宋体"/>
                <w:b/>
                <w:bCs/>
                <w:color w:val="000000"/>
                <w:kern w:val="0"/>
                <w:sz w:val="24"/>
              </w:rPr>
              <w:t>实际完成值</w:t>
            </w:r>
          </w:p>
        </w:tc>
        <w:tc>
          <w:tcPr>
            <w:tcW w:w="190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b/>
                <w:bCs/>
                <w:color w:val="000000"/>
                <w:kern w:val="0"/>
                <w:sz w:val="24"/>
              </w:rPr>
            </w:pPr>
            <w:r>
              <w:rPr>
                <w:rFonts w:hint="eastAsia" w:ascii="宋体" w:hAnsi="宋体" w:cs="宋体"/>
                <w:b/>
                <w:bCs/>
                <w:color w:val="000000"/>
                <w:kern w:val="0"/>
                <w:sz w:val="24"/>
              </w:rPr>
              <w:t>分值</w:t>
            </w:r>
          </w:p>
        </w:tc>
        <w:tc>
          <w:tcPr>
            <w:tcW w:w="51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b/>
                <w:bCs/>
                <w:color w:val="000000"/>
                <w:kern w:val="0"/>
                <w:sz w:val="24"/>
              </w:rPr>
            </w:pPr>
            <w:r>
              <w:rPr>
                <w:rFonts w:hint="eastAsia" w:ascii="宋体" w:hAnsi="宋体" w:cs="宋体"/>
                <w:b/>
                <w:bCs/>
                <w:color w:val="000000"/>
                <w:kern w:val="0"/>
                <w:sz w:val="24"/>
              </w:rPr>
              <w:t>得分</w:t>
            </w:r>
          </w:p>
        </w:tc>
        <w:tc>
          <w:tcPr>
            <w:tcW w:w="3435" w:type="dxa"/>
            <w:gridSpan w:val="6"/>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4"/>
              </w:rPr>
            </w:pPr>
            <w:r>
              <w:rPr>
                <w:rFonts w:hint="eastAsia" w:ascii="宋体" w:hAnsi="宋体" w:cs="宋体"/>
                <w:b/>
                <w:bCs/>
                <w:color w:val="000000"/>
                <w:kern w:val="0"/>
                <w:sz w:val="24"/>
              </w:rPr>
              <w:t>扣分原因分析</w:t>
            </w:r>
          </w:p>
        </w:tc>
      </w:tr>
      <w:tr>
        <w:tblPrEx>
          <w:tblCellMar>
            <w:top w:w="0" w:type="dxa"/>
            <w:left w:w="108" w:type="dxa"/>
            <w:bottom w:w="0" w:type="dxa"/>
            <w:right w:w="108" w:type="dxa"/>
          </w:tblCellMar>
        </w:tblPrEx>
        <w:trPr>
          <w:trHeight w:val="675" w:hRule="atLeast"/>
        </w:trPr>
        <w:tc>
          <w:tcPr>
            <w:tcW w:w="12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4"/>
              </w:rPr>
            </w:pPr>
          </w:p>
        </w:tc>
        <w:tc>
          <w:tcPr>
            <w:tcW w:w="166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cs="宋体"/>
                <w:b/>
                <w:bCs/>
                <w:color w:val="000000"/>
                <w:kern w:val="0"/>
                <w:sz w:val="24"/>
              </w:rPr>
            </w:pPr>
            <w:r>
              <w:rPr>
                <w:rFonts w:hint="eastAsia" w:ascii="宋体" w:hAnsi="宋体" w:cs="宋体"/>
                <w:b/>
                <w:bCs/>
                <w:color w:val="000000"/>
                <w:kern w:val="0"/>
                <w:sz w:val="24"/>
              </w:rPr>
              <w:t>绩效情况</w:t>
            </w:r>
          </w:p>
        </w:tc>
        <w:tc>
          <w:tcPr>
            <w:tcW w:w="8833" w:type="dxa"/>
            <w:gridSpan w:val="6"/>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cs="宋体"/>
                <w:b/>
                <w:bCs/>
                <w:color w:val="000000"/>
                <w:kern w:val="0"/>
                <w:sz w:val="24"/>
              </w:rPr>
            </w:pPr>
            <w:r>
              <w:rPr>
                <w:rFonts w:hint="eastAsia" w:ascii="宋体" w:hAnsi="宋体" w:cs="宋体"/>
                <w:b/>
                <w:bCs/>
                <w:color w:val="000000"/>
                <w:kern w:val="0"/>
                <w:sz w:val="24"/>
              </w:rPr>
              <w:t>得  分</w:t>
            </w:r>
          </w:p>
        </w:tc>
        <w:tc>
          <w:tcPr>
            <w:tcW w:w="1140" w:type="dxa"/>
            <w:gridSpan w:val="2"/>
            <w:tcBorders>
              <w:top w:val="nil"/>
              <w:left w:val="nil"/>
              <w:bottom w:val="single" w:color="auto" w:sz="4" w:space="0"/>
              <w:right w:val="single" w:color="auto" w:sz="4" w:space="0"/>
            </w:tcBorders>
            <w:shd w:val="clear" w:color="000000" w:fill="D9E2F3"/>
            <w:noWrap/>
            <w:vAlign w:val="center"/>
          </w:tcPr>
          <w:p>
            <w:pPr>
              <w:widowControl/>
              <w:jc w:val="center"/>
              <w:rPr>
                <w:rFonts w:ascii="宋体" w:hAnsi="宋体" w:cs="宋体"/>
                <w:b/>
                <w:bCs/>
                <w:color w:val="000000"/>
                <w:kern w:val="0"/>
                <w:sz w:val="24"/>
              </w:rPr>
            </w:pPr>
            <w:r>
              <w:rPr>
                <w:rFonts w:hint="eastAsia" w:ascii="宋体" w:hAnsi="宋体" w:cs="宋体"/>
                <w:b/>
                <w:bCs/>
                <w:color w:val="000000"/>
                <w:kern w:val="0"/>
                <w:sz w:val="24"/>
              </w:rPr>
              <w:t>100</w:t>
            </w:r>
          </w:p>
        </w:tc>
        <w:tc>
          <w:tcPr>
            <w:tcW w:w="1725" w:type="dxa"/>
            <w:gridSpan w:val="2"/>
            <w:tcBorders>
              <w:top w:val="nil"/>
              <w:left w:val="nil"/>
              <w:bottom w:val="single" w:color="auto" w:sz="4" w:space="0"/>
              <w:right w:val="single" w:color="auto" w:sz="4" w:space="0"/>
            </w:tcBorders>
            <w:shd w:val="clear" w:color="000000" w:fill="D9E2F3"/>
            <w:noWrap/>
            <w:vAlign w:val="center"/>
          </w:tcPr>
          <w:p>
            <w:pPr>
              <w:widowControl/>
              <w:jc w:val="center"/>
              <w:rPr>
                <w:rFonts w:ascii="宋体" w:hAnsi="宋体" w:cs="宋体"/>
                <w:b/>
                <w:bCs/>
                <w:color w:val="000000"/>
                <w:kern w:val="0"/>
                <w:sz w:val="24"/>
              </w:rPr>
            </w:pPr>
            <w:r>
              <w:rPr>
                <w:rFonts w:hint="eastAsia" w:ascii="宋体" w:hAnsi="宋体" w:cs="宋体"/>
                <w:b/>
                <w:bCs/>
                <w:color w:val="000000"/>
                <w:kern w:val="0"/>
                <w:sz w:val="24"/>
              </w:rPr>
              <w:t>93.354545</w:t>
            </w:r>
          </w:p>
        </w:tc>
        <w:tc>
          <w:tcPr>
            <w:tcW w:w="570"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r>
      <w:tr>
        <w:tblPrEx>
          <w:tblCellMar>
            <w:top w:w="0" w:type="dxa"/>
            <w:left w:w="108" w:type="dxa"/>
            <w:bottom w:w="0" w:type="dxa"/>
            <w:right w:w="108" w:type="dxa"/>
          </w:tblCellMar>
        </w:tblPrEx>
        <w:trPr>
          <w:trHeight w:val="1080" w:hRule="atLeast"/>
        </w:trPr>
        <w:tc>
          <w:tcPr>
            <w:tcW w:w="12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4"/>
              </w:rPr>
            </w:pPr>
          </w:p>
        </w:tc>
        <w:tc>
          <w:tcPr>
            <w:tcW w:w="166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b/>
                <w:bCs/>
                <w:color w:val="000000"/>
                <w:kern w:val="0"/>
                <w:sz w:val="24"/>
              </w:rPr>
            </w:pPr>
          </w:p>
        </w:tc>
        <w:tc>
          <w:tcPr>
            <w:tcW w:w="1033"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cs="宋体"/>
                <w:b/>
                <w:bCs/>
                <w:color w:val="000000"/>
                <w:kern w:val="0"/>
                <w:sz w:val="24"/>
              </w:rPr>
            </w:pPr>
            <w:r>
              <w:rPr>
                <w:rFonts w:hint="eastAsia" w:ascii="宋体" w:hAnsi="宋体" w:cs="宋体"/>
                <w:b/>
                <w:bCs/>
                <w:color w:val="000000"/>
                <w:kern w:val="0"/>
                <w:sz w:val="24"/>
              </w:rPr>
              <w:t>管理指标</w:t>
            </w:r>
          </w:p>
        </w:tc>
        <w:tc>
          <w:tcPr>
            <w:tcW w:w="114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预算执行率</w:t>
            </w:r>
          </w:p>
        </w:tc>
        <w:tc>
          <w:tcPr>
            <w:tcW w:w="4245" w:type="dxa"/>
            <w:gridSpan w:val="2"/>
            <w:tcBorders>
              <w:top w:val="single" w:color="auto" w:sz="4" w:space="0"/>
              <w:left w:val="nil"/>
              <w:bottom w:val="nil"/>
              <w:right w:val="single" w:color="000000"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预算执行率=1，得10分；预算执行率&lt;1时，按预算执行率*10计算；2&gt;预算执行率&gt;1时，按（2-预算执行率）*10计算；预算执行率≥2时，不得分。</w:t>
            </w:r>
          </w:p>
        </w:tc>
        <w:tc>
          <w:tcPr>
            <w:tcW w:w="1905" w:type="dxa"/>
            <w:tcBorders>
              <w:top w:val="nil"/>
              <w:left w:val="nil"/>
              <w:bottom w:val="single" w:color="auto" w:sz="4" w:space="0"/>
              <w:right w:val="single" w:color="auto" w:sz="4" w:space="0"/>
            </w:tcBorders>
            <w:shd w:val="clear" w:color="000000" w:fill="D9E2F3"/>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10</w:t>
            </w:r>
          </w:p>
        </w:tc>
        <w:tc>
          <w:tcPr>
            <w:tcW w:w="510"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宋体"/>
                <w:color w:val="000000"/>
                <w:kern w:val="0"/>
                <w:sz w:val="24"/>
              </w:rPr>
            </w:pPr>
            <w:r>
              <w:rPr>
                <w:rFonts w:hint="eastAsia" w:ascii="宋体" w:hAnsi="宋体" w:cs="宋体"/>
                <w:color w:val="000000"/>
                <w:kern w:val="0"/>
                <w:sz w:val="24"/>
              </w:rPr>
              <w:t>3.354545</w:t>
            </w:r>
          </w:p>
        </w:tc>
        <w:tc>
          <w:tcPr>
            <w:tcW w:w="3435" w:type="dxa"/>
            <w:gridSpan w:val="6"/>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中途追加预算数大</w:t>
            </w:r>
          </w:p>
        </w:tc>
      </w:tr>
      <w:tr>
        <w:tblPrEx>
          <w:tblCellMar>
            <w:top w:w="0" w:type="dxa"/>
            <w:left w:w="108" w:type="dxa"/>
            <w:bottom w:w="0" w:type="dxa"/>
            <w:right w:w="108" w:type="dxa"/>
          </w:tblCellMar>
        </w:tblPrEx>
        <w:trPr>
          <w:trHeight w:val="705" w:hRule="atLeast"/>
        </w:trPr>
        <w:tc>
          <w:tcPr>
            <w:tcW w:w="12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4"/>
              </w:rPr>
            </w:pPr>
          </w:p>
        </w:tc>
        <w:tc>
          <w:tcPr>
            <w:tcW w:w="166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b/>
                <w:bCs/>
                <w:color w:val="000000"/>
                <w:kern w:val="0"/>
                <w:sz w:val="24"/>
              </w:rPr>
            </w:pPr>
          </w:p>
        </w:tc>
        <w:tc>
          <w:tcPr>
            <w:tcW w:w="1033"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b/>
                <w:bCs/>
                <w:color w:val="000000"/>
                <w:kern w:val="0"/>
                <w:sz w:val="24"/>
              </w:rPr>
            </w:pPr>
          </w:p>
        </w:tc>
        <w:tc>
          <w:tcPr>
            <w:tcW w:w="11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财务管理制度健全性</w:t>
            </w:r>
          </w:p>
        </w:tc>
        <w:tc>
          <w:tcPr>
            <w:tcW w:w="4245" w:type="dxa"/>
            <w:gridSpan w:val="2"/>
            <w:tcBorders>
              <w:top w:val="single" w:color="auto" w:sz="4" w:space="0"/>
              <w:left w:val="nil"/>
              <w:bottom w:val="nil"/>
              <w:right w:val="single" w:color="000000"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（管理指标不设绩效指标，按指标评价内容直接评分）</w:t>
            </w:r>
          </w:p>
        </w:tc>
        <w:tc>
          <w:tcPr>
            <w:tcW w:w="1905" w:type="dxa"/>
            <w:tcBorders>
              <w:top w:val="nil"/>
              <w:left w:val="nil"/>
              <w:bottom w:val="single" w:color="auto" w:sz="4" w:space="0"/>
              <w:right w:val="single" w:color="auto" w:sz="4" w:space="0"/>
            </w:tcBorders>
            <w:shd w:val="clear" w:color="000000" w:fill="D9E2F3"/>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5</w:t>
            </w:r>
          </w:p>
        </w:tc>
        <w:tc>
          <w:tcPr>
            <w:tcW w:w="510"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宋体"/>
                <w:color w:val="000000"/>
                <w:kern w:val="0"/>
                <w:sz w:val="24"/>
              </w:rPr>
            </w:pPr>
            <w:r>
              <w:rPr>
                <w:rFonts w:hint="eastAsia" w:ascii="宋体" w:hAnsi="宋体" w:cs="宋体"/>
                <w:color w:val="000000"/>
                <w:kern w:val="0"/>
                <w:sz w:val="24"/>
              </w:rPr>
              <w:t>5</w:t>
            </w:r>
          </w:p>
        </w:tc>
        <w:tc>
          <w:tcPr>
            <w:tcW w:w="3435" w:type="dxa"/>
            <w:gridSpan w:val="6"/>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r>
      <w:tr>
        <w:tblPrEx>
          <w:tblCellMar>
            <w:top w:w="0" w:type="dxa"/>
            <w:left w:w="108" w:type="dxa"/>
            <w:bottom w:w="0" w:type="dxa"/>
            <w:right w:w="108" w:type="dxa"/>
          </w:tblCellMar>
        </w:tblPrEx>
        <w:trPr>
          <w:trHeight w:val="705" w:hRule="atLeast"/>
        </w:trPr>
        <w:tc>
          <w:tcPr>
            <w:tcW w:w="12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4"/>
              </w:rPr>
            </w:pPr>
          </w:p>
        </w:tc>
        <w:tc>
          <w:tcPr>
            <w:tcW w:w="166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b/>
                <w:bCs/>
                <w:color w:val="000000"/>
                <w:kern w:val="0"/>
                <w:sz w:val="24"/>
              </w:rPr>
            </w:pPr>
          </w:p>
        </w:tc>
        <w:tc>
          <w:tcPr>
            <w:tcW w:w="1033"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b/>
                <w:bCs/>
                <w:color w:val="000000"/>
                <w:kern w:val="0"/>
                <w:sz w:val="24"/>
              </w:rPr>
            </w:pPr>
          </w:p>
        </w:tc>
        <w:tc>
          <w:tcPr>
            <w:tcW w:w="114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财务监控有效性</w:t>
            </w:r>
          </w:p>
        </w:tc>
        <w:tc>
          <w:tcPr>
            <w:tcW w:w="4245" w:type="dxa"/>
            <w:gridSpan w:val="2"/>
            <w:tcBorders>
              <w:top w:val="single" w:color="auto" w:sz="4" w:space="0"/>
              <w:left w:val="nil"/>
              <w:bottom w:val="nil"/>
              <w:right w:val="single" w:color="000000"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（管理指标不设绩效指标，按指标评价内容直接评分）</w:t>
            </w:r>
          </w:p>
        </w:tc>
        <w:tc>
          <w:tcPr>
            <w:tcW w:w="1905" w:type="dxa"/>
            <w:tcBorders>
              <w:top w:val="nil"/>
              <w:left w:val="nil"/>
              <w:bottom w:val="single" w:color="auto" w:sz="4" w:space="0"/>
              <w:right w:val="single" w:color="auto" w:sz="4" w:space="0"/>
            </w:tcBorders>
            <w:shd w:val="clear" w:color="000000" w:fill="D9E2F3"/>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5</w:t>
            </w:r>
          </w:p>
        </w:tc>
        <w:tc>
          <w:tcPr>
            <w:tcW w:w="510"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宋体"/>
                <w:color w:val="000000"/>
                <w:kern w:val="0"/>
                <w:sz w:val="24"/>
              </w:rPr>
            </w:pPr>
            <w:r>
              <w:rPr>
                <w:rFonts w:hint="eastAsia" w:ascii="宋体" w:hAnsi="宋体" w:cs="宋体"/>
                <w:color w:val="000000"/>
                <w:kern w:val="0"/>
                <w:sz w:val="24"/>
              </w:rPr>
              <w:t>5</w:t>
            </w:r>
          </w:p>
        </w:tc>
        <w:tc>
          <w:tcPr>
            <w:tcW w:w="3435" w:type="dxa"/>
            <w:gridSpan w:val="6"/>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r>
      <w:tr>
        <w:tblPrEx>
          <w:tblCellMar>
            <w:top w:w="0" w:type="dxa"/>
            <w:left w:w="108" w:type="dxa"/>
            <w:bottom w:w="0" w:type="dxa"/>
            <w:right w:w="108" w:type="dxa"/>
          </w:tblCellMar>
        </w:tblPrEx>
        <w:trPr>
          <w:trHeight w:val="705" w:hRule="atLeast"/>
        </w:trPr>
        <w:tc>
          <w:tcPr>
            <w:tcW w:w="12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4"/>
              </w:rPr>
            </w:pPr>
          </w:p>
        </w:tc>
        <w:tc>
          <w:tcPr>
            <w:tcW w:w="166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b/>
                <w:bCs/>
                <w:color w:val="000000"/>
                <w:kern w:val="0"/>
                <w:sz w:val="24"/>
              </w:rPr>
            </w:pPr>
          </w:p>
        </w:tc>
        <w:tc>
          <w:tcPr>
            <w:tcW w:w="1033"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b/>
                <w:bCs/>
                <w:color w:val="000000"/>
                <w:kern w:val="0"/>
                <w:sz w:val="24"/>
              </w:rPr>
            </w:pPr>
          </w:p>
        </w:tc>
        <w:tc>
          <w:tcPr>
            <w:tcW w:w="114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项目申报规范性</w:t>
            </w:r>
          </w:p>
        </w:tc>
        <w:tc>
          <w:tcPr>
            <w:tcW w:w="4245" w:type="dxa"/>
            <w:gridSpan w:val="2"/>
            <w:tcBorders>
              <w:top w:val="single" w:color="auto" w:sz="4" w:space="0"/>
              <w:left w:val="nil"/>
              <w:bottom w:val="nil"/>
              <w:right w:val="single" w:color="000000"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（管理指标不设绩效指标，按指标评价内容直接评分）</w:t>
            </w:r>
          </w:p>
        </w:tc>
        <w:tc>
          <w:tcPr>
            <w:tcW w:w="1905" w:type="dxa"/>
            <w:tcBorders>
              <w:top w:val="nil"/>
              <w:left w:val="nil"/>
              <w:bottom w:val="single" w:color="auto" w:sz="4" w:space="0"/>
              <w:right w:val="single" w:color="auto" w:sz="4" w:space="0"/>
            </w:tcBorders>
            <w:shd w:val="clear" w:color="000000" w:fill="D9E2F3"/>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3</w:t>
            </w:r>
          </w:p>
        </w:tc>
        <w:tc>
          <w:tcPr>
            <w:tcW w:w="510"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宋体"/>
                <w:color w:val="000000"/>
                <w:kern w:val="0"/>
                <w:sz w:val="24"/>
              </w:rPr>
            </w:pPr>
            <w:r>
              <w:rPr>
                <w:rFonts w:hint="eastAsia" w:ascii="宋体" w:hAnsi="宋体" w:cs="宋体"/>
                <w:color w:val="000000"/>
                <w:kern w:val="0"/>
                <w:sz w:val="24"/>
              </w:rPr>
              <w:t>3</w:t>
            </w:r>
          </w:p>
        </w:tc>
        <w:tc>
          <w:tcPr>
            <w:tcW w:w="3435" w:type="dxa"/>
            <w:gridSpan w:val="6"/>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r>
      <w:tr>
        <w:tblPrEx>
          <w:tblCellMar>
            <w:top w:w="0" w:type="dxa"/>
            <w:left w:w="108" w:type="dxa"/>
            <w:bottom w:w="0" w:type="dxa"/>
            <w:right w:w="108" w:type="dxa"/>
          </w:tblCellMar>
        </w:tblPrEx>
        <w:trPr>
          <w:trHeight w:val="705" w:hRule="atLeast"/>
        </w:trPr>
        <w:tc>
          <w:tcPr>
            <w:tcW w:w="12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4"/>
              </w:rPr>
            </w:pPr>
          </w:p>
        </w:tc>
        <w:tc>
          <w:tcPr>
            <w:tcW w:w="166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b/>
                <w:bCs/>
                <w:color w:val="000000"/>
                <w:kern w:val="0"/>
                <w:sz w:val="24"/>
              </w:rPr>
            </w:pPr>
          </w:p>
        </w:tc>
        <w:tc>
          <w:tcPr>
            <w:tcW w:w="1033"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b/>
                <w:bCs/>
                <w:color w:val="000000"/>
                <w:kern w:val="0"/>
                <w:sz w:val="24"/>
              </w:rPr>
            </w:pPr>
          </w:p>
        </w:tc>
        <w:tc>
          <w:tcPr>
            <w:tcW w:w="114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资金分配规范性</w:t>
            </w:r>
          </w:p>
        </w:tc>
        <w:tc>
          <w:tcPr>
            <w:tcW w:w="4245" w:type="dxa"/>
            <w:gridSpan w:val="2"/>
            <w:tcBorders>
              <w:top w:val="single" w:color="auto" w:sz="4" w:space="0"/>
              <w:left w:val="nil"/>
              <w:bottom w:val="nil"/>
              <w:right w:val="single" w:color="000000"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（管理指标不设绩效指标，按指标评价内容直接评分）</w:t>
            </w:r>
          </w:p>
        </w:tc>
        <w:tc>
          <w:tcPr>
            <w:tcW w:w="1905" w:type="dxa"/>
            <w:tcBorders>
              <w:top w:val="nil"/>
              <w:left w:val="nil"/>
              <w:bottom w:val="single" w:color="auto" w:sz="4" w:space="0"/>
              <w:right w:val="single" w:color="auto" w:sz="4" w:space="0"/>
            </w:tcBorders>
            <w:shd w:val="clear" w:color="000000" w:fill="D9E2F3"/>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3</w:t>
            </w:r>
          </w:p>
        </w:tc>
        <w:tc>
          <w:tcPr>
            <w:tcW w:w="510"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宋体"/>
                <w:color w:val="000000"/>
                <w:kern w:val="0"/>
                <w:sz w:val="24"/>
              </w:rPr>
            </w:pPr>
            <w:r>
              <w:rPr>
                <w:rFonts w:hint="eastAsia" w:ascii="宋体" w:hAnsi="宋体" w:cs="宋体"/>
                <w:color w:val="000000"/>
                <w:kern w:val="0"/>
                <w:sz w:val="24"/>
              </w:rPr>
              <w:t>3</w:t>
            </w:r>
          </w:p>
        </w:tc>
        <w:tc>
          <w:tcPr>
            <w:tcW w:w="3435" w:type="dxa"/>
            <w:gridSpan w:val="6"/>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r>
      <w:tr>
        <w:tblPrEx>
          <w:tblCellMar>
            <w:top w:w="0" w:type="dxa"/>
            <w:left w:w="108" w:type="dxa"/>
            <w:bottom w:w="0" w:type="dxa"/>
            <w:right w:w="108" w:type="dxa"/>
          </w:tblCellMar>
        </w:tblPrEx>
        <w:trPr>
          <w:trHeight w:val="705" w:hRule="atLeast"/>
        </w:trPr>
        <w:tc>
          <w:tcPr>
            <w:tcW w:w="12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4"/>
              </w:rPr>
            </w:pPr>
          </w:p>
        </w:tc>
        <w:tc>
          <w:tcPr>
            <w:tcW w:w="166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b/>
                <w:bCs/>
                <w:color w:val="000000"/>
                <w:kern w:val="0"/>
                <w:sz w:val="24"/>
              </w:rPr>
            </w:pPr>
          </w:p>
        </w:tc>
        <w:tc>
          <w:tcPr>
            <w:tcW w:w="1033"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b/>
                <w:bCs/>
                <w:color w:val="000000"/>
                <w:kern w:val="0"/>
                <w:sz w:val="24"/>
              </w:rPr>
            </w:pPr>
          </w:p>
        </w:tc>
        <w:tc>
          <w:tcPr>
            <w:tcW w:w="114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信息公开情况</w:t>
            </w:r>
          </w:p>
        </w:tc>
        <w:tc>
          <w:tcPr>
            <w:tcW w:w="4245" w:type="dxa"/>
            <w:gridSpan w:val="2"/>
            <w:tcBorders>
              <w:top w:val="single" w:color="auto" w:sz="4" w:space="0"/>
              <w:left w:val="nil"/>
              <w:bottom w:val="nil"/>
              <w:right w:val="single" w:color="000000"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（管理指标不设绩效指标，按指标评价内容直接评分）</w:t>
            </w:r>
          </w:p>
        </w:tc>
        <w:tc>
          <w:tcPr>
            <w:tcW w:w="1905" w:type="dxa"/>
            <w:tcBorders>
              <w:top w:val="nil"/>
              <w:left w:val="nil"/>
              <w:bottom w:val="single" w:color="auto" w:sz="4" w:space="0"/>
              <w:right w:val="single" w:color="auto" w:sz="4" w:space="0"/>
            </w:tcBorders>
            <w:shd w:val="clear" w:color="000000" w:fill="D9E2F3"/>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4</w:t>
            </w:r>
          </w:p>
        </w:tc>
        <w:tc>
          <w:tcPr>
            <w:tcW w:w="510"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宋体"/>
                <w:color w:val="000000"/>
                <w:kern w:val="0"/>
                <w:sz w:val="24"/>
              </w:rPr>
            </w:pPr>
            <w:r>
              <w:rPr>
                <w:rFonts w:hint="eastAsia" w:ascii="宋体" w:hAnsi="宋体" w:cs="宋体"/>
                <w:color w:val="000000"/>
                <w:kern w:val="0"/>
                <w:sz w:val="24"/>
              </w:rPr>
              <w:t>4</w:t>
            </w:r>
          </w:p>
        </w:tc>
        <w:tc>
          <w:tcPr>
            <w:tcW w:w="3435" w:type="dxa"/>
            <w:gridSpan w:val="6"/>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r>
      <w:tr>
        <w:tblPrEx>
          <w:tblCellMar>
            <w:top w:w="0" w:type="dxa"/>
            <w:left w:w="108" w:type="dxa"/>
            <w:bottom w:w="0" w:type="dxa"/>
            <w:right w:w="108" w:type="dxa"/>
          </w:tblCellMar>
        </w:tblPrEx>
        <w:trPr>
          <w:trHeight w:val="705" w:hRule="atLeast"/>
        </w:trPr>
        <w:tc>
          <w:tcPr>
            <w:tcW w:w="12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4"/>
              </w:rPr>
            </w:pPr>
          </w:p>
        </w:tc>
        <w:tc>
          <w:tcPr>
            <w:tcW w:w="166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b/>
                <w:bCs/>
                <w:color w:val="000000"/>
                <w:kern w:val="0"/>
                <w:sz w:val="24"/>
              </w:rPr>
            </w:pPr>
          </w:p>
        </w:tc>
        <w:tc>
          <w:tcPr>
            <w:tcW w:w="1033"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cs="宋体"/>
                <w:b/>
                <w:bCs/>
                <w:color w:val="000000"/>
                <w:kern w:val="0"/>
                <w:sz w:val="24"/>
              </w:rPr>
            </w:pPr>
            <w:r>
              <w:rPr>
                <w:rFonts w:hint="eastAsia" w:ascii="宋体" w:hAnsi="宋体" w:cs="宋体"/>
                <w:b/>
                <w:bCs/>
                <w:color w:val="000000"/>
                <w:kern w:val="0"/>
                <w:sz w:val="24"/>
              </w:rPr>
              <w:t>项目绩效</w:t>
            </w:r>
          </w:p>
        </w:tc>
        <w:tc>
          <w:tcPr>
            <w:tcW w:w="114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完成情况</w:t>
            </w:r>
          </w:p>
        </w:tc>
        <w:tc>
          <w:tcPr>
            <w:tcW w:w="2175"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（项目预期完成情况，含数量，质量，时效，成本等）</w:t>
            </w:r>
          </w:p>
        </w:tc>
        <w:tc>
          <w:tcPr>
            <w:tcW w:w="2070"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（项目实际完成情况，含数量，质量，时效，成本等）</w:t>
            </w:r>
          </w:p>
        </w:tc>
        <w:tc>
          <w:tcPr>
            <w:tcW w:w="1905" w:type="dxa"/>
            <w:tcBorders>
              <w:top w:val="nil"/>
              <w:left w:val="nil"/>
              <w:bottom w:val="single" w:color="auto" w:sz="4" w:space="0"/>
              <w:right w:val="single" w:color="auto" w:sz="4" w:space="0"/>
            </w:tcBorders>
            <w:shd w:val="clear" w:color="000000" w:fill="D9E2F3"/>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20</w:t>
            </w:r>
          </w:p>
        </w:tc>
        <w:tc>
          <w:tcPr>
            <w:tcW w:w="510"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宋体"/>
                <w:color w:val="000000"/>
                <w:kern w:val="0"/>
                <w:sz w:val="24"/>
              </w:rPr>
            </w:pPr>
            <w:r>
              <w:rPr>
                <w:rFonts w:hint="eastAsia" w:ascii="宋体" w:hAnsi="宋体" w:cs="宋体"/>
                <w:color w:val="000000"/>
                <w:kern w:val="0"/>
                <w:sz w:val="24"/>
              </w:rPr>
              <w:t>20</w:t>
            </w:r>
          </w:p>
        </w:tc>
        <w:tc>
          <w:tcPr>
            <w:tcW w:w="3435" w:type="dxa"/>
            <w:gridSpan w:val="6"/>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r>
      <w:tr>
        <w:tblPrEx>
          <w:tblCellMar>
            <w:top w:w="0" w:type="dxa"/>
            <w:left w:w="108" w:type="dxa"/>
            <w:bottom w:w="0" w:type="dxa"/>
            <w:right w:w="108" w:type="dxa"/>
          </w:tblCellMar>
        </w:tblPrEx>
        <w:trPr>
          <w:trHeight w:val="705" w:hRule="atLeast"/>
        </w:trPr>
        <w:tc>
          <w:tcPr>
            <w:tcW w:w="12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4"/>
              </w:rPr>
            </w:pPr>
          </w:p>
        </w:tc>
        <w:tc>
          <w:tcPr>
            <w:tcW w:w="166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b/>
                <w:bCs/>
                <w:color w:val="000000"/>
                <w:kern w:val="0"/>
                <w:sz w:val="24"/>
              </w:rPr>
            </w:pPr>
          </w:p>
        </w:tc>
        <w:tc>
          <w:tcPr>
            <w:tcW w:w="1033"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b/>
                <w:bCs/>
                <w:color w:val="000000"/>
                <w:kern w:val="0"/>
                <w:sz w:val="24"/>
              </w:rPr>
            </w:pPr>
          </w:p>
        </w:tc>
        <w:tc>
          <w:tcPr>
            <w:tcW w:w="114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效益情况</w:t>
            </w:r>
          </w:p>
        </w:tc>
        <w:tc>
          <w:tcPr>
            <w:tcW w:w="217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（项目预期取得的效益及受益人员满意度等）</w:t>
            </w:r>
          </w:p>
        </w:tc>
        <w:tc>
          <w:tcPr>
            <w:tcW w:w="207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（项目实际取得的效益及受益人员满意度等）</w:t>
            </w:r>
          </w:p>
        </w:tc>
        <w:tc>
          <w:tcPr>
            <w:tcW w:w="1905" w:type="dxa"/>
            <w:tcBorders>
              <w:top w:val="nil"/>
              <w:left w:val="nil"/>
              <w:bottom w:val="single" w:color="auto" w:sz="4" w:space="0"/>
              <w:right w:val="single" w:color="auto" w:sz="4" w:space="0"/>
            </w:tcBorders>
            <w:shd w:val="clear" w:color="000000" w:fill="D9E2F3"/>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50</w:t>
            </w:r>
          </w:p>
        </w:tc>
        <w:tc>
          <w:tcPr>
            <w:tcW w:w="510"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宋体"/>
                <w:color w:val="000000"/>
                <w:kern w:val="0"/>
                <w:sz w:val="24"/>
              </w:rPr>
            </w:pPr>
            <w:r>
              <w:rPr>
                <w:rFonts w:hint="eastAsia" w:ascii="宋体" w:hAnsi="宋体" w:cs="宋体"/>
                <w:color w:val="000000"/>
                <w:kern w:val="0"/>
                <w:sz w:val="24"/>
              </w:rPr>
              <w:t>50</w:t>
            </w:r>
          </w:p>
        </w:tc>
        <w:tc>
          <w:tcPr>
            <w:tcW w:w="3435" w:type="dxa"/>
            <w:gridSpan w:val="6"/>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r>
      <w:tr>
        <w:tblPrEx>
          <w:tblCellMar>
            <w:top w:w="0" w:type="dxa"/>
            <w:left w:w="108" w:type="dxa"/>
            <w:bottom w:w="0" w:type="dxa"/>
            <w:right w:w="108" w:type="dxa"/>
          </w:tblCellMar>
        </w:tblPrEx>
        <w:trPr>
          <w:trHeight w:val="705" w:hRule="atLeast"/>
        </w:trPr>
        <w:tc>
          <w:tcPr>
            <w:tcW w:w="12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4"/>
              </w:rPr>
            </w:pPr>
          </w:p>
        </w:tc>
        <w:tc>
          <w:tcPr>
            <w:tcW w:w="16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b/>
                <w:bCs/>
                <w:color w:val="000000"/>
                <w:kern w:val="0"/>
                <w:sz w:val="24"/>
              </w:rPr>
            </w:pPr>
            <w:r>
              <w:rPr>
                <w:rFonts w:hint="eastAsia" w:ascii="宋体" w:hAnsi="宋体" w:cs="宋体"/>
                <w:b/>
                <w:bCs/>
                <w:color w:val="000000"/>
                <w:kern w:val="0"/>
                <w:sz w:val="24"/>
              </w:rPr>
              <w:t>存在问题</w:t>
            </w:r>
          </w:p>
        </w:tc>
        <w:tc>
          <w:tcPr>
            <w:tcW w:w="12268" w:type="dxa"/>
            <w:gridSpan w:val="12"/>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预算编制不够准确</w:t>
            </w:r>
          </w:p>
        </w:tc>
      </w:tr>
      <w:tr>
        <w:tblPrEx>
          <w:tblCellMar>
            <w:top w:w="0" w:type="dxa"/>
            <w:left w:w="108" w:type="dxa"/>
            <w:bottom w:w="0" w:type="dxa"/>
            <w:right w:w="108" w:type="dxa"/>
          </w:tblCellMar>
        </w:tblPrEx>
        <w:trPr>
          <w:trHeight w:val="705" w:hRule="atLeast"/>
        </w:trPr>
        <w:tc>
          <w:tcPr>
            <w:tcW w:w="12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4"/>
              </w:rPr>
            </w:pPr>
          </w:p>
        </w:tc>
        <w:tc>
          <w:tcPr>
            <w:tcW w:w="16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b/>
                <w:bCs/>
                <w:color w:val="000000"/>
                <w:kern w:val="0"/>
                <w:sz w:val="24"/>
              </w:rPr>
            </w:pPr>
            <w:r>
              <w:rPr>
                <w:rFonts w:hint="eastAsia" w:ascii="宋体" w:hAnsi="宋体" w:cs="宋体"/>
                <w:b/>
                <w:bCs/>
                <w:color w:val="000000"/>
                <w:kern w:val="0"/>
                <w:sz w:val="24"/>
              </w:rPr>
              <w:t>改进措施</w:t>
            </w:r>
          </w:p>
        </w:tc>
        <w:tc>
          <w:tcPr>
            <w:tcW w:w="12268" w:type="dxa"/>
            <w:gridSpan w:val="12"/>
            <w:tcBorders>
              <w:top w:val="single" w:color="auto" w:sz="4" w:space="0"/>
              <w:left w:val="nil"/>
              <w:bottom w:val="nil"/>
              <w:right w:val="single" w:color="000000"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加强预算编制完整性，做到应编尽编</w:t>
            </w:r>
          </w:p>
        </w:tc>
      </w:tr>
      <w:tr>
        <w:tblPrEx>
          <w:tblCellMar>
            <w:top w:w="0" w:type="dxa"/>
            <w:left w:w="108" w:type="dxa"/>
            <w:bottom w:w="0" w:type="dxa"/>
            <w:right w:w="108" w:type="dxa"/>
          </w:tblCellMar>
        </w:tblPrEx>
        <w:trPr>
          <w:trHeight w:val="578" w:hRule="atLeast"/>
        </w:trPr>
        <w:tc>
          <w:tcPr>
            <w:tcW w:w="15188" w:type="dxa"/>
            <w:gridSpan w:val="14"/>
            <w:tcBorders>
              <w:top w:val="single" w:color="auto" w:sz="4" w:space="0"/>
              <w:left w:val="single" w:color="auto" w:sz="4" w:space="0"/>
              <w:bottom w:val="single" w:color="auto" w:sz="4" w:space="0"/>
              <w:right w:val="single" w:color="000000" w:sz="4" w:space="0"/>
            </w:tcBorders>
            <w:shd w:val="clear" w:color="auto" w:fill="auto"/>
            <w:noWrap/>
            <w:vAlign w:val="center"/>
          </w:tcPr>
          <w:p>
            <w:pPr>
              <w:widowControl/>
              <w:jc w:val="right"/>
              <w:rPr>
                <w:rFonts w:ascii="宋体" w:hAnsi="宋体" w:cs="宋体"/>
                <w:color w:val="000000"/>
                <w:kern w:val="0"/>
                <w:sz w:val="24"/>
              </w:rPr>
            </w:pPr>
            <w:r>
              <w:rPr>
                <w:rFonts w:hint="eastAsia" w:ascii="宋体" w:hAnsi="宋体" w:cs="宋体"/>
                <w:color w:val="000000"/>
                <w:kern w:val="0"/>
                <w:sz w:val="24"/>
              </w:rPr>
              <w:t xml:space="preserve"> 填报人：戴文豪              </w:t>
            </w:r>
          </w:p>
        </w:tc>
      </w:tr>
    </w:tbl>
    <w:p>
      <w:pPr>
        <w:snapToGrid w:val="0"/>
        <w:spacing w:line="600" w:lineRule="exact"/>
        <w:ind w:firstLine="640" w:firstLineChars="200"/>
        <w:rPr>
          <w:rFonts w:ascii="仿宋" w:hAnsi="仿宋" w:eastAsia="仿宋"/>
          <w:sz w:val="32"/>
          <w:szCs w:val="32"/>
        </w:rPr>
      </w:pPr>
    </w:p>
    <w:p>
      <w:pPr>
        <w:snapToGrid w:val="0"/>
        <w:spacing w:line="600" w:lineRule="exact"/>
        <w:ind w:firstLine="640" w:firstLineChars="200"/>
        <w:rPr>
          <w:rFonts w:ascii="仿宋" w:hAnsi="仿宋" w:eastAsia="仿宋"/>
          <w:sz w:val="32"/>
          <w:szCs w:val="32"/>
        </w:rPr>
      </w:pPr>
    </w:p>
    <w:p>
      <w:pPr>
        <w:snapToGrid w:val="0"/>
        <w:spacing w:line="600" w:lineRule="exact"/>
        <w:ind w:firstLine="640" w:firstLineChars="200"/>
        <w:rPr>
          <w:rFonts w:ascii="仿宋" w:hAnsi="仿宋" w:eastAsia="仿宋"/>
          <w:sz w:val="32"/>
          <w:szCs w:val="32"/>
        </w:rPr>
      </w:pPr>
    </w:p>
    <w:p>
      <w:pPr>
        <w:widowControl/>
        <w:spacing w:line="580" w:lineRule="exact"/>
        <w:contextualSpacing/>
        <w:jc w:val="center"/>
        <w:rPr>
          <w:rFonts w:hint="eastAsia" w:ascii="仿宋" w:hAnsi="仿宋" w:eastAsia="仿宋" w:cs="宋体"/>
          <w:color w:val="000000"/>
          <w:kern w:val="0"/>
          <w:sz w:val="32"/>
          <w:szCs w:val="32"/>
          <w:shd w:val="clear" w:color="auto" w:fill="FFFFFF"/>
        </w:rPr>
      </w:pPr>
      <w:r>
        <w:rPr>
          <w:rFonts w:ascii="仿宋" w:hAnsi="仿宋" w:eastAsia="仿宋" w:cs="宋体"/>
          <w:color w:val="000000"/>
          <w:kern w:val="0"/>
          <w:sz w:val="32"/>
          <w:szCs w:val="32"/>
          <w:shd w:val="clear" w:color="auto" w:fill="FFFFFF"/>
        </w:rPr>
        <w:br w:type="textWrapping"/>
      </w:r>
    </w:p>
    <w:p>
      <w:pPr>
        <w:widowControl/>
        <w:spacing w:line="580" w:lineRule="exact"/>
        <w:contextualSpacing/>
        <w:jc w:val="center"/>
        <w:rPr>
          <w:rFonts w:hint="eastAsia" w:ascii="仿宋" w:hAnsi="仿宋" w:eastAsia="仿宋" w:cs="宋体"/>
          <w:color w:val="000000"/>
          <w:kern w:val="0"/>
          <w:sz w:val="32"/>
          <w:szCs w:val="32"/>
          <w:shd w:val="clear" w:color="auto" w:fill="FFFFFF"/>
        </w:rPr>
      </w:pPr>
    </w:p>
    <w:p>
      <w:pPr>
        <w:widowControl/>
        <w:spacing w:line="580" w:lineRule="exact"/>
        <w:contextualSpacing/>
        <w:jc w:val="center"/>
        <w:rPr>
          <w:rFonts w:hint="eastAsia" w:ascii="仿宋" w:hAnsi="仿宋" w:eastAsia="仿宋" w:cs="宋体"/>
          <w:color w:val="000000"/>
          <w:kern w:val="0"/>
          <w:sz w:val="32"/>
          <w:szCs w:val="32"/>
          <w:shd w:val="clear" w:color="auto" w:fill="FFFFFF"/>
        </w:rPr>
      </w:pPr>
    </w:p>
    <w:p>
      <w:pPr>
        <w:pStyle w:val="3"/>
        <w:rPr>
          <w:lang w:val="zh-CN"/>
        </w:rPr>
      </w:pPr>
    </w:p>
    <w:p>
      <w:pPr>
        <w:spacing w:line="600" w:lineRule="exact"/>
        <w:jc w:val="center"/>
        <w:outlineLvl w:val="0"/>
        <w:rPr>
          <w:rFonts w:ascii="黑体" w:hAnsi="黑体" w:eastAsia="黑体"/>
          <w:sz w:val="44"/>
          <w:szCs w:val="44"/>
        </w:rPr>
      </w:pPr>
    </w:p>
    <w:p>
      <w:pPr>
        <w:spacing w:line="600" w:lineRule="exact"/>
        <w:jc w:val="center"/>
        <w:outlineLvl w:val="0"/>
        <w:rPr>
          <w:rFonts w:hint="eastAsia" w:ascii="黑体" w:hAnsi="黑体" w:eastAsia="黑体"/>
          <w:sz w:val="44"/>
          <w:szCs w:val="44"/>
        </w:rPr>
        <w:sectPr>
          <w:pgSz w:w="16838" w:h="11906" w:orient="landscape"/>
          <w:pgMar w:top="1800" w:right="1440" w:bottom="1800" w:left="1440" w:header="851" w:footer="992" w:gutter="0"/>
          <w:pgNumType w:start="1"/>
          <w:cols w:space="425" w:num="1"/>
          <w:titlePg/>
          <w:docGrid w:type="lines" w:linePitch="312" w:charSpace="0"/>
        </w:sectPr>
      </w:pPr>
    </w:p>
    <w:p>
      <w:pPr>
        <w:spacing w:line="600" w:lineRule="exact"/>
        <w:jc w:val="center"/>
        <w:outlineLvl w:val="0"/>
        <w:rPr>
          <w:rStyle w:val="25"/>
          <w:rFonts w:ascii="黑体" w:hAnsi="黑体" w:eastAsia="黑体"/>
          <w:b w:val="0"/>
        </w:rPr>
      </w:pPr>
      <w:r>
        <w:rPr>
          <w:rFonts w:hint="eastAsia" w:ascii="黑体" w:hAnsi="黑体" w:eastAsia="黑体"/>
          <w:sz w:val="44"/>
          <w:szCs w:val="44"/>
        </w:rPr>
        <w:t>第</w:t>
      </w:r>
      <w:r>
        <w:rPr>
          <w:rStyle w:val="25"/>
          <w:rFonts w:hint="eastAsia" w:ascii="黑体" w:hAnsi="黑体" w:eastAsia="黑体"/>
        </w:rPr>
        <w:t>五部分 附表</w:t>
      </w:r>
      <w:bookmarkEnd w:id="94"/>
      <w:bookmarkEnd w:id="97"/>
      <w:bookmarkEnd w:id="98"/>
      <w:bookmarkStart w:id="99" w:name="_Toc15396619"/>
    </w:p>
    <w:p>
      <w:pPr>
        <w:pStyle w:val="5"/>
        <w:rPr>
          <w:rFonts w:ascii="仿宋" w:hAnsi="仿宋" w:eastAsia="仿宋"/>
        </w:rPr>
      </w:pPr>
      <w:bookmarkStart w:id="100" w:name="_Toc3895_WPSOffice_Level2"/>
      <w:r>
        <w:rPr>
          <w:rFonts w:hint="eastAsia" w:ascii="仿宋" w:hAnsi="仿宋" w:eastAsia="仿宋"/>
          <w:b w:val="0"/>
        </w:rPr>
        <w:t>一、收</w:t>
      </w:r>
      <w:r>
        <w:rPr>
          <w:rStyle w:val="26"/>
          <w:rFonts w:hint="eastAsia" w:ascii="仿宋" w:hAnsi="仿宋" w:eastAsia="仿宋"/>
          <w:b w:val="0"/>
          <w:bCs w:val="0"/>
        </w:rPr>
        <w:t>入支出决算总表</w:t>
      </w:r>
      <w:bookmarkEnd w:id="100"/>
    </w:p>
    <w:p>
      <w:pPr>
        <w:pStyle w:val="5"/>
        <w:rPr>
          <w:rFonts w:ascii="仿宋" w:hAnsi="仿宋" w:eastAsia="仿宋"/>
        </w:rPr>
      </w:pPr>
      <w:bookmarkStart w:id="101" w:name="_Toc9215_WPSOffice_Level2"/>
      <w:r>
        <w:rPr>
          <w:rFonts w:hint="eastAsia" w:ascii="仿宋" w:hAnsi="仿宋" w:eastAsia="仿宋"/>
          <w:b w:val="0"/>
        </w:rPr>
        <w:t>二、收</w:t>
      </w:r>
      <w:r>
        <w:rPr>
          <w:rStyle w:val="26"/>
          <w:rFonts w:hint="eastAsia" w:ascii="仿宋" w:hAnsi="仿宋" w:eastAsia="仿宋"/>
          <w:b w:val="0"/>
          <w:bCs w:val="0"/>
        </w:rPr>
        <w:t>入决算表</w:t>
      </w:r>
      <w:bookmarkEnd w:id="101"/>
    </w:p>
    <w:p>
      <w:pPr>
        <w:pStyle w:val="5"/>
        <w:rPr>
          <w:rFonts w:ascii="仿宋" w:hAnsi="仿宋" w:eastAsia="仿宋"/>
        </w:rPr>
      </w:pPr>
      <w:bookmarkStart w:id="102" w:name="_Toc9858_WPSOffice_Level2"/>
      <w:r>
        <w:rPr>
          <w:rStyle w:val="26"/>
          <w:rFonts w:hint="eastAsia" w:ascii="仿宋" w:hAnsi="仿宋" w:eastAsia="仿宋"/>
          <w:b w:val="0"/>
          <w:bCs w:val="0"/>
        </w:rPr>
        <w:t>三、</w:t>
      </w:r>
      <w:r>
        <w:rPr>
          <w:rFonts w:hint="eastAsia" w:ascii="仿宋" w:hAnsi="仿宋" w:eastAsia="仿宋"/>
          <w:b w:val="0"/>
        </w:rPr>
        <w:t>支</w:t>
      </w:r>
      <w:r>
        <w:rPr>
          <w:rStyle w:val="26"/>
          <w:rFonts w:hint="eastAsia" w:ascii="仿宋" w:hAnsi="仿宋" w:eastAsia="仿宋"/>
          <w:b w:val="0"/>
          <w:bCs w:val="0"/>
        </w:rPr>
        <w:t>出决算表</w:t>
      </w:r>
      <w:bookmarkEnd w:id="102"/>
    </w:p>
    <w:p>
      <w:pPr>
        <w:pStyle w:val="5"/>
        <w:rPr>
          <w:rFonts w:ascii="仿宋" w:hAnsi="仿宋" w:eastAsia="仿宋"/>
          <w:b w:val="0"/>
        </w:rPr>
      </w:pPr>
      <w:bookmarkStart w:id="103" w:name="_Toc9497_WPSOffice_Level2"/>
      <w:r>
        <w:rPr>
          <w:rStyle w:val="26"/>
          <w:rFonts w:hint="eastAsia" w:ascii="仿宋" w:hAnsi="仿宋" w:eastAsia="仿宋"/>
          <w:b w:val="0"/>
          <w:bCs w:val="0"/>
        </w:rPr>
        <w:t>四、</w:t>
      </w:r>
      <w:r>
        <w:rPr>
          <w:rFonts w:hint="eastAsia" w:ascii="仿宋" w:hAnsi="仿宋" w:eastAsia="仿宋"/>
          <w:b w:val="0"/>
        </w:rPr>
        <w:t>财</w:t>
      </w:r>
      <w:r>
        <w:rPr>
          <w:rStyle w:val="26"/>
          <w:rFonts w:hint="eastAsia" w:ascii="仿宋" w:hAnsi="仿宋" w:eastAsia="仿宋"/>
          <w:b w:val="0"/>
          <w:bCs w:val="0"/>
        </w:rPr>
        <w:t>政拨款收入支出决算总表</w:t>
      </w:r>
      <w:bookmarkEnd w:id="103"/>
    </w:p>
    <w:p>
      <w:pPr>
        <w:pStyle w:val="5"/>
        <w:rPr>
          <w:rStyle w:val="26"/>
          <w:rFonts w:ascii="仿宋" w:hAnsi="仿宋" w:eastAsia="仿宋"/>
          <w:b w:val="0"/>
          <w:bCs w:val="0"/>
        </w:rPr>
      </w:pPr>
      <w:bookmarkStart w:id="104" w:name="_Toc31969_WPSOffice_Level2"/>
      <w:r>
        <w:rPr>
          <w:rStyle w:val="26"/>
          <w:rFonts w:hint="eastAsia" w:ascii="仿宋" w:hAnsi="仿宋" w:eastAsia="仿宋"/>
          <w:b w:val="0"/>
          <w:bCs w:val="0"/>
        </w:rPr>
        <w:t>五、</w:t>
      </w:r>
      <w:r>
        <w:rPr>
          <w:rFonts w:hint="eastAsia" w:ascii="仿宋" w:hAnsi="仿宋" w:eastAsia="仿宋"/>
          <w:b w:val="0"/>
        </w:rPr>
        <w:t>财</w:t>
      </w:r>
      <w:r>
        <w:rPr>
          <w:rStyle w:val="26"/>
          <w:rFonts w:hint="eastAsia" w:ascii="仿宋" w:hAnsi="仿宋" w:eastAsia="仿宋"/>
          <w:b w:val="0"/>
          <w:bCs w:val="0"/>
        </w:rPr>
        <w:t>政拨款支出决算明细表</w:t>
      </w:r>
      <w:bookmarkEnd w:id="104"/>
    </w:p>
    <w:p>
      <w:pPr>
        <w:pStyle w:val="5"/>
        <w:rPr>
          <w:rFonts w:ascii="仿宋" w:hAnsi="仿宋" w:eastAsia="仿宋"/>
        </w:rPr>
      </w:pPr>
      <w:bookmarkStart w:id="105" w:name="_Toc2318_WPSOffice_Level2"/>
      <w:r>
        <w:rPr>
          <w:rStyle w:val="26"/>
          <w:rFonts w:hint="eastAsia" w:ascii="仿宋" w:hAnsi="仿宋" w:eastAsia="仿宋"/>
          <w:b w:val="0"/>
          <w:bCs w:val="0"/>
        </w:rPr>
        <w:t>六、</w:t>
      </w:r>
      <w:r>
        <w:rPr>
          <w:rFonts w:hint="eastAsia" w:ascii="仿宋" w:hAnsi="仿宋" w:eastAsia="仿宋"/>
          <w:b w:val="0"/>
        </w:rPr>
        <w:t>一</w:t>
      </w:r>
      <w:r>
        <w:rPr>
          <w:rStyle w:val="26"/>
          <w:rFonts w:hint="eastAsia" w:ascii="仿宋" w:hAnsi="仿宋" w:eastAsia="仿宋"/>
          <w:b w:val="0"/>
          <w:bCs w:val="0"/>
        </w:rPr>
        <w:t>般公共预算财政拨款支出决算表</w:t>
      </w:r>
      <w:bookmarkEnd w:id="105"/>
    </w:p>
    <w:p>
      <w:pPr>
        <w:pStyle w:val="5"/>
        <w:rPr>
          <w:rFonts w:ascii="仿宋" w:hAnsi="仿宋" w:eastAsia="仿宋"/>
        </w:rPr>
      </w:pPr>
      <w:bookmarkStart w:id="106" w:name="_Toc16228_WPSOffice_Level2"/>
      <w:r>
        <w:rPr>
          <w:rStyle w:val="26"/>
          <w:rFonts w:hint="eastAsia" w:ascii="仿宋" w:hAnsi="仿宋" w:eastAsia="仿宋"/>
          <w:b w:val="0"/>
          <w:bCs w:val="0"/>
        </w:rPr>
        <w:t>七、</w:t>
      </w:r>
      <w:r>
        <w:rPr>
          <w:rFonts w:hint="eastAsia" w:ascii="仿宋" w:hAnsi="仿宋" w:eastAsia="仿宋"/>
          <w:b w:val="0"/>
        </w:rPr>
        <w:t>一</w:t>
      </w:r>
      <w:r>
        <w:rPr>
          <w:rStyle w:val="26"/>
          <w:rFonts w:hint="eastAsia" w:ascii="仿宋" w:hAnsi="仿宋" w:eastAsia="仿宋"/>
          <w:b w:val="0"/>
          <w:bCs w:val="0"/>
        </w:rPr>
        <w:t>般公共预算财政拨款支出决算明细表</w:t>
      </w:r>
      <w:bookmarkEnd w:id="106"/>
    </w:p>
    <w:p>
      <w:pPr>
        <w:pStyle w:val="5"/>
        <w:rPr>
          <w:rFonts w:ascii="仿宋" w:hAnsi="仿宋" w:eastAsia="仿宋"/>
        </w:rPr>
      </w:pPr>
      <w:bookmarkStart w:id="107" w:name="_Toc2942_WPSOffice_Level2"/>
      <w:r>
        <w:rPr>
          <w:rStyle w:val="26"/>
          <w:rFonts w:hint="eastAsia" w:ascii="仿宋" w:hAnsi="仿宋" w:eastAsia="仿宋"/>
          <w:b w:val="0"/>
          <w:bCs w:val="0"/>
        </w:rPr>
        <w:t>八、</w:t>
      </w:r>
      <w:r>
        <w:rPr>
          <w:rFonts w:hint="eastAsia" w:ascii="仿宋" w:hAnsi="仿宋" w:eastAsia="仿宋"/>
          <w:b w:val="0"/>
        </w:rPr>
        <w:t>一</w:t>
      </w:r>
      <w:r>
        <w:rPr>
          <w:rStyle w:val="26"/>
          <w:rFonts w:hint="eastAsia" w:ascii="仿宋" w:hAnsi="仿宋" w:eastAsia="仿宋"/>
          <w:b w:val="0"/>
          <w:bCs w:val="0"/>
        </w:rPr>
        <w:t>般公共预算财政拨款基本支出决算表</w:t>
      </w:r>
      <w:bookmarkEnd w:id="107"/>
    </w:p>
    <w:p>
      <w:pPr>
        <w:pStyle w:val="5"/>
        <w:rPr>
          <w:rFonts w:ascii="仿宋" w:hAnsi="仿宋" w:eastAsia="仿宋"/>
        </w:rPr>
      </w:pPr>
      <w:bookmarkStart w:id="108" w:name="_Toc6861_WPSOffice_Level2"/>
      <w:r>
        <w:rPr>
          <w:rStyle w:val="26"/>
          <w:rFonts w:hint="eastAsia" w:ascii="仿宋" w:hAnsi="仿宋" w:eastAsia="仿宋"/>
          <w:b w:val="0"/>
          <w:bCs w:val="0"/>
        </w:rPr>
        <w:t>九、</w:t>
      </w:r>
      <w:r>
        <w:rPr>
          <w:rFonts w:hint="eastAsia" w:ascii="仿宋" w:hAnsi="仿宋" w:eastAsia="仿宋"/>
          <w:b w:val="0"/>
        </w:rPr>
        <w:t>一</w:t>
      </w:r>
      <w:r>
        <w:rPr>
          <w:rStyle w:val="26"/>
          <w:rFonts w:hint="eastAsia" w:ascii="仿宋" w:hAnsi="仿宋" w:eastAsia="仿宋"/>
          <w:b w:val="0"/>
          <w:bCs w:val="0"/>
        </w:rPr>
        <w:t>般公共预算财政拨款项目支出决算表</w:t>
      </w:r>
      <w:bookmarkEnd w:id="108"/>
    </w:p>
    <w:p>
      <w:pPr>
        <w:pStyle w:val="5"/>
        <w:rPr>
          <w:rFonts w:ascii="仿宋" w:hAnsi="仿宋" w:eastAsia="仿宋"/>
        </w:rPr>
      </w:pPr>
      <w:bookmarkStart w:id="109" w:name="_Toc3897_WPSOffice_Level2"/>
      <w:r>
        <w:rPr>
          <w:rStyle w:val="26"/>
          <w:rFonts w:hint="eastAsia" w:ascii="仿宋" w:hAnsi="仿宋" w:eastAsia="仿宋"/>
          <w:b w:val="0"/>
          <w:bCs w:val="0"/>
        </w:rPr>
        <w:t>十、</w:t>
      </w:r>
      <w:r>
        <w:rPr>
          <w:rFonts w:hint="eastAsia" w:ascii="仿宋" w:hAnsi="仿宋" w:eastAsia="仿宋"/>
          <w:b w:val="0"/>
        </w:rPr>
        <w:t>一</w:t>
      </w:r>
      <w:r>
        <w:rPr>
          <w:rStyle w:val="26"/>
          <w:rFonts w:hint="eastAsia" w:ascii="仿宋" w:hAnsi="仿宋" w:eastAsia="仿宋"/>
          <w:b w:val="0"/>
          <w:bCs w:val="0"/>
        </w:rPr>
        <w:t>般公共预算财政拨款“三公”经费支出决算表</w:t>
      </w:r>
      <w:bookmarkEnd w:id="109"/>
    </w:p>
    <w:p>
      <w:pPr>
        <w:pStyle w:val="5"/>
        <w:rPr>
          <w:rFonts w:ascii="仿宋" w:hAnsi="仿宋" w:eastAsia="仿宋"/>
        </w:rPr>
      </w:pPr>
      <w:bookmarkStart w:id="110" w:name="_Toc4960_WPSOffice_Level2"/>
      <w:r>
        <w:rPr>
          <w:rStyle w:val="26"/>
          <w:rFonts w:hint="eastAsia" w:ascii="仿宋" w:hAnsi="仿宋" w:eastAsia="仿宋"/>
          <w:b w:val="0"/>
          <w:bCs w:val="0"/>
        </w:rPr>
        <w:t>十一、</w:t>
      </w:r>
      <w:r>
        <w:rPr>
          <w:rFonts w:hint="eastAsia" w:ascii="仿宋" w:hAnsi="仿宋" w:eastAsia="仿宋"/>
          <w:b w:val="0"/>
        </w:rPr>
        <w:t>政</w:t>
      </w:r>
      <w:r>
        <w:rPr>
          <w:rStyle w:val="26"/>
          <w:rFonts w:hint="eastAsia" w:ascii="仿宋" w:hAnsi="仿宋" w:eastAsia="仿宋"/>
          <w:b w:val="0"/>
          <w:bCs w:val="0"/>
        </w:rPr>
        <w:t>府性基金预算财政拨款收入支出决算表</w:t>
      </w:r>
      <w:bookmarkEnd w:id="110"/>
    </w:p>
    <w:p>
      <w:pPr>
        <w:pStyle w:val="5"/>
        <w:rPr>
          <w:rFonts w:ascii="仿宋" w:hAnsi="仿宋" w:eastAsia="仿宋"/>
        </w:rPr>
      </w:pPr>
      <w:bookmarkStart w:id="111" w:name="_Toc18781_WPSOffice_Level2"/>
      <w:r>
        <w:rPr>
          <w:rStyle w:val="26"/>
          <w:rFonts w:hint="eastAsia" w:ascii="仿宋" w:hAnsi="仿宋" w:eastAsia="仿宋"/>
          <w:b w:val="0"/>
          <w:bCs w:val="0"/>
        </w:rPr>
        <w:t>十二、</w:t>
      </w:r>
      <w:r>
        <w:rPr>
          <w:rFonts w:hint="eastAsia" w:ascii="仿宋" w:hAnsi="仿宋" w:eastAsia="仿宋"/>
          <w:b w:val="0"/>
        </w:rPr>
        <w:t>政</w:t>
      </w:r>
      <w:r>
        <w:rPr>
          <w:rStyle w:val="26"/>
          <w:rFonts w:hint="eastAsia" w:ascii="仿宋" w:hAnsi="仿宋" w:eastAsia="仿宋"/>
          <w:b w:val="0"/>
          <w:bCs w:val="0"/>
        </w:rPr>
        <w:t>府性基金预算财政拨款“三公”经费支出决算表</w:t>
      </w:r>
      <w:bookmarkEnd w:id="111"/>
    </w:p>
    <w:p>
      <w:pPr>
        <w:pStyle w:val="5"/>
        <w:rPr>
          <w:rStyle w:val="26"/>
          <w:rFonts w:ascii="仿宋" w:hAnsi="仿宋" w:eastAsia="仿宋"/>
          <w:b w:val="0"/>
          <w:bCs w:val="0"/>
        </w:rPr>
      </w:pPr>
      <w:bookmarkStart w:id="112" w:name="_Toc27647_WPSOffice_Level2"/>
      <w:r>
        <w:rPr>
          <w:rStyle w:val="26"/>
          <w:rFonts w:hint="eastAsia" w:ascii="仿宋" w:hAnsi="仿宋" w:eastAsia="仿宋"/>
          <w:b w:val="0"/>
          <w:bCs w:val="0"/>
        </w:rPr>
        <w:t>十三、</w:t>
      </w:r>
      <w:r>
        <w:rPr>
          <w:rFonts w:hint="eastAsia" w:ascii="仿宋" w:hAnsi="仿宋" w:eastAsia="仿宋"/>
          <w:b w:val="0"/>
        </w:rPr>
        <w:t>国</w:t>
      </w:r>
      <w:r>
        <w:rPr>
          <w:rStyle w:val="26"/>
          <w:rFonts w:hint="eastAsia" w:ascii="仿宋" w:hAnsi="仿宋" w:eastAsia="仿宋"/>
          <w:b w:val="0"/>
          <w:bCs w:val="0"/>
        </w:rPr>
        <w:t>有资本经营预算财政拨款收入支出决算表</w:t>
      </w:r>
      <w:bookmarkEnd w:id="112"/>
    </w:p>
    <w:p>
      <w:pPr>
        <w:rPr>
          <w:rFonts w:eastAsia="仿宋"/>
        </w:rPr>
      </w:pPr>
      <w:bookmarkStart w:id="113" w:name="_Toc21115_WPSOffice_Level2"/>
      <w:r>
        <w:rPr>
          <w:rStyle w:val="26"/>
          <w:rFonts w:hint="eastAsia" w:ascii="仿宋" w:hAnsi="仿宋" w:eastAsia="仿宋"/>
          <w:b w:val="0"/>
          <w:bCs w:val="0"/>
        </w:rPr>
        <w:t>十四、国有资本经营预算财政拨款支出决算表</w:t>
      </w:r>
      <w:bookmarkEnd w:id="99"/>
      <w:bookmarkEnd w:id="113"/>
    </w:p>
    <w:sectPr>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3000509000000000000"/>
    <w:charset w:val="86"/>
    <w:family w:val="script"/>
    <w:pitch w:val="default"/>
    <w:sig w:usb0="00000000" w:usb1="00000000" w:usb2="00000000" w:usb3="00000000" w:csb0="00040000"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Content>
      <w:p>
        <w:pPr>
          <w:pStyle w:val="9"/>
          <w:jc w:val="center"/>
        </w:pPr>
        <w:r>
          <w:fldChar w:fldCharType="begin"/>
        </w:r>
        <w:r>
          <w:instrText xml:space="preserve">PAGE   \* MERGEFORMAT</w:instrText>
        </w:r>
        <w:r>
          <w:fldChar w:fldCharType="separate"/>
        </w:r>
        <w:r>
          <w:rPr>
            <w:lang w:val="zh-CN"/>
          </w:rPr>
          <w:t>35</w:t>
        </w:r>
        <w:r>
          <w:fldChar w:fldCharType="end"/>
        </w:r>
      </w:p>
    </w:sdtContent>
  </w:sdt>
  <w:p>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2FA047D"/>
    <w:multiLevelType w:val="singleLevel"/>
    <w:tmpl w:val="E2FA047D"/>
    <w:lvl w:ilvl="0" w:tentative="0">
      <w:start w:val="3"/>
      <w:numFmt w:val="chineseCounting"/>
      <w:suff w:val="space"/>
      <w:lvlText w:val="第%1部分"/>
      <w:lvlJc w:val="left"/>
      <w:rPr>
        <w:rFonts w:hint="eastAsia" w:ascii="黑体" w:hAnsi="黑体" w:eastAsia="黑体" w:cs="黑体"/>
        <w:sz w:val="44"/>
        <w:szCs w:val="44"/>
      </w:rPr>
    </w:lvl>
  </w:abstractNum>
  <w:abstractNum w:abstractNumId="1">
    <w:nsid w:val="E49E72A1"/>
    <w:multiLevelType w:val="singleLevel"/>
    <w:tmpl w:val="E49E72A1"/>
    <w:lvl w:ilvl="0" w:tentative="0">
      <w:start w:val="1"/>
      <w:numFmt w:val="chineseCounting"/>
      <w:suff w:val="nothing"/>
      <w:lvlText w:val="%1、"/>
      <w:lvlJc w:val="left"/>
      <w:rPr>
        <w:rFonts w:hint="eastAsia"/>
      </w:rPr>
    </w:lvl>
  </w:abstractNum>
  <w:abstractNum w:abstractNumId="2">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3">
    <w:nsid w:val="3064A595"/>
    <w:multiLevelType w:val="singleLevel"/>
    <w:tmpl w:val="3064A595"/>
    <w:lvl w:ilvl="0" w:tentative="0">
      <w:start w:val="1"/>
      <w:numFmt w:val="chineseCounting"/>
      <w:suff w:val="nothing"/>
      <w:lvlText w:val="%1、"/>
      <w:lvlJc w:val="left"/>
      <w:rPr>
        <w:rFonts w:hint="eastAsia" w:cs="Times New Roman"/>
      </w:rPr>
    </w:lvl>
  </w:abstractNum>
  <w:abstractNum w:abstractNumId="4">
    <w:nsid w:val="37FA1F8D"/>
    <w:multiLevelType w:val="singleLevel"/>
    <w:tmpl w:val="37FA1F8D"/>
    <w:lvl w:ilvl="0" w:tentative="0">
      <w:start w:val="1"/>
      <w:numFmt w:val="decimal"/>
      <w:lvlText w:val="%1."/>
      <w:lvlJc w:val="left"/>
      <w:pPr>
        <w:tabs>
          <w:tab w:val="left" w:pos="312"/>
        </w:tabs>
        <w:ind w:left="407"/>
      </w:pPr>
    </w:lvl>
  </w:abstractNum>
  <w:abstractNum w:abstractNumId="5">
    <w:nsid w:val="71F91FD7"/>
    <w:multiLevelType w:val="multilevel"/>
    <w:tmpl w:val="71F91FD7"/>
    <w:lvl w:ilvl="0" w:tentative="0">
      <w:start w:val="10"/>
      <w:numFmt w:val="japaneseCounting"/>
      <w:lvlText w:val="%1、"/>
      <w:lvlJc w:val="left"/>
      <w:pPr>
        <w:ind w:left="1360" w:hanging="72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1"/>
  </w:num>
  <w:num w:numId="2">
    <w:abstractNumId w:val="2"/>
  </w:num>
  <w:num w:numId="3">
    <w:abstractNumId w:val="4"/>
  </w:num>
  <w:num w:numId="4">
    <w:abstractNumId w:val="5"/>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doNotDisplayPageBoundaries w:val="1"/>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TIxMTM0Mjk0OTNmMjRmZGUwNzA2ZWIxMGY2MDU2ZTEifQ=="/>
  </w:docVars>
  <w:rsids>
    <w:rsidRoot w:val="00F1361C"/>
    <w:rsid w:val="000222C6"/>
    <w:rsid w:val="0002549F"/>
    <w:rsid w:val="000468DB"/>
    <w:rsid w:val="0006487A"/>
    <w:rsid w:val="00065F8F"/>
    <w:rsid w:val="00070A43"/>
    <w:rsid w:val="000768F2"/>
    <w:rsid w:val="0007720E"/>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74E20"/>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92D20"/>
    <w:rsid w:val="003A484F"/>
    <w:rsid w:val="003A4883"/>
    <w:rsid w:val="003B0BE0"/>
    <w:rsid w:val="003B0C1B"/>
    <w:rsid w:val="003B688C"/>
    <w:rsid w:val="003C0291"/>
    <w:rsid w:val="003C39AE"/>
    <w:rsid w:val="003C7B60"/>
    <w:rsid w:val="003D0C0F"/>
    <w:rsid w:val="003D1FB2"/>
    <w:rsid w:val="003D66DA"/>
    <w:rsid w:val="003E1310"/>
    <w:rsid w:val="003E5CB4"/>
    <w:rsid w:val="003E6F55"/>
    <w:rsid w:val="00406254"/>
    <w:rsid w:val="004223DE"/>
    <w:rsid w:val="00434489"/>
    <w:rsid w:val="00437085"/>
    <w:rsid w:val="00443880"/>
    <w:rsid w:val="004464F4"/>
    <w:rsid w:val="00454EE6"/>
    <w:rsid w:val="00471401"/>
    <w:rsid w:val="00473F31"/>
    <w:rsid w:val="0048263A"/>
    <w:rsid w:val="00487E5D"/>
    <w:rsid w:val="00496AB3"/>
    <w:rsid w:val="004A711F"/>
    <w:rsid w:val="004B199D"/>
    <w:rsid w:val="004B4690"/>
    <w:rsid w:val="004E0A2D"/>
    <w:rsid w:val="004E206B"/>
    <w:rsid w:val="004E6DF7"/>
    <w:rsid w:val="004F0FBD"/>
    <w:rsid w:val="00505A47"/>
    <w:rsid w:val="00512FDA"/>
    <w:rsid w:val="00520DA0"/>
    <w:rsid w:val="0054341B"/>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6F3AC7"/>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609F9"/>
    <w:rsid w:val="00871F71"/>
    <w:rsid w:val="00872FD8"/>
    <w:rsid w:val="008844D5"/>
    <w:rsid w:val="00885AF4"/>
    <w:rsid w:val="008939CD"/>
    <w:rsid w:val="008B768C"/>
    <w:rsid w:val="008C4DB1"/>
    <w:rsid w:val="008C4EAF"/>
    <w:rsid w:val="008C5176"/>
    <w:rsid w:val="008C7FD0"/>
    <w:rsid w:val="008E1DE7"/>
    <w:rsid w:val="008E707C"/>
    <w:rsid w:val="008F4605"/>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57CE8"/>
    <w:rsid w:val="00A67AB5"/>
    <w:rsid w:val="00A733B2"/>
    <w:rsid w:val="00A741C2"/>
    <w:rsid w:val="00A774A1"/>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38A5"/>
    <w:rsid w:val="00B35F3F"/>
    <w:rsid w:val="00B36CBB"/>
    <w:rsid w:val="00B425E0"/>
    <w:rsid w:val="00B440AA"/>
    <w:rsid w:val="00B44B70"/>
    <w:rsid w:val="00B53C56"/>
    <w:rsid w:val="00B57DAF"/>
    <w:rsid w:val="00B77EA6"/>
    <w:rsid w:val="00B81598"/>
    <w:rsid w:val="00B841F1"/>
    <w:rsid w:val="00B944D6"/>
    <w:rsid w:val="00BA5B5B"/>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65748"/>
    <w:rsid w:val="00C87FD8"/>
    <w:rsid w:val="00C91381"/>
    <w:rsid w:val="00C91CBB"/>
    <w:rsid w:val="00CA6A66"/>
    <w:rsid w:val="00CB4E70"/>
    <w:rsid w:val="00CC09B6"/>
    <w:rsid w:val="00CC666F"/>
    <w:rsid w:val="00CD1E3F"/>
    <w:rsid w:val="00CD66D3"/>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B6D64"/>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68DF"/>
    <w:rsid w:val="00E64269"/>
    <w:rsid w:val="00E82267"/>
    <w:rsid w:val="00E853CE"/>
    <w:rsid w:val="00E867B6"/>
    <w:rsid w:val="00EA010F"/>
    <w:rsid w:val="00EC1B66"/>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A2032A3"/>
    <w:rsid w:val="0B8A37D8"/>
    <w:rsid w:val="10C055FF"/>
    <w:rsid w:val="118107EC"/>
    <w:rsid w:val="11DD6519"/>
    <w:rsid w:val="15254FA1"/>
    <w:rsid w:val="16BB723D"/>
    <w:rsid w:val="18015F3F"/>
    <w:rsid w:val="1BE8440E"/>
    <w:rsid w:val="1D155CEE"/>
    <w:rsid w:val="20F57F95"/>
    <w:rsid w:val="240371BF"/>
    <w:rsid w:val="25C741E6"/>
    <w:rsid w:val="27842671"/>
    <w:rsid w:val="29FD04D3"/>
    <w:rsid w:val="2ABE7A3E"/>
    <w:rsid w:val="2EFA178C"/>
    <w:rsid w:val="30B46D73"/>
    <w:rsid w:val="319F7F4E"/>
    <w:rsid w:val="39AE70AB"/>
    <w:rsid w:val="3C0C0783"/>
    <w:rsid w:val="3F9F3A96"/>
    <w:rsid w:val="423F753C"/>
    <w:rsid w:val="493C27E9"/>
    <w:rsid w:val="496F39ED"/>
    <w:rsid w:val="49FF41D3"/>
    <w:rsid w:val="4BE068DB"/>
    <w:rsid w:val="4BF6002B"/>
    <w:rsid w:val="4ECE2238"/>
    <w:rsid w:val="51DB4B86"/>
    <w:rsid w:val="529B2583"/>
    <w:rsid w:val="55333C3E"/>
    <w:rsid w:val="5E8D0A55"/>
    <w:rsid w:val="64CA39A1"/>
    <w:rsid w:val="67D34036"/>
    <w:rsid w:val="6B483709"/>
    <w:rsid w:val="6C4A05C8"/>
    <w:rsid w:val="72734D90"/>
    <w:rsid w:val="75642836"/>
    <w:rsid w:val="79E7B28D"/>
    <w:rsid w:val="7F9F20EE"/>
    <w:rsid w:val="9E3A10E2"/>
    <w:rsid w:val="F2E1F9D4"/>
    <w:rsid w:val="F7880819"/>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25"/>
    <w:qFormat/>
    <w:uiPriority w:val="9"/>
    <w:pPr>
      <w:keepNext/>
      <w:keepLines/>
      <w:spacing w:before="340" w:after="330" w:line="578" w:lineRule="auto"/>
      <w:outlineLvl w:val="0"/>
    </w:pPr>
    <w:rPr>
      <w:b/>
      <w:bCs/>
      <w:kern w:val="44"/>
      <w:sz w:val="44"/>
      <w:szCs w:val="44"/>
    </w:rPr>
  </w:style>
  <w:style w:type="paragraph" w:styleId="5">
    <w:name w:val="heading 2"/>
    <w:basedOn w:val="1"/>
    <w:next w:val="1"/>
    <w:link w:val="26"/>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6">
    <w:name w:val="heading 3"/>
    <w:basedOn w:val="1"/>
    <w:next w:val="1"/>
    <w:link w:val="29"/>
    <w:unhideWhenUsed/>
    <w:qFormat/>
    <w:uiPriority w:val="9"/>
    <w:pPr>
      <w:keepNext/>
      <w:keepLines/>
      <w:spacing w:before="260" w:after="260" w:line="416" w:lineRule="auto"/>
      <w:outlineLvl w:val="2"/>
    </w:pPr>
    <w:rPr>
      <w:b/>
      <w:bCs/>
      <w:sz w:val="32"/>
      <w:szCs w:val="32"/>
    </w:rPr>
  </w:style>
  <w:style w:type="character" w:default="1" w:styleId="14">
    <w:name w:val="Default Paragraph Font"/>
    <w:semiHidden/>
    <w:unhideWhenUsed/>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link w:val="22"/>
    <w:qFormat/>
    <w:uiPriority w:val="99"/>
    <w:pPr>
      <w:spacing w:beforeLines="30"/>
    </w:pPr>
    <w:rPr>
      <w:rFonts w:ascii="仿宋_GB2312" w:eastAsia="仿宋_GB2312"/>
      <w:kern w:val="0"/>
      <w:sz w:val="30"/>
    </w:rPr>
  </w:style>
  <w:style w:type="paragraph" w:styleId="3">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7">
    <w:name w:val="toc 3"/>
    <w:basedOn w:val="1"/>
    <w:next w:val="1"/>
    <w:unhideWhenUsed/>
    <w:qFormat/>
    <w:uiPriority w:val="39"/>
    <w:pPr>
      <w:tabs>
        <w:tab w:val="right" w:leader="dot" w:pos="8296"/>
      </w:tabs>
      <w:ind w:left="840" w:leftChars="400"/>
    </w:pPr>
  </w:style>
  <w:style w:type="paragraph" w:styleId="8">
    <w:name w:val="Balloon Text"/>
    <w:basedOn w:val="1"/>
    <w:link w:val="28"/>
    <w:semiHidden/>
    <w:unhideWhenUsed/>
    <w:qFormat/>
    <w:uiPriority w:val="99"/>
    <w:rPr>
      <w:sz w:val="18"/>
      <w:szCs w:val="18"/>
    </w:rPr>
  </w:style>
  <w:style w:type="paragraph" w:styleId="9">
    <w:name w:val="footer"/>
    <w:basedOn w:val="1"/>
    <w:link w:val="20"/>
    <w:qFormat/>
    <w:uiPriority w:val="99"/>
    <w:pPr>
      <w:tabs>
        <w:tab w:val="center" w:pos="4153"/>
        <w:tab w:val="right" w:pos="8306"/>
      </w:tabs>
      <w:snapToGrid w:val="0"/>
      <w:jc w:val="left"/>
    </w:pPr>
    <w:rPr>
      <w:rFonts w:ascii="Calibri" w:hAnsi="Calibri"/>
      <w:kern w:val="0"/>
      <w:sz w:val="18"/>
      <w:szCs w:val="18"/>
    </w:rPr>
  </w:style>
  <w:style w:type="paragraph" w:styleId="10">
    <w:name w:val="header"/>
    <w:basedOn w:val="1"/>
    <w:link w:val="18"/>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1">
    <w:name w:val="toc 2"/>
    <w:basedOn w:val="1"/>
    <w:next w:val="1"/>
    <w:unhideWhenUsed/>
    <w:qFormat/>
    <w:uiPriority w:val="39"/>
    <w:pPr>
      <w:tabs>
        <w:tab w:val="right" w:leader="dot" w:pos="8296"/>
      </w:tabs>
      <w:ind w:left="420" w:leftChars="200"/>
    </w:pPr>
  </w:style>
  <w:style w:type="paragraph" w:styleId="12">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15">
    <w:name w:val="Strong"/>
    <w:basedOn w:val="14"/>
    <w:qFormat/>
    <w:uiPriority w:val="99"/>
    <w:rPr>
      <w:b/>
    </w:rPr>
  </w:style>
  <w:style w:type="character" w:styleId="16">
    <w:name w:val="Hyperlink"/>
    <w:basedOn w:val="14"/>
    <w:unhideWhenUsed/>
    <w:qFormat/>
    <w:uiPriority w:val="99"/>
    <w:rPr>
      <w:color w:val="0000FF" w:themeColor="hyperlink"/>
      <w:u w:val="single"/>
    </w:rPr>
  </w:style>
  <w:style w:type="character" w:customStyle="1" w:styleId="17">
    <w:name w:val="Header Char"/>
    <w:basedOn w:val="14"/>
    <w:semiHidden/>
    <w:qFormat/>
    <w:uiPriority w:val="99"/>
    <w:rPr>
      <w:rFonts w:ascii="Times New Roman" w:hAnsi="Times New Roman"/>
      <w:sz w:val="18"/>
      <w:szCs w:val="18"/>
    </w:rPr>
  </w:style>
  <w:style w:type="character" w:customStyle="1" w:styleId="18">
    <w:name w:val="页眉 Char"/>
    <w:link w:val="10"/>
    <w:semiHidden/>
    <w:qFormat/>
    <w:locked/>
    <w:uiPriority w:val="99"/>
    <w:rPr>
      <w:sz w:val="18"/>
    </w:rPr>
  </w:style>
  <w:style w:type="character" w:customStyle="1" w:styleId="19">
    <w:name w:val="Footer Char"/>
    <w:basedOn w:val="14"/>
    <w:semiHidden/>
    <w:qFormat/>
    <w:uiPriority w:val="99"/>
    <w:rPr>
      <w:rFonts w:ascii="Times New Roman" w:hAnsi="Times New Roman"/>
      <w:sz w:val="18"/>
      <w:szCs w:val="18"/>
    </w:rPr>
  </w:style>
  <w:style w:type="character" w:customStyle="1" w:styleId="20">
    <w:name w:val="页脚 Char"/>
    <w:link w:val="9"/>
    <w:qFormat/>
    <w:locked/>
    <w:uiPriority w:val="99"/>
    <w:rPr>
      <w:sz w:val="18"/>
    </w:rPr>
  </w:style>
  <w:style w:type="character" w:customStyle="1" w:styleId="21">
    <w:name w:val="Body Text Char"/>
    <w:basedOn w:val="14"/>
    <w:semiHidden/>
    <w:qFormat/>
    <w:uiPriority w:val="99"/>
    <w:rPr>
      <w:rFonts w:ascii="Times New Roman" w:hAnsi="Times New Roman"/>
      <w:szCs w:val="24"/>
    </w:rPr>
  </w:style>
  <w:style w:type="character" w:customStyle="1" w:styleId="22">
    <w:name w:val="正文文本 Char"/>
    <w:link w:val="2"/>
    <w:qFormat/>
    <w:locked/>
    <w:uiPriority w:val="99"/>
    <w:rPr>
      <w:rFonts w:ascii="仿宋_GB2312" w:hAnsi="Times New Roman" w:eastAsia="仿宋_GB2312"/>
      <w:sz w:val="24"/>
    </w:rPr>
  </w:style>
  <w:style w:type="paragraph" w:customStyle="1" w:styleId="23">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4">
    <w:name w:val="List Paragraph"/>
    <w:basedOn w:val="1"/>
    <w:qFormat/>
    <w:uiPriority w:val="34"/>
    <w:pPr>
      <w:ind w:firstLine="420" w:firstLineChars="200"/>
    </w:pPr>
  </w:style>
  <w:style w:type="character" w:customStyle="1" w:styleId="25">
    <w:name w:val="标题 1 Char"/>
    <w:basedOn w:val="14"/>
    <w:link w:val="4"/>
    <w:qFormat/>
    <w:uiPriority w:val="9"/>
    <w:rPr>
      <w:rFonts w:ascii="Times New Roman" w:hAnsi="Times New Roman"/>
      <w:b/>
      <w:bCs/>
      <w:kern w:val="44"/>
      <w:sz w:val="44"/>
      <w:szCs w:val="44"/>
    </w:rPr>
  </w:style>
  <w:style w:type="character" w:customStyle="1" w:styleId="26">
    <w:name w:val="标题 2 Char"/>
    <w:basedOn w:val="14"/>
    <w:link w:val="5"/>
    <w:qFormat/>
    <w:uiPriority w:val="9"/>
    <w:rPr>
      <w:rFonts w:asciiTheme="majorHAnsi" w:hAnsiTheme="majorHAnsi" w:eastAsiaTheme="majorEastAsia" w:cstheme="majorBidi"/>
      <w:b/>
      <w:bCs/>
      <w:kern w:val="2"/>
      <w:sz w:val="32"/>
      <w:szCs w:val="32"/>
    </w:rPr>
  </w:style>
  <w:style w:type="paragraph" w:customStyle="1" w:styleId="27">
    <w:name w:val="TOC 标题1"/>
    <w:basedOn w:val="4"/>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character" w:customStyle="1" w:styleId="28">
    <w:name w:val="批注框文本 Char"/>
    <w:basedOn w:val="14"/>
    <w:link w:val="8"/>
    <w:semiHidden/>
    <w:qFormat/>
    <w:uiPriority w:val="99"/>
    <w:rPr>
      <w:rFonts w:ascii="Times New Roman" w:hAnsi="Times New Roman"/>
      <w:kern w:val="2"/>
      <w:sz w:val="18"/>
      <w:szCs w:val="18"/>
    </w:rPr>
  </w:style>
  <w:style w:type="character" w:customStyle="1" w:styleId="29">
    <w:name w:val="标题 3 Char"/>
    <w:basedOn w:val="14"/>
    <w:link w:val="6"/>
    <w:qFormat/>
    <w:uiPriority w:val="9"/>
    <w:rPr>
      <w:rFonts w:ascii="Times New Roman" w:hAnsi="Times New Roman"/>
      <w:b/>
      <w:bCs/>
      <w:kern w:val="2"/>
      <w:sz w:val="32"/>
      <w:szCs w:val="32"/>
    </w:rPr>
  </w:style>
  <w:style w:type="paragraph" w:customStyle="1" w:styleId="30">
    <w:name w:val="TOC 标题2"/>
    <w:basedOn w:val="4"/>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paragraph" w:customStyle="1" w:styleId="31">
    <w:name w:val="正文-公1"/>
    <w:basedOn w:val="1"/>
    <w:qFormat/>
    <w:uiPriority w:val="99"/>
    <w:pPr>
      <w:ind w:firstLine="200" w:firstLineChars="200"/>
    </w:pPr>
  </w:style>
  <w:style w:type="paragraph" w:customStyle="1" w:styleId="32">
    <w:name w:val="WPSOffice手动目录 1"/>
    <w:qFormat/>
    <w:uiPriority w:val="0"/>
    <w:rPr>
      <w:rFonts w:asciiTheme="minorHAnsi" w:hAnsiTheme="minorHAnsi" w:eastAsiaTheme="minorEastAsia" w:cstheme="minorBidi"/>
      <w:lang w:val="en-US" w:eastAsia="zh-CN" w:bidi="ar-SA"/>
    </w:rPr>
  </w:style>
  <w:style w:type="paragraph" w:customStyle="1" w:styleId="33">
    <w:name w:val="WPSOffice手动目录 2"/>
    <w:qFormat/>
    <w:uiPriority w:val="0"/>
    <w:pPr>
      <w:ind w:left="200" w:leftChars="200"/>
    </w:pPr>
    <w:rPr>
      <w:rFonts w:asciiTheme="minorHAnsi" w:hAnsiTheme="minorHAnsi" w:eastAsiaTheme="minorEastAsia" w:cstheme="minorBidi"/>
      <w:lang w:val="en-US" w:eastAsia="zh-CN" w:bidi="ar-SA"/>
    </w:rPr>
  </w:style>
  <w:style w:type="paragraph" w:customStyle="1" w:styleId="34">
    <w:name w:val="〖C01〗正文"/>
    <w:uiPriority w:val="99"/>
    <w:pPr>
      <w:widowControl w:val="0"/>
      <w:topLinePunct/>
      <w:spacing w:line="600" w:lineRule="exact"/>
      <w:ind w:firstLine="637" w:firstLineChars="200"/>
    </w:pPr>
    <w:rPr>
      <w:rFonts w:ascii="仿宋_GB2312" w:hAnsi="Calibri" w:eastAsia="仿宋_GB2312" w:cs="Times New Roman"/>
      <w:kern w:val="2"/>
      <w:sz w:val="32"/>
      <w:szCs w:val="3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hart" Target="charts/chart7.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Administrator\Desktop\&#20851;&#20110;&#24320;&#23637;2021&#24180;&#37096;&#38376;&#20915;&#31639;&#20844;&#24320;&#30340;&#36890;&#30693;\2020&#24180;&#20915;&#31639;&#20844;&#24320;&#38468;&#22270;(&#27169;&#26495;)&#20165;&#20379;&#21442;&#32771;.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Administrator\Desktop\&#20851;&#20110;&#24320;&#23637;2021&#24180;&#37096;&#38376;&#20915;&#31639;&#20844;&#24320;&#30340;&#36890;&#30693;\2020&#24180;&#20915;&#31639;&#20844;&#24320;&#38468;&#22270;(&#27169;&#26495;)&#20165;&#20379;&#21442;&#32771;.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Administrator\Desktop\&#20851;&#20110;&#24320;&#23637;2021&#24180;&#37096;&#38376;&#20915;&#31639;&#20844;&#24320;&#30340;&#36890;&#30693;\2020&#24180;&#20915;&#31639;&#20844;&#24320;&#38468;&#22270;(&#27169;&#26495;)&#20165;&#20379;&#21442;&#32771;.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Administrator\Desktop\&#20851;&#20110;&#24320;&#23637;2021&#24180;&#37096;&#38376;&#20915;&#31639;&#20844;&#24320;&#30340;&#36890;&#30693;\2020&#24180;&#20915;&#31639;&#20844;&#24320;&#38468;&#22270;(&#27169;&#26495;)&#20165;&#20379;&#21442;&#32771;.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Administrator\Desktop\&#20851;&#20110;&#24320;&#23637;2021&#24180;&#37096;&#38376;&#20915;&#31639;&#20844;&#24320;&#30340;&#36890;&#30693;\2020&#24180;&#20915;&#31639;&#20844;&#24320;&#38468;&#22270;(&#27169;&#26495;)&#20165;&#20379;&#21442;&#32771;.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Administrator\Desktop\&#20851;&#20110;&#24320;&#23637;2021&#24180;&#37096;&#38376;&#20915;&#31639;&#20844;&#24320;&#30340;&#36890;&#30693;\2020&#24180;&#20915;&#31639;&#20844;&#24320;&#38468;&#22270;(&#27169;&#26495;)&#20165;&#20379;&#21442;&#32771;.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C:\Users\Administrator\Desktop\&#20851;&#20110;&#24320;&#23637;2021&#24180;&#37096;&#38376;&#20915;&#31639;&#20844;&#24320;&#30340;&#36890;&#30693;\2020&#24180;&#20915;&#31639;&#20844;&#24320;&#38468;&#22270;(&#27169;&#26495;)&#20165;&#20379;&#21442;&#3277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800" b="1" i="0" u="none" strike="noStrike" kern="1200" baseline="0">
                <a:solidFill>
                  <a:schemeClr val="dk1"/>
                </a:solidFill>
                <a:latin typeface="+mn-lt"/>
                <a:ea typeface="+mn-ea"/>
                <a:cs typeface="+mn-cs"/>
              </a:defRPr>
            </a:pPr>
            <a:r>
              <a:rPr lang="zh-CN"/>
              <a:t>图</a:t>
            </a:r>
            <a:r>
              <a:rPr lang="en-US"/>
              <a:t>1</a:t>
            </a:r>
            <a:r>
              <a:rPr lang="zh-CN"/>
              <a:t>：收、支决算总计变动情况图</a:t>
            </a:r>
            <a:endParaRPr lang="zh-CN"/>
          </a:p>
        </c:rich>
      </c:tx>
      <c:layout/>
      <c:overlay val="0"/>
    </c:title>
    <c:autoTitleDeleted val="0"/>
    <c:plotArea>
      <c:layout/>
      <c:barChart>
        <c:barDir val="col"/>
        <c:grouping val="clustered"/>
        <c:varyColors val="0"/>
        <c:ser>
          <c:idx val="0"/>
          <c:order val="0"/>
          <c:tx>
            <c:strRef>
              <c:f>收、支决算总体变动情况图1!$C$13</c:f>
              <c:strCache>
                <c:ptCount val="1"/>
                <c:pt idx="0">
                  <c:v>金额</c:v>
                </c:pt>
              </c:strCache>
            </c:strRef>
          </c:tx>
          <c:invertIfNegative val="0"/>
          <c:dPt>
            <c:idx val="1"/>
            <c:invertIfNegative val="0"/>
            <c:bubble3D val="0"/>
            <c:spPr>
              <a:solidFill>
                <a:schemeClr val="accent2"/>
              </a:solidFill>
              <a:ln w="25400" cap="flat" cmpd="sng" algn="ctr">
                <a:solidFill>
                  <a:schemeClr val="accent2">
                    <a:shade val="50000"/>
                  </a:schemeClr>
                </a:solidFill>
                <a:prstDash val="solid"/>
              </a:ln>
              <a:effectLst/>
            </c:spPr>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dk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收、支决算总体变动情况图1!$B$14:$B$15</c:f>
              <c:strCache>
                <c:ptCount val="2"/>
                <c:pt idx="0">
                  <c:v>2020年</c:v>
                </c:pt>
                <c:pt idx="1">
                  <c:v>2021年</c:v>
                </c:pt>
              </c:strCache>
            </c:strRef>
          </c:cat>
          <c:val>
            <c:numRef>
              <c:f>收、支决算总体变动情况图1!$C$14:$C$15</c:f>
              <c:numCache>
                <c:formatCode>General</c:formatCode>
                <c:ptCount val="2"/>
                <c:pt idx="0">
                  <c:v>1434.48</c:v>
                </c:pt>
                <c:pt idx="1">
                  <c:v>1337.19</c:v>
                </c:pt>
              </c:numCache>
            </c:numRef>
          </c:val>
        </c:ser>
        <c:dLbls>
          <c:showLegendKey val="0"/>
          <c:showVal val="1"/>
          <c:showCatName val="0"/>
          <c:showSerName val="0"/>
          <c:showPercent val="0"/>
          <c:showBubbleSize val="0"/>
        </c:dLbls>
        <c:gapWidth val="150"/>
        <c:axId val="214334080"/>
        <c:axId val="214352256"/>
      </c:barChart>
      <c:catAx>
        <c:axId val="214334080"/>
        <c:scaling>
          <c:orientation val="minMax"/>
        </c:scaling>
        <c:delete val="0"/>
        <c:axPos val="b"/>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dk1"/>
                </a:solidFill>
                <a:latin typeface="+mn-lt"/>
                <a:ea typeface="+mn-ea"/>
                <a:cs typeface="+mn-cs"/>
              </a:defRPr>
            </a:pPr>
          </a:p>
        </c:txPr>
        <c:crossAx val="214352256"/>
        <c:crosses val="autoZero"/>
        <c:auto val="1"/>
        <c:lblAlgn val="ctr"/>
        <c:lblOffset val="100"/>
        <c:noMultiLvlLbl val="0"/>
      </c:catAx>
      <c:valAx>
        <c:axId val="214352256"/>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dk1"/>
                </a:solidFill>
                <a:latin typeface="+mn-lt"/>
                <a:ea typeface="+mn-ea"/>
                <a:cs typeface="+mn-cs"/>
              </a:defRPr>
            </a:pPr>
          </a:p>
        </c:txPr>
        <c:crossAx val="214334080"/>
        <c:crosses val="autoZero"/>
        <c:crossBetween val="between"/>
      </c:valAx>
      <c:spPr>
        <a:gradFill rotWithShape="1">
          <a:gsLst>
            <a:gs pos="0">
              <a:schemeClr val="dk1">
                <a:tint val="50000"/>
                <a:satMod val="300000"/>
              </a:schemeClr>
            </a:gs>
            <a:gs pos="35000">
              <a:schemeClr val="dk1">
                <a:tint val="37000"/>
                <a:satMod val="300000"/>
              </a:schemeClr>
            </a:gs>
            <a:gs pos="100000">
              <a:schemeClr val="dk1">
                <a:tint val="15000"/>
                <a:satMod val="350000"/>
              </a:schemeClr>
            </a:gs>
          </a:gsLst>
          <a:lin ang="16200000" scaled="1"/>
        </a:gradFill>
        <a:ln w="9525" cap="flat" cmpd="sng" algn="ctr">
          <a:solidFill>
            <a:schemeClr val="dk1">
              <a:shade val="95000"/>
              <a:satMod val="105000"/>
            </a:schemeClr>
          </a:solidFill>
          <a:prstDash val="solid"/>
        </a:ln>
        <a:effectLst>
          <a:outerShdw blurRad="40000" dist="20000" dir="5400000" rotWithShape="0">
            <a:srgbClr val="000000">
              <a:alpha val="38000"/>
            </a:srgbClr>
          </a:outerShdw>
        </a:effectLst>
      </c:spPr>
    </c:plotArea>
    <c:legend>
      <c:legendPos val="r"/>
      <c:layout/>
      <c:overlay val="0"/>
      <c:txPr>
        <a:bodyPr rot="0" spcFirstLastPara="0" vertOverflow="ellipsis" vert="horz" wrap="square" anchor="ctr" anchorCtr="1"/>
        <a:lstStyle/>
        <a:p>
          <a:pPr>
            <a:defRPr lang="zh-CN" sz="1000" b="0" i="0" u="none" strike="noStrike" kern="1200" baseline="0">
              <a:solidFill>
                <a:schemeClr val="dk1"/>
              </a:solidFill>
              <a:latin typeface="+mn-lt"/>
              <a:ea typeface="+mn-ea"/>
              <a:cs typeface="+mn-cs"/>
            </a:defRPr>
          </a:pPr>
        </a:p>
      </c:txPr>
    </c:legend>
    <c:plotVisOnly val="1"/>
    <c:dispBlanksAs val="gap"/>
    <c:showDLblsOverMax val="0"/>
  </c:chart>
  <c:spPr>
    <a:gradFill rotWithShape="1">
      <a:gsLst>
        <a:gs pos="0">
          <a:schemeClr val="accent3">
            <a:tint val="50000"/>
            <a:satMod val="300000"/>
          </a:schemeClr>
        </a:gs>
        <a:gs pos="35000">
          <a:schemeClr val="accent3">
            <a:tint val="37000"/>
            <a:satMod val="300000"/>
          </a:schemeClr>
        </a:gs>
        <a:gs pos="100000">
          <a:schemeClr val="accent3">
            <a:tint val="15000"/>
            <a:satMod val="350000"/>
          </a:schemeClr>
        </a:gs>
      </a:gsLst>
      <a:lin ang="16200000" scaled="1"/>
    </a:gradFill>
    <a:ln w="9525" cap="flat" cmpd="sng" algn="ctr">
      <a:solidFill>
        <a:schemeClr val="accent3">
          <a:shade val="95000"/>
          <a:satMod val="105000"/>
        </a:schemeClr>
      </a:solidFill>
      <a:prstDash val="solid"/>
      <a:round/>
    </a:ln>
    <a:effectLst>
      <a:outerShdw blurRad="40000" dist="20000" dir="5400000" rotWithShape="0">
        <a:srgbClr val="000000">
          <a:alpha val="38000"/>
        </a:srgbClr>
      </a:outerShdw>
    </a:effectLst>
  </c:spPr>
  <c:txPr>
    <a:bodyPr/>
    <a:lstStyle/>
    <a:p>
      <a:pPr>
        <a:defRPr lang="zh-CN">
          <a:solidFill>
            <a:schemeClr val="dk1"/>
          </a:solidFill>
          <a:latin typeface="+mn-lt"/>
          <a:ea typeface="+mn-ea"/>
          <a:cs typeface="+mn-cs"/>
        </a:defRPr>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800" b="1" i="0" u="none" strike="noStrike" kern="1200" baseline="0">
                <a:solidFill>
                  <a:schemeClr val="dk1"/>
                </a:solidFill>
                <a:latin typeface="+mn-lt"/>
                <a:ea typeface="+mn-ea"/>
                <a:cs typeface="+mn-cs"/>
              </a:defRPr>
            </a:pPr>
            <a:r>
              <a:rPr lang="zh-CN"/>
              <a:t>图</a:t>
            </a:r>
            <a:r>
              <a:rPr lang="en-US"/>
              <a:t>2</a:t>
            </a:r>
            <a:r>
              <a:rPr lang="zh-CN"/>
              <a:t>：</a:t>
            </a:r>
            <a:r>
              <a:rPr lang="en-US"/>
              <a:t>2020</a:t>
            </a:r>
            <a:r>
              <a:rPr lang="zh-CN"/>
              <a:t>年收入决算结构图</a:t>
            </a:r>
            <a:endParaRPr lang="zh-CN"/>
          </a:p>
        </c:rich>
      </c:tx>
      <c:layout/>
      <c:overlay val="0"/>
    </c:title>
    <c:autoTitleDeleted val="0"/>
    <c:plotArea>
      <c:layout/>
      <c:pieChart>
        <c:varyColors val="1"/>
        <c:ser>
          <c:idx val="0"/>
          <c:order val="0"/>
          <c:tx>
            <c:strRef>
              <c:f>收入决算结构图2!$B$6</c:f>
              <c:strCache>
                <c:ptCount val="1"/>
                <c:pt idx="0">
                  <c:v>占比</c:v>
                </c:pt>
              </c:strCache>
            </c:strRef>
          </c:tx>
          <c:explosion val="0"/>
          <c:dPt>
            <c:idx val="0"/>
            <c:bubble3D val="0"/>
          </c:dPt>
          <c:dPt>
            <c:idx val="1"/>
            <c:bubble3D val="0"/>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dk1"/>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ext>
            </c:extLst>
          </c:dLbls>
          <c:cat>
            <c:strRef>
              <c:f>收入决算结构图2!$A$7:$A$8</c:f>
              <c:strCache>
                <c:ptCount val="2"/>
                <c:pt idx="0">
                  <c:v>一般公共预算财政拨款收入1193.96万元</c:v>
                </c:pt>
                <c:pt idx="1">
                  <c:v>其他收入49.94万元</c:v>
                </c:pt>
              </c:strCache>
            </c:strRef>
          </c:cat>
          <c:val>
            <c:numRef>
              <c:f>收入决算结构图2!$B$7:$B$8</c:f>
              <c:numCache>
                <c:formatCode>0.00%</c:formatCode>
                <c:ptCount val="2"/>
                <c:pt idx="0">
                  <c:v>0.960000000000001</c:v>
                </c:pt>
                <c:pt idx="1">
                  <c:v>0.04</c:v>
                </c:pt>
              </c:numCache>
            </c:numRef>
          </c:val>
        </c:ser>
        <c:dLbls>
          <c:showLegendKey val="0"/>
          <c:showVal val="1"/>
          <c:showCatName val="0"/>
          <c:showSerName val="0"/>
          <c:showPercent val="0"/>
          <c:showBubbleSize val="0"/>
          <c:showLeaderLines val="1"/>
        </c:dLbls>
        <c:firstSliceAng val="15"/>
      </c:pieChart>
      <c:spPr>
        <a:noFill/>
        <a:ln>
          <a:noFill/>
        </a:ln>
        <a:effectLst/>
      </c:spPr>
    </c:plotArea>
    <c:legend>
      <c:legendPos val="r"/>
      <c:layout/>
      <c:overlay val="0"/>
      <c:txPr>
        <a:bodyPr rot="0" spcFirstLastPara="0" vertOverflow="ellipsis" vert="horz" wrap="square" anchor="ctr" anchorCtr="1"/>
        <a:lstStyle/>
        <a:p>
          <a:pPr>
            <a:defRPr lang="zh-CN" sz="1000" b="0" i="0" u="none" strike="noStrike" kern="1200" baseline="0">
              <a:solidFill>
                <a:schemeClr val="dk1"/>
              </a:solidFill>
              <a:latin typeface="+mn-lt"/>
              <a:ea typeface="+mn-ea"/>
              <a:cs typeface="+mn-cs"/>
            </a:defRPr>
          </a:pPr>
        </a:p>
      </c:txPr>
    </c:legend>
    <c:plotVisOnly val="1"/>
    <c:dispBlanksAs val="zero"/>
    <c:showDLblsOverMax val="0"/>
  </c:chart>
  <c:spPr>
    <a:gradFill rotWithShape="1">
      <a:gsLst>
        <a:gs pos="0">
          <a:schemeClr val="accent3">
            <a:tint val="50000"/>
            <a:satMod val="300000"/>
          </a:schemeClr>
        </a:gs>
        <a:gs pos="35000">
          <a:schemeClr val="accent3">
            <a:tint val="37000"/>
            <a:satMod val="300000"/>
          </a:schemeClr>
        </a:gs>
        <a:gs pos="100000">
          <a:schemeClr val="accent3">
            <a:tint val="15000"/>
            <a:satMod val="350000"/>
          </a:schemeClr>
        </a:gs>
      </a:gsLst>
      <a:lin ang="16200000" scaled="1"/>
    </a:gradFill>
    <a:ln w="9525" cap="flat" cmpd="sng" algn="ctr">
      <a:solidFill>
        <a:schemeClr val="accent3">
          <a:shade val="95000"/>
          <a:satMod val="105000"/>
        </a:schemeClr>
      </a:solidFill>
      <a:prstDash val="solid"/>
      <a:round/>
    </a:ln>
    <a:effectLst>
      <a:outerShdw blurRad="40000" dist="20000" dir="5400000" rotWithShape="0">
        <a:srgbClr val="000000">
          <a:alpha val="38000"/>
        </a:srgbClr>
      </a:outerShdw>
    </a:effectLst>
  </c:spPr>
  <c:txPr>
    <a:bodyPr/>
    <a:lstStyle/>
    <a:p>
      <a:pPr>
        <a:defRPr lang="zh-CN">
          <a:solidFill>
            <a:schemeClr val="dk1"/>
          </a:solidFill>
          <a:latin typeface="+mn-lt"/>
          <a:ea typeface="+mn-ea"/>
          <a:cs typeface="+mn-cs"/>
        </a:defRPr>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800" b="1" i="0" u="none" strike="noStrike" kern="1200" baseline="0">
                <a:solidFill>
                  <a:schemeClr val="dk1"/>
                </a:solidFill>
                <a:latin typeface="+mn-lt"/>
                <a:ea typeface="+mn-ea"/>
                <a:cs typeface="+mn-cs"/>
              </a:defRPr>
            </a:pPr>
            <a:r>
              <a:rPr lang="zh-CN"/>
              <a:t>图</a:t>
            </a:r>
            <a:r>
              <a:rPr lang="en-US"/>
              <a:t>3</a:t>
            </a:r>
            <a:r>
              <a:rPr lang="zh-CN"/>
              <a:t>：</a:t>
            </a:r>
            <a:r>
              <a:rPr lang="en-US"/>
              <a:t>2020</a:t>
            </a:r>
            <a:r>
              <a:rPr lang="zh-CN"/>
              <a:t>年支出决算结构图</a:t>
            </a:r>
            <a:endParaRPr lang="zh-CN"/>
          </a:p>
        </c:rich>
      </c:tx>
      <c:layout/>
      <c:overlay val="0"/>
    </c:title>
    <c:autoTitleDeleted val="0"/>
    <c:plotArea>
      <c:layout/>
      <c:pieChart>
        <c:varyColors val="1"/>
        <c:ser>
          <c:idx val="0"/>
          <c:order val="0"/>
          <c:tx>
            <c:strRef>
              <c:f>支出决算结构图3!$B$9</c:f>
              <c:strCache>
                <c:ptCount val="1"/>
                <c:pt idx="0">
                  <c:v>占比</c:v>
                </c:pt>
              </c:strCache>
            </c:strRef>
          </c:tx>
          <c:explosion val="0"/>
          <c:dPt>
            <c:idx val="0"/>
            <c:bubble3D val="0"/>
          </c:dPt>
          <c:dPt>
            <c:idx val="1"/>
            <c:bubble3D val="0"/>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dk1"/>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ext>
            </c:extLst>
          </c:dLbls>
          <c:cat>
            <c:strRef>
              <c:f>支出决算结构图3!$A$10:$A$11</c:f>
              <c:strCache>
                <c:ptCount val="2"/>
                <c:pt idx="0">
                  <c:v>基本支出648.44万元</c:v>
                </c:pt>
                <c:pt idx="1">
                  <c:v>项目支出632.87万元</c:v>
                </c:pt>
              </c:strCache>
            </c:strRef>
          </c:cat>
          <c:val>
            <c:numRef>
              <c:f>支出决算结构图3!$B$10:$B$11</c:f>
              <c:numCache>
                <c:formatCode>0.00%</c:formatCode>
                <c:ptCount val="2"/>
                <c:pt idx="0">
                  <c:v>0.5061</c:v>
                </c:pt>
                <c:pt idx="1">
                  <c:v>0.4939</c:v>
                </c:pt>
              </c:numCache>
            </c:numRef>
          </c:val>
        </c:ser>
        <c:dLbls>
          <c:showLegendKey val="0"/>
          <c:showVal val="1"/>
          <c:showCatName val="0"/>
          <c:showSerName val="0"/>
          <c:showPercent val="0"/>
          <c:showBubbleSize val="0"/>
          <c:showLeaderLines val="1"/>
        </c:dLbls>
        <c:firstSliceAng val="15"/>
      </c:pieChart>
      <c:spPr>
        <a:noFill/>
        <a:ln>
          <a:noFill/>
        </a:ln>
        <a:effectLst/>
      </c:spPr>
    </c:plotArea>
    <c:legend>
      <c:legendPos val="r"/>
      <c:layout/>
      <c:overlay val="0"/>
      <c:txPr>
        <a:bodyPr rot="0" spcFirstLastPara="0" vertOverflow="ellipsis" vert="horz" wrap="square" anchor="ctr" anchorCtr="1"/>
        <a:lstStyle/>
        <a:p>
          <a:pPr>
            <a:defRPr lang="zh-CN" sz="1000" b="0" i="0" u="none" strike="noStrike" kern="1200" baseline="0">
              <a:solidFill>
                <a:schemeClr val="dk1"/>
              </a:solidFill>
              <a:latin typeface="+mn-lt"/>
              <a:ea typeface="+mn-ea"/>
              <a:cs typeface="+mn-cs"/>
            </a:defRPr>
          </a:pPr>
        </a:p>
      </c:txPr>
    </c:legend>
    <c:plotVisOnly val="1"/>
    <c:dispBlanksAs val="zero"/>
    <c:showDLblsOverMax val="0"/>
  </c:chart>
  <c:spPr>
    <a:gradFill rotWithShape="1">
      <a:gsLst>
        <a:gs pos="0">
          <a:schemeClr val="accent3">
            <a:tint val="50000"/>
            <a:satMod val="300000"/>
          </a:schemeClr>
        </a:gs>
        <a:gs pos="35000">
          <a:schemeClr val="accent3">
            <a:tint val="37000"/>
            <a:satMod val="300000"/>
          </a:schemeClr>
        </a:gs>
        <a:gs pos="100000">
          <a:schemeClr val="accent3">
            <a:tint val="15000"/>
            <a:satMod val="350000"/>
          </a:schemeClr>
        </a:gs>
      </a:gsLst>
      <a:lin ang="16200000" scaled="1"/>
    </a:gradFill>
    <a:ln w="9525" cap="flat" cmpd="sng" algn="ctr">
      <a:solidFill>
        <a:schemeClr val="accent3">
          <a:shade val="95000"/>
          <a:satMod val="105000"/>
        </a:schemeClr>
      </a:solidFill>
      <a:prstDash val="solid"/>
      <a:round/>
    </a:ln>
    <a:effectLst>
      <a:outerShdw blurRad="40000" dist="20000" dir="5400000" rotWithShape="0">
        <a:srgbClr val="000000">
          <a:alpha val="38000"/>
        </a:srgbClr>
      </a:outerShdw>
    </a:effectLst>
  </c:spPr>
  <c:txPr>
    <a:bodyPr/>
    <a:lstStyle/>
    <a:p>
      <a:pPr>
        <a:defRPr lang="zh-CN">
          <a:solidFill>
            <a:schemeClr val="dk1"/>
          </a:solidFill>
          <a:latin typeface="+mn-lt"/>
          <a:ea typeface="+mn-ea"/>
          <a:cs typeface="+mn-cs"/>
        </a:defRPr>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800" b="1" i="0" u="none" strike="noStrike" kern="1200" baseline="0">
                <a:solidFill>
                  <a:schemeClr val="dk1"/>
                </a:solidFill>
                <a:latin typeface="+mn-lt"/>
                <a:ea typeface="+mn-ea"/>
                <a:cs typeface="+mn-cs"/>
              </a:defRPr>
            </a:pPr>
            <a:r>
              <a:rPr lang="zh-CN" altLang="en-US"/>
              <a:t>图</a:t>
            </a:r>
            <a:r>
              <a:rPr lang="en-US" altLang="zh-CN"/>
              <a:t>4</a:t>
            </a:r>
            <a:r>
              <a:rPr lang="zh-CN" altLang="en-US"/>
              <a:t>：财政拨款收、支决算总计变动情况图</a:t>
            </a:r>
            <a:endParaRPr lang="zh-CN" altLang="en-US"/>
          </a:p>
        </c:rich>
      </c:tx>
      <c:layout/>
      <c:overlay val="0"/>
    </c:title>
    <c:autoTitleDeleted val="0"/>
    <c:plotArea>
      <c:layout/>
      <c:barChart>
        <c:barDir val="col"/>
        <c:grouping val="clustered"/>
        <c:varyColors val="0"/>
        <c:ser>
          <c:idx val="0"/>
          <c:order val="0"/>
          <c:tx>
            <c:strRef>
              <c:f>财政拨款收、支决算总计变动情况图4!$C$4</c:f>
              <c:strCache>
                <c:ptCount val="1"/>
                <c:pt idx="0">
                  <c:v>金额</c:v>
                </c:pt>
              </c:strCache>
            </c:strRef>
          </c:tx>
          <c:invertIfNegative val="0"/>
          <c:dPt>
            <c:idx val="1"/>
            <c:invertIfNegative val="0"/>
            <c:bubble3D val="0"/>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w="9525" cap="flat" cmpd="sng" algn="ctr">
                <a:solidFill>
                  <a:schemeClr val="accent2">
                    <a:shade val="95000"/>
                    <a:satMod val="105000"/>
                  </a:schemeClr>
                </a:solidFill>
                <a:prstDash val="solid"/>
              </a:ln>
              <a:effectLst>
                <a:outerShdw blurRad="40000" dist="23000" dir="5400000" rotWithShape="0">
                  <a:srgbClr val="000000">
                    <a:alpha val="35000"/>
                  </a:srgbClr>
                </a:outerShdw>
              </a:effectLst>
            </c:spPr>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dk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财政拨款收、支决算总计变动情况图4!$B$5:$B$6</c:f>
              <c:strCache>
                <c:ptCount val="2"/>
                <c:pt idx="0">
                  <c:v>2020年</c:v>
                </c:pt>
                <c:pt idx="1">
                  <c:v>2021年</c:v>
                </c:pt>
              </c:strCache>
            </c:strRef>
          </c:cat>
          <c:val>
            <c:numRef>
              <c:f>财政拨款收、支决算总计变动情况图4!$C$5:$C$6</c:f>
              <c:numCache>
                <c:formatCode>General</c:formatCode>
                <c:ptCount val="2"/>
                <c:pt idx="0">
                  <c:v>1347.15</c:v>
                </c:pt>
                <c:pt idx="1">
                  <c:v>1240.78</c:v>
                </c:pt>
              </c:numCache>
            </c:numRef>
          </c:val>
        </c:ser>
        <c:dLbls>
          <c:showLegendKey val="0"/>
          <c:showVal val="1"/>
          <c:showCatName val="0"/>
          <c:showSerName val="0"/>
          <c:showPercent val="0"/>
          <c:showBubbleSize val="0"/>
        </c:dLbls>
        <c:gapWidth val="150"/>
        <c:axId val="219264512"/>
        <c:axId val="219266048"/>
      </c:barChart>
      <c:catAx>
        <c:axId val="219264512"/>
        <c:scaling>
          <c:orientation val="minMax"/>
        </c:scaling>
        <c:delete val="0"/>
        <c:axPos val="b"/>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dk1"/>
                </a:solidFill>
                <a:latin typeface="+mn-lt"/>
                <a:ea typeface="+mn-ea"/>
                <a:cs typeface="+mn-cs"/>
              </a:defRPr>
            </a:pPr>
          </a:p>
        </c:txPr>
        <c:crossAx val="219266048"/>
        <c:crosses val="autoZero"/>
        <c:auto val="1"/>
        <c:lblAlgn val="ctr"/>
        <c:lblOffset val="100"/>
        <c:noMultiLvlLbl val="0"/>
      </c:catAx>
      <c:valAx>
        <c:axId val="219266048"/>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dk1"/>
                </a:solidFill>
                <a:latin typeface="+mn-lt"/>
                <a:ea typeface="+mn-ea"/>
                <a:cs typeface="+mn-cs"/>
              </a:defRPr>
            </a:pPr>
          </a:p>
        </c:txPr>
        <c:crossAx val="219264512"/>
        <c:crosses val="autoZero"/>
        <c:crossBetween val="between"/>
      </c:valAx>
      <c:spPr>
        <a:gradFill rotWithShape="1">
          <a:gsLst>
            <a:gs pos="0">
              <a:schemeClr val="dk1">
                <a:tint val="50000"/>
                <a:satMod val="300000"/>
              </a:schemeClr>
            </a:gs>
            <a:gs pos="35000">
              <a:schemeClr val="dk1">
                <a:tint val="37000"/>
                <a:satMod val="300000"/>
              </a:schemeClr>
            </a:gs>
            <a:gs pos="100000">
              <a:schemeClr val="dk1">
                <a:tint val="15000"/>
                <a:satMod val="350000"/>
              </a:schemeClr>
            </a:gs>
          </a:gsLst>
          <a:lin ang="16200000" scaled="1"/>
        </a:gradFill>
        <a:ln w="9525" cap="flat" cmpd="sng" algn="ctr">
          <a:solidFill>
            <a:schemeClr val="dk1">
              <a:shade val="95000"/>
              <a:satMod val="105000"/>
            </a:schemeClr>
          </a:solidFill>
          <a:prstDash val="solid"/>
        </a:ln>
        <a:effectLst>
          <a:outerShdw blurRad="40000" dist="20000" dir="5400000" rotWithShape="0">
            <a:srgbClr val="000000">
              <a:alpha val="38000"/>
            </a:srgbClr>
          </a:outerShdw>
        </a:effectLst>
      </c:spPr>
    </c:plotArea>
    <c:legend>
      <c:legendPos val="r"/>
      <c:layout/>
      <c:overlay val="0"/>
      <c:txPr>
        <a:bodyPr rot="0" spcFirstLastPara="0" vertOverflow="ellipsis" vert="horz" wrap="square" anchor="ctr" anchorCtr="1"/>
        <a:lstStyle/>
        <a:p>
          <a:pPr>
            <a:defRPr lang="zh-CN" sz="1000" b="0" i="0" u="none" strike="noStrike" kern="1200" baseline="0">
              <a:solidFill>
                <a:schemeClr val="dk1"/>
              </a:solidFill>
              <a:latin typeface="+mn-lt"/>
              <a:ea typeface="+mn-ea"/>
              <a:cs typeface="+mn-cs"/>
            </a:defRPr>
          </a:pPr>
        </a:p>
      </c:txPr>
    </c:legend>
    <c:plotVisOnly val="1"/>
    <c:dispBlanksAs val="gap"/>
    <c:showDLblsOverMax val="0"/>
  </c:chart>
  <c:spPr>
    <a:gradFill rotWithShape="1">
      <a:gsLst>
        <a:gs pos="0">
          <a:schemeClr val="accent3">
            <a:tint val="50000"/>
            <a:satMod val="300000"/>
          </a:schemeClr>
        </a:gs>
        <a:gs pos="35000">
          <a:schemeClr val="accent3">
            <a:tint val="37000"/>
            <a:satMod val="300000"/>
          </a:schemeClr>
        </a:gs>
        <a:gs pos="100000">
          <a:schemeClr val="accent3">
            <a:tint val="15000"/>
            <a:satMod val="350000"/>
          </a:schemeClr>
        </a:gs>
      </a:gsLst>
      <a:lin ang="16200000" scaled="1"/>
    </a:gradFill>
    <a:ln w="9525" cap="flat" cmpd="sng" algn="ctr">
      <a:solidFill>
        <a:schemeClr val="accent3">
          <a:shade val="95000"/>
          <a:satMod val="105000"/>
        </a:schemeClr>
      </a:solidFill>
      <a:prstDash val="solid"/>
      <a:round/>
    </a:ln>
    <a:effectLst>
      <a:outerShdw blurRad="40000" dist="20000" dir="5400000" rotWithShape="0">
        <a:srgbClr val="000000">
          <a:alpha val="38000"/>
        </a:srgbClr>
      </a:outerShdw>
    </a:effectLst>
  </c:spPr>
  <c:txPr>
    <a:bodyPr/>
    <a:lstStyle/>
    <a:p>
      <a:pPr>
        <a:defRPr lang="zh-CN">
          <a:solidFill>
            <a:schemeClr val="dk1"/>
          </a:solidFill>
          <a:latin typeface="+mn-lt"/>
          <a:ea typeface="+mn-ea"/>
          <a:cs typeface="+mn-cs"/>
        </a:defRPr>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800" b="1" i="0" u="none" strike="noStrike" kern="1200" baseline="0">
                <a:solidFill>
                  <a:schemeClr val="dk1"/>
                </a:solidFill>
                <a:latin typeface="+mn-lt"/>
                <a:ea typeface="+mn-ea"/>
                <a:cs typeface="+mn-cs"/>
              </a:defRPr>
            </a:pPr>
            <a:r>
              <a:rPr lang="zh-CN" altLang="en-US"/>
              <a:t>图</a:t>
            </a:r>
            <a:r>
              <a:rPr lang="en-US" altLang="zh-CN"/>
              <a:t>5</a:t>
            </a:r>
            <a:r>
              <a:rPr lang="zh-CN" altLang="en-US"/>
              <a:t>：一般公共预算财政拨款支出决算       变动情况图</a:t>
            </a:r>
            <a:endParaRPr lang="zh-CN" altLang="en-US"/>
          </a:p>
        </c:rich>
      </c:tx>
      <c:layout/>
      <c:overlay val="0"/>
    </c:title>
    <c:autoTitleDeleted val="0"/>
    <c:plotArea>
      <c:layout/>
      <c:barChart>
        <c:barDir val="col"/>
        <c:grouping val="clustered"/>
        <c:varyColors val="0"/>
        <c:ser>
          <c:idx val="0"/>
          <c:order val="0"/>
          <c:tx>
            <c:strRef>
              <c:f>一般公共预算财政拨款支出决算变动图5!$C$4</c:f>
              <c:strCache>
                <c:ptCount val="1"/>
                <c:pt idx="0">
                  <c:v>金额</c:v>
                </c:pt>
              </c:strCache>
            </c:strRef>
          </c:tx>
          <c:invertIfNegative val="0"/>
          <c:dPt>
            <c:idx val="1"/>
            <c:invertIfNegative val="0"/>
            <c:bubble3D val="0"/>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w="9525" cap="flat" cmpd="sng" algn="ctr">
                <a:solidFill>
                  <a:schemeClr val="accent2">
                    <a:shade val="95000"/>
                    <a:satMod val="105000"/>
                  </a:schemeClr>
                </a:solidFill>
                <a:prstDash val="solid"/>
              </a:ln>
              <a:effectLst>
                <a:outerShdw blurRad="40000" dist="23000" dir="5400000" rotWithShape="0">
                  <a:srgbClr val="000000">
                    <a:alpha val="35000"/>
                  </a:srgbClr>
                </a:outerShdw>
              </a:effectLst>
            </c:spPr>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dk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一般公共预算财政拨款支出决算变动图5!$B$5:$B$6</c:f>
              <c:strCache>
                <c:ptCount val="2"/>
                <c:pt idx="0">
                  <c:v>2020年</c:v>
                </c:pt>
                <c:pt idx="1">
                  <c:v>2021年</c:v>
                </c:pt>
              </c:strCache>
            </c:strRef>
          </c:cat>
          <c:val>
            <c:numRef>
              <c:f>一般公共预算财政拨款支出决算变动图5!$C$5:$C$6</c:f>
              <c:numCache>
                <c:formatCode>General</c:formatCode>
                <c:ptCount val="2"/>
                <c:pt idx="0">
                  <c:v>1337.48</c:v>
                </c:pt>
                <c:pt idx="1">
                  <c:v>1231.35</c:v>
                </c:pt>
              </c:numCache>
            </c:numRef>
          </c:val>
        </c:ser>
        <c:dLbls>
          <c:showLegendKey val="0"/>
          <c:showVal val="1"/>
          <c:showCatName val="0"/>
          <c:showSerName val="0"/>
          <c:showPercent val="0"/>
          <c:showBubbleSize val="0"/>
        </c:dLbls>
        <c:gapWidth val="150"/>
        <c:axId val="219303296"/>
        <c:axId val="219317376"/>
      </c:barChart>
      <c:catAx>
        <c:axId val="219303296"/>
        <c:scaling>
          <c:orientation val="minMax"/>
        </c:scaling>
        <c:delete val="0"/>
        <c:axPos val="b"/>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dk1"/>
                </a:solidFill>
                <a:latin typeface="+mn-lt"/>
                <a:ea typeface="+mn-ea"/>
                <a:cs typeface="+mn-cs"/>
              </a:defRPr>
            </a:pPr>
          </a:p>
        </c:txPr>
        <c:crossAx val="219317376"/>
        <c:crosses val="autoZero"/>
        <c:auto val="1"/>
        <c:lblAlgn val="ctr"/>
        <c:lblOffset val="100"/>
        <c:noMultiLvlLbl val="0"/>
      </c:catAx>
      <c:valAx>
        <c:axId val="219317376"/>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dk1"/>
                </a:solidFill>
                <a:latin typeface="+mn-lt"/>
                <a:ea typeface="+mn-ea"/>
                <a:cs typeface="+mn-cs"/>
              </a:defRPr>
            </a:pPr>
          </a:p>
        </c:txPr>
        <c:crossAx val="219303296"/>
        <c:crosses val="autoZero"/>
        <c:crossBetween val="between"/>
      </c:valAx>
      <c:spPr>
        <a:gradFill rotWithShape="1">
          <a:gsLst>
            <a:gs pos="0">
              <a:schemeClr val="dk1">
                <a:tint val="50000"/>
                <a:satMod val="300000"/>
              </a:schemeClr>
            </a:gs>
            <a:gs pos="35000">
              <a:schemeClr val="dk1">
                <a:tint val="37000"/>
                <a:satMod val="300000"/>
              </a:schemeClr>
            </a:gs>
            <a:gs pos="100000">
              <a:schemeClr val="dk1">
                <a:tint val="15000"/>
                <a:satMod val="350000"/>
              </a:schemeClr>
            </a:gs>
          </a:gsLst>
          <a:lin ang="16200000" scaled="1"/>
        </a:gradFill>
        <a:ln w="9525" cap="flat" cmpd="sng" algn="ctr">
          <a:solidFill>
            <a:schemeClr val="dk1">
              <a:shade val="95000"/>
              <a:satMod val="105000"/>
            </a:schemeClr>
          </a:solidFill>
          <a:prstDash val="solid"/>
        </a:ln>
        <a:effectLst>
          <a:outerShdw blurRad="40000" dist="20000" dir="5400000" rotWithShape="0">
            <a:srgbClr val="000000">
              <a:alpha val="38000"/>
            </a:srgbClr>
          </a:outerShdw>
        </a:effectLst>
      </c:spPr>
    </c:plotArea>
    <c:legend>
      <c:legendPos val="r"/>
      <c:layout/>
      <c:overlay val="0"/>
      <c:txPr>
        <a:bodyPr rot="0" spcFirstLastPara="0" vertOverflow="ellipsis" vert="horz" wrap="square" anchor="ctr" anchorCtr="1"/>
        <a:lstStyle/>
        <a:p>
          <a:pPr>
            <a:defRPr lang="zh-CN" sz="1000" b="0" i="0" u="none" strike="noStrike" kern="1200" baseline="0">
              <a:solidFill>
                <a:schemeClr val="dk1"/>
              </a:solidFill>
              <a:latin typeface="+mn-lt"/>
              <a:ea typeface="+mn-ea"/>
              <a:cs typeface="+mn-cs"/>
            </a:defRPr>
          </a:pPr>
        </a:p>
      </c:txPr>
    </c:legend>
    <c:plotVisOnly val="1"/>
    <c:dispBlanksAs val="gap"/>
    <c:showDLblsOverMax val="0"/>
  </c:chart>
  <c:spPr>
    <a:gradFill rotWithShape="1">
      <a:gsLst>
        <a:gs pos="0">
          <a:schemeClr val="accent3">
            <a:tint val="50000"/>
            <a:satMod val="300000"/>
          </a:schemeClr>
        </a:gs>
        <a:gs pos="35000">
          <a:schemeClr val="accent3">
            <a:tint val="37000"/>
            <a:satMod val="300000"/>
          </a:schemeClr>
        </a:gs>
        <a:gs pos="100000">
          <a:schemeClr val="accent3">
            <a:tint val="15000"/>
            <a:satMod val="350000"/>
          </a:schemeClr>
        </a:gs>
      </a:gsLst>
      <a:lin ang="16200000" scaled="1"/>
    </a:gradFill>
    <a:ln w="9525" cap="flat" cmpd="sng" algn="ctr">
      <a:solidFill>
        <a:schemeClr val="accent3">
          <a:shade val="95000"/>
          <a:satMod val="105000"/>
        </a:schemeClr>
      </a:solidFill>
      <a:prstDash val="solid"/>
      <a:round/>
    </a:ln>
    <a:effectLst>
      <a:outerShdw blurRad="40000" dist="20000" dir="5400000" rotWithShape="0">
        <a:srgbClr val="000000">
          <a:alpha val="38000"/>
        </a:srgbClr>
      </a:outerShdw>
    </a:effectLst>
  </c:spPr>
  <c:txPr>
    <a:bodyPr/>
    <a:lstStyle/>
    <a:p>
      <a:pPr>
        <a:defRPr lang="zh-CN">
          <a:solidFill>
            <a:schemeClr val="dk1"/>
          </a:solidFill>
          <a:latin typeface="+mn-lt"/>
          <a:ea typeface="+mn-ea"/>
          <a:cs typeface="+mn-cs"/>
        </a:defRPr>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800" b="1" i="0" u="none" strike="noStrike" kern="1200" baseline="0">
                <a:solidFill>
                  <a:schemeClr val="dk1"/>
                </a:solidFill>
                <a:latin typeface="+mn-lt"/>
                <a:ea typeface="+mn-ea"/>
                <a:cs typeface="+mn-cs"/>
              </a:defRPr>
            </a:pPr>
            <a:r>
              <a:rPr lang="zh-CN" altLang="en-US"/>
              <a:t>图</a:t>
            </a:r>
            <a:r>
              <a:rPr lang="en-US" altLang="zh-CN"/>
              <a:t>6</a:t>
            </a:r>
            <a:r>
              <a:rPr lang="zh-CN" altLang="en-US"/>
              <a:t>：一般公共预算财政拨款支出决算结构图</a:t>
            </a:r>
            <a:endParaRPr lang="zh-CN" altLang="en-US"/>
          </a:p>
        </c:rich>
      </c:tx>
      <c:layout/>
      <c:overlay val="0"/>
    </c:title>
    <c:autoTitleDeleted val="0"/>
    <c:plotArea>
      <c:layout/>
      <c:pieChart>
        <c:varyColors val="1"/>
        <c:ser>
          <c:idx val="0"/>
          <c:order val="0"/>
          <c:tx>
            <c:strRef>
              <c:f>一般公共预算财政拨款支出决算结构图6!$C$16</c:f>
              <c:strCache>
                <c:ptCount val="1"/>
                <c:pt idx="0">
                  <c:v>占比</c:v>
                </c:pt>
              </c:strCache>
            </c:strRef>
          </c:tx>
          <c:explosion val="0"/>
          <c:dPt>
            <c:idx val="0"/>
            <c:bubble3D val="0"/>
          </c:dPt>
          <c:dPt>
            <c:idx val="1"/>
            <c:bubble3D val="0"/>
          </c:dPt>
          <c:dPt>
            <c:idx val="2"/>
            <c:bubble3D val="0"/>
          </c:dPt>
          <c:dPt>
            <c:idx val="3"/>
            <c:bubble3D val="0"/>
          </c:dPt>
          <c:dPt>
            <c:idx val="4"/>
            <c:bubble3D val="0"/>
          </c:dPt>
          <c:dPt>
            <c:idx val="5"/>
            <c:bubble3D val="0"/>
          </c:dPt>
          <c:dPt>
            <c:idx val="6"/>
            <c:bubble3D val="0"/>
          </c:dPt>
          <c:dPt>
            <c:idx val="7"/>
            <c:bubble3D val="0"/>
          </c:dPt>
          <c:dPt>
            <c:idx val="8"/>
            <c:bubble3D val="0"/>
          </c:dPt>
          <c:dPt>
            <c:idx val="9"/>
            <c:bubble3D val="0"/>
          </c:dPt>
          <c:dPt>
            <c:idx val="10"/>
            <c:bubble3D val="0"/>
          </c:dPt>
          <c:dLbls>
            <c:dLbl>
              <c:idx val="0"/>
              <c:layout/>
              <c:dLblPos val="bestFit"/>
              <c:showLegendKey val="0"/>
              <c:showVal val="1"/>
              <c:showCatName val="0"/>
              <c:showSerName val="0"/>
              <c:showPercent val="0"/>
              <c:showBubbleSize val="0"/>
              <c:extLst>
                <c:ext xmlns:c15="http://schemas.microsoft.com/office/drawing/2012/chart" uri="{CE6537A1-D6FC-4f65-9D91-7224C49458BB}"/>
              </c:extLst>
            </c:dLbl>
            <c:dLbl>
              <c:idx val="1"/>
              <c:layout/>
              <c:dLblPos val="bestFit"/>
              <c:showLegendKey val="0"/>
              <c:showVal val="1"/>
              <c:showCatName val="0"/>
              <c:showSerName val="0"/>
              <c:showPercent val="0"/>
              <c:showBubbleSize val="0"/>
              <c:extLst>
                <c:ext xmlns:c15="http://schemas.microsoft.com/office/drawing/2012/chart" uri="{CE6537A1-D6FC-4f65-9D91-7224C49458BB}"/>
              </c:extLst>
            </c:dLbl>
            <c:dLbl>
              <c:idx val="2"/>
              <c:layout/>
              <c:dLblPos val="bestFit"/>
              <c:showLegendKey val="0"/>
              <c:showVal val="1"/>
              <c:showCatName val="0"/>
              <c:showSerName val="0"/>
              <c:showPercent val="0"/>
              <c:showBubbleSize val="0"/>
              <c:extLst>
                <c:ext xmlns:c15="http://schemas.microsoft.com/office/drawing/2012/chart" uri="{CE6537A1-D6FC-4f65-9D91-7224C49458BB}"/>
              </c:extLst>
            </c:dLbl>
            <c:dLbl>
              <c:idx val="3"/>
              <c:layout/>
              <c:dLblPos val="bestFit"/>
              <c:showLegendKey val="0"/>
              <c:showVal val="1"/>
              <c:showCatName val="0"/>
              <c:showSerName val="0"/>
              <c:showPercent val="0"/>
              <c:showBubbleSize val="0"/>
              <c:extLst>
                <c:ext xmlns:c15="http://schemas.microsoft.com/office/drawing/2012/chart" uri="{CE6537A1-D6FC-4f65-9D91-7224C49458BB}"/>
              </c:extLst>
            </c:dLbl>
            <c:dLbl>
              <c:idx val="4"/>
              <c:layout/>
              <c:dLblPos val="bestFit"/>
              <c:showLegendKey val="0"/>
              <c:showVal val="1"/>
              <c:showCatName val="0"/>
              <c:showSerName val="0"/>
              <c:showPercent val="0"/>
              <c:showBubbleSize val="0"/>
              <c:extLst>
                <c:ext xmlns:c15="http://schemas.microsoft.com/office/drawing/2012/chart" uri="{CE6537A1-D6FC-4f65-9D91-7224C49458BB}"/>
              </c:extLst>
            </c:dLbl>
            <c:dLbl>
              <c:idx val="5"/>
              <c:delete val="1"/>
            </c:dLbl>
            <c:dLbl>
              <c:idx val="6"/>
              <c:delete val="1"/>
            </c:dLbl>
            <c:dLbl>
              <c:idx val="7"/>
              <c:delete val="1"/>
            </c:dLbl>
            <c:dLbl>
              <c:idx val="8"/>
              <c:delete val="1"/>
            </c:dLbl>
            <c:dLbl>
              <c:idx val="9"/>
              <c:delete val="1"/>
            </c:dLbl>
            <c:dLbl>
              <c:idx val="10"/>
              <c:delete val="1"/>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dk1"/>
                    </a:solidFill>
                    <a:latin typeface="+mn-lt"/>
                    <a:ea typeface="+mn-ea"/>
                    <a:cs typeface="+mn-cs"/>
                  </a:defRPr>
                </a:pPr>
              </a:p>
            </c:txPr>
            <c:dLblPos val="bestFit"/>
            <c:showLegendKey val="0"/>
            <c:showVal val="0"/>
            <c:showCatName val="0"/>
            <c:showSerName val="0"/>
            <c:showPercent val="0"/>
            <c:showBubbleSize val="0"/>
            <c:showLeaderLines val="1"/>
            <c:extLst>
              <c:ext xmlns:c15="http://schemas.microsoft.com/office/drawing/2012/chart" uri="{CE6537A1-D6FC-4f65-9D91-7224C49458BB}">
                <c15:layout/>
                <c15:showLeaderLines val="1"/>
                <c15:leaderLines/>
              </c:ext>
            </c:extLst>
          </c:dLbls>
          <c:cat>
            <c:strRef>
              <c:f>一般公共预算财政拨款支出决算结构图6!$B$17:$B$27</c:f>
              <c:strCache>
                <c:ptCount val="11"/>
                <c:pt idx="0">
                  <c:v>一般公共服务支出480.4万元</c:v>
                </c:pt>
                <c:pt idx="1">
                  <c:v>公共安全支出3.04万元</c:v>
                </c:pt>
                <c:pt idx="2">
                  <c:v>教育支出5万元</c:v>
                </c:pt>
                <c:pt idx="3">
                  <c:v>文化旅游体育与传媒支出10.52万元</c:v>
                </c:pt>
                <c:pt idx="4">
                  <c:v>社会保障和就业支出99.42万元</c:v>
                </c:pt>
                <c:pt idx="5">
                  <c:v>卫生健康支出32.65万元</c:v>
                </c:pt>
                <c:pt idx="6">
                  <c:v>灾害防治及应急管理支出13万元</c:v>
                </c:pt>
                <c:pt idx="7">
                  <c:v>城乡社区支出16.5万元</c:v>
                </c:pt>
                <c:pt idx="8">
                  <c:v>交通运输11.92万元</c:v>
                </c:pt>
                <c:pt idx="9">
                  <c:v>农林水支出496.84万元</c:v>
                </c:pt>
                <c:pt idx="10">
                  <c:v>住房保障支出62.07万元</c:v>
                </c:pt>
              </c:strCache>
            </c:strRef>
          </c:cat>
          <c:val>
            <c:numRef>
              <c:f>一般公共预算财政拨款支出决算结构图6!$C$17:$C$27</c:f>
              <c:numCache>
                <c:formatCode>0.00%</c:formatCode>
                <c:ptCount val="11"/>
                <c:pt idx="0">
                  <c:v>0.3901</c:v>
                </c:pt>
                <c:pt idx="1">
                  <c:v>0.0024</c:v>
                </c:pt>
                <c:pt idx="2">
                  <c:v>0.0041</c:v>
                </c:pt>
                <c:pt idx="3">
                  <c:v>0.0085</c:v>
                </c:pt>
                <c:pt idx="4">
                  <c:v>0.0807000000000001</c:v>
                </c:pt>
                <c:pt idx="5">
                  <c:v>0.0265</c:v>
                </c:pt>
                <c:pt idx="6">
                  <c:v>0.0106</c:v>
                </c:pt>
                <c:pt idx="7">
                  <c:v>0.0134</c:v>
                </c:pt>
                <c:pt idx="8">
                  <c:v>0.0096</c:v>
                </c:pt>
                <c:pt idx="9">
                  <c:v>0.4036</c:v>
                </c:pt>
                <c:pt idx="10">
                  <c:v>0.0505</c:v>
                </c:pt>
              </c:numCache>
            </c:numRef>
          </c:val>
        </c:ser>
        <c:dLbls>
          <c:showLegendKey val="0"/>
          <c:showVal val="0"/>
          <c:showCatName val="0"/>
          <c:showSerName val="0"/>
          <c:showPercent val="0"/>
          <c:showBubbleSize val="0"/>
          <c:showLeaderLines val="1"/>
        </c:dLbls>
        <c:firstSliceAng val="15"/>
      </c:pieChart>
      <c:spPr>
        <a:noFill/>
        <a:ln>
          <a:noFill/>
        </a:ln>
        <a:effectLst/>
      </c:spPr>
    </c:plotArea>
    <c:legend>
      <c:legendPos val="r"/>
      <c:layout/>
      <c:overlay val="0"/>
      <c:txPr>
        <a:bodyPr rot="0" spcFirstLastPara="0" vertOverflow="ellipsis" vert="horz" wrap="square" anchor="ctr" anchorCtr="1"/>
        <a:lstStyle/>
        <a:p>
          <a:pPr>
            <a:defRPr lang="zh-CN" sz="1000" b="0" i="0" u="none" strike="noStrike" kern="1200" baseline="0">
              <a:solidFill>
                <a:schemeClr val="dk1"/>
              </a:solidFill>
              <a:latin typeface="+mn-lt"/>
              <a:ea typeface="+mn-ea"/>
              <a:cs typeface="+mn-cs"/>
            </a:defRPr>
          </a:pPr>
        </a:p>
      </c:txPr>
    </c:legend>
    <c:plotVisOnly val="1"/>
    <c:dispBlanksAs val="zero"/>
    <c:showDLblsOverMax val="0"/>
  </c:chart>
  <c:spPr>
    <a:gradFill rotWithShape="1">
      <a:gsLst>
        <a:gs pos="0">
          <a:schemeClr val="accent3">
            <a:tint val="50000"/>
            <a:satMod val="300000"/>
          </a:schemeClr>
        </a:gs>
        <a:gs pos="35000">
          <a:schemeClr val="accent3">
            <a:tint val="37000"/>
            <a:satMod val="300000"/>
          </a:schemeClr>
        </a:gs>
        <a:gs pos="100000">
          <a:schemeClr val="accent3">
            <a:tint val="15000"/>
            <a:satMod val="350000"/>
          </a:schemeClr>
        </a:gs>
      </a:gsLst>
      <a:lin ang="16200000" scaled="1"/>
    </a:gradFill>
    <a:ln w="9525" cap="flat" cmpd="sng" algn="ctr">
      <a:solidFill>
        <a:schemeClr val="accent3">
          <a:shade val="95000"/>
          <a:satMod val="105000"/>
        </a:schemeClr>
      </a:solidFill>
      <a:prstDash val="solid"/>
      <a:round/>
    </a:ln>
    <a:effectLst>
      <a:outerShdw blurRad="40000" dist="20000" dir="5400000" rotWithShape="0">
        <a:srgbClr val="000000">
          <a:alpha val="38000"/>
        </a:srgbClr>
      </a:outerShdw>
    </a:effectLst>
  </c:spPr>
  <c:txPr>
    <a:bodyPr/>
    <a:lstStyle/>
    <a:p>
      <a:pPr>
        <a:defRPr lang="zh-CN">
          <a:solidFill>
            <a:schemeClr val="dk1"/>
          </a:solidFill>
          <a:latin typeface="+mn-lt"/>
          <a:ea typeface="+mn-ea"/>
          <a:cs typeface="+mn-cs"/>
        </a:defRPr>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800" b="1" i="0" u="none" strike="noStrike" kern="1200" baseline="0">
                <a:solidFill>
                  <a:schemeClr val="dk1"/>
                </a:solidFill>
                <a:latin typeface="+mn-lt"/>
                <a:ea typeface="+mn-ea"/>
                <a:cs typeface="+mn-cs"/>
              </a:defRPr>
            </a:pPr>
            <a:r>
              <a:rPr lang="zh-CN" altLang="en-US"/>
              <a:t>图</a:t>
            </a:r>
            <a:r>
              <a:rPr lang="en-US" altLang="zh-CN"/>
              <a:t>7</a:t>
            </a:r>
            <a:r>
              <a:rPr lang="zh-CN" altLang="en-US"/>
              <a:t>：</a:t>
            </a:r>
            <a:r>
              <a:rPr lang="en-US" altLang="zh-CN"/>
              <a:t>2021</a:t>
            </a:r>
            <a:r>
              <a:rPr lang="zh-CN" altLang="en-US"/>
              <a:t>年  </a:t>
            </a:r>
            <a:r>
              <a:rPr lang="en-US" altLang="zh-CN"/>
              <a:t>"</a:t>
            </a:r>
            <a:r>
              <a:rPr lang="zh-CN" altLang="en-US"/>
              <a:t>三公”经费财政拨款                  支出结构图</a:t>
            </a:r>
            <a:endParaRPr lang="zh-CN" altLang="en-US"/>
          </a:p>
        </c:rich>
      </c:tx>
      <c:layout/>
      <c:overlay val="0"/>
    </c:title>
    <c:autoTitleDeleted val="0"/>
    <c:plotArea>
      <c:layout/>
      <c:pieChart>
        <c:varyColors val="1"/>
        <c:ser>
          <c:idx val="0"/>
          <c:order val="0"/>
          <c:tx>
            <c:strRef>
              <c:f>'“三公”经费财政拨款支出结构图7 '!$B$9</c:f>
              <c:strCache>
                <c:ptCount val="1"/>
                <c:pt idx="0">
                  <c:v>占比</c:v>
                </c:pt>
              </c:strCache>
            </c:strRef>
          </c:tx>
          <c:explosion val="0"/>
          <c:dPt>
            <c:idx val="0"/>
            <c:bubble3D val="0"/>
          </c:dPt>
          <c:dPt>
            <c:idx val="1"/>
            <c:bubble3D val="0"/>
          </c:dPt>
          <c:dPt>
            <c:idx val="2"/>
            <c:bubble3D val="0"/>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dk1"/>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ext>
            </c:extLst>
          </c:dLbls>
          <c:cat>
            <c:strRef>
              <c:f>'“三公”经费财政拨款支出结构图7 '!$A$10:$A$12</c:f>
              <c:strCache>
                <c:ptCount val="3"/>
                <c:pt idx="0">
                  <c:v>因公出国（境）费支出0万元</c:v>
                </c:pt>
                <c:pt idx="1">
                  <c:v>公务用车购置及运行维护费支出4.12万元</c:v>
                </c:pt>
                <c:pt idx="2">
                  <c:v>公务接待费支出1.17万元</c:v>
                </c:pt>
              </c:strCache>
            </c:strRef>
          </c:cat>
          <c:val>
            <c:numRef>
              <c:f>'“三公”经费财政拨款支出结构图7 '!$B$10:$B$12</c:f>
              <c:numCache>
                <c:formatCode>0.00%</c:formatCode>
                <c:ptCount val="3"/>
                <c:pt idx="0">
                  <c:v>0</c:v>
                </c:pt>
                <c:pt idx="1">
                  <c:v>0.824</c:v>
                </c:pt>
                <c:pt idx="2">
                  <c:v>0.176</c:v>
                </c:pt>
              </c:numCache>
            </c:numRef>
          </c:val>
        </c:ser>
        <c:dLbls>
          <c:showLegendKey val="0"/>
          <c:showVal val="1"/>
          <c:showCatName val="0"/>
          <c:showSerName val="0"/>
          <c:showPercent val="0"/>
          <c:showBubbleSize val="0"/>
          <c:showLeaderLines val="1"/>
        </c:dLbls>
        <c:firstSliceAng val="15"/>
      </c:pieChart>
      <c:spPr>
        <a:noFill/>
        <a:ln>
          <a:noFill/>
        </a:ln>
        <a:effectLst/>
      </c:spPr>
    </c:plotArea>
    <c:legend>
      <c:legendPos val="r"/>
      <c:layout/>
      <c:overlay val="0"/>
      <c:txPr>
        <a:bodyPr rot="0" spcFirstLastPara="0" vertOverflow="ellipsis" vert="horz" wrap="square" anchor="ctr" anchorCtr="1"/>
        <a:lstStyle/>
        <a:p>
          <a:pPr>
            <a:defRPr lang="zh-CN" sz="1000" b="0" i="0" u="none" strike="noStrike" kern="1200" baseline="0">
              <a:solidFill>
                <a:schemeClr val="dk1"/>
              </a:solidFill>
              <a:latin typeface="+mn-lt"/>
              <a:ea typeface="+mn-ea"/>
              <a:cs typeface="+mn-cs"/>
            </a:defRPr>
          </a:pPr>
        </a:p>
      </c:txPr>
    </c:legend>
    <c:plotVisOnly val="1"/>
    <c:dispBlanksAs val="zero"/>
    <c:showDLblsOverMax val="0"/>
  </c:chart>
  <c:spPr>
    <a:gradFill rotWithShape="1">
      <a:gsLst>
        <a:gs pos="0">
          <a:schemeClr val="accent3">
            <a:tint val="50000"/>
            <a:satMod val="300000"/>
          </a:schemeClr>
        </a:gs>
        <a:gs pos="35000">
          <a:schemeClr val="accent3">
            <a:tint val="37000"/>
            <a:satMod val="300000"/>
          </a:schemeClr>
        </a:gs>
        <a:gs pos="100000">
          <a:schemeClr val="accent3">
            <a:tint val="15000"/>
            <a:satMod val="350000"/>
          </a:schemeClr>
        </a:gs>
      </a:gsLst>
      <a:lin ang="16200000" scaled="1"/>
    </a:gradFill>
    <a:ln w="9525" cap="flat" cmpd="sng" algn="ctr">
      <a:solidFill>
        <a:schemeClr val="accent3">
          <a:shade val="95000"/>
          <a:satMod val="105000"/>
        </a:schemeClr>
      </a:solidFill>
      <a:prstDash val="solid"/>
      <a:round/>
    </a:ln>
    <a:effectLst>
      <a:outerShdw blurRad="40000" dist="20000" dir="5400000" rotWithShape="0">
        <a:srgbClr val="000000">
          <a:alpha val="38000"/>
        </a:srgbClr>
      </a:outerShdw>
    </a:effectLst>
  </c:spPr>
  <c:txPr>
    <a:bodyPr/>
    <a:lstStyle/>
    <a:p>
      <a:pPr>
        <a:defRPr lang="zh-CN">
          <a:solidFill>
            <a:schemeClr val="dk1"/>
          </a:solidFill>
          <a:latin typeface="+mn-lt"/>
          <a:ea typeface="+mn-ea"/>
          <a:cs typeface="+mn-cs"/>
        </a:defRPr>
      </a:pPr>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四川省财政厅</Company>
  <Pages>41</Pages>
  <Words>14003</Words>
  <Characters>15085</Characters>
  <Lines>122</Lines>
  <Paragraphs>34</Paragraphs>
  <TotalTime>2</TotalTime>
  <ScaleCrop>false</ScaleCrop>
  <LinksUpToDate>false</LinksUpToDate>
  <CharactersWithSpaces>15288</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2022-09-13T01:18:00Z</dcterms:created>
  <dc:creator>曹颖</dc:creator>
  <cp:lastModifiedBy>原野新之助</cp:lastModifiedBy>
  <cp:lastPrinted>2022-08-06T02:23:00Z</cp:lastPrinted>
  <dcterms:modified xsi:type="dcterms:W3CDTF">2022-11-18T08:07:43Z</dcterms:modified>
  <dc:title>四川省***</dc:title>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FE158B96CCA34149B179B58BEC962D45</vt:lpwstr>
  </property>
</Properties>
</file>