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202</w:t>
      </w:r>
      <w:r>
        <w:rPr>
          <w:rFonts w:hint="eastAsia" w:ascii="方正小标宋简体" w:hAnsi="宋体" w:eastAsia="方正小标宋简体"/>
          <w:sz w:val="44"/>
          <w:szCs w:val="44"/>
          <w:lang w:val="en-US" w:eastAsia="zh-CN"/>
        </w:rPr>
        <w:t>1</w:t>
      </w:r>
      <w:r>
        <w:rPr>
          <w:rFonts w:hint="eastAsia" w:ascii="方正小标宋简体" w:hAnsi="宋体" w:eastAsia="方正小标宋简体"/>
          <w:sz w:val="44"/>
          <w:szCs w:val="44"/>
        </w:rPr>
        <w:t>年度区卫健局预算项目支出绩效自评报告</w:t>
      </w:r>
    </w:p>
    <w:p>
      <w:pPr>
        <w:tabs>
          <w:tab w:val="left" w:pos="3885"/>
        </w:tabs>
        <w:snapToGrid w:val="0"/>
        <w:spacing w:line="600" w:lineRule="exact"/>
        <w:jc w:val="center"/>
        <w:rPr>
          <w:rFonts w:ascii="楷体_GB2312" w:hAnsi="仿宋_GB2312" w:eastAsia="楷体_GB2312"/>
        </w:rPr>
      </w:pPr>
      <w:r>
        <w:rPr>
          <w:rFonts w:hint="eastAsia" w:ascii="楷体_GB2312" w:hAnsi="仿宋_GB2312" w:eastAsia="楷体_GB2312"/>
        </w:rPr>
        <w:t>（</w:t>
      </w:r>
      <w:bookmarkStart w:id="0" w:name="_GoBack"/>
      <w:r>
        <w:rPr>
          <w:rFonts w:hint="eastAsia" w:ascii="楷体_GB2312" w:hAnsi="仿宋_GB2312" w:eastAsia="楷体_GB2312"/>
          <w:lang w:eastAsia="zh-CN"/>
        </w:rPr>
        <w:t>计划生育家庭慰问</w:t>
      </w:r>
      <w:r>
        <w:rPr>
          <w:rFonts w:hint="eastAsia" w:ascii="楷体_GB2312" w:hAnsi="仿宋_GB2312" w:eastAsia="楷体_GB2312"/>
        </w:rPr>
        <w:t>项目</w:t>
      </w:r>
      <w:bookmarkEnd w:id="0"/>
      <w:r>
        <w:rPr>
          <w:rFonts w:hint="eastAsia" w:ascii="楷体_GB2312" w:hAnsi="仿宋_GB2312" w:eastAsia="楷体_GB2312"/>
        </w:rPr>
        <w:t>）</w:t>
      </w:r>
    </w:p>
    <w:p>
      <w:pPr>
        <w:adjustRightInd w:val="0"/>
        <w:snapToGrid w:val="0"/>
        <w:spacing w:line="500" w:lineRule="exact"/>
        <w:jc w:val="center"/>
        <w:rPr>
          <w:rFonts w:hint="eastAsia" w:ascii="楷体_GB2312" w:hAnsi="宋体" w:eastAsia="楷体_GB2312"/>
          <w:b/>
        </w:rPr>
      </w:pPr>
    </w:p>
    <w:p>
      <w:pPr>
        <w:pStyle w:val="4"/>
        <w:numPr>
          <w:ilvl w:val="0"/>
          <w:numId w:val="0"/>
        </w:numPr>
        <w:spacing w:line="500" w:lineRule="exact"/>
        <w:ind w:left="637" w:leftChars="0"/>
        <w:rPr>
          <w:rFonts w:hint="eastAsia" w:ascii="楷体_GB2312" w:eastAsia="楷体_GB2312"/>
          <w:b/>
        </w:rPr>
      </w:pPr>
      <w:r>
        <w:rPr>
          <w:rFonts w:hint="eastAsia" w:ascii="楷体_GB2312" w:eastAsia="楷体_GB2312"/>
          <w:b/>
          <w:lang w:eastAsia="zh-CN"/>
        </w:rPr>
        <w:t>一、</w:t>
      </w:r>
      <w:r>
        <w:rPr>
          <w:rFonts w:hint="eastAsia" w:ascii="楷体_GB2312" w:eastAsia="楷体_GB2312"/>
          <w:b/>
        </w:rPr>
        <w:t>项目基本情况</w:t>
      </w:r>
      <w:r>
        <w:rPr>
          <w:rFonts w:hint="eastAsia" w:ascii="楷体_GB2312" w:eastAsia="楷体_GB2312"/>
          <w:b/>
        </w:rPr>
        <w:tab/>
      </w:r>
    </w:p>
    <w:p>
      <w:pPr>
        <w:adjustRightInd w:val="0"/>
        <w:snapToGrid w:val="0"/>
        <w:spacing w:line="500" w:lineRule="exact"/>
        <w:ind w:firstLine="640" w:firstLineChars="200"/>
        <w:rPr>
          <w:rFonts w:hint="default" w:ascii="楷体_GB2312" w:hAnsi="宋体" w:eastAsia="楷体_GB2312"/>
          <w:lang w:val="en-US" w:eastAsia="zh-CN"/>
        </w:rPr>
      </w:pPr>
      <w:r>
        <w:rPr>
          <w:rFonts w:hint="eastAsia" w:ascii="楷体_GB2312" w:hAnsi="仿宋_GB2312" w:eastAsia="楷体_GB2312"/>
          <w:lang w:eastAsia="zh-CN"/>
        </w:rPr>
        <w:t>根据省市关于进一步加强计划生育特殊家庭扶助关怀的工作要求，对我区所有计划生育特殊家庭开展每年发放慰问金中秋</w:t>
      </w:r>
      <w:r>
        <w:rPr>
          <w:rFonts w:hint="eastAsia" w:ascii="楷体_GB2312" w:hAnsi="仿宋_GB2312" w:eastAsia="楷体_GB2312"/>
          <w:lang w:val="en-US" w:eastAsia="zh-CN"/>
        </w:rPr>
        <w:t>100元，春节200元。2021年我区计划生育特殊家庭共计2876人，发放慰问金86.14万元</w:t>
      </w:r>
    </w:p>
    <w:p>
      <w:pPr>
        <w:pStyle w:val="4"/>
        <w:numPr>
          <w:ilvl w:val="0"/>
          <w:numId w:val="0"/>
        </w:numPr>
        <w:spacing w:line="500" w:lineRule="exact"/>
        <w:ind w:firstLine="643" w:firstLineChars="200"/>
        <w:rPr>
          <w:rFonts w:hint="eastAsia" w:ascii="楷体_GB2312" w:eastAsia="楷体_GB2312"/>
          <w:b/>
        </w:rPr>
      </w:pPr>
      <w:r>
        <w:rPr>
          <w:rFonts w:hint="eastAsia" w:ascii="楷体_GB2312" w:eastAsia="楷体_GB2312"/>
          <w:b/>
        </w:rPr>
        <w:t>二、评价工作开展情况</w:t>
      </w:r>
    </w:p>
    <w:p>
      <w:pPr>
        <w:pStyle w:val="4"/>
        <w:numPr>
          <w:ilvl w:val="0"/>
          <w:numId w:val="0"/>
        </w:numPr>
        <w:spacing w:line="500" w:lineRule="exact"/>
        <w:ind w:firstLine="640" w:firstLineChars="200"/>
        <w:rPr>
          <w:rFonts w:hint="eastAsia" w:ascii="楷体_GB2312" w:hAnsi="仿宋" w:eastAsia="楷体_GB2312"/>
        </w:rPr>
      </w:pPr>
      <w:r>
        <w:rPr>
          <w:rFonts w:hint="eastAsia" w:ascii="楷体_GB2312" w:hAnsi="仿宋" w:eastAsia="楷体_GB2312"/>
        </w:rPr>
        <w:t>一是加强社会宣传和重点人群告知。为保证申报对象不漏，区</w:t>
      </w:r>
      <w:r>
        <w:rPr>
          <w:rFonts w:hint="eastAsia" w:ascii="楷体_GB2312" w:hAnsi="仿宋" w:eastAsia="楷体_GB2312"/>
          <w:lang w:eastAsia="zh-CN"/>
        </w:rPr>
        <w:t>卫健</w:t>
      </w:r>
      <w:r>
        <w:rPr>
          <w:rFonts w:hint="eastAsia" w:ascii="楷体_GB2312" w:hAnsi="仿宋" w:eastAsia="楷体_GB2312"/>
        </w:rPr>
        <w:t>局每年都要求乡镇、街道计生办在平台提取奖励扶助对象宣传名单，每年3月开始，对本辖区对象进行摸排，及时通知符合条件对象申报，同时印发宣传资料加大政策宣传。</w:t>
      </w:r>
    </w:p>
    <w:p>
      <w:pPr>
        <w:pStyle w:val="4"/>
        <w:numPr>
          <w:ilvl w:val="0"/>
          <w:numId w:val="0"/>
        </w:numPr>
        <w:spacing w:line="500" w:lineRule="exact"/>
        <w:ind w:firstLine="640" w:firstLineChars="200"/>
        <w:rPr>
          <w:rFonts w:hint="eastAsia" w:ascii="楷体_GB2312" w:hAnsi="仿宋" w:eastAsia="楷体_GB2312"/>
          <w:b/>
        </w:rPr>
      </w:pPr>
      <w:r>
        <w:rPr>
          <w:rFonts w:hint="eastAsia" w:ascii="楷体_GB2312" w:hAnsi="仿宋" w:eastAsia="楷体_GB2312"/>
        </w:rPr>
        <w:t>二是严格资格确认程序。</w:t>
      </w:r>
      <w:r>
        <w:rPr>
          <w:rFonts w:hint="eastAsia" w:ascii="楷体_GB2312" w:hAnsi="仿宋" w:eastAsia="楷体_GB2312"/>
          <w:bCs/>
        </w:rPr>
        <w:t>严格按照资金确认条件和程序确定目标人群。区</w:t>
      </w:r>
      <w:r>
        <w:rPr>
          <w:rFonts w:hint="eastAsia" w:ascii="楷体_GB2312" w:hAnsi="仿宋" w:eastAsia="楷体_GB2312"/>
          <w:bCs/>
          <w:lang w:eastAsia="zh-CN"/>
        </w:rPr>
        <w:t>卫健</w:t>
      </w:r>
      <w:r>
        <w:rPr>
          <w:rFonts w:hint="eastAsia" w:ascii="楷体_GB2312" w:hAnsi="仿宋" w:eastAsia="楷体_GB2312"/>
          <w:bCs/>
        </w:rPr>
        <w:t>局严格“三项</w:t>
      </w:r>
      <w:r>
        <w:rPr>
          <w:rFonts w:hint="eastAsia" w:ascii="楷体_GB2312" w:hAnsi="仿宋" w:eastAsia="楷体_GB2312"/>
        </w:rPr>
        <w:t>制度”资格确认程序，按照申报、乡镇街道受理并打印申报表由申报对象签字、知情群众调查、乡村联合调查、乡级初审、公示、县级复审程序进行资格确认，县级复核采取对所有新增对象进行资料复核和入户调查复核对新增对象抽取10%以上进行复核，严格把关，确保不重不漏。要求知情群众调查必须背对背调查。对特殊情况，如婚育情况变动大、养子女关系发生变化的，提交办公会集体讨论通过。</w:t>
      </w:r>
    </w:p>
    <w:p>
      <w:pPr>
        <w:adjustRightInd w:val="0"/>
        <w:snapToGrid w:val="0"/>
        <w:spacing w:line="500" w:lineRule="exact"/>
        <w:ind w:firstLine="640" w:firstLineChars="200"/>
        <w:rPr>
          <w:rFonts w:hint="eastAsia" w:ascii="楷体_GB2312" w:hAnsi="仿宋" w:eastAsia="楷体_GB2312"/>
        </w:rPr>
      </w:pPr>
      <w:r>
        <w:rPr>
          <w:rFonts w:hint="eastAsia" w:ascii="楷体_GB2312" w:hAnsi="仿宋" w:eastAsia="楷体_GB2312"/>
        </w:rPr>
        <w:t>三是严格按照省</w:t>
      </w:r>
      <w:r>
        <w:rPr>
          <w:rFonts w:hint="eastAsia" w:ascii="楷体_GB2312" w:hAnsi="仿宋" w:eastAsia="楷体_GB2312"/>
          <w:lang w:eastAsia="zh-CN"/>
        </w:rPr>
        <w:t>卫健</w:t>
      </w:r>
      <w:r>
        <w:rPr>
          <w:rFonts w:hint="eastAsia" w:ascii="楷体_GB2312" w:hAnsi="仿宋" w:eastAsia="楷体_GB2312"/>
        </w:rPr>
        <w:t>委办公室关于印发《四川农村部分计划生育家庭奖励扶助、计划生育家庭特别扶助工作规范》的通知（川卫办发</w:t>
      </w:r>
      <w:r>
        <w:rPr>
          <w:rFonts w:hint="eastAsia" w:ascii="楷体_GB2312" w:hAnsi="仿宋" w:eastAsia="楷体_GB2312" w:cs="仿宋_GB2312"/>
        </w:rPr>
        <w:t>〔</w:t>
      </w:r>
      <w:r>
        <w:rPr>
          <w:rFonts w:hint="eastAsia" w:ascii="楷体_GB2312" w:hAnsi="仿宋" w:eastAsia="楷体_GB2312"/>
        </w:rPr>
        <w:t>2016</w:t>
      </w:r>
      <w:r>
        <w:rPr>
          <w:rFonts w:hint="eastAsia" w:ascii="楷体_GB2312" w:hAnsi="仿宋" w:eastAsia="楷体_GB2312" w:cs="仿宋_GB2312"/>
        </w:rPr>
        <w:t>〕</w:t>
      </w:r>
      <w:r>
        <w:rPr>
          <w:rFonts w:hint="eastAsia" w:ascii="楷体_GB2312" w:hAnsi="仿宋" w:eastAsia="楷体_GB2312"/>
        </w:rPr>
        <w:t>223号），严格目标人员申报工作流程和工作规范。对往年享受对象每年按要求进行窗口年审，年审后享受对象在年审表上签字确认。</w:t>
      </w:r>
    </w:p>
    <w:p>
      <w:pPr>
        <w:snapToGrid w:val="0"/>
        <w:spacing w:line="600" w:lineRule="exact"/>
        <w:ind w:firstLine="640" w:firstLineChars="200"/>
        <w:rPr>
          <w:rFonts w:hint="eastAsia" w:ascii="黑体" w:hAnsi="宋体" w:eastAsia="黑体"/>
          <w:szCs w:val="21"/>
        </w:rPr>
      </w:pPr>
      <w:r>
        <w:rPr>
          <w:rFonts w:hint="eastAsia" w:ascii="黑体" w:hAnsi="宋体" w:eastAsia="黑体"/>
          <w:szCs w:val="21"/>
        </w:rPr>
        <w:t>三</w:t>
      </w:r>
      <w:r>
        <w:rPr>
          <w:rFonts w:ascii="黑体" w:hAnsi="宋体" w:eastAsia="黑体"/>
          <w:szCs w:val="21"/>
        </w:rPr>
        <w:t>、</w:t>
      </w:r>
      <w:r>
        <w:rPr>
          <w:rFonts w:hint="eastAsia" w:ascii="黑体" w:hAnsi="宋体" w:eastAsia="黑体"/>
          <w:szCs w:val="21"/>
        </w:rPr>
        <w:t>综合评价结论</w:t>
      </w:r>
    </w:p>
    <w:p>
      <w:pPr>
        <w:snapToGrid w:val="0"/>
        <w:spacing w:line="600" w:lineRule="exact"/>
        <w:ind w:firstLine="640" w:firstLineChars="200"/>
        <w:rPr>
          <w:rFonts w:ascii="黑体" w:hAnsi="宋体" w:eastAsia="黑体"/>
          <w:szCs w:val="21"/>
        </w:rPr>
      </w:pPr>
      <w:r>
        <w:rPr>
          <w:rFonts w:hint="eastAsia" w:ascii="楷体_GB2312" w:hAnsi="仿宋" w:eastAsia="楷体_GB2312"/>
        </w:rPr>
        <w:t>严格按照省</w:t>
      </w:r>
      <w:r>
        <w:rPr>
          <w:rFonts w:hint="eastAsia" w:ascii="楷体_GB2312" w:hAnsi="仿宋" w:eastAsia="楷体_GB2312"/>
          <w:lang w:eastAsia="zh-CN"/>
        </w:rPr>
        <w:t>卫健</w:t>
      </w:r>
      <w:r>
        <w:rPr>
          <w:rFonts w:hint="eastAsia" w:ascii="楷体_GB2312" w:hAnsi="仿宋" w:eastAsia="楷体_GB2312"/>
        </w:rPr>
        <w:t>委办公室关于印发《四川农村部分计划生育家庭奖励扶助、计划生育家庭特别扶助工作规范》的通知（川卫办发</w:t>
      </w:r>
      <w:r>
        <w:rPr>
          <w:rFonts w:hint="eastAsia" w:ascii="楷体_GB2312" w:hAnsi="仿宋" w:eastAsia="楷体_GB2312" w:cs="仿宋_GB2312"/>
        </w:rPr>
        <w:t>〔</w:t>
      </w:r>
      <w:r>
        <w:rPr>
          <w:rFonts w:hint="eastAsia" w:ascii="楷体_GB2312" w:hAnsi="仿宋" w:eastAsia="楷体_GB2312"/>
        </w:rPr>
        <w:t>2016</w:t>
      </w:r>
      <w:r>
        <w:rPr>
          <w:rFonts w:hint="eastAsia" w:ascii="楷体_GB2312" w:hAnsi="仿宋" w:eastAsia="楷体_GB2312" w:cs="仿宋_GB2312"/>
        </w:rPr>
        <w:t>〕</w:t>
      </w:r>
      <w:r>
        <w:rPr>
          <w:rFonts w:hint="eastAsia" w:ascii="楷体_GB2312" w:hAnsi="仿宋" w:eastAsia="楷体_GB2312"/>
        </w:rPr>
        <w:t>223号）要求开展工作，工作误差控制在市下目标任务——万之五以内。</w:t>
      </w:r>
    </w:p>
    <w:p>
      <w:pPr>
        <w:snapToGrid w:val="0"/>
        <w:spacing w:line="600" w:lineRule="exact"/>
        <w:ind w:firstLine="640" w:firstLineChars="200"/>
        <w:rPr>
          <w:rFonts w:ascii="黑体" w:hAnsi="黑体" w:eastAsia="黑体" w:cs="黑体"/>
          <w:bCs/>
          <w:szCs w:val="21"/>
        </w:rPr>
      </w:pPr>
      <w:r>
        <w:rPr>
          <w:rFonts w:hint="eastAsia" w:ascii="黑体" w:hAnsi="黑体" w:eastAsia="黑体" w:cs="黑体"/>
          <w:bCs/>
          <w:szCs w:val="21"/>
        </w:rPr>
        <w:t>四、绩效评价分析</w:t>
      </w:r>
    </w:p>
    <w:p>
      <w:pPr>
        <w:snapToGrid w:val="0"/>
        <w:spacing w:line="600" w:lineRule="exact"/>
        <w:ind w:firstLine="643" w:firstLineChars="200"/>
        <w:rPr>
          <w:rFonts w:hint="eastAsia" w:ascii="楷体_GB2312" w:hAnsi="宋体" w:eastAsia="楷体_GB2312"/>
          <w:b/>
          <w:szCs w:val="21"/>
        </w:rPr>
      </w:pPr>
      <w:r>
        <w:rPr>
          <w:rFonts w:hint="eastAsia" w:ascii="楷体_GB2312" w:hAnsi="宋体" w:eastAsia="楷体_GB2312"/>
          <w:b/>
          <w:szCs w:val="21"/>
        </w:rPr>
        <w:t>（一）项目决策情况</w:t>
      </w:r>
    </w:p>
    <w:p>
      <w:pPr>
        <w:snapToGrid w:val="0"/>
        <w:spacing w:line="600" w:lineRule="exact"/>
        <w:ind w:firstLine="640" w:firstLineChars="200"/>
        <w:rPr>
          <w:rFonts w:ascii="楷体_GB2312" w:hAnsi="仿宋" w:eastAsia="楷体_GB2312"/>
        </w:rPr>
      </w:pPr>
      <w:r>
        <w:rPr>
          <w:rFonts w:hint="eastAsia" w:ascii="楷体_GB2312" w:hAnsi="仿宋" w:eastAsia="楷体_GB2312"/>
        </w:rPr>
        <w:t>严格按照省市要求开展工作。</w:t>
      </w:r>
    </w:p>
    <w:p>
      <w:pPr>
        <w:snapToGrid w:val="0"/>
        <w:spacing w:line="600" w:lineRule="exact"/>
        <w:ind w:firstLine="643" w:firstLineChars="200"/>
        <w:rPr>
          <w:rFonts w:hint="eastAsia" w:ascii="楷体_GB2312" w:hAnsi="宋体" w:eastAsia="楷体_GB2312"/>
          <w:b/>
          <w:szCs w:val="21"/>
        </w:rPr>
      </w:pPr>
      <w:r>
        <w:rPr>
          <w:rFonts w:hint="eastAsia" w:ascii="楷体_GB2312" w:hAnsi="宋体" w:eastAsia="楷体_GB2312"/>
          <w:b/>
          <w:szCs w:val="21"/>
        </w:rPr>
        <w:t>（二）项目管理情况</w:t>
      </w:r>
    </w:p>
    <w:p>
      <w:pPr>
        <w:ind w:firstLine="640" w:firstLineChars="200"/>
        <w:rPr>
          <w:rFonts w:ascii="楷体_GB2312" w:hAnsi="仿宋_GB2312" w:eastAsia="楷体_GB2312"/>
        </w:rPr>
      </w:pPr>
      <w:r>
        <w:rPr>
          <w:rFonts w:hint="eastAsia" w:ascii="楷体_GB2312" w:hAnsi="仿宋_GB2312" w:eastAsia="楷体_GB2312"/>
        </w:rPr>
        <w:t>项目工作按照</w:t>
      </w:r>
      <w:r>
        <w:rPr>
          <w:rFonts w:ascii="楷体_GB2312" w:hAnsi="仿宋_GB2312" w:eastAsia="楷体_GB2312"/>
        </w:rPr>
        <w:t>“四权分离”管理机制运行</w:t>
      </w:r>
      <w:r>
        <w:rPr>
          <w:rFonts w:hint="eastAsia" w:ascii="楷体_GB2312" w:hAnsi="仿宋_GB2312" w:eastAsia="楷体_GB2312"/>
        </w:rPr>
        <w:t>。即</w:t>
      </w:r>
      <w:r>
        <w:rPr>
          <w:rFonts w:ascii="楷体_GB2312" w:hAnsi="仿宋_GB2312" w:eastAsia="楷体_GB2312"/>
        </w:rPr>
        <w:t>由</w:t>
      </w:r>
      <w:r>
        <w:rPr>
          <w:rFonts w:hint="eastAsia" w:ascii="楷体_GB2312" w:hAnsi="仿宋_GB2312" w:eastAsia="楷体_GB2312"/>
        </w:rPr>
        <w:t>区卫生健康机构</w:t>
      </w:r>
      <w:r>
        <w:rPr>
          <w:rFonts w:ascii="楷体_GB2312" w:hAnsi="仿宋_GB2312" w:eastAsia="楷体_GB2312"/>
        </w:rPr>
        <w:t>负责奖励扶助对象的资格确认；财政部门负责资金管理；</w:t>
      </w:r>
      <w:r>
        <w:rPr>
          <w:rFonts w:ascii="楷体_GB2312" w:hAnsi="仿宋" w:eastAsia="楷体_GB2312"/>
        </w:rPr>
        <w:t>委托</w:t>
      </w:r>
      <w:r>
        <w:rPr>
          <w:rFonts w:hint="eastAsia" w:ascii="楷体_GB2312" w:hAnsi="仿宋_GB2312" w:eastAsia="楷体_GB2312"/>
        </w:rPr>
        <w:t>工商</w:t>
      </w:r>
      <w:r>
        <w:rPr>
          <w:rFonts w:ascii="楷体_GB2312" w:hAnsi="仿宋_GB2312" w:eastAsia="楷体_GB2312"/>
        </w:rPr>
        <w:t>银行资金发放；</w:t>
      </w:r>
      <w:r>
        <w:rPr>
          <w:rFonts w:hint="eastAsia" w:ascii="楷体_GB2312" w:hAnsi="仿宋_GB2312" w:eastAsia="楷体_GB2312"/>
        </w:rPr>
        <w:t>自觉接受</w:t>
      </w:r>
      <w:r>
        <w:rPr>
          <w:rFonts w:ascii="楷体_GB2312" w:hAnsi="仿宋_GB2312" w:eastAsia="楷体_GB2312"/>
        </w:rPr>
        <w:t>.纪检监察部门监督检查</w:t>
      </w:r>
      <w:r>
        <w:rPr>
          <w:rFonts w:hint="eastAsia" w:ascii="楷体_GB2312" w:hAnsi="仿宋_GB2312" w:eastAsia="楷体_GB2312"/>
        </w:rPr>
        <w:t>，</w:t>
      </w:r>
      <w:r>
        <w:rPr>
          <w:rFonts w:ascii="楷体_GB2312" w:hAnsi="仿宋_GB2312" w:eastAsia="楷体_GB2312"/>
        </w:rPr>
        <w:t>形成了各部门各行其职，相互支持，相互制约，立体联动的格局。</w:t>
      </w:r>
    </w:p>
    <w:p>
      <w:pPr>
        <w:snapToGrid w:val="0"/>
        <w:spacing w:line="600" w:lineRule="exact"/>
        <w:ind w:firstLine="643" w:firstLineChars="200"/>
        <w:rPr>
          <w:rFonts w:hint="eastAsia" w:ascii="楷体_GB2312" w:hAnsi="宋体" w:eastAsia="楷体_GB2312"/>
          <w:b/>
          <w:szCs w:val="21"/>
        </w:rPr>
      </w:pPr>
      <w:r>
        <w:rPr>
          <w:rFonts w:hint="eastAsia" w:ascii="楷体_GB2312" w:hAnsi="宋体" w:eastAsia="楷体_GB2312"/>
          <w:b/>
          <w:szCs w:val="21"/>
        </w:rPr>
        <w:t>（三）项目产出情况</w:t>
      </w:r>
    </w:p>
    <w:p>
      <w:pPr>
        <w:pStyle w:val="4"/>
        <w:numPr>
          <w:ilvl w:val="0"/>
          <w:numId w:val="0"/>
        </w:numPr>
        <w:spacing w:line="500" w:lineRule="exact"/>
        <w:ind w:firstLine="640" w:firstLineChars="200"/>
        <w:rPr>
          <w:rFonts w:hint="eastAsia" w:ascii="楷体_GB2312" w:hAnsi="仿宋_GB2312" w:eastAsia="楷体_GB2312" w:cs="Times New Roman"/>
          <w:kern w:val="2"/>
          <w:sz w:val="32"/>
          <w:szCs w:val="32"/>
          <w:lang w:val="en-US" w:eastAsia="zh-CN" w:bidi="ar-SA"/>
        </w:rPr>
      </w:pPr>
      <w:r>
        <w:rPr>
          <w:rFonts w:hint="eastAsia" w:ascii="楷体_GB2312" w:hAnsi="仿宋_GB2312" w:eastAsia="楷体_GB2312" w:cs="Times New Roman"/>
          <w:kern w:val="2"/>
          <w:sz w:val="32"/>
          <w:szCs w:val="32"/>
          <w:lang w:val="en-US" w:eastAsia="zh-CN" w:bidi="ar-SA"/>
        </w:rPr>
        <w:t>严格按照省市项目工作安排，认真履职，积极主动，圆满完成省市目标任务</w:t>
      </w:r>
    </w:p>
    <w:p>
      <w:pPr>
        <w:pStyle w:val="4"/>
        <w:numPr>
          <w:ilvl w:val="0"/>
          <w:numId w:val="0"/>
        </w:numPr>
        <w:spacing w:line="500" w:lineRule="exact"/>
        <w:ind w:firstLine="643" w:firstLineChars="200"/>
        <w:rPr>
          <w:rFonts w:hint="eastAsia" w:ascii="楷体_GB2312" w:hAnsi="宋体" w:eastAsia="楷体_GB2312"/>
          <w:b/>
          <w:szCs w:val="21"/>
        </w:rPr>
      </w:pPr>
      <w:r>
        <w:rPr>
          <w:rFonts w:hint="eastAsia" w:ascii="楷体_GB2312" w:hAnsi="宋体" w:eastAsia="楷体_GB2312"/>
          <w:b/>
          <w:szCs w:val="21"/>
        </w:rPr>
        <w:t>（四）项目效益情况。</w:t>
      </w:r>
    </w:p>
    <w:p>
      <w:pPr>
        <w:ind w:firstLine="640" w:firstLineChars="200"/>
        <w:rPr>
          <w:rFonts w:hint="eastAsia" w:ascii="楷体_GB2312" w:hAnsi="仿宋_GB2312" w:eastAsia="楷体_GB2312"/>
        </w:rPr>
      </w:pPr>
      <w:r>
        <w:rPr>
          <w:rFonts w:hint="eastAsia" w:ascii="楷体_GB2312" w:hAnsi="仿宋_GB2312" w:eastAsia="楷体_GB2312"/>
        </w:rPr>
        <w:t>增强计划生育家庭，特别是计划生育特殊家庭的幸福指数。</w:t>
      </w:r>
    </w:p>
    <w:p>
      <w:pPr>
        <w:pStyle w:val="4"/>
        <w:numPr>
          <w:ilvl w:val="0"/>
          <w:numId w:val="0"/>
        </w:numPr>
        <w:spacing w:line="500" w:lineRule="exact"/>
        <w:ind w:firstLine="640" w:firstLineChars="200"/>
        <w:rPr>
          <w:rFonts w:hint="eastAsia" w:hAnsi="宋体"/>
          <w:szCs w:val="21"/>
        </w:rPr>
      </w:pPr>
      <w:r>
        <w:rPr>
          <w:rFonts w:hint="eastAsia" w:ascii="楷体_GB2312" w:hAnsi="仿宋_GB2312" w:eastAsia="楷体_GB2312"/>
        </w:rPr>
        <w:t>五</w:t>
      </w:r>
      <w:r>
        <w:rPr>
          <w:rFonts w:hint="eastAsia" w:ascii="楷体_GB2312" w:eastAsia="楷体_GB2312"/>
          <w:b/>
        </w:rPr>
        <w:t>、</w:t>
      </w:r>
      <w:r>
        <w:rPr>
          <w:rFonts w:hint="eastAsia" w:hAnsi="宋体"/>
          <w:szCs w:val="21"/>
        </w:rPr>
        <w:t>存在主要问题</w:t>
      </w:r>
    </w:p>
    <w:p>
      <w:pPr>
        <w:adjustRightInd w:val="0"/>
        <w:snapToGrid w:val="0"/>
        <w:spacing w:line="500" w:lineRule="exact"/>
        <w:ind w:firstLine="627" w:firstLineChars="196"/>
        <w:rPr>
          <w:rFonts w:hint="eastAsia" w:ascii="楷体_GB2312" w:hAnsi="仿宋_GB2312" w:eastAsia="楷体_GB2312"/>
          <w:lang w:eastAsia="zh-CN"/>
        </w:rPr>
      </w:pPr>
      <w:r>
        <w:rPr>
          <w:rFonts w:hint="eastAsia" w:ascii="楷体_GB2312" w:hAnsi="仿宋_GB2312" w:eastAsia="楷体_GB2312"/>
          <w:lang w:eastAsia="zh-CN"/>
        </w:rPr>
        <w:t>无</w:t>
      </w:r>
    </w:p>
    <w:p>
      <w:pPr>
        <w:adjustRightInd w:val="0"/>
        <w:snapToGrid w:val="0"/>
        <w:spacing w:line="500" w:lineRule="exact"/>
        <w:ind w:firstLine="630" w:firstLineChars="196"/>
        <w:rPr>
          <w:rFonts w:hint="eastAsia" w:ascii="楷体_GB2312" w:hAnsi="宋体" w:eastAsia="楷体_GB2312"/>
          <w:b/>
        </w:rPr>
      </w:pPr>
      <w:r>
        <w:rPr>
          <w:rFonts w:hint="eastAsia" w:ascii="楷体_GB2312" w:hAnsi="宋体" w:eastAsia="楷体_GB2312"/>
          <w:b/>
        </w:rPr>
        <w:t>六、</w:t>
      </w:r>
      <w:r>
        <w:rPr>
          <w:rFonts w:hint="eastAsia" w:ascii="黑体" w:hAnsi="宋体" w:eastAsia="黑体"/>
          <w:szCs w:val="21"/>
        </w:rPr>
        <w:t>相关措施建议</w:t>
      </w:r>
    </w:p>
    <w:p>
      <w:pPr>
        <w:spacing w:line="500" w:lineRule="exact"/>
        <w:ind w:firstLine="640" w:firstLineChars="200"/>
        <w:rPr>
          <w:rFonts w:hint="eastAsia" w:ascii="楷体_GB2312" w:eastAsia="楷体_GB2312"/>
        </w:rPr>
      </w:pPr>
      <w:r>
        <w:rPr>
          <w:rFonts w:hint="eastAsia" w:ascii="楷体_GB2312" w:eastAsia="楷体_GB2312"/>
          <w:lang w:eastAsia="zh-CN"/>
        </w:rPr>
        <w:t>无</w:t>
      </w:r>
    </w:p>
    <w:p>
      <w:pPr>
        <w:spacing w:line="500" w:lineRule="exact"/>
        <w:rPr>
          <w:rFonts w:hint="eastAsia" w:ascii="楷体_GB2312" w:eastAsia="楷体_GB2312"/>
        </w:rPr>
      </w:pPr>
    </w:p>
    <w:p>
      <w:pPr>
        <w:spacing w:line="500" w:lineRule="exact"/>
        <w:ind w:firstLine="643" w:firstLineChars="201"/>
        <w:jc w:val="right"/>
        <w:rPr>
          <w:rFonts w:hint="eastAsia" w:ascii="楷体_GB2312" w:eastAsia="楷体_GB2312"/>
        </w:rPr>
      </w:pPr>
    </w:p>
    <w:p>
      <w:pPr>
        <w:spacing w:line="500" w:lineRule="exact"/>
        <w:rPr>
          <w:rFonts w:hint="eastAsia" w:ascii="楷体_GB2312" w:eastAsia="楷体_GB2312"/>
        </w:rPr>
      </w:pPr>
    </w:p>
    <w:p>
      <w:pPr>
        <w:spacing w:line="500" w:lineRule="exact"/>
        <w:ind w:firstLine="643" w:firstLineChars="201"/>
        <w:jc w:val="right"/>
        <w:rPr>
          <w:rFonts w:hint="eastAsia" w:ascii="楷体_GB2312" w:eastAsia="楷体_GB2312"/>
        </w:rPr>
      </w:pPr>
    </w:p>
    <w:p>
      <w:pPr>
        <w:spacing w:line="500" w:lineRule="exact"/>
        <w:ind w:firstLine="3116" w:firstLineChars="974"/>
        <w:jc w:val="center"/>
        <w:rPr>
          <w:rFonts w:hint="eastAsia" w:ascii="楷体_GB2312" w:eastAsia="楷体_GB2312"/>
        </w:rPr>
      </w:pPr>
      <w:r>
        <w:rPr>
          <w:rFonts w:hint="eastAsia" w:ascii="楷体_GB2312" w:eastAsia="楷体_GB2312"/>
        </w:rPr>
        <w:t>市中区卫生</w:t>
      </w:r>
      <w:r>
        <w:rPr>
          <w:rFonts w:hint="eastAsia" w:ascii="楷体_GB2312" w:eastAsia="楷体_GB2312"/>
          <w:lang w:eastAsia="zh-CN"/>
        </w:rPr>
        <w:t>健康</w:t>
      </w:r>
      <w:r>
        <w:rPr>
          <w:rFonts w:hint="eastAsia" w:ascii="楷体_GB2312" w:eastAsia="楷体_GB2312"/>
        </w:rPr>
        <w:t>局</w:t>
      </w:r>
    </w:p>
    <w:p>
      <w:pPr>
        <w:tabs>
          <w:tab w:val="left" w:pos="3885"/>
        </w:tabs>
        <w:snapToGrid w:val="0"/>
        <w:spacing w:line="600" w:lineRule="exact"/>
        <w:ind w:firstLine="3116" w:firstLineChars="974"/>
        <w:jc w:val="center"/>
        <w:rPr>
          <w:rFonts w:ascii="宋体" w:hAnsi="宋体"/>
          <w:b/>
          <w:szCs w:val="21"/>
        </w:rPr>
      </w:pPr>
      <w:r>
        <w:rPr>
          <w:rFonts w:hint="eastAsia" w:ascii="楷体_GB2312" w:eastAsia="楷体_GB2312"/>
        </w:rPr>
        <w:t>202</w:t>
      </w:r>
      <w:r>
        <w:rPr>
          <w:rFonts w:hint="eastAsia" w:ascii="楷体_GB2312" w:eastAsia="楷体_GB2312"/>
          <w:lang w:val="en-US" w:eastAsia="zh-CN"/>
        </w:rPr>
        <w:t>2</w:t>
      </w:r>
      <w:r>
        <w:rPr>
          <w:rFonts w:hint="eastAsia" w:ascii="楷体_GB2312" w:eastAsia="楷体_GB2312"/>
        </w:rPr>
        <w:t>年</w:t>
      </w:r>
      <w:r>
        <w:rPr>
          <w:rFonts w:hint="eastAsia" w:ascii="楷体_GB2312" w:eastAsia="楷体_GB2312"/>
          <w:lang w:val="en-US" w:eastAsia="zh-CN"/>
        </w:rPr>
        <w:t>3</w:t>
      </w:r>
      <w:r>
        <w:rPr>
          <w:rFonts w:hint="eastAsia" w:ascii="楷体_GB2312" w:eastAsia="楷体_GB2312"/>
        </w:rPr>
        <w:t>月</w:t>
      </w:r>
      <w:r>
        <w:rPr>
          <w:rFonts w:hint="eastAsia" w:ascii="楷体_GB2312" w:eastAsia="楷体_GB2312"/>
          <w:lang w:val="en-US" w:eastAsia="zh-CN"/>
        </w:rPr>
        <w:t>18</w:t>
      </w:r>
      <w:r>
        <w:rPr>
          <w:rFonts w:hint="eastAsia" w:ascii="楷体_GB2312" w:eastAsia="楷体_GB231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9C89D"/>
    <w:multiLevelType w:val="singleLevel"/>
    <w:tmpl w:val="5539C89D"/>
    <w:lvl w:ilvl="0" w:tentative="0">
      <w:start w:val="7"/>
      <w:numFmt w:val="chineseCounting"/>
      <w:pStyle w:val="4"/>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4C6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B01〗一级标题"/>
    <w:next w:val="1"/>
    <w:qFormat/>
    <w:uiPriority w:val="0"/>
    <w:pPr>
      <w:numPr>
        <w:ilvl w:val="0"/>
        <w:numId w:val="1"/>
      </w:numPr>
      <w:topLinePunct/>
      <w:spacing w:line="600" w:lineRule="exact"/>
      <w:outlineLvl w:val="0"/>
    </w:pPr>
    <w:rPr>
      <w:rFonts w:ascii="黑体" w:hAnsi="Calibri" w:eastAsia="黑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2022-03-29T08:24:02Z</dcterms:created>
  <dc:creator>Administrator</dc:creator>
  <cp:lastModifiedBy>Administrator</cp:lastModifiedBy>
  <dcterms:modified xsi:type="dcterms:W3CDTF">2022-03-29T08:24:12Z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