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F05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 w14:paraId="7F394AB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关于乐山市市中区2025年度科学施肥</w:t>
      </w:r>
    </w:p>
    <w:p w14:paraId="28EF8C5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（化肥减量）增效项目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采购公告</w:t>
      </w:r>
    </w:p>
    <w:p w14:paraId="01383E82">
      <w:pPr>
        <w:pStyle w:val="11"/>
        <w:keepNext w:val="0"/>
        <w:keepLines w:val="0"/>
        <w:pageBreakBefore w:val="0"/>
        <w:kinsoku/>
        <w:overflowPunct/>
        <w:topLinePunct w:val="0"/>
        <w:bidi w:val="0"/>
        <w:snapToGrid/>
        <w:spacing w:line="520" w:lineRule="exact"/>
        <w:ind w:left="680" w:hanging="340"/>
        <w:jc w:val="center"/>
        <w:textAlignment w:val="auto"/>
        <w:rPr>
          <w:rFonts w:hint="eastAsia"/>
        </w:rPr>
      </w:pPr>
    </w:p>
    <w:p w14:paraId="24B6A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乐山市市中区2025年度科学施肥（化肥减量）增效项目拟采用综合评价法进行招标，现邀请各潜在供应商参加本项目投标。</w:t>
      </w:r>
    </w:p>
    <w:p w14:paraId="1A9F6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 w14:paraId="7E6D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项目名称：乐山市市中区2025年度科学施肥（化肥减量）增效项目</w:t>
      </w:r>
    </w:p>
    <w:p w14:paraId="1A5C2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项目业主:乐山市市中区农业农村局</w:t>
      </w:r>
    </w:p>
    <w:p w14:paraId="4D960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项目内容:</w:t>
      </w:r>
      <w:bookmarkStart w:id="0" w:name="OLE_LINK5"/>
      <w:bookmarkStart w:id="1" w:name="OLE_LINK6"/>
    </w:p>
    <w:bookmarkEnd w:id="0"/>
    <w:bookmarkEnd w:id="1"/>
    <w:p w14:paraId="3568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.开展田间肥效试验2个，其中玉米肥料利用率试验1个,肥效田间试验1个。具体工作内容为试验点位选择、试验观察记载、试验数据分析审核、单项试验总结、试验成果报告等工作，试验结束后开展测土配方校正及培训，印发配方施肥建议卡2万份，在区域镇街道全覆盖发放。</w:t>
      </w:r>
    </w:p>
    <w:p w14:paraId="00ED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2.完成农户施肥监测调查任务数44个。</w:t>
      </w:r>
    </w:p>
    <w:p w14:paraId="1DC77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二、项目控制价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  <w:t>及要求</w:t>
      </w:r>
    </w:p>
    <w:p w14:paraId="18594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（一）该项目最高控制价为8万元。</w:t>
      </w:r>
    </w:p>
    <w:p w14:paraId="788F2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（二）按照《乐山市市中区2025年科学施肥（化肥减量）增效项目实施方案》文件内容及上级相关工作文件要求完成测土配方施肥基础性工作。</w:t>
      </w:r>
    </w:p>
    <w:p w14:paraId="4FB035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三、项目时间要求</w:t>
      </w:r>
    </w:p>
    <w:p w14:paraId="7ECF0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2026年10月30日前完成所有服务内容。</w:t>
      </w:r>
    </w:p>
    <w:p w14:paraId="4EAB2836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报名需提交的材料</w:t>
      </w:r>
    </w:p>
    <w:p w14:paraId="513D3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凡有意参加的供应商需提供营业执照副本复印件，法定代表人的资格证明文件，法人代表对委托代理人的授权书及双方的身份证复印件（均需加盖公章），请于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11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之前将报名文件发送到</w:t>
      </w:r>
      <w:bookmarkStart w:id="2" w:name="OLE_LINK17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邮箱（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1114679293@qq.com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），</w:t>
      </w:r>
      <w:bookmarkEnd w:id="2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逾期不予受理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。</w:t>
      </w:r>
    </w:p>
    <w:p w14:paraId="38B4F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 w14:paraId="2B445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（一）具有独立承担民事责任的能力。</w:t>
      </w:r>
    </w:p>
    <w:p w14:paraId="1E2E7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（二）具有良好的商业信誉和健全的财务会计制度。</w:t>
      </w:r>
    </w:p>
    <w:p w14:paraId="50AC8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（三）具有履行合同所必需的设备和专业技术能力。</w:t>
      </w:r>
    </w:p>
    <w:p w14:paraId="6D03E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（四）具有依法缴纳税收和社会保障资金的良好记录。</w:t>
      </w:r>
    </w:p>
    <w:p w14:paraId="06A97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（五）竞标人参加政府采购活动前三年内，没有骗取中标行为，无不正当理由放弃中标（成交）行为，未进行过恶意投诉，在经营活动中没有违法、违规记录。</w:t>
      </w:r>
    </w:p>
    <w:p w14:paraId="6DC5D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（六）符合《中华人民共和国政府采购法》第二十二条的规定；具备法律和行政法规规定的其他条件。</w:t>
      </w:r>
    </w:p>
    <w:p w14:paraId="1201C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（七）本项目不接受联合体参加。</w:t>
      </w:r>
    </w:p>
    <w:p w14:paraId="5E163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 w14:paraId="4261D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）提供合格的营业执照副本、组织机构代码证副本、税务登记证副本（或“三证合一”的营业执照副本），事业单位提供事业单位法人证书（复印件盖鲜章）。</w:t>
      </w:r>
    </w:p>
    <w:p w14:paraId="374D7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2F617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）法定代表人或事业单位法人/负责人和授权代表身份证（复印件盖鲜章）。</w:t>
      </w:r>
    </w:p>
    <w:p w14:paraId="5DB1E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1E34A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6E388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。</w:t>
      </w:r>
    </w:p>
    <w:p w14:paraId="0E253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）竞标人参加政府采购活动前三年内，没有骗取中标行为，无不正当理由放弃中标（成交）行为，未进行过恶意投诉，在经营活动中没有违法、违规记录的承诺。</w:t>
      </w:r>
    </w:p>
    <w:p w14:paraId="5AE26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（八）供应商认为需要提供的其他文件和资料。</w:t>
      </w:r>
    </w:p>
    <w:p w14:paraId="333E0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bCs/>
          <w:sz w:val="32"/>
          <w:szCs w:val="32"/>
        </w:rPr>
        <w:t>投标文件份数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响应文件正本1份、副本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份，并在其封面上清楚地标明响应文件、项目名称、供应商名称以及“正本”或“副本”字样。若正本和副本有不一致的内容，以正本书面响应文件为准。（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正本、副本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每页均需盖供应商鲜章）</w:t>
      </w:r>
    </w:p>
    <w:p w14:paraId="612EE4A1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bCs/>
          <w:spacing w:val="-20"/>
          <w:kern w:val="1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pacing w:val="-20"/>
          <w:kern w:val="10"/>
          <w:sz w:val="32"/>
          <w:szCs w:val="32"/>
          <w:shd w:val="clear" w:color="auto" w:fill="auto"/>
          <w:lang w:val="en-US" w:eastAsia="zh-CN" w:bidi="ar-SA"/>
        </w:rPr>
        <w:t>八、竞标要求</w:t>
      </w:r>
    </w:p>
    <w:p w14:paraId="47788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投标文件应于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日下午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14:30</w:t>
      </w:r>
      <w:r>
        <w:rPr>
          <w:rFonts w:hint="eastAsia" w:ascii="仿宋_GB2312" w:hAnsi="华文仿宋" w:eastAsia="仿宋_GB2312" w:cs="宋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之前递交到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乐山市市中区农业农村局四楼会议室（乐山市市中区红雀碗街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118号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）。投标文件由供应商自行密封后在递交时间内送达，逾期送达、密封错误的响应文件，采购人不予接收。</w:t>
      </w:r>
    </w:p>
    <w:p w14:paraId="30792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  <w:t>九、评标方法</w:t>
      </w:r>
    </w:p>
    <w:p w14:paraId="5B542F6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本采购项目采取综合评价方式，在满足采购人所有需求的前提下，在控制价范围内进行综合评价确定中标供应商，评分标准见下表；</w:t>
      </w:r>
    </w:p>
    <w:tbl>
      <w:tblPr>
        <w:tblStyle w:val="14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36"/>
      </w:tblGrid>
      <w:tr w14:paraId="5E61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533" w:type="dxa"/>
            <w:vAlign w:val="center"/>
          </w:tcPr>
          <w:p w14:paraId="63B7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评分因素及权重</w:t>
            </w:r>
          </w:p>
        </w:tc>
        <w:tc>
          <w:tcPr>
            <w:tcW w:w="6936" w:type="dxa"/>
            <w:vAlign w:val="center"/>
          </w:tcPr>
          <w:p w14:paraId="0FB7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评分标准</w:t>
            </w:r>
          </w:p>
        </w:tc>
      </w:tr>
      <w:tr w14:paraId="66A7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1533" w:type="dxa"/>
            <w:vAlign w:val="center"/>
          </w:tcPr>
          <w:p w14:paraId="0A22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报价</w:t>
            </w:r>
          </w:p>
          <w:p w14:paraId="4945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2527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1、比选申请人的报价与评审基准价相同的得满分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0分。</w:t>
            </w:r>
          </w:p>
          <w:p w14:paraId="27FC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2、其他有效报价与评审基准价相比，每高于基准价1%扣0.5分，每低于基准价1%扣0.3分，扣完为止。</w:t>
            </w:r>
          </w:p>
          <w:p w14:paraId="149B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3、评审基准价：有效比选申请人的报价的算术平均值为评审基准价。</w:t>
            </w:r>
            <w:bookmarkEnd w:id="3"/>
          </w:p>
        </w:tc>
      </w:tr>
      <w:tr w14:paraId="5629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468C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服务方案</w:t>
            </w:r>
          </w:p>
          <w:p w14:paraId="58A4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（30分）</w:t>
            </w:r>
          </w:p>
        </w:tc>
        <w:tc>
          <w:tcPr>
            <w:tcW w:w="6936" w:type="dxa"/>
            <w:vAlign w:val="center"/>
          </w:tcPr>
          <w:p w14:paraId="7835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根据供应商针对本项目提供的服务方案进行评分，服务方案包括但不限于：①项目实施目标和重难点分析；②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田间肥效试验实施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方案；③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农户施肥监测调查实施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④服务质量控制措施；⑤风险防控措施；⑥人员安排及计划等。</w:t>
            </w:r>
          </w:p>
          <w:p w14:paraId="39BC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以上各单项内容最高得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分，每缺一项扣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分；方案包含上述各单项内容，但各单项中内容不全面或不具针对性或不能完全满足本项目需求的，酌情扣减单项得分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7B21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418A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能力保障（30分）</w:t>
            </w:r>
          </w:p>
        </w:tc>
        <w:tc>
          <w:tcPr>
            <w:tcW w:w="6936" w:type="dxa"/>
            <w:vAlign w:val="center"/>
          </w:tcPr>
          <w:p w14:paraId="4CEF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1.项目负责人（1人）具有农业类或实验测试类或环境类专业正高级职称的得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1BCE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2.技术负责人（1人）具有农业类或实验测试类或环境类专业正高级职称的得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4AB3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3.质量负责人（1人）具有农业类或实验测试类或环境类专业正高级职称的得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分；副高级职称的得3分；中级职称的得1分；其他不得分，本项最高得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00EB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4.其他人员（除项目负责人、技术负责人、质量负责人外）具有农业类或实验测试类或环境类专业高级职称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分；具有农业类或实验测试类或环境类专业中级职称证书的，每有一个得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分，其他不得分。本项最多得1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 xml:space="preserve">分。 </w:t>
            </w:r>
          </w:p>
          <w:p w14:paraId="6003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注：1.以上人员一人一证，不得重复计分。</w:t>
            </w:r>
          </w:p>
          <w:p w14:paraId="179B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2.上述人员证书须提供职称证书、在职证明材料和身份证复印件并加盖供应商公章。</w:t>
            </w:r>
          </w:p>
        </w:tc>
      </w:tr>
      <w:tr w14:paraId="3C6F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 w14:paraId="7B0F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业绩</w:t>
            </w:r>
          </w:p>
          <w:p w14:paraId="2856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6AB0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投标人有类似业绩的（类似业绩指：指耕地质量调查监测与评价项目，化肥减量增效项目，土壤普查项目）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等业绩，每提供一个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5分，本项最多20分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663FFA7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2.合同签订方式：中标供应商在收到中标通知书起5日内与业主方签订书面合同；</w:t>
      </w:r>
    </w:p>
    <w:p w14:paraId="4416A20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3.中标供应商不得转包或非法分包;</w:t>
      </w:r>
    </w:p>
    <w:p w14:paraId="4A04E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本次采购报名供应商不足3家的，终止本次采购。</w:t>
      </w:r>
    </w:p>
    <w:p w14:paraId="4F8973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 w14:paraId="61551E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（一）响应文件正本一份，副本一份，并在其封面清楚的标明响应文件、采购项目名称、供应商名称以及“正本”或“副本”字样，若正本和副本有不一致的内容，以正本书面响应文件为准。</w:t>
      </w:r>
    </w:p>
    <w:p w14:paraId="6442D6F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（二）本次采购供应商只能单独投标，不支持联合体投标。</w:t>
      </w:r>
    </w:p>
    <w:p w14:paraId="22ABE22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（三）服务时间要求：202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年10月30日前完成本项目所有服务。</w:t>
      </w:r>
    </w:p>
    <w:p w14:paraId="0E5E5B2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（四）供应商必须具有履行合同所必需的专业技术能力，如不具备履行能力，将取消中标资格。</w:t>
      </w:r>
    </w:p>
    <w:p w14:paraId="0A0A0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</w:pPr>
    </w:p>
    <w:p w14:paraId="7DC9A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  <w:t>附件：供应商报价文件相关文件格式</w:t>
      </w:r>
    </w:p>
    <w:p w14:paraId="46CC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（联系人：胡潇予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；联系电话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13359316659。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</w:t>
      </w:r>
    </w:p>
    <w:p w14:paraId="6D6ED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DB37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033E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乐山市市中区农业农村局</w:t>
      </w:r>
    </w:p>
    <w:p w14:paraId="059DC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 w:cs="宋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日</w:t>
      </w:r>
    </w:p>
    <w:p w14:paraId="3A8CC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09993758"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 w14:paraId="575D6B84">
      <w:pPr>
        <w:widowControl/>
        <w:ind w:firstLine="80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 w14:paraId="5B5D362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4" w:name="_Toc395026645"/>
      <w:bookmarkStart w:id="5" w:name="_Toc15063"/>
      <w:bookmarkStart w:id="6" w:name="_Toc500788174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4"/>
      <w:bookmarkEnd w:id="5"/>
      <w:bookmarkEnd w:id="6"/>
    </w:p>
    <w:p w14:paraId="187EB664">
      <w:pPr>
        <w:pStyle w:val="8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 w14:paraId="5B2459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”报价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</w:rPr>
        <w:t>动的合法代表，以我方名义全权处理该项目有关报价、签订合同以及执行合同等一切事宜。</w:t>
      </w:r>
    </w:p>
    <w:p w14:paraId="6D4960A9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7D53F44E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661DD56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</w:t>
      </w:r>
    </w:p>
    <w:p w14:paraId="247150FB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授权代表签字： </w:t>
      </w:r>
    </w:p>
    <w:p w14:paraId="6FE35C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3406E494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期：</w:t>
      </w:r>
    </w:p>
    <w:p w14:paraId="1654C33D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1377E2C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BE098C4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 w14:paraId="7450933C">
      <w:pPr>
        <w:widowControl/>
        <w:ind w:firstLine="64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</w:p>
    <w:p w14:paraId="1FA6D89B">
      <w:pPr>
        <w:widowControl/>
        <w:ind w:firstLine="64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417" w:right="1701" w:bottom="1417" w:left="1644" w:header="851" w:footer="992" w:gutter="0"/>
          <w:pgNumType w:fmt="decimal"/>
          <w:cols w:space="720" w:num="1"/>
          <w:docGrid w:type="lines" w:linePitch="312" w:charSpace="0"/>
        </w:sectPr>
      </w:pPr>
    </w:p>
    <w:p w14:paraId="6E3A01F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 w14:paraId="03D3285B"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 w14:paraId="2D6DA286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48FAD400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1D30C6E">
      <w:pPr>
        <w:pStyle w:val="12"/>
        <w:spacing w:before="0" w:beforeAutospacing="0" w:after="0" w:afterAutospacing="0" w:line="480" w:lineRule="auto"/>
        <w:ind w:firstLine="40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52532F0D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778FACE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35FF666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777D51B4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4BE5B90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157143DE">
      <w:pPr>
        <w:pStyle w:val="21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6" w:type="default"/>
          <w:pgSz w:w="11850" w:h="16783"/>
          <w:pgMar w:top="1417" w:right="1701" w:bottom="1417" w:left="1644" w:header="720" w:footer="720" w:gutter="0"/>
          <w:pgNumType w:fmt="decimal"/>
          <w:cols w:space="720" w:num="1"/>
          <w:docGrid w:linePitch="312" w:charSpace="0"/>
        </w:sectPr>
      </w:pPr>
    </w:p>
    <w:p w14:paraId="4C3213F2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宋体" w:hAnsi="宋体" w:eastAsia="宋体" w:cs="宋体"/>
          <w:sz w:val="32"/>
          <w:szCs w:val="32"/>
        </w:rPr>
        <w:t>的承诺函</w:t>
      </w:r>
    </w:p>
    <w:p w14:paraId="67BF3F4C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0F896052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1B1674EB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良好的商业信誉和健全的财务会计制度，随时接受招标人的检查验证。如违反上述承诺，我单位将按照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78E415E4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1DCFD850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4A67C886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60009C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11EF141B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08291266">
      <w:pPr>
        <w:widowControl/>
        <w:jc w:val="left"/>
        <w:rPr>
          <w:rFonts w:hint="eastAsia"/>
        </w:rPr>
      </w:pPr>
    </w:p>
    <w:p w14:paraId="58CC7D4E">
      <w:pPr>
        <w:widowControl/>
        <w:jc w:val="left"/>
        <w:rPr>
          <w:rFonts w:hint="eastAsia"/>
        </w:rPr>
      </w:pPr>
    </w:p>
    <w:p w14:paraId="4B7B6CDF">
      <w:pPr>
        <w:pStyle w:val="5"/>
        <w:rPr>
          <w:rFonts w:hint="eastAsia"/>
        </w:rPr>
      </w:pPr>
    </w:p>
    <w:p w14:paraId="35FC79E0">
      <w:pPr>
        <w:pStyle w:val="5"/>
        <w:rPr>
          <w:rFonts w:hint="eastAsia"/>
        </w:rPr>
      </w:pPr>
    </w:p>
    <w:p w14:paraId="08650939">
      <w:pPr>
        <w:pStyle w:val="5"/>
        <w:rPr>
          <w:rFonts w:hint="eastAsia"/>
        </w:rPr>
      </w:pPr>
    </w:p>
    <w:p w14:paraId="61E32119">
      <w:pPr>
        <w:pStyle w:val="5"/>
        <w:rPr>
          <w:rFonts w:hint="eastAsia"/>
        </w:rPr>
      </w:pPr>
    </w:p>
    <w:p w14:paraId="684C63F2">
      <w:pPr>
        <w:pStyle w:val="5"/>
        <w:rPr>
          <w:rFonts w:hint="eastAsia"/>
        </w:rPr>
      </w:pPr>
    </w:p>
    <w:p w14:paraId="498E0601">
      <w:pPr>
        <w:pStyle w:val="5"/>
        <w:rPr>
          <w:rFonts w:hint="eastAsia"/>
        </w:rPr>
      </w:pPr>
    </w:p>
    <w:p w14:paraId="04C88DDF">
      <w:pPr>
        <w:pStyle w:val="5"/>
        <w:rPr>
          <w:rFonts w:hint="eastAsia"/>
        </w:rPr>
      </w:pPr>
    </w:p>
    <w:p w14:paraId="4E5079FD">
      <w:pPr>
        <w:pStyle w:val="5"/>
        <w:rPr>
          <w:rFonts w:hint="eastAsia"/>
        </w:rPr>
      </w:pPr>
    </w:p>
    <w:p w14:paraId="50AA005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1B98147C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 w14:paraId="76CAEF43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7245BCC5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A19FD43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76BDD4BA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534C9736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6C50F3F8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C33017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8655CFC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7392559D">
      <w:pPr>
        <w:widowControl/>
        <w:jc w:val="left"/>
        <w:rPr>
          <w:rFonts w:hint="eastAsia"/>
        </w:rPr>
      </w:pPr>
    </w:p>
    <w:p w14:paraId="746A7839">
      <w:pPr>
        <w:widowControl/>
        <w:jc w:val="left"/>
        <w:rPr>
          <w:rFonts w:hint="eastAsia"/>
        </w:rPr>
      </w:pPr>
    </w:p>
    <w:p w14:paraId="24EE5D0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30DA87B4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 w14:paraId="54FD3294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7308DF9F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194B798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的行为、</w:t>
      </w:r>
      <w:r>
        <w:rPr>
          <w:rFonts w:hint="eastAsia" w:ascii="宋体" w:hAnsi="宋体" w:eastAsia="宋体" w:cs="宋体"/>
          <w:color w:val="000000"/>
          <w:sz w:val="24"/>
        </w:rPr>
        <w:t>无不正当理由放弃中标（成交）行为，</w:t>
      </w:r>
      <w:r>
        <w:rPr>
          <w:rFonts w:hint="eastAsia" w:ascii="宋体" w:hAnsi="宋体" w:eastAsia="宋体" w:cs="宋体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 w14:paraId="67ADA115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19AF6E4C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4116AB24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13B438B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A0C9AD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5153266E">
      <w:pPr>
        <w:rPr>
          <w:rFonts w:hint="eastAsia"/>
        </w:rPr>
      </w:pPr>
    </w:p>
    <w:p w14:paraId="2BD4AE44">
      <w:pPr>
        <w:pStyle w:val="5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181E87D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54B7496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3831DE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B9D3DCF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DEAE62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6328E6F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 w14:paraId="335B14FD"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 w14:paraId="050F6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2BE7B867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vAlign w:val="center"/>
          </w:tcPr>
          <w:p w14:paraId="6E1595D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21B9F2BA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vAlign w:val="center"/>
          </w:tcPr>
          <w:p w14:paraId="7CC8349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 w14:paraId="42817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2BB5E95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vAlign w:val="center"/>
          </w:tcPr>
          <w:p w14:paraId="79619BA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01910BE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E76364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B04C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 w14:paraId="2355F9D4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vAlign w:val="center"/>
          </w:tcPr>
          <w:p w14:paraId="65C7CF3C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F2B1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14:paraId="65508661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A8BB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vAlign w:val="center"/>
          </w:tcPr>
          <w:p w14:paraId="58B24706"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hAnsi="宋体"/>
                <w:color w:val="000000"/>
                <w:sz w:val="24"/>
              </w:rPr>
              <w:t>大写：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38C3F0E2">
      <w:pPr>
        <w:spacing w:before="120" w:beforeLines="50" w:after="120" w:afterLines="50" w:line="360" w:lineRule="auto"/>
        <w:ind w:left="735" w:hanging="59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0D07023D">
      <w:pPr>
        <w:spacing w:before="120" w:beforeLines="50" w:after="120" w:afterLines="50" w:line="360" w:lineRule="auto"/>
        <w:ind w:left="735" w:hanging="70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注：1 </w:t>
      </w:r>
      <w:r>
        <w:rPr>
          <w:rFonts w:hint="eastAsia" w:ascii="宋体" w:hAnsi="宋体" w:eastAsia="宋体" w:cs="宋体"/>
          <w:sz w:val="24"/>
          <w:szCs w:val="24"/>
        </w:rPr>
        <w:t xml:space="preserve">报价应是最终用户验收合格后的总价，包括采购、运输、税费和询价文件规定的其它费用。 </w:t>
      </w:r>
    </w:p>
    <w:p w14:paraId="242553BE">
      <w:pPr>
        <w:spacing w:before="120" w:beforeLines="50" w:after="120" w:afterLines="50" w:line="360" w:lineRule="auto"/>
        <w:ind w:left="735" w:hanging="70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2.“询价报价表”需由法定代表人或授权代表签字并盖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机构印章。</w:t>
      </w:r>
    </w:p>
    <w:p w14:paraId="0A50BC79">
      <w:pPr>
        <w:widowControl/>
        <w:spacing w:before="100" w:beforeAutospacing="1" w:after="100" w:afterAutospacing="1" w:line="576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1CFC386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6A9F5EDC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法定代表人或授权代表（签字）：</w:t>
      </w:r>
    </w:p>
    <w:p w14:paraId="2692ECFE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报价日期：</w:t>
      </w:r>
    </w:p>
    <w:p w14:paraId="37D19290">
      <w:pPr>
        <w:pStyle w:val="4"/>
        <w:bidi w:val="0"/>
        <w:rPr>
          <w:rFonts w:eastAsia="仿宋_GB2312"/>
          <w:sz w:val="32"/>
        </w:rPr>
      </w:pPr>
    </w:p>
    <w:p w14:paraId="31FA6F2E">
      <w:pPr>
        <w:ind w:firstLine="340" w:firstLineChars="200"/>
      </w:pPr>
    </w:p>
    <w:sectPr>
      <w:headerReference r:id="rId7" w:type="default"/>
      <w:footerReference r:id="rId8" w:type="default"/>
      <w:pgSz w:w="11906" w:h="16838"/>
      <w:pgMar w:top="1417" w:right="1701" w:bottom="1417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3AE720-9FD0-4678-A241-FB706379E7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8AA029B-0AA8-45B5-AE9D-D2F3975A5E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D76953-F5CB-4950-A96E-07B5D3CA4E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4D28FF-8457-4308-AB9F-D2BCB6D65EF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63EE390-CC08-4EAD-8385-CC3452740B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56184E5-9FD4-4B5A-AB05-13E3686BD6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756A"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C438CE">
                          <w:pPr>
                            <w:pStyle w:val="9"/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YVshXDAQAAhwMAAA4AAABkcnMvZTJvRG9jLnhtbK1TzY7TMBC+I/EO&#10;lu80aUFQoqYrpGoREoKVFh7AdZzGkv804zbpC8AbcOLCnefqczB2ki5aLnvg4sx4Jt/M9814czNY&#10;w04KUHtX8+Wi5Ew56RvtDjX/+uX2xZozjMI1wninan5WyG+2z59t+lCple+8aRQwAnFY9aHmXYyh&#10;KgqUnbICFz4oR8HWgxWRXDgUDYie0K0pVmX5uug9NAG8VIh0uxuDfEKEpwD6ttVS7bw8WuXiiArK&#10;iEiUsNMB+TZ327ZKxs9tiyoyU3NiGvNJRcjep7PYbkR1ABE6LacWxFNaeMTJCu2o6BVqJ6JgR9D/&#10;QFktwaNv40J6W4xEsiLEYlk+0ua+E0FlLiQ1hqvo+P9g5afTHTDd1PxV+fYNZ05Ymvnlx/fLz9+X&#10;X9/Yy6RQH7CixPtwB5OHZCa6Qws2fYkIG7Kq56uqaohM0uVyvVqvSxJcUmx2CKd4+D0AxvfKW5aM&#10;mgONLaspTh8xjqlzSqpmXDqdv9XGjNF0U6Q2x8aSFYf9MHW7982ZWPY05po72mrOzAdHKqaNmA2Y&#10;jf1sHAPoQ5dXJtXD8O4YqWZuKFUYYafCNJ9MadqltAB/+znr4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xhWyF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438CE">
                    <w:pPr>
                      <w:pStyle w:val="9"/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770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602C2A6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3DFC6">
    <w:pPr>
      <w:pStyle w:val="9"/>
      <w:bidi w:val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CA9CB4A"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A9CB4A">
                    <w:pPr>
                      <w:pStyle w:val="9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5F9B">
    <w:pPr>
      <w:pStyle w:val="9"/>
      <w:bidi w:val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BCA6A9"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QkjfDAQAAhwMAAA4AAABkcnMvZTJvRG9jLnhtbK1TzY7TMBC+I/EO&#10;lu80aYVQN2q6QqoWISFYaeEBXMdpLPlPM26TvgC8AScu3HmuPgdjJ+mulsseuDgznsk3830z3twO&#10;1rCTAtTe1Xy5KDlTTvpGu0PNv329e7PmDKNwjTDeqZqfFfLb7etXmz5UauU7bxoFjEAcVn2oeRdj&#10;qIoCZaeswIUPylGw9WBFJBcORQOiJ3RrilVZvit6D00ALxUi3e7GIJ8Q4SWAvm21VDsvj1a5OKKC&#10;MiISJex0QL7N3batkvFL26KKzNScmMZ8UhGy9+ksthtRHUCETsupBfGSFp5xskI7KnqF2oko2BH0&#10;P1BWS/Do27iQ3hYjkawIsViWz7R56ERQmQtJjeEqOv4/WPn5dA9MNzV/W97ccOaEpZlffv64/Ppz&#10;+f2dLZNCfcCKEh/CPUwekpnoDi3Y9CUibMiqnq+qqiEySZfL9Wq9LklwSbHZIZzi8fcAGD8ob1ky&#10;ag40tqymOH3COKbOKamacel0/k4bM0bTTZHaHBtLVhz2w9Tt3jdnYtnTmGvuaKs5Mx8dqZg2YjZg&#10;NvazcQygD11emVQPw/tjpJq5oVRhhJ0K03wypWmX0gI89XPW4/v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h9CSN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CA6A9">
                    <w:pPr>
                      <w:pStyle w:val="9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635A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44C7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00000000"/>
    <w:rsid w:val="011D2D2B"/>
    <w:rsid w:val="027163DC"/>
    <w:rsid w:val="105E23FD"/>
    <w:rsid w:val="3DF5589F"/>
    <w:rsid w:val="3F79731D"/>
    <w:rsid w:val="54BE47E5"/>
    <w:rsid w:val="54C23392"/>
    <w:rsid w:val="55676C2B"/>
    <w:rsid w:val="55805518"/>
    <w:rsid w:val="58AC7B6B"/>
    <w:rsid w:val="621B4F15"/>
    <w:rsid w:val="6BF72930"/>
    <w:rsid w:val="6F3263FE"/>
    <w:rsid w:val="6FBD596D"/>
    <w:rsid w:val="781741E4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0"/>
      <w:kern w:val="1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420" w:leftChars="200" w:right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qFormat/>
    <w:uiPriority w:val="99"/>
    <w:pPr>
      <w:spacing w:before="100" w:beforeAutospacing="1" w:after="100" w:afterAutospacing="1"/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3">
    <w:name w:val="Body Text First Indent 2"/>
    <w:basedOn w:val="7"/>
    <w:next w:val="1"/>
    <w:link w:val="19"/>
    <w:qFormat/>
    <w:uiPriority w:val="99"/>
    <w:pPr>
      <w:spacing w:before="100" w:beforeAutospacing="1" w:after="0"/>
      <w:ind w:left="0" w:leftChars="0" w:firstLine="640" w:firstLineChars="200"/>
    </w:pPr>
    <w:rPr>
      <w:sz w:val="32"/>
      <w:szCs w:val="32"/>
    </w:r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18">
    <w:name w:val="正文文本缩进 Char"/>
    <w:basedOn w:val="15"/>
    <w:link w:val="7"/>
    <w:qFormat/>
    <w:uiPriority w:val="99"/>
    <w:rPr>
      <w:rFonts w:ascii="Times New Roman" w:hAnsi="Times New Roman" w:eastAsia="宋体" w:cs="Times New Roman"/>
      <w:spacing w:val="-20"/>
      <w:kern w:val="10"/>
      <w:szCs w:val="21"/>
    </w:rPr>
  </w:style>
  <w:style w:type="character" w:customStyle="1" w:styleId="19">
    <w:name w:val="正文首行缩进 2 Char"/>
    <w:basedOn w:val="18"/>
    <w:link w:val="13"/>
    <w:qFormat/>
    <w:uiPriority w:val="99"/>
    <w:rPr>
      <w:sz w:val="32"/>
      <w:szCs w:val="32"/>
    </w:rPr>
  </w:style>
  <w:style w:type="character" w:customStyle="1" w:styleId="20">
    <w:name w:val="qowt-font9-gb2312"/>
    <w:basedOn w:val="15"/>
    <w:qFormat/>
    <w:uiPriority w:val="0"/>
  </w:style>
  <w:style w:type="paragraph" w:customStyle="1" w:styleId="21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3554</Words>
  <Characters>3654</Characters>
  <Paragraphs>204</Paragraphs>
  <TotalTime>35</TotalTime>
  <ScaleCrop>false</ScaleCrop>
  <LinksUpToDate>false</LinksUpToDate>
  <CharactersWithSpaces>4192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2025-10-19T15:52:00Z</dcterms:created>
  <dc:creator>ayxy</dc:creator>
  <cp:lastModifiedBy>武强</cp:lastModifiedBy>
  <cp:lastPrinted>2025-09-18T09:28:00Z</cp:lastPrinted>
  <dcterms:modified xsi:type="dcterms:W3CDTF">2025-11-05T07:48:23Z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eyJoZGlkIjoiNTE2ZGI5Njg0MjIwYTY5NWVkMmNlYzg0MmRjMzI2MWQiLCJ1c2VySWQiOiIxNDg0NTc0MDM4In0=</vt:lpwstr>
  </property>
  <property fmtid="{D5CDD505-2E9C-101B-9397-08002B2CF9AE}" pid="3" name="KSOProductBuildVer">
    <vt:lpwstr>2052-12.1.0.21541</vt:lpwstr>
  </property>
  <property fmtid="{D5CDD505-2E9C-101B-9397-08002B2CF9AE}" pid="4" name="ICV">
    <vt:lpwstr>10310E9DACE64181A3DCAACC3CBF39CC_13</vt:lpwstr>
  </property>
</Properties>
</file>