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F05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 w14:paraId="7F394AB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关于乐山市市中区2025年度科学施肥</w:t>
      </w:r>
    </w:p>
    <w:p w14:paraId="28EF8C5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（化肥减量）增效项目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采购公告</w:t>
      </w:r>
    </w:p>
    <w:p w14:paraId="01383E82">
      <w:pPr>
        <w:pStyle w:val="11"/>
        <w:keepNext w:val="0"/>
        <w:keepLines w:val="0"/>
        <w:pageBreakBefore w:val="0"/>
        <w:kinsoku/>
        <w:overflowPunct/>
        <w:topLinePunct w:val="0"/>
        <w:bidi w:val="0"/>
        <w:snapToGrid/>
        <w:spacing w:line="520" w:lineRule="exact"/>
        <w:ind w:left="680" w:hanging="340"/>
        <w:jc w:val="center"/>
        <w:textAlignment w:val="auto"/>
        <w:rPr>
          <w:rFonts w:hint="eastAsia"/>
        </w:rPr>
      </w:pPr>
    </w:p>
    <w:p w14:paraId="24B6A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乐山市市中区2025年度科学施肥（化肥减量）增效项目拟采用综合评价法进行招标，现邀请各潜在供应商参加本项目投标。</w:t>
      </w:r>
    </w:p>
    <w:p w14:paraId="1A9F6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 w14:paraId="7E6D2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项目名称：乐山市市中区2025年度科学施肥（化肥减量）增效项目</w:t>
      </w:r>
    </w:p>
    <w:p w14:paraId="1A5C2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项目业主:乐山市市中区农业农村局</w:t>
      </w:r>
    </w:p>
    <w:p w14:paraId="4D960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项目内容:</w:t>
      </w:r>
      <w:bookmarkStart w:id="0" w:name="OLE_LINK5"/>
      <w:bookmarkStart w:id="1" w:name="OLE_LINK6"/>
    </w:p>
    <w:bookmarkEnd w:id="0"/>
    <w:bookmarkEnd w:id="1"/>
    <w:p w14:paraId="3568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.开展田间肥效试验2个，其中玉米肥料利用率试验1个,肥效田间试验1个。具体工作内容为试验点位选择、试验观察记载、试验数据分析审核、单项试验总结、试验成果报告等工作，试验结束后开展测土配方校正及培训，印发配方施肥建议卡2万份，在区域镇街道全覆盖发放。</w:t>
      </w:r>
    </w:p>
    <w:p w14:paraId="00ED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2.完成农户施肥监测调查任务数44个。</w:t>
      </w:r>
    </w:p>
    <w:p w14:paraId="1DC77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二、项目控制价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  <w:t>及要求</w:t>
      </w:r>
    </w:p>
    <w:p w14:paraId="18594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（一）该项目最高控制价为8万元。</w:t>
      </w:r>
    </w:p>
    <w:p w14:paraId="788F2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（二）按照《乐山市市中区2025年科学施肥（化肥减量）增效项目实施方案》文件内容及上级相关工作文件要求完成测土配方施肥基础性工作。</w:t>
      </w:r>
    </w:p>
    <w:p w14:paraId="4FB035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三、项目时间要求</w:t>
      </w:r>
    </w:p>
    <w:p w14:paraId="7ECF0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2026年10月30日前完成所有服务内容。</w:t>
      </w:r>
    </w:p>
    <w:p w14:paraId="4EAB2836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报名需提交的材料</w:t>
      </w:r>
    </w:p>
    <w:p w14:paraId="513D3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凡有意参加的供应商需提供营业执照副本复印件，法定代表人的资格证明文件，法人代表对委托代理人的授权书及双方的身份证复印件（均需加盖公章），请于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之前将报名文件发送到</w:t>
      </w:r>
      <w:bookmarkStart w:id="2" w:name="OLE_LINK17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邮箱（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1114679293@qq.com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），</w:t>
      </w:r>
      <w:bookmarkEnd w:id="2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逾期不予受理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。</w:t>
      </w:r>
    </w:p>
    <w:p w14:paraId="38B4F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 w14:paraId="2B445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（一）具有独立承担民事责任的能力。</w:t>
      </w:r>
    </w:p>
    <w:p w14:paraId="1E2E7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（二）具有良好的商业信誉和健全的财务会计制度。</w:t>
      </w:r>
    </w:p>
    <w:p w14:paraId="50AC8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（三）具有履行合同所必需的设备和专业技术能力。</w:t>
      </w:r>
    </w:p>
    <w:p w14:paraId="6D03E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（四）具有依法缴纳税收和社会保障资金的良好记录。</w:t>
      </w:r>
    </w:p>
    <w:p w14:paraId="06A97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（五）竞标人参加政府采购活动前三年内，没有骗取中标行为，无不正当理由放弃中标（成交）行为，未进行过恶意投诉，在经营活动中没有违法、违规记录。</w:t>
      </w:r>
    </w:p>
    <w:p w14:paraId="6DC5D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（六）符合《中华人民共和国政府采购法》第二十二条的规定；具备法律和行政法规规定的其他条件。</w:t>
      </w:r>
    </w:p>
    <w:p w14:paraId="1201C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（七）本项目不接受联合体参加。</w:t>
      </w:r>
    </w:p>
    <w:p w14:paraId="5E163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 w14:paraId="4261D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）提供合格的营业执照副本、组织机构代码证副本、税务登记证副本（或“三证合一”的营业执照副本），事业单位提供事业单位法人证书（复印件盖鲜章）。</w:t>
      </w:r>
    </w:p>
    <w:p w14:paraId="374D7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2F617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）法定代表人或事业单位法人/负责人和授权代表身份证（复印件盖鲜章）。</w:t>
      </w:r>
    </w:p>
    <w:p w14:paraId="5DB1E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1E34A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盖鲜章）。</w:t>
      </w:r>
    </w:p>
    <w:p w14:paraId="6E388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盖鲜章）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。</w:t>
      </w:r>
    </w:p>
    <w:p w14:paraId="0E253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）竞标人参加政府采购活动前三年内，没有骗取中标行为，无不正当理由放弃中标（成交）行为，未进行过恶意投诉，在经营活动中没有违法、违规记录的承诺。</w:t>
      </w:r>
    </w:p>
    <w:p w14:paraId="5AE26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（八）供应商认为需要提供的其他文件和资料。</w:t>
      </w:r>
    </w:p>
    <w:p w14:paraId="333E0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8" w:firstLineChars="196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bCs/>
          <w:sz w:val="32"/>
          <w:szCs w:val="32"/>
        </w:rPr>
        <w:t>投标文件份数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响应文件正本1份、副本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份，并在其封面上清楚地标明响应文件、项目名称、供应商名称以及“正本”或“副本”字样。若正本和副本有不一致的内容，以正本书面响应文件为准。（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正本、副本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每页均需盖供应商鲜章）</w:t>
      </w:r>
    </w:p>
    <w:p w14:paraId="612EE4A1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bCs/>
          <w:spacing w:val="-20"/>
          <w:kern w:val="1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pacing w:val="-20"/>
          <w:kern w:val="10"/>
          <w:sz w:val="32"/>
          <w:szCs w:val="32"/>
          <w:shd w:val="clear" w:color="auto" w:fill="auto"/>
          <w:lang w:val="en-US" w:eastAsia="zh-CN" w:bidi="ar-SA"/>
        </w:rPr>
        <w:t>八、竞标要求</w:t>
      </w:r>
    </w:p>
    <w:p w14:paraId="47788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投标文件应于</w:t>
      </w:r>
      <w:bookmarkStart w:id="7" w:name="_GoBack"/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日下午</w:t>
      </w:r>
      <w:r>
        <w:rPr>
          <w:rFonts w:hint="eastAsia" w:ascii="仿宋_GB2312" w:hAnsi="华文仿宋" w:eastAsia="仿宋_GB2312" w:cs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14:00</w:t>
      </w:r>
      <w:bookmarkEnd w:id="7"/>
      <w:r>
        <w:rPr>
          <w:rFonts w:hint="eastAsia" w:ascii="仿宋_GB2312" w:hAnsi="华文仿宋" w:eastAsia="仿宋_GB2312" w:cs="宋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之前递交到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乐山市市中区农业农村局四楼会议室（乐山市市中区红雀碗街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118号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）。投标文件由供应商自行密封后在递交时间内送达，逾期送达、密封错误的响应文件，采购人不予接收。</w:t>
      </w:r>
    </w:p>
    <w:p w14:paraId="30792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  <w:t>九、评标方法</w:t>
      </w:r>
    </w:p>
    <w:p w14:paraId="5B542F6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本采购项目采取综合评价方式，在满足采购人所有需求的前提下，在控制价范围内进行综合评价确定中标供应商，评分标准见下表；</w:t>
      </w:r>
    </w:p>
    <w:tbl>
      <w:tblPr>
        <w:tblStyle w:val="14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36"/>
      </w:tblGrid>
      <w:tr w14:paraId="5E61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533" w:type="dxa"/>
            <w:vAlign w:val="center"/>
          </w:tcPr>
          <w:p w14:paraId="63B7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评分因素及权重</w:t>
            </w:r>
          </w:p>
        </w:tc>
        <w:tc>
          <w:tcPr>
            <w:tcW w:w="6936" w:type="dxa"/>
            <w:vAlign w:val="center"/>
          </w:tcPr>
          <w:p w14:paraId="0FB7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评分标准</w:t>
            </w:r>
          </w:p>
        </w:tc>
      </w:tr>
      <w:tr w14:paraId="66A7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1533" w:type="dxa"/>
            <w:vAlign w:val="center"/>
          </w:tcPr>
          <w:p w14:paraId="0A22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报价</w:t>
            </w:r>
          </w:p>
          <w:p w14:paraId="4945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2527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1、比选申请人的报价与评审基准价相同的得满分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0分。</w:t>
            </w:r>
          </w:p>
          <w:p w14:paraId="27FC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2、其他有效报价与评审基准价相比，每高于基准价1%扣0.5分，每低于基准价1%扣0.3分，扣完为止。</w:t>
            </w:r>
          </w:p>
          <w:p w14:paraId="149B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3、评审基准价：有效比选申请人的报价的算术平均值为评审基准价。</w:t>
            </w:r>
            <w:bookmarkEnd w:id="3"/>
          </w:p>
        </w:tc>
      </w:tr>
      <w:tr w14:paraId="5629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468C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服务方案</w:t>
            </w:r>
          </w:p>
          <w:p w14:paraId="58A4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（30分）</w:t>
            </w:r>
          </w:p>
        </w:tc>
        <w:tc>
          <w:tcPr>
            <w:tcW w:w="6936" w:type="dxa"/>
            <w:vAlign w:val="center"/>
          </w:tcPr>
          <w:p w14:paraId="7835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根据供应商针对本项目提供的服务方案进行评分，服务方案包括但不限于：①项目实施目标和重难点分析；②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田间肥效试验实施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方案；③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农户施肥监测调查实施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④服务质量控制措施；⑤风险防控措施；⑥人员安排及计划等。</w:t>
            </w:r>
          </w:p>
          <w:p w14:paraId="39BC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以上各单项内容最高得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分，每缺一项扣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分；方案包含上述各单项内容，但各单项中内容不全面或不具针对性或不能完全满足本项目需求的，酌情扣减单项得分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7B21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418A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能力保障（30分）</w:t>
            </w:r>
          </w:p>
        </w:tc>
        <w:tc>
          <w:tcPr>
            <w:tcW w:w="6936" w:type="dxa"/>
            <w:vAlign w:val="center"/>
          </w:tcPr>
          <w:p w14:paraId="4CEF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1.项目负责人（1人）具有农业类或实验测试类或环境类专业正高级职称的得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1BCE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2.技术负责人（1人）具有农业类或实验测试类或环境类专业正高级职称的得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分；中级职称的得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4AB3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3.质量负责人（1人）具有农业类或实验测试类或环境类专业正高级职称的得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分；副高级职称的得3分；中级职称的得1分；其他不得分，本项最高得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分。</w:t>
            </w:r>
          </w:p>
          <w:p w14:paraId="00EB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4.其他人员（除项目负责人、技术负责人、质量负责人外）具有农业类或实验测试类或环境类专业高级职称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分；具有农业类或实验测试类或环境类专业中级职称证书的，每有一个得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分，其他不得分。本项最多得1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 xml:space="preserve">分。 </w:t>
            </w:r>
          </w:p>
          <w:p w14:paraId="6003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注：1.以上人员一人一证，不得重复计分。</w:t>
            </w:r>
          </w:p>
          <w:p w14:paraId="179B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pacing w:val="0"/>
                <w:kern w:val="2"/>
                <w:sz w:val="24"/>
                <w:szCs w:val="24"/>
              </w:rPr>
              <w:t>2.上述人员证书须提供职称证书、在职证明材料和身份证复印件并加盖供应商公章。</w:t>
            </w:r>
          </w:p>
        </w:tc>
      </w:tr>
      <w:tr w14:paraId="3C6F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 w14:paraId="7B0F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业绩</w:t>
            </w:r>
          </w:p>
          <w:p w14:paraId="2856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6AB0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</w:rPr>
              <w:t>投标人有类似业绩的（类似业绩指：指耕地质量调查监测与评价项目，化肥减量增效项目，土壤普查项目）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等业绩，每提供一个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</w:rPr>
              <w:t>5分，本项最多20分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663FFA7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2.合同签订方式：中标供应商在收到中标通知书起5日内与业主方签订书面合同；</w:t>
      </w:r>
    </w:p>
    <w:p w14:paraId="4416A20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3.中标供应商不得转包或非法分包;</w:t>
      </w:r>
    </w:p>
    <w:p w14:paraId="4A04E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本次采购报名供应商不足3家的，终止本次采购。</w:t>
      </w:r>
    </w:p>
    <w:p w14:paraId="4F8973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 w14:paraId="61551E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（一）响应文件正本一份，副本一份，并在其封面清楚的标明响应文件、采购项目名称、供应商名称以及“正本”或“副本”字样，若正本和副本有不一致的内容，以正本书面响应文件为准。</w:t>
      </w:r>
    </w:p>
    <w:p w14:paraId="6442D6F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（二）本次采购供应商只能单独投标，不支持联合体投标。</w:t>
      </w:r>
    </w:p>
    <w:p w14:paraId="22ABE22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（三）服务时间要求：202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年10月30日前完成本项目所有服务。</w:t>
      </w:r>
    </w:p>
    <w:p w14:paraId="0E5E5B2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（四）供应商必须具有履行合同所必需的专业技术能力，如不具备履行能力，将取消中标资格。</w:t>
      </w:r>
    </w:p>
    <w:p w14:paraId="0A0A0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</w:pPr>
    </w:p>
    <w:p w14:paraId="7DC9A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both"/>
        <w:textAlignment w:val="auto"/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6"/>
          <w:kern w:val="48"/>
          <w:sz w:val="32"/>
          <w:szCs w:val="32"/>
          <w:lang w:eastAsia="zh-CN"/>
        </w:rPr>
        <w:t>附件：供应商报价文件相关文件格式</w:t>
      </w:r>
    </w:p>
    <w:p w14:paraId="46CC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（联系人：胡潇予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；联系电话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13359316659。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t>）</w:t>
      </w:r>
    </w:p>
    <w:p w14:paraId="6D6ED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DB37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033E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乐山市市中区农业农村局</w:t>
      </w:r>
    </w:p>
    <w:p w14:paraId="059DC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 w:cs="宋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</w:rPr>
        <w:t>日</w:t>
      </w:r>
    </w:p>
    <w:p w14:paraId="3A8CC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2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09993758"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 w14:paraId="575D6B84">
      <w:pPr>
        <w:widowControl/>
        <w:ind w:firstLine="80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 w14:paraId="5B5D362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4" w:name="_Toc500788174"/>
      <w:bookmarkStart w:id="5" w:name="_Toc395026645"/>
      <w:bookmarkStart w:id="6" w:name="_Toc15063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4"/>
      <w:bookmarkEnd w:id="5"/>
      <w:bookmarkEnd w:id="6"/>
    </w:p>
    <w:p w14:paraId="187EB664">
      <w:pPr>
        <w:pStyle w:val="8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 w14:paraId="5B2459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”报价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</w:rPr>
        <w:t>动的合法代表，以我方名义全权处理该项目有关报价、签订合同以及执行合同等一切事宜。</w:t>
      </w:r>
    </w:p>
    <w:p w14:paraId="6D4960A9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7D53F44E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661DD56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</w:t>
      </w:r>
    </w:p>
    <w:p w14:paraId="247150FB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授权代表签字： </w:t>
      </w:r>
    </w:p>
    <w:p w14:paraId="6FE35C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3406E494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期：</w:t>
      </w:r>
    </w:p>
    <w:p w14:paraId="1654C33D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1377E2C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BE098C4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 w14:paraId="7450933C">
      <w:pPr>
        <w:widowControl/>
        <w:ind w:firstLine="64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</w:p>
    <w:p w14:paraId="1FA6D89B">
      <w:pPr>
        <w:widowControl/>
        <w:ind w:firstLine="64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417" w:right="1701" w:bottom="1417" w:left="1644" w:header="851" w:footer="992" w:gutter="0"/>
          <w:pgNumType w:fmt="decimal"/>
          <w:cols w:space="720" w:num="1"/>
          <w:docGrid w:type="lines" w:linePitch="312" w:charSpace="0"/>
        </w:sectPr>
      </w:pPr>
    </w:p>
    <w:p w14:paraId="6E3A01F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 w14:paraId="03D3285B"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 w14:paraId="2D6DA286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48FAD400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1D30C6E">
      <w:pPr>
        <w:pStyle w:val="12"/>
        <w:spacing w:before="0" w:beforeAutospacing="0" w:after="0" w:afterAutospacing="0" w:line="480" w:lineRule="auto"/>
        <w:ind w:firstLine="40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52532F0D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778FACE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35FF666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777D51B4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4BE5B90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157143DE">
      <w:pPr>
        <w:pStyle w:val="21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6" w:type="default"/>
          <w:pgSz w:w="11850" w:h="16783"/>
          <w:pgMar w:top="1417" w:right="1701" w:bottom="1417" w:left="1644" w:header="720" w:footer="720" w:gutter="0"/>
          <w:pgNumType w:fmt="decimal"/>
          <w:cols w:space="720" w:num="1"/>
          <w:docGrid w:linePitch="312" w:charSpace="0"/>
        </w:sectPr>
      </w:pPr>
    </w:p>
    <w:p w14:paraId="4C3213F2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宋体" w:hAnsi="宋体" w:eastAsia="宋体" w:cs="宋体"/>
          <w:sz w:val="32"/>
          <w:szCs w:val="32"/>
        </w:rPr>
        <w:t>的承诺函</w:t>
      </w:r>
    </w:p>
    <w:p w14:paraId="67BF3F4C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0F896052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1B1674EB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良好的商业信誉和健全的财务会计制度，随时接受招标人的检查验证。如违反上述承诺，我单位将按照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78E415E4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1DCFD850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4A67C886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60009C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11EF141B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08291266">
      <w:pPr>
        <w:widowControl/>
        <w:jc w:val="left"/>
        <w:rPr>
          <w:rFonts w:hint="eastAsia"/>
        </w:rPr>
      </w:pPr>
    </w:p>
    <w:p w14:paraId="58CC7D4E">
      <w:pPr>
        <w:widowControl/>
        <w:jc w:val="left"/>
        <w:rPr>
          <w:rFonts w:hint="eastAsia"/>
        </w:rPr>
      </w:pPr>
    </w:p>
    <w:p w14:paraId="4B7B6CDF">
      <w:pPr>
        <w:pStyle w:val="5"/>
        <w:rPr>
          <w:rFonts w:hint="eastAsia"/>
        </w:rPr>
      </w:pPr>
    </w:p>
    <w:p w14:paraId="35FC79E0">
      <w:pPr>
        <w:pStyle w:val="5"/>
        <w:rPr>
          <w:rFonts w:hint="eastAsia"/>
        </w:rPr>
      </w:pPr>
    </w:p>
    <w:p w14:paraId="08650939">
      <w:pPr>
        <w:pStyle w:val="5"/>
        <w:rPr>
          <w:rFonts w:hint="eastAsia"/>
        </w:rPr>
      </w:pPr>
    </w:p>
    <w:p w14:paraId="61E32119">
      <w:pPr>
        <w:pStyle w:val="5"/>
        <w:rPr>
          <w:rFonts w:hint="eastAsia"/>
        </w:rPr>
      </w:pPr>
    </w:p>
    <w:p w14:paraId="684C63F2">
      <w:pPr>
        <w:pStyle w:val="5"/>
        <w:rPr>
          <w:rFonts w:hint="eastAsia"/>
        </w:rPr>
      </w:pPr>
    </w:p>
    <w:p w14:paraId="498E0601">
      <w:pPr>
        <w:pStyle w:val="5"/>
        <w:rPr>
          <w:rFonts w:hint="eastAsia"/>
        </w:rPr>
      </w:pPr>
    </w:p>
    <w:p w14:paraId="04C88DDF">
      <w:pPr>
        <w:pStyle w:val="5"/>
        <w:rPr>
          <w:rFonts w:hint="eastAsia"/>
        </w:rPr>
      </w:pPr>
    </w:p>
    <w:p w14:paraId="4E5079FD">
      <w:pPr>
        <w:pStyle w:val="5"/>
        <w:rPr>
          <w:rFonts w:hint="eastAsia"/>
        </w:rPr>
      </w:pPr>
    </w:p>
    <w:p w14:paraId="50AA005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1B98147C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 w14:paraId="76CAEF43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7245BCC5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A19FD43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="宋体" w:hAnsi="宋体" w:eastAsia="宋体" w:cs="宋体"/>
          <w:sz w:val="24"/>
          <w:szCs w:val="24"/>
        </w:rPr>
        <w:t>相关规定接受处罚，并通过媒体予以公布。</w:t>
      </w:r>
    </w:p>
    <w:p w14:paraId="76BDD4BA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534C9736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6C50F3F8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C330179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8655CFC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7392559D">
      <w:pPr>
        <w:widowControl/>
        <w:jc w:val="left"/>
        <w:rPr>
          <w:rFonts w:hint="eastAsia"/>
        </w:rPr>
      </w:pPr>
    </w:p>
    <w:p w14:paraId="746A7839">
      <w:pPr>
        <w:widowControl/>
        <w:jc w:val="left"/>
        <w:rPr>
          <w:rFonts w:hint="eastAsia"/>
        </w:rPr>
      </w:pPr>
    </w:p>
    <w:p w14:paraId="24EE5D0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30DA87B4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 w14:paraId="54FD3294">
      <w:pPr>
        <w:pStyle w:val="21"/>
        <w:spacing w:after="240" w:afterLines="100"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7308DF9F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我单位现参与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项目，并作出如下承诺：</w:t>
      </w:r>
    </w:p>
    <w:p w14:paraId="6194B798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的行为、</w:t>
      </w:r>
      <w:r>
        <w:rPr>
          <w:rFonts w:hint="eastAsia" w:ascii="宋体" w:hAnsi="宋体" w:eastAsia="宋体" w:cs="宋体"/>
          <w:color w:val="000000"/>
          <w:sz w:val="24"/>
        </w:rPr>
        <w:t>无不正当理由放弃中标（成交）行为，</w:t>
      </w:r>
      <w:r>
        <w:rPr>
          <w:rFonts w:hint="eastAsia" w:ascii="宋体" w:hAnsi="宋体" w:eastAsia="宋体" w:cs="宋体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 w14:paraId="67ADA115">
      <w:pPr>
        <w:pStyle w:val="12"/>
        <w:spacing w:before="0" w:beforeAutospacing="0" w:after="0" w:afterAutospacing="0" w:line="480" w:lineRule="auto"/>
        <w:ind w:firstLine="4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19AF6E4C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</w:rPr>
      </w:pPr>
    </w:p>
    <w:p w14:paraId="4116AB24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13B438B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A0C9ADE">
      <w:pPr>
        <w:pStyle w:val="21"/>
        <w:spacing w:line="480" w:lineRule="auto"/>
        <w:ind w:firstLine="40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5153266E">
      <w:pPr>
        <w:rPr>
          <w:rFonts w:hint="eastAsia"/>
        </w:rPr>
      </w:pPr>
    </w:p>
    <w:p w14:paraId="2BD4AE44">
      <w:pPr>
        <w:pStyle w:val="5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181E87D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54B7496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3831DE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B9D3DCF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DEAE62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6328E6F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 w14:paraId="335B14FD"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 w14:paraId="050F6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2BE7B867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vAlign w:val="center"/>
          </w:tcPr>
          <w:p w14:paraId="6E1595D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21B9F2BA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vAlign w:val="center"/>
          </w:tcPr>
          <w:p w14:paraId="7CC8349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 w14:paraId="42817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vAlign w:val="center"/>
          </w:tcPr>
          <w:p w14:paraId="2BB5E95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vAlign w:val="center"/>
          </w:tcPr>
          <w:p w14:paraId="79619BA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01910BE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E76364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B04C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vAlign w:val="center"/>
          </w:tcPr>
          <w:p w14:paraId="2355F9D4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vAlign w:val="center"/>
          </w:tcPr>
          <w:p w14:paraId="65C7CF3C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F2B1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14:paraId="65508661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A8BB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vAlign w:val="center"/>
          </w:tcPr>
          <w:p w14:paraId="58B24706"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hAnsi="宋体"/>
                <w:color w:val="000000"/>
                <w:sz w:val="24"/>
              </w:rPr>
              <w:t>大写：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38C3F0E2">
      <w:pPr>
        <w:spacing w:before="120" w:beforeLines="50" w:after="120" w:afterLines="50" w:line="360" w:lineRule="auto"/>
        <w:ind w:left="735" w:hanging="59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0D07023D">
      <w:pPr>
        <w:spacing w:before="120" w:beforeLines="50" w:after="120" w:afterLines="50" w:line="360" w:lineRule="auto"/>
        <w:ind w:left="735" w:hanging="70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注：1 </w:t>
      </w:r>
      <w:r>
        <w:rPr>
          <w:rFonts w:hint="eastAsia" w:ascii="宋体" w:hAnsi="宋体" w:eastAsia="宋体" w:cs="宋体"/>
          <w:sz w:val="24"/>
          <w:szCs w:val="24"/>
        </w:rPr>
        <w:t xml:space="preserve">报价应是最终用户验收合格后的总价，包括采购、运输、税费和询价文件规定的其它费用。 </w:t>
      </w:r>
    </w:p>
    <w:p w14:paraId="242553BE">
      <w:pPr>
        <w:spacing w:before="120" w:beforeLines="50" w:after="120" w:afterLines="50" w:line="360" w:lineRule="auto"/>
        <w:ind w:left="735" w:hanging="700" w:hanging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2.“询价报价表”需由法定代表人或授权代表签字并盖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机构印章。</w:t>
      </w:r>
    </w:p>
    <w:p w14:paraId="0A50BC79">
      <w:pPr>
        <w:widowControl/>
        <w:spacing w:before="100" w:beforeAutospacing="1" w:after="100" w:afterAutospacing="1" w:line="576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1CFC386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机构名称：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6A9F5EDC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法定代表人或授权代表（签字）：</w:t>
      </w:r>
    </w:p>
    <w:p w14:paraId="2692ECFE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报价日期：</w:t>
      </w:r>
    </w:p>
    <w:p w14:paraId="37D19290">
      <w:pPr>
        <w:pStyle w:val="4"/>
        <w:bidi w:val="0"/>
        <w:rPr>
          <w:rFonts w:eastAsia="仿宋_GB2312"/>
          <w:sz w:val="32"/>
        </w:rPr>
      </w:pPr>
    </w:p>
    <w:p w14:paraId="31FA6F2E">
      <w:pPr>
        <w:ind w:firstLine="340" w:firstLineChars="200"/>
      </w:pPr>
    </w:p>
    <w:sectPr>
      <w:headerReference r:id="rId7" w:type="default"/>
      <w:footerReference r:id="rId8" w:type="default"/>
      <w:pgSz w:w="11906" w:h="16838"/>
      <w:pgMar w:top="1417" w:right="1701" w:bottom="1417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3A85AE-A797-48DA-AF27-9B5F53CF47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006640-26B9-4226-BFD9-864C954137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3EF4BC-61E1-4D76-836B-7D73AFED93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4DAF46-3580-4587-9C11-F9296172AA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487410F-39F7-4A05-B9C8-577CFE6D593B}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  <w:embedRegular r:id="rId6" w:fontKey="{109C5DEE-50E4-47D8-B74D-0076E5E92A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756A"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C438CE">
                          <w:pPr>
                            <w:pStyle w:val="9"/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xhWyF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438CE">
                    <w:pPr>
                      <w:pStyle w:val="9"/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770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602C2A6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3DFC6">
    <w:pPr>
      <w:pStyle w:val="9"/>
      <w:bidi w:val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CA9CB4A"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A9CB4A">
                    <w:pPr>
                      <w:pStyle w:val="9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5F9B">
    <w:pPr>
      <w:pStyle w:val="9"/>
      <w:bidi w:val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BCA6A9">
                          <w:pPr>
                            <w:pStyle w:val="9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h9CSN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CA6A9">
                    <w:pPr>
                      <w:pStyle w:val="9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635A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44C7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00000000"/>
    <w:rsid w:val="027163DC"/>
    <w:rsid w:val="105E23FD"/>
    <w:rsid w:val="3DF5589F"/>
    <w:rsid w:val="3F79731D"/>
    <w:rsid w:val="55676C2B"/>
    <w:rsid w:val="58AC7B6B"/>
    <w:rsid w:val="621B4F15"/>
    <w:rsid w:val="6BF72930"/>
    <w:rsid w:val="6F3263FE"/>
    <w:rsid w:val="6FBD596D"/>
    <w:rsid w:val="781741E4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0"/>
      <w:kern w:val="1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420" w:leftChars="200" w:right="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able of figures"/>
    <w:basedOn w:val="1"/>
    <w:next w:val="1"/>
    <w:qFormat/>
    <w:uiPriority w:val="99"/>
    <w:pPr>
      <w:spacing w:before="100" w:beforeAutospacing="1" w:after="100" w:afterAutospacing="1"/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3">
    <w:name w:val="Body Text First Indent 2"/>
    <w:basedOn w:val="7"/>
    <w:next w:val="1"/>
    <w:link w:val="19"/>
    <w:qFormat/>
    <w:uiPriority w:val="99"/>
    <w:pPr>
      <w:spacing w:before="100" w:beforeAutospacing="1" w:after="0"/>
      <w:ind w:left="0" w:leftChars="0" w:firstLine="640" w:firstLineChars="200"/>
    </w:pPr>
    <w:rPr>
      <w:sz w:val="32"/>
      <w:szCs w:val="32"/>
    </w:r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18">
    <w:name w:val="正文文本缩进 Char"/>
    <w:basedOn w:val="15"/>
    <w:link w:val="7"/>
    <w:qFormat/>
    <w:uiPriority w:val="99"/>
    <w:rPr>
      <w:rFonts w:ascii="Times New Roman" w:hAnsi="Times New Roman" w:eastAsia="宋体" w:cs="Times New Roman"/>
      <w:spacing w:val="-20"/>
      <w:kern w:val="10"/>
      <w:szCs w:val="21"/>
    </w:rPr>
  </w:style>
  <w:style w:type="character" w:customStyle="1" w:styleId="19">
    <w:name w:val="正文首行缩进 2 Char"/>
    <w:basedOn w:val="18"/>
    <w:link w:val="13"/>
    <w:qFormat/>
    <w:uiPriority w:val="99"/>
    <w:rPr>
      <w:sz w:val="32"/>
      <w:szCs w:val="32"/>
    </w:rPr>
  </w:style>
  <w:style w:type="character" w:customStyle="1" w:styleId="20">
    <w:name w:val="qowt-font9-gb2312"/>
    <w:basedOn w:val="15"/>
    <w:qFormat/>
    <w:uiPriority w:val="0"/>
  </w:style>
  <w:style w:type="paragraph" w:customStyle="1" w:styleId="21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3554</Words>
  <Characters>3655</Characters>
  <Paragraphs>204</Paragraphs>
  <TotalTime>7</TotalTime>
  <ScaleCrop>false</ScaleCrop>
  <LinksUpToDate>false</LinksUpToDate>
  <CharactersWithSpaces>4193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2025-10-19T15:52:00Z</dcterms:created>
  <dc:creator>ayxy</dc:creator>
  <cp:lastModifiedBy>武强</cp:lastModifiedBy>
  <cp:lastPrinted>2025-09-18T09:28:00Z</cp:lastPrinted>
  <dcterms:modified xsi:type="dcterms:W3CDTF">2025-10-22T01:51:41Z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eyJoZGlkIjoiNTE2ZGI5Njg0MjIwYTY5NWVkMmNlYzg0MmRjMzI2MWQiLCJ1c2VySWQiOiIxNDg0NTc0MDM4In0=</vt:lpwstr>
  </property>
  <property fmtid="{D5CDD505-2E9C-101B-9397-08002B2CF9AE}" pid="3" name="KSOProductBuildVer">
    <vt:lpwstr>2052-12.1.0.17827</vt:lpwstr>
  </property>
  <property fmtid="{D5CDD505-2E9C-101B-9397-08002B2CF9AE}" pid="4" name="ICV">
    <vt:lpwstr>94224E2B254D4D9994D4DAC15B8B64D0_13</vt:lpwstr>
  </property>
</Properties>
</file>