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92"/>
        <w:gridCol w:w="1080"/>
        <w:gridCol w:w="1388"/>
        <w:gridCol w:w="2550"/>
        <w:gridCol w:w="1395"/>
        <w:gridCol w:w="1560"/>
        <w:gridCol w:w="1080"/>
        <w:gridCol w:w="1080"/>
        <w:gridCol w:w="1080"/>
        <w:gridCol w:w="1080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366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2025年四川省参与企业信息汇总表（第三批）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经营模式（线上、线下、线上+线下）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jc w:val="both"/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2025年四川省家电以旧换新和3C促消费企业申请表</w:t>
      </w:r>
    </w:p>
    <w:tbl>
      <w:tblPr>
        <w:tblStyle w:val="3"/>
        <w:tblpPr w:leftFromText="180" w:rightFromText="180" w:vertAnchor="text" w:horzAnchor="page" w:tblpX="1471" w:tblpY="619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710"/>
        <w:gridCol w:w="2051"/>
        <w:gridCol w:w="20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2024年销售额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企业是否设立以旧换新专区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是否是销售回收一体企业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合作回收企业名称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（包含但不限于门店面积、在售家电品牌、销售网点辐射区域、仓储及配送能力、家电回收装新一站式服务能力、财务制度等）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我单位将按照家电以旧换新和3C产品购买补贴工作有关规定和要求，保证提供的所有申报数据、材料等信息真实有效，并愿意接受有关部门的监督。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法定代表人（授权人）签字：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  月  日</w:t>
            </w:r>
          </w:p>
        </w:tc>
      </w:tr>
    </w:tbl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jc w:val="both"/>
        <w:rPr>
          <w:rFonts w:hint="default" w:ascii="Times New Roman" w:hAnsi="Times New Roman" w:eastAsia="黑体" w:cs="Times New Roman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jc w:val="center"/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</w:rPr>
        <w:t>参与</w:t>
      </w:r>
      <w:r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</w:rPr>
        <w:t>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县（市、区）商务局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2025年四川省家电以旧换新和3C产品购买补贴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活动,了解并遵守以下规则要求：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一、承诺以下事项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所售补贴商品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价格为正常市场价或活动优惠价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，不高于提供给主管部门的备案价格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2.自营部分符合政策要求的所有品类均纳入补贴范围。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3.自愿使用全省统一的第三方服务机构发放资格券，按照主管部门要求提供资格比对、核销数据和审计数据上传。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补贴仅用于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国家政策规定的品类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，不得用于其他类商品优惠。承诺无虚假宣传、虚假交易行为。上述行为一经发现，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可立刻取消企业活动参与资格，向企业追回违规发放资金并将企业列入失信名单。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.办理补贴手续时，认真核对家电购买人信息，按规定对购买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的消费者垫付补贴资金，维护消费者合法权益。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.诚信经营，保证商品质量和服务质量，杜绝假冒伪劣、以次充好、以旧充新的产品进入市场流通。主动制止任何方式套取财政资金的违反活动规则、恶意骗取优惠的行为。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.按要求布放活动宣传物料,须提供不少于1种宣传物料支持，如海报、收银台台卡等。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有权在自有宣传渠道免费使用商户商标、标志、标识和店铺图片等用于本次活动宣传，自有宣传渠道不限于短信、微信、官网等。本单位保证所提供的图片未侵犯他人的任何权利。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.保留相应的核销凭证资料，形成台账，将相应台账资料提交给活动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，并在第三方审计时配合提供相关审计材料。做好清算工作，按规定退回不符合条件的补贴资金。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发票开给个人消费者，包含品类和型号，发票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扣除各种价格优惠、包含政府补贴。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二、主动配合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部门开展的监督检查工作和审计工作，如发现商家存在作弊舞弊、利用不正当手段（包括但不限于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先涨价后折扣、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刷单套现、提供虚假证件或发票、虚假交易等）骗取套取补贴资金等违法违规行为，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立即收回已发全部补贴资金，并取消企业和补贴对象参与后续活动的资格。具体判定依据和结果以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认定为准。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三、因本单位提供的服务及产品问题引发的用户投诉、处理和争议等，应由本单位自行负责解决，主办方不承担任何责任。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firstLine="960" w:firstLineChars="3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（签字）：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     单位名称（盖章）：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     月     日</w:t>
      </w:r>
    </w:p>
    <w:tbl>
      <w:tblPr>
        <w:tblStyle w:val="3"/>
        <w:tblW w:w="13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80"/>
        <w:gridCol w:w="1950"/>
        <w:gridCol w:w="1650"/>
        <w:gridCol w:w="2738"/>
        <w:gridCol w:w="1568"/>
        <w:gridCol w:w="138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Style w:val="6"/>
                <w:lang w:val="en-US" w:eastAsia="zh-CN" w:bidi="ar"/>
              </w:rPr>
              <w:t>年四川省参与企业销售网点明细表（第三批）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实施门店名称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3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80"/>
        <w:gridCol w:w="1695"/>
        <w:gridCol w:w="1845"/>
        <w:gridCol w:w="2738"/>
        <w:gridCol w:w="1770"/>
        <w:gridCol w:w="1380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年四川省已参与企业新增销售网点明细表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实施门店名称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6C45"/>
    <w:rsid w:val="322F09CA"/>
    <w:rsid w:val="6F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character" w:customStyle="1" w:styleId="6">
    <w:name w:val="font31"/>
    <w:basedOn w:val="4"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2025-02-25T01:56:00Z</dcterms:created>
  <dc:creator>Administrator</dc:creator>
  <cp:lastModifiedBy>市中区商务局收发文</cp:lastModifiedBy>
  <dcterms:modified xsi:type="dcterms:W3CDTF">2025-02-25T02:02:38Z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D051780574534BB7A564AB9A8416A749</vt:lpwstr>
  </property>
</Properties>
</file>