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乐山市市中区人民政府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乐山市公安局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乐山市生态环境局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乐山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市</w:t>
      </w:r>
      <w:r>
        <w:rPr>
          <w:rFonts w:hint="eastAsia" w:ascii="方正小标宋简体" w:eastAsia="方正小标宋简体"/>
          <w:sz w:val="44"/>
          <w:szCs w:val="44"/>
        </w:rPr>
        <w:t>住房和城乡建设局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乐山市交通运输局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乐山市市中区主城区</w:t>
      </w:r>
      <w:r>
        <w:rPr>
          <w:rFonts w:hint="eastAsia" w:ascii="方正小标宋简体" w:eastAsia="方正小标宋简体"/>
          <w:sz w:val="44"/>
          <w:szCs w:val="44"/>
        </w:rPr>
        <w:t>重污染天气预警期间机动车实施应急管控措施的通告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根据《中华人民共和国环境保护法》《中华人民共和国大气污染防治法》《中华人民共和国道路交通安全法》等法律法规规定，按照《乐山市重污染天气预防和应急预案（2022修订）》要求，有效应对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乐山市市中区主城区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重污染恶劣天气下机动车尾气排放造成的空气质量污染，特制定机动车应急管控措施，现将内容通告如下：</w:t>
      </w:r>
    </w:p>
    <w:p>
      <w:pPr>
        <w:spacing w:line="560" w:lineRule="exact"/>
        <w:ind w:firstLine="640" w:firstLineChars="200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一、管控范围。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启动重污染天气预警后，主城区部分区域道路禁止重、中型货车（黄牌）通行，具体范围为</w:t>
      </w:r>
      <w:r>
        <w:rPr>
          <w:rFonts w:hint="eastAsia" w:ascii="仿宋_GB2312" w:hAnsi="Calibri" w:eastAsia="仿宋_GB2312" w:cs="Times New Roman"/>
          <w:sz w:val="32"/>
          <w:szCs w:val="32"/>
        </w:rPr>
        <w:t>长青路辜李坝路口、通棉路新竹路口以东，嘉瑞大道檀木南街路口、檀木南街滨江路路口以南，岷江三桥牟子信号灯路口、乐井快速通道与老乐井路路口、S305线大山坡以西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含G348线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，九峰路瓦厂坝路口、大渡河大桥路口以北的合围区域内道路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。青衣路乐山南收费站路口至长青路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辜李坝路口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、嘉瑞大道、檀木南街不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此次管控范围内。详见图1。</w:t>
      </w:r>
    </w:p>
    <w:p>
      <w:pPr>
        <w:jc w:val="center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ascii="仿宋_GB2312" w:hAnsi="Calibri" w:eastAsia="仿宋_GB2312" w:cs="Times New Roman"/>
          <w:color w:val="FF0000"/>
          <w:sz w:val="32"/>
          <w:szCs w:val="32"/>
        </w:rPr>
        <w:drawing>
          <wp:inline distT="0" distB="0" distL="0" distR="0">
            <wp:extent cx="5484495" cy="3877310"/>
            <wp:effectExtent l="0" t="0" r="1905" b="8890"/>
            <wp:docPr id="3" name="图片 3" descr="C:\Users\蒋宛芮\Downloads\乐山市主城区重污染天气预警期间货车管控绕行示意图A11.pdf__P1__it365.abctool.info_it365 PDF转换图片程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蒋宛芮\Downloads\乐山市主城区重污染天气预警期间货车管控绕行示意图A11.pdf__P1__it365.abctool.info_it365 PDF转换图片程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 xml:space="preserve">                    图1</w:t>
      </w:r>
    </w:p>
    <w:p>
      <w:pPr>
        <w:spacing w:line="560" w:lineRule="exact"/>
        <w:ind w:firstLine="640" w:firstLineChars="200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二、管控级别。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根据市重污染天气应急指挥部的应急响应级别，将预警划分为“黄、橙、红”三个等级，分别对应实施“</w:t>
      </w:r>
      <w:r>
        <w:rPr>
          <w:rFonts w:hint="eastAsia" w:ascii="仿宋_GB2312" w:eastAsia="仿宋_GB2312"/>
          <w:b/>
          <w:sz w:val="32"/>
          <w:szCs w:val="32"/>
        </w:rPr>
        <w:t>Ⅲ级、Ⅱ级、Ⅰ级</w:t>
      </w:r>
      <w:r>
        <w:rPr>
          <w:rFonts w:hint="eastAsia" w:ascii="仿宋_GB2312" w:eastAsia="仿宋_GB2312"/>
          <w:sz w:val="32"/>
          <w:szCs w:val="32"/>
        </w:rPr>
        <w:t>”三级响应管控措施。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三、管控措施。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1.Ⅲ级管控（黄色预警）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（1）启动管控：市重污染天气应急指挥部发布重污染天气黄色预警时，启动Ⅲ级响应管控。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（2）管控措施</w:t>
      </w:r>
      <w:r>
        <w:rPr>
          <w:rFonts w:hint="eastAsia" w:ascii="仿宋_GB2312" w:eastAsia="仿宋_GB2312"/>
          <w:color w:val="000000"/>
          <w:sz w:val="32"/>
          <w:szCs w:val="32"/>
        </w:rPr>
        <w:t>：每日7：00时—22:00时禁止除</w:t>
      </w:r>
      <w:r>
        <w:rPr>
          <w:rFonts w:hint="eastAsia" w:ascii="仿宋_GB2312" w:eastAsia="仿宋_GB2312"/>
          <w:sz w:val="32"/>
          <w:szCs w:val="32"/>
        </w:rPr>
        <w:t>办理入城证以外的重、中型货车（黄牌）在主城区管控范围内道路上行驶。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2.Ⅱ级管控（橙色预警）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（1）启动管控：市重污染天气应急指挥部发布重污染天气橙色预警时，启动Ⅱ级响应管控。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（2）管控措施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每日6:00-23:00禁止除办理入城证以外的重、中型货车（黄牌）在主城区管控范围内道路上行驶。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3.Ⅰ级管控（红色预警）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（1）启动管控：市重污染天气应急指挥部发布重污染天气红色预警时，启动Ⅰ级响管控。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（2）管控措施：全天禁止除办理入城证以外的重、中型货车（黄牌）在主城区管控范围内道路上行驶。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4.不受限制的车辆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spacing w:line="560" w:lineRule="exact"/>
        <w:ind w:firstLine="640" w:firstLineChars="200"/>
        <w:rPr>
          <w:rFonts w:hint="eastAsia" w:ascii="Segoe UI" w:hAnsi="Segoe UI" w:cs="Segoe UI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/>
          <w:sz w:val="32"/>
          <w:szCs w:val="32"/>
        </w:rPr>
        <w:t>警车、消防车、救护车、工程救险车，环境监测、执法及督查车辆，城市管理执法车辆，执行任务的解放军和武警部队车辆；新能源车辆、邮政专用车、</w:t>
      </w:r>
      <w:r>
        <w:rPr>
          <w:rFonts w:hint="eastAsia" w:ascii="仿宋_GB2312" w:eastAsia="仿宋_GB2312"/>
          <w:sz w:val="32"/>
          <w:szCs w:val="32"/>
        </w:rPr>
        <w:t>医疗废物转运车、</w:t>
      </w:r>
      <w:r>
        <w:rPr>
          <w:rFonts w:ascii="仿宋_GB2312" w:eastAsia="仿宋_GB2312"/>
          <w:sz w:val="32"/>
          <w:szCs w:val="32"/>
        </w:rPr>
        <w:t>运钞车；环卫、道路养护的专项作业车辆</w:t>
      </w:r>
      <w:r>
        <w:rPr>
          <w:rFonts w:hint="eastAsia" w:ascii="仿宋_GB2312" w:eastAsia="仿宋_GB2312"/>
          <w:sz w:val="32"/>
          <w:szCs w:val="32"/>
        </w:rPr>
        <w:t>、园林绿化专用</w:t>
      </w:r>
      <w:r>
        <w:rPr>
          <w:rFonts w:ascii="仿宋_GB2312" w:eastAsia="仿宋_GB2312"/>
          <w:sz w:val="32"/>
          <w:szCs w:val="32"/>
        </w:rPr>
        <w:t>车辆；</w:t>
      </w:r>
      <w:r>
        <w:rPr>
          <w:rFonts w:hint="eastAsia" w:ascii="仿宋_GB2312" w:eastAsia="仿宋_GB2312"/>
          <w:sz w:val="32"/>
          <w:szCs w:val="32"/>
        </w:rPr>
        <w:t>持入城证的</w:t>
      </w:r>
      <w:r>
        <w:rPr>
          <w:rFonts w:ascii="仿宋_GB2312" w:eastAsia="仿宋_GB2312"/>
          <w:sz w:val="32"/>
          <w:szCs w:val="32"/>
        </w:rPr>
        <w:t>拉运鲜活农副产品的车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绿色标杆工地和绩效引领企业经环保部门允许豁免的车辆；</w:t>
      </w:r>
      <w:r>
        <w:rPr>
          <w:rFonts w:ascii="仿宋_GB2312" w:eastAsia="仿宋_GB2312"/>
          <w:sz w:val="32"/>
          <w:szCs w:val="32"/>
        </w:rPr>
        <w:t>法律法规规定的其他不受行驶路线、行驶方向限制的车辆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四、绕行路线。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1.经过市中区主城区的重、中型货车（黄牌）可通过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以下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道路或经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高速绕行：S104线</w:t>
      </w:r>
      <w:r>
        <w:rPr>
          <w:rFonts w:hint="eastAsia" w:ascii="Times New Roman" w:hAnsi="Times New Roman" w:eastAsia="仿宋_GB2312" w:cs="仿宋_GB2312"/>
          <w:sz w:val="32"/>
          <w:szCs w:val="32"/>
        </w:rPr>
        <w:t>往主城区方向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车辆从大佛收费站驶入高速，迎宾大道、进港大道</w:t>
      </w:r>
      <w:r>
        <w:rPr>
          <w:rFonts w:hint="eastAsia" w:ascii="Times New Roman" w:hAnsi="Times New Roman" w:eastAsia="仿宋_GB2312" w:cs="仿宋_GB2312"/>
          <w:sz w:val="32"/>
          <w:szCs w:val="32"/>
        </w:rPr>
        <w:t>往主城区方向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车辆从乐山港收费站驶入高速或经S215线绕行，老乐峨路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往主城区方向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车辆从符溪收费站驶入高速，乐夹路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往主城区方向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车辆从夹江东收费站驶入高速，乐沙快速通道</w:t>
      </w:r>
      <w:r>
        <w:rPr>
          <w:rFonts w:hint="eastAsia" w:ascii="Times New Roman" w:hAnsi="Times New Roman" w:eastAsia="仿宋_GB2312" w:cs="仿宋_GB2312"/>
          <w:sz w:val="32"/>
          <w:szCs w:val="32"/>
        </w:rPr>
        <w:t>往主城区方向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车辆从沙湾收费站驶入高速或经S215线绕行，苏沙路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往主城区方向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车辆从苏稽收费站驶入高速，乐井快速通道与乐井路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往主城区方向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车辆从全福收费站驶入高速或经S103线、S308线绕行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640" w:firstLineChars="200"/>
        <w:jc w:val="both"/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2.确需驶入主城区且依法取得入城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车辆严格按照入城证上规定的时间、路段通行。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五、电子监控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在管控范围内使用固定式道路交通技术监控设备，对违反本通告的车辆进行抓拍，依法予以纠正和查处。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六、相关保障措施。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启动重污染天气红色预警Ⅰ级响应管控措施时，乐山市市中区主城区所有普通公交、旅游公交、城际公交全时段免费，请广大市民尽量选择乘坐公共交通工具等方式低碳出行。同时，倡导全市</w:t>
      </w:r>
      <w:r>
        <w:rPr>
          <w:rFonts w:hint="eastAsia" w:ascii="仿宋_GB2312" w:eastAsia="仿宋_GB2312"/>
          <w:sz w:val="32"/>
          <w:szCs w:val="32"/>
        </w:rPr>
        <w:t>各党政机关及事业单位公务用车减少出行频次，多成员组合出行。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请自觉遵守法律法规，服从现场民警指挥，按照道路交通标志标牌的指示规定通行。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640" w:firstLineChars="200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特此通告。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80"/>
        <w:rPr>
          <w:rFonts w:ascii="仿宋_GB2312" w:hAnsi="Calibri" w:eastAsia="仿宋_GB2312" w:cs="Times New Roman"/>
          <w:kern w:val="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ascii="仿宋_GB2312" w:hAnsi="Calibri" w:eastAsia="仿宋_GB2312" w:cs="Times New Roman"/>
          <w:kern w:val="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2025年7月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A4"/>
    <w:rsid w:val="000D66A4"/>
    <w:rsid w:val="00BD5343"/>
    <w:rsid w:val="00C62BCB"/>
    <w:rsid w:val="00F6186C"/>
    <w:rsid w:val="064962CC"/>
    <w:rsid w:val="11600ED8"/>
    <w:rsid w:val="13CD2C17"/>
    <w:rsid w:val="1B242FC7"/>
    <w:rsid w:val="1C527ECB"/>
    <w:rsid w:val="21951840"/>
    <w:rsid w:val="22EB6710"/>
    <w:rsid w:val="250B219B"/>
    <w:rsid w:val="283F5357"/>
    <w:rsid w:val="2C8819D9"/>
    <w:rsid w:val="3AD73318"/>
    <w:rsid w:val="3B084B8F"/>
    <w:rsid w:val="3FF1774A"/>
    <w:rsid w:val="404B3709"/>
    <w:rsid w:val="4C115FF0"/>
    <w:rsid w:val="540D101C"/>
    <w:rsid w:val="574B5300"/>
    <w:rsid w:val="5BD16D6F"/>
    <w:rsid w:val="5D810BAC"/>
    <w:rsid w:val="651D5EDE"/>
    <w:rsid w:val="65C86D58"/>
    <w:rsid w:val="72FA3744"/>
    <w:rsid w:val="77A74CA2"/>
    <w:rsid w:val="78F31348"/>
    <w:rsid w:val="7F62580A"/>
    <w:rsid w:val="FDB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2422</Words>
  <Characters>2500</Characters>
  <Lines>82</Lines>
  <Paragraphs>47</Paragraphs>
  <TotalTime>51</TotalTime>
  <ScaleCrop>false</ScaleCrop>
  <LinksUpToDate>false</LinksUpToDate>
  <CharactersWithSpaces>2537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2022-09-15T09:29:00Z</dcterms:created>
  <dc:creator>Administrator</dc:creator>
  <cp:lastModifiedBy>x</cp:lastModifiedBy>
  <dcterms:modified xsi:type="dcterms:W3CDTF">2025-10-09T07:19:29Z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DD32369399165B937DA2956801AEFB7C_43</vt:lpwstr>
  </property>
  <property fmtid="{D5CDD505-2E9C-101B-9397-08002B2CF9AE}" pid="4" name="KSOTemplateDocerSaveRecord">
    <vt:lpwstr>eyJoZGlkIjoiODEzZGFhOWYxMmJhNzBiODA0NzU4MDk1YWViMDEzY2QiLCJ1c2VySWQiOiI2NzA4MTc5NTMifQ==</vt:lpwstr>
  </property>
</Properties>
</file>