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bookmarkStart w:id="0" w:name="_Hlk57883707"/>
      <w:r>
        <w:rPr>
          <w:sz w:val="36"/>
          <w:szCs w:val="36"/>
        </w:rPr>
        <w:tab/>
      </w:r>
    </w:p>
    <w:bookmarkEnd w:id="0"/>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hint="eastAsia" w:ascii="仿宋_GB2312" w:hAnsi="仿宋_GB2312" w:eastAsia="仿宋_GB2312" w:cs="仿宋_GB2312"/>
          <w:sz w:val="36"/>
          <w:szCs w:val="36"/>
        </w:rPr>
      </w:pPr>
    </w:p>
    <w:p>
      <w:pPr>
        <w:adjustRightInd w:val="0"/>
        <w:snapToGrid w:val="0"/>
        <w:jc w:val="center"/>
        <w:outlineLvl w:val="0"/>
        <w:rPr>
          <w:rFonts w:hint="eastAsia" w:ascii="方正小标宋_GBK" w:eastAsia="方正小标宋_GBK"/>
          <w:bCs/>
          <w:sz w:val="72"/>
          <w:szCs w:val="72"/>
        </w:rPr>
      </w:pPr>
      <w:bookmarkStart w:id="1" w:name="_Toc12310"/>
      <w:r>
        <w:rPr>
          <w:rFonts w:hint="eastAsia" w:ascii="方正小标宋_GBK" w:eastAsia="方正小标宋_GBK"/>
          <w:bCs/>
          <w:sz w:val="72"/>
          <w:szCs w:val="72"/>
        </w:rPr>
        <w:t>建设项目环境影响报告表</w:t>
      </w:r>
      <w:bookmarkEnd w:id="1"/>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lang w:eastAsia="zh-CN"/>
        </w:rPr>
        <w:t>（</w:t>
      </w: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color w:val="000000"/>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四川程锦自热方便食品生产基地项目</w:t>
      </w: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rPr>
        <w:t>建设单位</w:t>
      </w:r>
      <w:r>
        <w:rPr>
          <w:rFonts w:hint="eastAsia" w:ascii="仿宋_GB2312" w:eastAsia="仿宋_GB2312"/>
          <w:sz w:val="36"/>
          <w:szCs w:val="36"/>
          <w:lang w:eastAsia="zh-CN"/>
        </w:rPr>
        <w:t>（</w:t>
      </w:r>
      <w:r>
        <w:rPr>
          <w:rFonts w:hint="eastAsia" w:ascii="仿宋_GB2312" w:eastAsia="仿宋_GB2312"/>
          <w:sz w:val="36"/>
          <w:szCs w:val="36"/>
        </w:rPr>
        <w:t>盖章）：</w:t>
      </w:r>
      <w:r>
        <w:rPr>
          <w:rFonts w:hint="eastAsia" w:ascii="仿宋_GB2312" w:eastAsia="仿宋_GB2312"/>
          <w:sz w:val="36"/>
          <w:szCs w:val="36"/>
          <w:u w:val="single"/>
          <w:lang w:val="en-US" w:eastAsia="zh-CN"/>
        </w:rPr>
        <w:t xml:space="preserve">四川程锦食品有限公司    </w:t>
      </w:r>
    </w:p>
    <w:p>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rPr>
        <w:t>编制日期：</w:t>
      </w:r>
      <w:r>
        <w:rPr>
          <w:rFonts w:hint="eastAsia" w:ascii="仿宋_GB2312" w:eastAsia="仿宋_GB2312"/>
          <w:sz w:val="36"/>
          <w:szCs w:val="36"/>
          <w:u w:val="single"/>
          <w:lang w:val="en-US" w:eastAsia="zh-CN"/>
        </w:rPr>
        <w:t xml:space="preserve">         2025年7月            </w:t>
      </w:r>
    </w:p>
    <w:p>
      <w:pPr>
        <w:adjustRightInd w:val="0"/>
        <w:snapToGrid w:val="0"/>
        <w:spacing w:line="288" w:lineRule="auto"/>
        <w:ind w:firstLine="1040"/>
        <w:rPr>
          <w:rFonts w:ascii="仿宋_GB2312" w:eastAsia="仿宋_GB2312"/>
          <w:sz w:val="36"/>
          <w:szCs w:val="36"/>
          <w:u w:val="single"/>
        </w:rPr>
      </w:pPr>
      <w:bookmarkStart w:id="2"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2"/>
    <w:p>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fmt="decimal" w:start="3"/>
          <w:cols w:space="720" w:num="1"/>
          <w:docGrid w:linePitch="312" w:charSpace="0"/>
        </w:sectPr>
      </w:pPr>
    </w:p>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26"/>
        <w:tabs>
          <w:tab w:val="right" w:leader="dot" w:pos="8844"/>
        </w:tabs>
        <w:rPr>
          <w:rFonts w:hint="eastAsia" w:ascii="黑体" w:hAnsi="黑体" w:eastAsia="黑体"/>
          <w:snapToGrid w:val="0"/>
          <w:sz w:val="30"/>
          <w:szCs w:val="30"/>
        </w:rPr>
      </w:pPr>
      <w:r>
        <w:rPr>
          <w:rFonts w:hint="eastAsia" w:ascii="黑体" w:hAnsi="黑体" w:eastAsia="黑体"/>
          <w:snapToGrid w:val="0"/>
          <w:sz w:val="30"/>
          <w:szCs w:val="30"/>
        </w:rPr>
        <w:fldChar w:fldCharType="begin"/>
      </w:r>
      <w:r>
        <w:rPr>
          <w:rFonts w:hint="eastAsia" w:ascii="黑体" w:hAnsi="黑体" w:eastAsia="黑体"/>
          <w:snapToGrid w:val="0"/>
          <w:sz w:val="30"/>
          <w:szCs w:val="30"/>
        </w:rPr>
        <w:instrText xml:space="preserve">TOC \o "1-1" \h \u </w:instrText>
      </w:r>
      <w:r>
        <w:rPr>
          <w:rFonts w:hint="eastAsia" w:ascii="黑体" w:hAnsi="黑体" w:eastAsia="黑体"/>
          <w:snapToGrid w:val="0"/>
          <w:sz w:val="30"/>
          <w:szCs w:val="30"/>
        </w:rPr>
        <w:fldChar w:fldCharType="separate"/>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_Toc18133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一、建设项目基本情况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_Toc18133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_Toc13057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二、建设项目工程分析</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_Toc13057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_Toc26958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三、区域环境质量现状、环境保护目标及评价标准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_Toc26958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_Toc22506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四、主要环境影响和保护措施</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_Toc22506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_Toc11908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五、环境保护措施监督检查清单</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_Toc11908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_Toc26128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六、结论</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_Toc26128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_Toc24020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附表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_Toc24020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26"/>
        <w:tabs>
          <w:tab w:val="right" w:leader="dot" w:pos="8844"/>
        </w:tabs>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fldChar w:fldCharType="begin"/>
      </w:r>
      <w:r>
        <w:rPr>
          <w:rFonts w:hint="default" w:ascii="Times New Roman" w:hAnsi="Times New Roman" w:eastAsia="宋体" w:cs="Times New Roman"/>
          <w:snapToGrid w:val="0"/>
          <w:sz w:val="28"/>
          <w:szCs w:val="28"/>
        </w:rPr>
        <w:instrText xml:space="preserve"> HYPERLINK \l _Toc11841 </w:instrText>
      </w:r>
      <w:r>
        <w:rPr>
          <w:rFonts w:hint="default" w:ascii="Times New Roman" w:hAnsi="Times New Roman" w:eastAsia="宋体" w:cs="Times New Roman"/>
          <w:snapToGrid w:val="0"/>
          <w:sz w:val="28"/>
          <w:szCs w:val="28"/>
        </w:rPr>
        <w:fldChar w:fldCharType="separate"/>
      </w:r>
      <w:r>
        <w:rPr>
          <w:rFonts w:hint="default" w:ascii="Times New Roman" w:hAnsi="Times New Roman" w:eastAsia="宋体" w:cs="Times New Roman"/>
          <w:snapToGrid w:val="0"/>
          <w:sz w:val="28"/>
          <w:szCs w:val="28"/>
        </w:rPr>
        <w:t>建设项目污染物排放量汇总表</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_Toc11841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84</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napToGrid w:val="0"/>
          <w:sz w:val="28"/>
          <w:szCs w:val="28"/>
        </w:rPr>
        <w:fldChar w:fldCharType="end"/>
      </w:r>
    </w:p>
    <w:p>
      <w:pPr>
        <w:pStyle w:val="37"/>
        <w:jc w:val="left"/>
        <w:outlineLvl w:val="0"/>
        <w:rPr>
          <w:rFonts w:hint="default" w:ascii="Times New Roman" w:hAnsi="Times New Roman" w:eastAsia="宋体" w:cs="Times New Roman"/>
          <w:snapToGrid w:val="0"/>
          <w:szCs w:val="30"/>
          <w:lang w:val="en-US" w:eastAsia="zh-CN"/>
        </w:rPr>
      </w:pPr>
      <w:r>
        <w:rPr>
          <w:rFonts w:hint="eastAsia" w:ascii="黑体" w:hAnsi="黑体" w:eastAsia="黑体"/>
          <w:snapToGrid w:val="0"/>
          <w:szCs w:val="30"/>
        </w:rPr>
        <w:fldChar w:fldCharType="end"/>
      </w:r>
      <w:r>
        <w:rPr>
          <w:rFonts w:hint="default" w:ascii="Times New Roman" w:hAnsi="Times New Roman" w:eastAsia="宋体" w:cs="Times New Roman"/>
          <w:snapToGrid w:val="0"/>
          <w:szCs w:val="30"/>
          <w:lang w:val="en-US" w:eastAsia="zh-CN"/>
        </w:rPr>
        <w:t>附图：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附图1 项目地理位置图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附图2 项目与环境综合管控单元的位置关系图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附图3 项目与乐山市环境管控单元位置关系图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附图4 外环境关系图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附图5 现场图</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附图6 厂房平面布置图</w:t>
      </w:r>
      <w:r>
        <w:rPr>
          <w:rFonts w:hint="eastAsia" w:ascii="Times New Roman" w:hAnsi="Times New Roman" w:cs="Times New Roman"/>
          <w:snapToGrid w:val="0"/>
          <w:szCs w:val="30"/>
          <w:lang w:val="en-US" w:eastAsia="zh-CN"/>
        </w:rPr>
        <w:t>（</w:t>
      </w:r>
      <w:r>
        <w:rPr>
          <w:rFonts w:hint="default" w:ascii="Times New Roman" w:hAnsi="Times New Roman" w:eastAsia="宋体" w:cs="Times New Roman"/>
          <w:snapToGrid w:val="0"/>
          <w:szCs w:val="30"/>
          <w:lang w:val="en-US" w:eastAsia="zh-CN"/>
        </w:rPr>
        <w:t>三层）</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附件：</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附件1 固定资产备案表</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附件2 项目用地证明材料</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附件3 环评委托书</w:t>
      </w:r>
    </w:p>
    <w:p>
      <w:pPr>
        <w:pStyle w:val="37"/>
        <w:jc w:val="left"/>
        <w:outlineLvl w:val="0"/>
        <w:rPr>
          <w:rFonts w:hint="default" w:ascii="Times New Roman" w:hAnsi="Times New Roman" w:eastAsia="宋体" w:cs="Times New Roman"/>
          <w:snapToGrid w:val="0"/>
          <w:szCs w:val="30"/>
          <w:lang w:val="en-US" w:eastAsia="zh-CN"/>
        </w:rPr>
      </w:pPr>
      <w:r>
        <w:rPr>
          <w:rFonts w:hint="default" w:ascii="Times New Roman" w:hAnsi="Times New Roman" w:eastAsia="宋体" w:cs="Times New Roman"/>
          <w:snapToGrid w:val="0"/>
          <w:szCs w:val="30"/>
          <w:lang w:val="en-US" w:eastAsia="zh-CN"/>
        </w:rPr>
        <w:t>附件4 生产规模说明</w:t>
      </w:r>
    </w:p>
    <w:p>
      <w:pPr>
        <w:pStyle w:val="37"/>
        <w:jc w:val="both"/>
        <w:outlineLvl w:val="0"/>
        <w:rPr>
          <w:rFonts w:hint="eastAsia" w:ascii="黑体" w:hAnsi="黑体" w:eastAsia="黑体"/>
          <w:snapToGrid w:val="0"/>
          <w:sz w:val="30"/>
          <w:szCs w:val="30"/>
        </w:rPr>
      </w:pPr>
    </w:p>
    <w:p>
      <w:pPr>
        <w:pStyle w:val="37"/>
        <w:jc w:val="center"/>
        <w:outlineLvl w:val="0"/>
        <w:rPr>
          <w:rFonts w:hint="eastAsia" w:ascii="黑体" w:hAnsi="黑体" w:eastAsia="黑体"/>
          <w:snapToGrid w:val="0"/>
          <w:sz w:val="30"/>
          <w:szCs w:val="30"/>
        </w:rPr>
        <w:sectPr>
          <w:footerReference r:id="rId6" w:type="default"/>
          <w:pgSz w:w="11906" w:h="16838"/>
          <w:pgMar w:top="1701" w:right="1531" w:bottom="1701" w:left="1531" w:header="851" w:footer="1077" w:gutter="0"/>
          <w:pgNumType w:fmt="decimal" w:start="1"/>
          <w:cols w:space="720" w:num="1"/>
          <w:docGrid w:linePitch="312" w:charSpace="0"/>
        </w:sectPr>
      </w:pPr>
    </w:p>
    <w:p>
      <w:pPr>
        <w:pStyle w:val="37"/>
        <w:jc w:val="center"/>
        <w:outlineLvl w:val="0"/>
        <w:rPr>
          <w:rFonts w:hint="eastAsia" w:ascii="黑体" w:hAnsi="黑体" w:eastAsia="黑体"/>
          <w:snapToGrid w:val="0"/>
          <w:sz w:val="30"/>
          <w:szCs w:val="30"/>
        </w:rPr>
      </w:pPr>
      <w:bookmarkStart w:id="3" w:name="_Toc18133"/>
      <w:r>
        <w:rPr>
          <w:rFonts w:hint="eastAsia" w:ascii="黑体" w:hAnsi="黑体" w:eastAsia="黑体"/>
          <w:snapToGrid w:val="0"/>
          <w:sz w:val="30"/>
          <w:szCs w:val="30"/>
        </w:rPr>
        <w:t>一、建设项目基本情况</w:t>
      </w:r>
      <w:bookmarkEnd w:id="3"/>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39"/>
        <w:gridCol w:w="1841"/>
        <w:gridCol w:w="1828"/>
        <w:gridCol w:w="36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33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四川程锦自热方便食品生产基地项目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33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2502-511102-04-01-815910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赵宗明</w:t>
            </w:r>
          </w:p>
        </w:tc>
        <w:tc>
          <w:tcPr>
            <w:tcW w:w="182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13708186660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331"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b w:val="0"/>
                <w:bCs w:val="0"/>
                <w:sz w:val="24"/>
                <w:szCs w:val="24"/>
                <w:u w:val="none"/>
                <w:lang w:val="en-US" w:eastAsia="zh-CN"/>
              </w:rPr>
              <w:t>四川</w:t>
            </w:r>
            <w:r>
              <w:rPr>
                <w:rFonts w:hint="default" w:ascii="Times New Roman" w:hAnsi="Times New Roman" w:cs="Times New Roman"/>
                <w:sz w:val="24"/>
                <w:szCs w:val="24"/>
              </w:rPr>
              <w:t>省</w:t>
            </w:r>
            <w:r>
              <w:rPr>
                <w:rFonts w:hint="default" w:ascii="Times New Roman" w:hAnsi="Times New Roman" w:cs="Times New Roman"/>
                <w:sz w:val="24"/>
                <w:szCs w:val="24"/>
                <w:lang w:val="en-US" w:eastAsia="zh-CN"/>
              </w:rPr>
              <w:t>乐山市市中区全福街道石农村</w:t>
            </w:r>
            <w:r>
              <w:rPr>
                <w:rFonts w:hint="eastAsia" w:cs="Times New Roman"/>
                <w:sz w:val="24"/>
                <w:szCs w:val="24"/>
                <w:lang w:val="en-US" w:eastAsia="zh-CN"/>
              </w:rPr>
              <w:t>（</w:t>
            </w:r>
            <w:r>
              <w:rPr>
                <w:rFonts w:hint="default" w:ascii="Times New Roman" w:hAnsi="Times New Roman" w:cs="Times New Roman"/>
                <w:sz w:val="24"/>
                <w:szCs w:val="24"/>
                <w:lang w:val="en-US" w:eastAsia="zh-CN"/>
              </w:rPr>
              <w:t>乐山味道食品饮料产业园）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331" w:type="dxa"/>
            <w:gridSpan w:val="3"/>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cs="Times New Roman"/>
                <w:sz w:val="24"/>
                <w:szCs w:val="24"/>
              </w:rPr>
            </w:pPr>
            <w:r>
              <w:rPr>
                <w:rFonts w:hint="eastAsia" w:cs="Times New Roman"/>
                <w:sz w:val="24"/>
                <w:szCs w:val="24"/>
                <w:lang w:eastAsia="zh-CN"/>
              </w:rPr>
              <w:t>（</w:t>
            </w:r>
            <w:r>
              <w:rPr>
                <w:rFonts w:hint="default" w:ascii="Times New Roman" w:hAnsi="Times New Roman" w:cs="Times New Roman"/>
                <w:sz w:val="24"/>
                <w:szCs w:val="24"/>
                <w:u w:val="single"/>
                <w:lang w:val="en-US" w:eastAsia="zh-CN"/>
              </w:rPr>
              <w:t>103</w:t>
            </w:r>
            <w:r>
              <w:rPr>
                <w:rFonts w:hint="default" w:ascii="Times New Roman" w:hAnsi="Times New Roman" w:cs="Times New Roman"/>
                <w:sz w:val="24"/>
                <w:szCs w:val="24"/>
              </w:rPr>
              <w:t>度</w:t>
            </w:r>
            <w:r>
              <w:rPr>
                <w:rFonts w:hint="default" w:ascii="Times New Roman" w:hAnsi="Times New Roman" w:cs="Times New Roman"/>
                <w:sz w:val="24"/>
                <w:szCs w:val="24"/>
                <w:u w:val="single"/>
                <w:lang w:val="en-US" w:eastAsia="zh-CN"/>
              </w:rPr>
              <w:t>48</w:t>
            </w:r>
            <w:r>
              <w:rPr>
                <w:rFonts w:hint="default" w:ascii="Times New Roman" w:hAnsi="Times New Roman" w:cs="Times New Roman"/>
                <w:sz w:val="24"/>
                <w:szCs w:val="24"/>
              </w:rPr>
              <w:t>分</w:t>
            </w:r>
            <w:r>
              <w:rPr>
                <w:rFonts w:hint="default" w:ascii="Times New Roman" w:hAnsi="Times New Roman" w:cs="Times New Roman"/>
                <w:sz w:val="24"/>
                <w:szCs w:val="24"/>
                <w:u w:val="single"/>
                <w:lang w:val="en-US" w:eastAsia="zh-CN"/>
              </w:rPr>
              <w:t>59.328</w:t>
            </w:r>
            <w:r>
              <w:rPr>
                <w:rFonts w:hint="default" w:ascii="Times New Roman" w:hAnsi="Times New Roman" w:cs="Times New Roman"/>
                <w:sz w:val="24"/>
                <w:szCs w:val="24"/>
              </w:rPr>
              <w:t>秒，</w:t>
            </w:r>
            <w:r>
              <w:rPr>
                <w:rFonts w:hint="default" w:ascii="Times New Roman" w:hAnsi="Times New Roman" w:cs="Times New Roman"/>
                <w:sz w:val="24"/>
                <w:szCs w:val="24"/>
                <w:u w:val="single"/>
                <w:lang w:val="en-US" w:eastAsia="zh-CN"/>
              </w:rPr>
              <w:t>29</w:t>
            </w:r>
            <w:r>
              <w:rPr>
                <w:rFonts w:hint="default" w:ascii="Times New Roman" w:hAnsi="Times New Roman" w:cs="Times New Roman"/>
                <w:sz w:val="24"/>
                <w:szCs w:val="24"/>
              </w:rPr>
              <w:t>度</w:t>
            </w:r>
            <w:r>
              <w:rPr>
                <w:rFonts w:hint="default" w:ascii="Times New Roman" w:hAnsi="Times New Roman" w:cs="Times New Roman"/>
                <w:sz w:val="24"/>
                <w:szCs w:val="24"/>
                <w:u w:val="single"/>
                <w:lang w:val="en-US" w:eastAsia="zh-CN"/>
              </w:rPr>
              <w:t>37</w:t>
            </w:r>
            <w:r>
              <w:rPr>
                <w:rFonts w:hint="default" w:ascii="Times New Roman" w:hAnsi="Times New Roman" w:cs="Times New Roman"/>
                <w:sz w:val="24"/>
                <w:szCs w:val="24"/>
              </w:rPr>
              <w:t>分</w:t>
            </w:r>
            <w:r>
              <w:rPr>
                <w:rFonts w:hint="default" w:ascii="Times New Roman" w:hAnsi="Times New Roman" w:cs="Times New Roman"/>
                <w:sz w:val="24"/>
                <w:szCs w:val="24"/>
                <w:u w:val="single"/>
                <w:lang w:val="en-US" w:eastAsia="zh-CN"/>
              </w:rPr>
              <w:t>50.732</w:t>
            </w:r>
            <w:r>
              <w:rPr>
                <w:rFonts w:hint="default" w:ascii="Times New Roman" w:hAnsi="Times New Roman" w:cs="Times New Roman"/>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国民经济</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1439其他方便食品制造</w:t>
            </w:r>
          </w:p>
        </w:tc>
        <w:tc>
          <w:tcPr>
            <w:tcW w:w="182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bookmarkStart w:id="4" w:name="_Hlk49843745"/>
            <w:r>
              <w:rPr>
                <w:rFonts w:hint="default" w:ascii="Times New Roman" w:hAnsi="Times New Roman" w:cs="Times New Roman"/>
                <w:sz w:val="24"/>
                <w:szCs w:val="24"/>
              </w:rPr>
              <w:t>建设项目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4"/>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十一、食品制造业14—2</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糖果、巧克力及蜜饯制造142*；方便食品制造143*；罐头食品制造145*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1841" w:type="dxa"/>
            <w:noWrap w:val="0"/>
            <w:vAlign w:val="center"/>
          </w:tcPr>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新建</w:t>
            </w:r>
            <w:r>
              <w:rPr>
                <w:rFonts w:hint="eastAsia" w:cs="Times New Roman"/>
                <w:sz w:val="24"/>
                <w:szCs w:val="24"/>
                <w:lang w:eastAsia="zh-CN"/>
              </w:rPr>
              <w:t>（</w:t>
            </w:r>
            <w:r>
              <w:rPr>
                <w:rFonts w:hint="default" w:ascii="Times New Roman" w:hAnsi="Times New Roman" w:cs="Times New Roman"/>
                <w:sz w:val="24"/>
                <w:szCs w:val="24"/>
              </w:rPr>
              <w:t>迁建）</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□改建</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□扩建</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182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建设项目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3662" w:type="dxa"/>
            <w:noWrap w:val="0"/>
            <w:vAlign w:val="center"/>
          </w:tcPr>
          <w:p>
            <w:pPr>
              <w:keepNext w:val="0"/>
              <w:keepLines w:val="0"/>
              <w:pageBreakBefore w:val="0"/>
              <w:widowControl w:val="0"/>
              <w:kinsoku/>
              <w:wordWrap/>
              <w:overflowPunct/>
              <w:topLinePunct w:val="0"/>
              <w:autoSpaceDE/>
              <w:autoSpaceDN/>
              <w:bidi w:val="0"/>
              <w:jc w:val="left"/>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首次申报项目</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pPr>
              <w:keepNext w:val="0"/>
              <w:keepLines w:val="0"/>
              <w:pageBreakBefore w:val="0"/>
              <w:widowControl w:val="0"/>
              <w:kinsoku/>
              <w:wordWrap/>
              <w:overflowPunct/>
              <w:topLinePunct w:val="0"/>
              <w:autoSpaceDE/>
              <w:autoSpaceDN/>
              <w:bidi w:val="0"/>
              <w:jc w:val="left"/>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超五年重新审核项目</w:t>
            </w:r>
          </w:p>
          <w:p>
            <w:pPr>
              <w:keepNext w:val="0"/>
              <w:keepLines w:val="0"/>
              <w:pageBreakBefore w:val="0"/>
              <w:widowControl w:val="0"/>
              <w:kinsoku/>
              <w:wordWrap/>
              <w:overflowPunct/>
              <w:topLinePunct w:val="0"/>
              <w:autoSpaceDE/>
              <w:autoSpaceDN/>
              <w:bidi w:val="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项目审批</w:t>
            </w:r>
            <w:r>
              <w:rPr>
                <w:rFonts w:hint="eastAsia" w:cs="Times New Roman"/>
                <w:sz w:val="24"/>
                <w:szCs w:val="24"/>
                <w:lang w:eastAsia="zh-CN"/>
              </w:rPr>
              <w:t>（</w:t>
            </w:r>
            <w:r>
              <w:rPr>
                <w:rFonts w:hint="default" w:ascii="Times New Roman" w:hAnsi="Times New Roman" w:cs="Times New Roman"/>
                <w:sz w:val="24"/>
                <w:szCs w:val="24"/>
              </w:rPr>
              <w:t>核准/备案）部门</w:t>
            </w:r>
            <w:r>
              <w:rPr>
                <w:rFonts w:hint="eastAsia" w:cs="Times New Roman"/>
                <w:sz w:val="24"/>
                <w:szCs w:val="24"/>
                <w:lang w:eastAsia="zh-CN"/>
              </w:rPr>
              <w:t>（</w:t>
            </w:r>
            <w:r>
              <w:rPr>
                <w:rFonts w:hint="default" w:ascii="Times New Roman" w:hAnsi="Times New Roman" w:cs="Times New Roman"/>
                <w:sz w:val="24"/>
                <w:szCs w:val="24"/>
              </w:rPr>
              <w:t>选填）</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乐山市中区发展和改革局</w:t>
            </w:r>
          </w:p>
        </w:tc>
        <w:tc>
          <w:tcPr>
            <w:tcW w:w="182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项目审批</w:t>
            </w:r>
            <w:r>
              <w:rPr>
                <w:rFonts w:hint="eastAsia" w:cs="Times New Roman"/>
                <w:sz w:val="24"/>
                <w:szCs w:val="24"/>
                <w:lang w:eastAsia="zh-CN"/>
              </w:rPr>
              <w:t>（</w:t>
            </w:r>
            <w:r>
              <w:rPr>
                <w:rFonts w:hint="default" w:ascii="Times New Roman" w:hAnsi="Times New Roman" w:cs="Times New Roman"/>
                <w:sz w:val="24"/>
                <w:szCs w:val="24"/>
              </w:rPr>
              <w:t>核准/</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备案）文号</w:t>
            </w:r>
            <w:r>
              <w:rPr>
                <w:rFonts w:hint="eastAsia" w:cs="Times New Roman"/>
                <w:sz w:val="24"/>
                <w:szCs w:val="24"/>
                <w:lang w:eastAsia="zh-CN"/>
              </w:rPr>
              <w:t>（</w:t>
            </w:r>
            <w:r>
              <w:rPr>
                <w:rFonts w:hint="default" w:ascii="Times New Roman" w:hAnsi="Times New Roman" w:cs="Times New Roman"/>
                <w:sz w:val="24"/>
                <w:szCs w:val="24"/>
              </w:rPr>
              <w:t>选填）</w:t>
            </w:r>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川投资备【2502-511102-04-01-815910】FGQB-0066号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总投资</w:t>
            </w:r>
            <w:r>
              <w:rPr>
                <w:rFonts w:hint="eastAsia" w:cs="Times New Roman"/>
                <w:sz w:val="24"/>
                <w:szCs w:val="24"/>
                <w:lang w:eastAsia="zh-CN"/>
              </w:rPr>
              <w:t>（</w:t>
            </w:r>
            <w:r>
              <w:rPr>
                <w:rFonts w:hint="default" w:ascii="Times New Roman" w:hAnsi="Times New Roman" w:cs="Times New Roman"/>
                <w:sz w:val="24"/>
                <w:szCs w:val="24"/>
              </w:rPr>
              <w:t>万元）</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5000</w:t>
            </w:r>
          </w:p>
        </w:tc>
        <w:tc>
          <w:tcPr>
            <w:tcW w:w="1828"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环保投资</w:t>
            </w:r>
            <w:r>
              <w:rPr>
                <w:rFonts w:hint="eastAsia" w:cs="Times New Roman"/>
                <w:sz w:val="24"/>
                <w:szCs w:val="24"/>
                <w:lang w:eastAsia="zh-CN"/>
              </w:rPr>
              <w:t>（</w:t>
            </w:r>
            <w:r>
              <w:rPr>
                <w:rFonts w:hint="default" w:ascii="Times New Roman" w:hAnsi="Times New Roman" w:cs="Times New Roman"/>
                <w:sz w:val="24"/>
                <w:szCs w:val="24"/>
              </w:rPr>
              <w:t>万元）</w:t>
            </w:r>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环保投资占比</w:t>
            </w:r>
            <w:r>
              <w:rPr>
                <w:rFonts w:hint="eastAsia" w:cs="Times New Roman"/>
                <w:sz w:val="24"/>
                <w:szCs w:val="24"/>
                <w:lang w:eastAsia="zh-CN"/>
              </w:rPr>
              <w:t>（</w:t>
            </w:r>
            <w:r>
              <w:rPr>
                <w:rFonts w:hint="default" w:ascii="Times New Roman" w:hAnsi="Times New Roman" w:cs="Times New Roman"/>
                <w:sz w:val="24"/>
                <w:szCs w:val="24"/>
              </w:rPr>
              <w:t>%）</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2.34%</w:t>
            </w:r>
          </w:p>
        </w:tc>
        <w:tc>
          <w:tcPr>
            <w:tcW w:w="1828"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39"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否</w: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是：</w:t>
            </w:r>
          </w:p>
        </w:tc>
        <w:tc>
          <w:tcPr>
            <w:tcW w:w="1828" w:type="dxa"/>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w:t>
            </w:r>
            <w:r>
              <w:rPr>
                <w:rFonts w:hint="eastAsia" w:cs="Times New Roman"/>
                <w:spacing w:val="-6"/>
                <w:sz w:val="24"/>
                <w:szCs w:val="24"/>
                <w:lang w:eastAsia="zh-CN"/>
              </w:rPr>
              <w:t>（</w:t>
            </w:r>
            <w:r>
              <w:rPr>
                <w:rFonts w:hint="default" w:ascii="Times New Roman" w:hAnsi="Times New Roman" w:cs="Times New Roman"/>
                <w:spacing w:val="-6"/>
                <w:sz w:val="24"/>
                <w:szCs w:val="24"/>
              </w:rPr>
              <w:t>用海）</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4"/>
                <w:szCs w:val="24"/>
              </w:rPr>
            </w:pPr>
            <w:r>
              <w:rPr>
                <w:rFonts w:hint="default" w:ascii="Times New Roman" w:hAnsi="Times New Roman" w:cs="Times New Roman"/>
                <w:spacing w:val="-6"/>
                <w:sz w:val="24"/>
                <w:szCs w:val="24"/>
              </w:rPr>
              <w:t>面积</w:t>
            </w:r>
            <w:r>
              <w:rPr>
                <w:rFonts w:hint="eastAsia" w:cs="Times New Roman"/>
                <w:spacing w:val="-6"/>
                <w:sz w:val="24"/>
                <w:szCs w:val="24"/>
                <w:lang w:eastAsia="zh-CN"/>
              </w:rPr>
              <w:t>（</w:t>
            </w:r>
            <w:r>
              <w:rPr>
                <w:rFonts w:hint="default" w:ascii="Times New Roman" w:hAnsi="Times New Roman" w:cs="Times New Roman"/>
                <w:spacing w:val="-6"/>
                <w:sz w:val="24"/>
                <w:szCs w:val="24"/>
              </w:rPr>
              <w:t>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3662"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16000m</w:t>
            </w:r>
            <w:r>
              <w:rPr>
                <w:rFonts w:hint="default" w:ascii="Times New Roman" w:hAnsi="Times New Roman" w:cs="Times New Roman"/>
                <w:sz w:val="24"/>
                <w:szCs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9" w:type="dxa"/>
            <w:noWrap w:val="0"/>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专项评价设置情况</w:t>
            </w:r>
          </w:p>
        </w:tc>
        <w:tc>
          <w:tcPr>
            <w:tcW w:w="7331" w:type="dxa"/>
            <w:gridSpan w:val="3"/>
            <w:noWrap w:val="0"/>
            <w:vAlign w:val="center"/>
          </w:tcPr>
          <w:p>
            <w:pPr>
              <w:keepNext w:val="0"/>
              <w:keepLines w:val="0"/>
              <w:widowControl/>
              <w:suppressLineNumbers w:val="0"/>
              <w:spacing w:line="360" w:lineRule="auto"/>
              <w:ind w:firstLine="480" w:firstLineChars="200"/>
              <w:jc w:val="left"/>
              <w:rPr>
                <w:rFonts w:hint="eastAsia" w:ascii="宋体" w:hAnsi="宋体" w:eastAsia="宋体" w:cs="宋体"/>
                <w:sz w:val="24"/>
                <w:szCs w:val="24"/>
                <w:lang w:val="en-US"/>
              </w:rPr>
            </w:pPr>
            <w:r>
              <w:rPr>
                <w:rFonts w:hint="eastAsia" w:ascii="宋体" w:hAnsi="宋体" w:eastAsia="宋体" w:cs="宋体"/>
                <w:color w:val="auto"/>
                <w:sz w:val="24"/>
                <w:szCs w:val="24"/>
                <w:lang w:val="en-US" w:eastAsia="zh-CN"/>
              </w:rPr>
              <w:t>根据《</w:t>
            </w:r>
            <w:r>
              <w:rPr>
                <w:rFonts w:hint="eastAsia" w:ascii="宋体" w:hAnsi="宋体" w:eastAsia="宋体" w:cs="宋体"/>
                <w:color w:val="000000"/>
                <w:kern w:val="0"/>
                <w:sz w:val="24"/>
                <w:szCs w:val="24"/>
                <w:lang w:val="en-US" w:eastAsia="zh-CN" w:bidi="ar"/>
              </w:rPr>
              <w:t>建设项目环境影响报告表编制技术指南</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污染影响类）》，本项目</w:t>
            </w:r>
            <w:r>
              <w:rPr>
                <w:rFonts w:hint="eastAsia" w:ascii="Times New Roman" w:hAnsi="Times New Roman" w:eastAsia="宋体" w:cs="Times New Roman"/>
                <w:sz w:val="24"/>
                <w:szCs w:val="24"/>
                <w:lang w:val="en-US" w:eastAsia="zh-CN"/>
              </w:rPr>
              <w:t>不涉及专项评价。</w:t>
            </w:r>
            <w:r>
              <w:rPr>
                <w:rFonts w:hint="eastAsia" w:ascii="宋体" w:hAnsi="宋体" w:eastAsia="宋体" w:cs="宋体"/>
                <w:color w:val="000000"/>
                <w:kern w:val="0"/>
                <w:sz w:val="24"/>
                <w:szCs w:val="24"/>
                <w:lang w:val="en-US" w:eastAsia="zh-CN" w:bidi="ar"/>
              </w:rPr>
              <w:t>专项评价设置情况见下表：</w:t>
            </w:r>
          </w:p>
          <w:p>
            <w:pPr>
              <w:pStyle w:val="381"/>
              <w:keepNext w:val="0"/>
              <w:keepLines w:val="0"/>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表1-</w:t>
            </w: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项目</w:t>
            </w:r>
            <w:r>
              <w:rPr>
                <w:rFonts w:hint="default" w:ascii="Times New Roman" w:hAnsi="Times New Roman" w:eastAsia="宋体" w:cs="Times New Roman"/>
                <w:color w:val="auto"/>
                <w:sz w:val="21"/>
                <w:szCs w:val="21"/>
                <w:lang w:val="en-US" w:eastAsia="zh-CN"/>
              </w:rPr>
              <w:t>专项</w:t>
            </w:r>
            <w:r>
              <w:rPr>
                <w:rFonts w:hint="default" w:ascii="Times New Roman" w:hAnsi="Times New Roman" w:cs="Times New Roman"/>
                <w:color w:val="auto"/>
                <w:sz w:val="21"/>
                <w:szCs w:val="21"/>
              </w:rPr>
              <w:t>评价设置情况一览表</w:t>
            </w:r>
          </w:p>
          <w:tbl>
            <w:tblPr>
              <w:tblStyle w:val="41"/>
              <w:tblW w:w="4998"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8"/>
              <w:gridCol w:w="3690"/>
              <w:gridCol w:w="250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专项评价类别</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设置原则</w:t>
                  </w:r>
                </w:p>
              </w:tc>
              <w:tc>
                <w:tcPr>
                  <w:tcW w:w="1759" w:type="pct"/>
                  <w:noWrap w:val="0"/>
                  <w:vAlign w:val="center"/>
                </w:tcPr>
                <w:p>
                  <w:pPr>
                    <w:autoSpaceDN w:val="0"/>
                    <w:snapToGrid w:val="0"/>
                    <w:spacing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本项目情况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排放废气含有毒有害污染物</w:t>
                  </w:r>
                  <w:r>
                    <w:rPr>
                      <w:rFonts w:hint="default" w:ascii="Times New Roman" w:hAnsi="Times New Roman" w:eastAsia="宋体" w:cs="Times New Roman"/>
                      <w:bCs/>
                      <w:color w:val="auto"/>
                      <w:sz w:val="21"/>
                      <w:szCs w:val="21"/>
                      <w:vertAlign w:val="superscript"/>
                    </w:rPr>
                    <w:t>1</w:t>
                  </w:r>
                  <w:r>
                    <w:rPr>
                      <w:rFonts w:hint="default" w:ascii="Times New Roman" w:hAnsi="Times New Roman" w:eastAsia="宋体" w:cs="Times New Roman"/>
                      <w:bCs/>
                      <w:color w:val="auto"/>
                      <w:sz w:val="21"/>
                      <w:szCs w:val="21"/>
                    </w:rPr>
                    <w:t>、二噁英、苯并</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a</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芘、氰化物、氯气且厂界外500米范围内有环境空气保护目标</w:t>
                  </w:r>
                  <w:r>
                    <w:rPr>
                      <w:rFonts w:hint="default" w:ascii="Times New Roman" w:hAnsi="Times New Roman" w:eastAsia="宋体" w:cs="Times New Roman"/>
                      <w:bCs/>
                      <w:color w:val="auto"/>
                      <w:sz w:val="21"/>
                      <w:szCs w:val="21"/>
                      <w:vertAlign w:val="superscript"/>
                    </w:rPr>
                    <w:t>2</w:t>
                  </w:r>
                  <w:r>
                    <w:rPr>
                      <w:rFonts w:hint="default" w:ascii="Times New Roman" w:hAnsi="Times New Roman" w:eastAsia="宋体" w:cs="Times New Roman"/>
                      <w:bCs/>
                      <w:color w:val="auto"/>
                      <w:sz w:val="21"/>
                      <w:szCs w:val="21"/>
                    </w:rPr>
                    <w:t>的建设项目</w:t>
                  </w:r>
                </w:p>
              </w:tc>
              <w:tc>
                <w:tcPr>
                  <w:tcW w:w="1759"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highlight w:val="none"/>
                      <w:lang w:eastAsia="zh-CN"/>
                    </w:rPr>
                    <w:t>本项目主要大气污染物为烟尘、二氧化硫、氮氧化物，不涉及有毒有害大气污染物排放，</w:t>
                  </w:r>
                  <w:r>
                    <w:rPr>
                      <w:rFonts w:hint="default" w:ascii="Times New Roman" w:hAnsi="Times New Roman" w:eastAsia="宋体" w:cs="Times New Roman"/>
                      <w:bCs/>
                      <w:color w:val="auto"/>
                      <w:sz w:val="21"/>
                      <w:szCs w:val="21"/>
                      <w:highlight w:val="none"/>
                    </w:rPr>
                    <w:t>不涉及</w:t>
                  </w:r>
                  <w:r>
                    <w:rPr>
                      <w:rFonts w:hint="default" w:ascii="Times New Roman" w:hAnsi="Times New Roman" w:eastAsia="宋体" w:cs="Times New Roman"/>
                      <w:bCs/>
                      <w:color w:val="auto"/>
                      <w:sz w:val="21"/>
                      <w:szCs w:val="21"/>
                      <w:highlight w:val="none"/>
                      <w:lang w:eastAsia="zh-CN"/>
                    </w:rPr>
                    <w:t>其</w:t>
                  </w:r>
                  <w:r>
                    <w:rPr>
                      <w:rFonts w:hint="default" w:ascii="Times New Roman" w:hAnsi="Times New Roman" w:eastAsia="宋体" w:cs="Times New Roman"/>
                      <w:bCs/>
                      <w:color w:val="auto"/>
                      <w:sz w:val="21"/>
                      <w:szCs w:val="21"/>
                      <w:highlight w:val="none"/>
                    </w:rPr>
                    <w:t>中有害物质</w:t>
                  </w:r>
                  <w:r>
                    <w:rPr>
                      <w:rFonts w:hint="eastAsia" w:cs="Times New Roman"/>
                      <w:bCs/>
                      <w:color w:val="auto"/>
                      <w:sz w:val="21"/>
                      <w:szCs w:val="21"/>
                      <w:highlight w:val="none"/>
                      <w:lang w:val="en-US" w:eastAsia="zh-CN"/>
                    </w:rPr>
                    <w:t>排放</w:t>
                  </w:r>
                  <w:r>
                    <w:rPr>
                      <w:rFonts w:hint="default" w:ascii="Times New Roman" w:hAnsi="Times New Roman" w:eastAsia="宋体" w:cs="Times New Roman"/>
                      <w:bCs/>
                      <w:color w:val="auto"/>
                      <w:sz w:val="21"/>
                      <w:szCs w:val="21"/>
                      <w:highlight w:val="none"/>
                    </w:rPr>
                    <w:t>，无需设置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29"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新增工业废水直排建设项目</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槽罐车外送污水处理厂的除外）；新增废水直排</w:t>
                  </w:r>
                  <w:r>
                    <w:rPr>
                      <w:rFonts w:hint="default" w:ascii="Times New Roman" w:hAnsi="Times New Roman" w:eastAsia="宋体" w:cs="Times New Roman"/>
                      <w:bCs/>
                      <w:color w:val="auto"/>
                      <w:sz w:val="21"/>
                      <w:szCs w:val="21"/>
                      <w:lang w:eastAsia="zh-CN"/>
                    </w:rPr>
                    <w:t>的</w:t>
                  </w:r>
                  <w:r>
                    <w:rPr>
                      <w:rFonts w:hint="default" w:ascii="Times New Roman" w:hAnsi="Times New Roman" w:eastAsia="宋体" w:cs="Times New Roman"/>
                      <w:bCs/>
                      <w:color w:val="auto"/>
                      <w:sz w:val="21"/>
                      <w:szCs w:val="21"/>
                    </w:rPr>
                    <w:t>污水集中处理厂</w:t>
                  </w:r>
                </w:p>
              </w:tc>
              <w:tc>
                <w:tcPr>
                  <w:tcW w:w="1759"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园区工业污水处理厂建成之前，项目废水经厂区预处理后排入</w:t>
                  </w:r>
                  <w:r>
                    <w:rPr>
                      <w:rFonts w:hint="eastAsia" w:cs="Times New Roman"/>
                      <w:bCs/>
                      <w:color w:val="auto"/>
                      <w:sz w:val="21"/>
                      <w:szCs w:val="21"/>
                      <w:lang w:eastAsia="zh-CN"/>
                    </w:rPr>
                    <w:t>全福镇污水处理厂</w:t>
                  </w:r>
                  <w:r>
                    <w:rPr>
                      <w:rFonts w:hint="default" w:ascii="Times New Roman" w:hAnsi="Times New Roman" w:eastAsia="宋体" w:cs="Times New Roman"/>
                      <w:bCs/>
                      <w:color w:val="auto"/>
                      <w:sz w:val="21"/>
                      <w:szCs w:val="21"/>
                      <w:lang w:eastAsia="zh-CN"/>
                    </w:rPr>
                    <w:t>，园区污水处理厂建成之后，项目废水排入园区污水处理厂处理。</w:t>
                  </w:r>
                  <w:r>
                    <w:rPr>
                      <w:rFonts w:hint="eastAsia" w:ascii="Times New Roman" w:hAnsi="Times New Roman" w:eastAsia="宋体" w:cs="Times New Roman"/>
                      <w:bCs/>
                      <w:color w:val="auto"/>
                      <w:sz w:val="21"/>
                      <w:szCs w:val="21"/>
                      <w:lang w:val="en-US" w:eastAsia="zh-CN"/>
                    </w:rPr>
                    <w:t>项目为</w:t>
                  </w:r>
                  <w:r>
                    <w:rPr>
                      <w:rFonts w:hint="default" w:ascii="Times New Roman" w:hAnsi="Times New Roman" w:cs="Times New Roman"/>
                      <w:sz w:val="21"/>
                      <w:szCs w:val="21"/>
                      <w:lang w:val="en-US" w:eastAsia="zh-CN"/>
                    </w:rPr>
                    <w:t>其他方便食品制造</w:t>
                  </w:r>
                  <w:r>
                    <w:rPr>
                      <w:rFonts w:hint="eastAsia" w:ascii="Times New Roman" w:hAnsi="Times New Roman" w:cs="Times New Roman"/>
                      <w:sz w:val="21"/>
                      <w:szCs w:val="21"/>
                      <w:lang w:val="en-US" w:eastAsia="zh-CN"/>
                    </w:rPr>
                    <w:t>，</w:t>
                  </w:r>
                  <w:r>
                    <w:rPr>
                      <w:rFonts w:hint="default" w:ascii="Times New Roman" w:hAnsi="Times New Roman" w:eastAsia="宋体" w:cs="Times New Roman"/>
                      <w:bCs/>
                      <w:color w:val="auto"/>
                      <w:sz w:val="21"/>
                      <w:szCs w:val="21"/>
                    </w:rPr>
                    <w:t>不涉及</w:t>
                  </w:r>
                  <w:r>
                    <w:rPr>
                      <w:rFonts w:hint="eastAsia" w:ascii="Times New Roman" w:hAnsi="Times New Roman" w:eastAsia="宋体" w:cs="Times New Roman"/>
                      <w:bCs/>
                      <w:color w:val="auto"/>
                      <w:sz w:val="21"/>
                      <w:szCs w:val="21"/>
                      <w:lang w:val="en-US" w:eastAsia="zh-CN"/>
                    </w:rPr>
                    <w:t>直排建设项目</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9"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w:t>
                  </w:r>
                </w:p>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风险</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有毒有害和易燃易爆危险物质存储量超过临界量</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的建设项目</w:t>
                  </w:r>
                </w:p>
              </w:tc>
              <w:tc>
                <w:tcPr>
                  <w:tcW w:w="1759"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未达到临界量，无需设置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val="en-US" w:eastAsia="zh-CN"/>
                    </w:rPr>
                    <w:t>生态</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取水口下游500米范围内有重要水生生物的自然产卵场、索饵场、越冬场和洄游通道的新增河道取水的污染类建设项目</w:t>
                  </w:r>
                </w:p>
              </w:tc>
              <w:tc>
                <w:tcPr>
                  <w:tcW w:w="1759"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本项目用水为园区供水管网供给，不涉及河道取水，无需设置</w:t>
                  </w:r>
                  <w:r>
                    <w:rPr>
                      <w:rFonts w:hint="default" w:ascii="Times New Roman" w:hAnsi="Times New Roman" w:eastAsia="宋体" w:cs="Times New Roman"/>
                      <w:bCs/>
                      <w:color w:val="auto"/>
                      <w:sz w:val="21"/>
                      <w:szCs w:val="21"/>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64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海洋</w:t>
                  </w:r>
                </w:p>
              </w:tc>
              <w:tc>
                <w:tcPr>
                  <w:tcW w:w="2595"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直接向海排放污染物的海洋工程建设项目</w:t>
                  </w:r>
                </w:p>
              </w:tc>
              <w:tc>
                <w:tcPr>
                  <w:tcW w:w="1759" w:type="pct"/>
                  <w:noWrap w:val="0"/>
                  <w:vAlign w:val="center"/>
                </w:tcPr>
                <w:p>
                  <w:pPr>
                    <w:autoSpaceDN w:val="0"/>
                    <w:adjustRightInd w:val="0"/>
                    <w:snapToGrid w:val="0"/>
                    <w:spacing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项目为</w:t>
                  </w:r>
                  <w:r>
                    <w:rPr>
                      <w:rFonts w:hint="default" w:ascii="Times New Roman" w:hAnsi="Times New Roman" w:cs="Times New Roman"/>
                      <w:sz w:val="21"/>
                      <w:szCs w:val="21"/>
                      <w:lang w:val="en-US" w:eastAsia="zh-CN"/>
                    </w:rPr>
                    <w:t>其他方便食品制造</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无需设置</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注：1.废气中有毒有害污染物指纳入《有毒有害大气污染物名录》的污染物</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不包括无排放标准的污染物）。</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SA"/>
              </w:rPr>
              <w:t>2.</w:t>
            </w:r>
            <w:r>
              <w:rPr>
                <w:rFonts w:hint="default" w:ascii="Times New Roman" w:hAnsi="Times New Roman" w:eastAsia="宋体" w:cs="Times New Roman"/>
                <w:color w:val="auto"/>
                <w:kern w:val="0"/>
                <w:sz w:val="21"/>
                <w:szCs w:val="21"/>
                <w:highlight w:val="none"/>
                <w:lang w:val="en-US" w:eastAsia="zh-CN"/>
              </w:rPr>
              <w:t>环境空气保护目标指自然保护区、风景名胜区、居住区、文化区和农村地区中人群较集中的区域。</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420" w:firstLineChars="200"/>
              <w:jc w:val="left"/>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highlight w:val="none"/>
                <w:lang w:val="en-US" w:eastAsia="zh-CN"/>
              </w:rPr>
              <w:t>临界量及其计算方法可参考《建设项目环境风险评价技术导则》</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HJ169）附录B、附录C。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539" w:type="dxa"/>
            <w:noWrap w:val="0"/>
            <w:vAlign w:val="center"/>
          </w:tcPr>
          <w:p>
            <w:pPr>
              <w:autoSpaceDE w:val="0"/>
              <w:autoSpaceDN w:val="0"/>
              <w:adjustRightInd w:val="0"/>
              <w:snapToGrid w:val="0"/>
              <w:jc w:val="center"/>
              <w:rPr>
                <w:rFonts w:hint="eastAsia" w:ascii="宋体" w:hAnsi="宋体" w:cs="宋体"/>
                <w:kern w:val="0"/>
                <w:sz w:val="24"/>
                <w:szCs w:val="24"/>
              </w:rPr>
            </w:pPr>
            <w:r>
              <w:rPr>
                <w:rFonts w:hint="eastAsia" w:ascii="宋体" w:hAnsi="宋体" w:cs="宋体"/>
                <w:sz w:val="24"/>
                <w:szCs w:val="24"/>
              </w:rPr>
              <w:t>规划情况</w:t>
            </w:r>
          </w:p>
        </w:tc>
        <w:tc>
          <w:tcPr>
            <w:tcW w:w="7331"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9" w:type="dxa"/>
            <w:noWrap w:val="0"/>
            <w:vAlign w:val="center"/>
          </w:tcPr>
          <w:p>
            <w:pPr>
              <w:adjustRightInd w:val="0"/>
              <w:snapToGrid w:val="0"/>
              <w:jc w:val="center"/>
              <w:rPr>
                <w:rFonts w:ascii="宋体" w:hAnsi="宋体" w:cs="宋体"/>
                <w:sz w:val="24"/>
                <w:szCs w:val="24"/>
              </w:rPr>
            </w:pPr>
            <w:r>
              <w:rPr>
                <w:rFonts w:hint="eastAsia" w:ascii="宋体" w:hAnsi="宋体" w:cs="宋体"/>
                <w:sz w:val="24"/>
                <w:szCs w:val="24"/>
              </w:rPr>
              <w:t>规划环境影响</w:t>
            </w:r>
          </w:p>
          <w:p>
            <w:pPr>
              <w:adjustRightInd w:val="0"/>
              <w:snapToGrid w:val="0"/>
              <w:jc w:val="center"/>
              <w:rPr>
                <w:rFonts w:hint="eastAsia" w:ascii="宋体" w:hAnsi="宋体" w:cs="宋体"/>
                <w:kern w:val="0"/>
                <w:sz w:val="24"/>
                <w:szCs w:val="24"/>
              </w:rPr>
            </w:pPr>
            <w:r>
              <w:rPr>
                <w:rFonts w:hint="eastAsia" w:ascii="宋体" w:hAnsi="宋体" w:cs="宋体"/>
                <w:sz w:val="24"/>
                <w:szCs w:val="24"/>
              </w:rPr>
              <w:t>评价情况</w:t>
            </w:r>
          </w:p>
        </w:tc>
        <w:tc>
          <w:tcPr>
            <w:tcW w:w="7331" w:type="dxa"/>
            <w:gridSpan w:val="3"/>
            <w:noWrap w:val="0"/>
            <w:vAlign w:val="center"/>
          </w:tcPr>
          <w:p>
            <w:pPr>
              <w:autoSpaceDE w:val="0"/>
              <w:autoSpaceDN w:val="0"/>
              <w:adjustRightInd w:val="0"/>
              <w:snapToGrid w:val="0"/>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9" w:type="dxa"/>
            <w:noWrap w:val="0"/>
            <w:vAlign w:val="center"/>
          </w:tcPr>
          <w:p>
            <w:pPr>
              <w:autoSpaceDE w:val="0"/>
              <w:autoSpaceDN w:val="0"/>
              <w:adjustRightInd w:val="0"/>
              <w:snapToGrid w:val="0"/>
              <w:jc w:val="center"/>
              <w:rPr>
                <w:rFonts w:ascii="宋体" w:hAnsi="宋体" w:cs="宋体"/>
                <w:kern w:val="0"/>
                <w:sz w:val="24"/>
                <w:szCs w:val="24"/>
              </w:rPr>
            </w:pPr>
            <w:r>
              <w:rPr>
                <w:rFonts w:hint="eastAsia" w:ascii="宋体" w:hAnsi="宋体" w:cs="宋体"/>
                <w:kern w:val="0"/>
                <w:sz w:val="24"/>
                <w:szCs w:val="24"/>
              </w:rPr>
              <w:t>规划及规划环境影响评价符合性分析</w:t>
            </w:r>
          </w:p>
        </w:tc>
        <w:tc>
          <w:tcPr>
            <w:tcW w:w="7331" w:type="dxa"/>
            <w:gridSpan w:val="3"/>
            <w:noWrap w:val="0"/>
            <w:vAlign w:val="center"/>
          </w:tcPr>
          <w:p>
            <w:pPr>
              <w:autoSpaceDE w:val="0"/>
              <w:autoSpaceDN w:val="0"/>
              <w:adjustRightInd w:val="0"/>
              <w:snapToGrid w:val="0"/>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39" w:type="dxa"/>
            <w:noWrap w:val="0"/>
            <w:vAlign w:val="center"/>
          </w:tcPr>
          <w:p>
            <w:pPr>
              <w:autoSpaceDE w:val="0"/>
              <w:autoSpaceDN w:val="0"/>
              <w:adjustRightInd w:val="0"/>
              <w:snapToGrid w:val="0"/>
              <w:jc w:val="center"/>
              <w:rPr>
                <w:rFonts w:hint="eastAsia" w:ascii="宋体" w:hAnsi="宋体" w:cs="宋体"/>
                <w:kern w:val="0"/>
                <w:sz w:val="24"/>
                <w:szCs w:val="24"/>
              </w:rPr>
            </w:pPr>
            <w:r>
              <w:rPr>
                <w:rFonts w:hint="eastAsia" w:ascii="宋体" w:hAnsi="宋体" w:cs="宋体"/>
                <w:kern w:val="0"/>
                <w:sz w:val="24"/>
                <w:szCs w:val="24"/>
              </w:rPr>
              <w:t>其他符合性分析</w:t>
            </w:r>
          </w:p>
        </w:tc>
        <w:tc>
          <w:tcPr>
            <w:tcW w:w="7331" w:type="dxa"/>
            <w:gridSpan w:val="3"/>
            <w:noWrap w:val="0"/>
            <w:vAlign w:val="center"/>
          </w:tcPr>
          <w:p>
            <w:pPr>
              <w:numPr>
                <w:ilvl w:val="0"/>
                <w:numId w:val="0"/>
              </w:numPr>
              <w:autoSpaceDE w:val="0"/>
              <w:autoSpaceDN w:val="0"/>
              <w:adjustRightInd w:val="0"/>
              <w:snapToGrid w:val="0"/>
              <w:spacing w:line="360" w:lineRule="auto"/>
              <w:ind w:firstLine="482" w:firstLineChars="200"/>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bidi="ar-SA"/>
              </w:rPr>
              <w:t>一、</w:t>
            </w:r>
            <w:r>
              <w:rPr>
                <w:rFonts w:hint="eastAsia" w:ascii="宋体" w:hAnsi="宋体" w:cs="宋体"/>
                <w:b/>
                <w:bCs/>
                <w:kern w:val="0"/>
                <w:sz w:val="24"/>
                <w:szCs w:val="24"/>
                <w:lang w:val="en-US" w:eastAsia="zh-CN"/>
              </w:rPr>
              <w:t>与产业政策符合性分析</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根据《国民经济行业分类》</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GB/T4754-2017），本项目属于C14</w:t>
            </w:r>
            <w:r>
              <w:rPr>
                <w:rFonts w:hint="eastAsia" w:ascii="Times New Roman" w:hAnsi="Times New Roman" w:cs="Times New Roman"/>
                <w:b w:val="0"/>
                <w:bCs w:val="0"/>
                <w:kern w:val="0"/>
                <w:sz w:val="24"/>
                <w:szCs w:val="24"/>
                <w:lang w:val="en-US" w:eastAsia="zh-CN"/>
              </w:rPr>
              <w:t>3</w:t>
            </w:r>
            <w:r>
              <w:rPr>
                <w:rFonts w:hint="default" w:ascii="Times New Roman" w:hAnsi="Times New Roman" w:cs="Times New Roman"/>
                <w:b w:val="0"/>
                <w:bCs w:val="0"/>
                <w:kern w:val="0"/>
                <w:sz w:val="24"/>
                <w:szCs w:val="24"/>
                <w:lang w:val="en-US" w:eastAsia="zh-CN"/>
              </w:rPr>
              <w:t>9</w:t>
            </w:r>
            <w:r>
              <w:rPr>
                <w:rFonts w:hint="default" w:ascii="Times New Roman" w:hAnsi="Times New Roman" w:cs="Times New Roman"/>
                <w:sz w:val="24"/>
                <w:szCs w:val="24"/>
                <w:lang w:val="en-US" w:eastAsia="zh-CN"/>
              </w:rPr>
              <w:t>其他方便食品制造</w:t>
            </w:r>
            <w:r>
              <w:rPr>
                <w:rFonts w:hint="default" w:ascii="Times New Roman" w:hAnsi="Times New Roman" w:cs="Times New Roman"/>
                <w:b w:val="0"/>
                <w:bCs w:val="0"/>
                <w:kern w:val="0"/>
                <w:sz w:val="24"/>
                <w:szCs w:val="24"/>
                <w:lang w:val="en-US" w:eastAsia="zh-CN"/>
              </w:rPr>
              <w:t>，对照《产业结构调整指导目录</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2024年本）》本项目不属于其中鼓励类、限制类和淘汰类规定的范围。根据国务院关于发布实施《促进产业结构调整暂行规定》的决定</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国发</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2005</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40号）第十三条规定：不属于鼓励类、限制类和淘汰类，且符合国家有关法律、法规和政策规定的，为允许类，本项目使用的主要生</w:t>
            </w:r>
            <w:r>
              <w:rPr>
                <w:rFonts w:hint="eastAsia" w:ascii="Times New Roman" w:hAnsi="Times New Roman" w:cs="Times New Roman"/>
                <w:b w:val="0"/>
                <w:bCs w:val="0"/>
                <w:kern w:val="0"/>
                <w:sz w:val="24"/>
                <w:szCs w:val="24"/>
                <w:lang w:val="en-US" w:eastAsia="zh-CN"/>
              </w:rPr>
              <w:t>产工艺不属于限制类、淘汰类、因此本项目属于允许类。</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2025年02月，本项目经乐山市中区发展和改革局同意备案</w:t>
            </w:r>
            <w:r>
              <w:rPr>
                <w:rFonts w:hint="eastAsia"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备案号：川投资备【2502-511102-04-01-815910】FGQB-0066号）。</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综上所述，本项目符合国家及地方现行产业政策。</w:t>
            </w:r>
          </w:p>
          <w:p>
            <w:pPr>
              <w:numPr>
                <w:ilvl w:val="0"/>
                <w:numId w:val="0"/>
              </w:numPr>
              <w:autoSpaceDE w:val="0"/>
              <w:autoSpaceDN w:val="0"/>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二、</w:t>
            </w:r>
            <w:r>
              <w:rPr>
                <w:rFonts w:hint="eastAsia" w:ascii="Times New Roman" w:hAnsi="Times New Roman" w:cs="Times New Roman"/>
                <w:b/>
                <w:bCs/>
                <w:kern w:val="0"/>
                <w:sz w:val="24"/>
                <w:szCs w:val="24"/>
                <w:lang w:val="en-US" w:eastAsia="zh-CN"/>
              </w:rPr>
              <w:t>用地符合性分析</w:t>
            </w:r>
          </w:p>
          <w:p>
            <w:pPr>
              <w:numPr>
                <w:ilvl w:val="0"/>
                <w:numId w:val="0"/>
              </w:numPr>
              <w:autoSpaceDE w:val="0"/>
              <w:autoSpaceDN w:val="0"/>
              <w:adjustRightInd w:val="0"/>
              <w:snapToGrid w:val="0"/>
              <w:spacing w:line="360" w:lineRule="auto"/>
              <w:ind w:firstLine="480" w:firstLineChars="200"/>
              <w:jc w:val="left"/>
              <w:rPr>
                <w:rFonts w:hint="default" w:ascii="Times New Roman" w:hAnsi="Times New Roman" w:eastAsia="宋体" w:cs="Times New Roman"/>
                <w:b w:val="0"/>
                <w:bCs w:val="0"/>
                <w:kern w:val="0"/>
                <w:sz w:val="24"/>
                <w:szCs w:val="24"/>
                <w:lang w:val="en-US" w:eastAsia="zh-CN"/>
              </w:rPr>
            </w:pPr>
            <w:r>
              <w:rPr>
                <w:rFonts w:hint="eastAsia" w:ascii="Times New Roman" w:hAnsi="Times New Roman" w:eastAsia="宋体" w:cs="Times New Roman"/>
                <w:b w:val="0"/>
                <w:bCs w:val="0"/>
                <w:kern w:val="0"/>
                <w:sz w:val="24"/>
                <w:szCs w:val="24"/>
                <w:lang w:val="en-US" w:eastAsia="zh-CN"/>
              </w:rPr>
              <w:t>成都程锦有限公司与乐山市市中区经济合作局于2024年12月30日双方本着平等互利、依法依规、协商一致的原则，就成都程锦有限公司入驻乐山味道食品饮料产业园达成协议，四川程锦食品有限公司隶属于成都程锦有限公司。</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本项目选址于乐山市市中区全福街道石农村</w:t>
            </w:r>
            <w:r>
              <w:rPr>
                <w:rFonts w:hint="eastAsia" w:ascii="Times New Roman" w:hAnsi="Times New Roman" w:cs="Times New Roman"/>
                <w:b w:val="0"/>
                <w:bCs w:val="0"/>
                <w:kern w:val="0"/>
                <w:sz w:val="24"/>
                <w:szCs w:val="24"/>
                <w:lang w:val="en-US" w:eastAsia="zh-CN"/>
              </w:rPr>
              <w:t>5组888号2栋(乐山味道食品饮料产业园）位于乐山味道食品饮料产业园调味品零食组团区里</w:t>
            </w:r>
            <w:r>
              <w:rPr>
                <w:rFonts w:hint="default" w:ascii="Times New Roman" w:hAnsi="Times New Roman"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租用乐山味道食品饮料产业园16000平方米标准厂房</w:t>
            </w:r>
            <w:r>
              <w:rPr>
                <w:rFonts w:hint="default" w:ascii="Times New Roman" w:hAnsi="Times New Roman"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厂房属乐山市市中区城市建设投资发展集团有限公司，该房屋所处位置不属于国有储备土地及征收拆迁范围，可以作为市场主体生产经营场所使用。</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sz w:val="24"/>
                <w:szCs w:val="24"/>
                <w:lang w:val="en-US" w:eastAsia="zh-CN"/>
              </w:rPr>
            </w:pPr>
            <w:r>
              <w:rPr>
                <w:rFonts w:hint="default" w:ascii="Times New Roman" w:hAnsi="Times New Roman" w:cs="Times New Roman"/>
                <w:b w:val="0"/>
                <w:bCs w:val="0"/>
                <w:kern w:val="0"/>
                <w:sz w:val="24"/>
                <w:szCs w:val="24"/>
                <w:lang w:val="en-US" w:eastAsia="zh-CN"/>
              </w:rPr>
              <w:t>项目取得了</w:t>
            </w:r>
            <w:r>
              <w:rPr>
                <w:rFonts w:hint="eastAsia" w:ascii="Times New Roman" w:hAnsi="Times New Roman" w:cs="Times New Roman"/>
                <w:b w:val="0"/>
                <w:bCs w:val="0"/>
                <w:kern w:val="0"/>
                <w:sz w:val="24"/>
                <w:szCs w:val="24"/>
                <w:lang w:val="en-US" w:eastAsia="zh-CN"/>
              </w:rPr>
              <w:t>乐山市市中区人民政府全福街道办事处的生产经营场所证明，</w:t>
            </w:r>
            <w:r>
              <w:rPr>
                <w:rFonts w:hint="eastAsia" w:ascii="Times New Roman" w:hAnsi="Times New Roman" w:cs="Times New Roman"/>
                <w:sz w:val="24"/>
                <w:szCs w:val="24"/>
                <w:lang w:val="en-US" w:eastAsia="zh-CN"/>
              </w:rPr>
              <w:t>用地性质符合区域土地利用规划。</w:t>
            </w:r>
          </w:p>
          <w:p>
            <w:pPr>
              <w:numPr>
                <w:ilvl w:val="0"/>
                <w:numId w:val="0"/>
              </w:numPr>
              <w:autoSpaceDE w:val="0"/>
              <w:autoSpaceDN w:val="0"/>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项目为</w:t>
            </w:r>
            <w:r>
              <w:rPr>
                <w:rFonts w:hint="default" w:ascii="Times New Roman" w:hAnsi="Times New Roman" w:cs="Times New Roman"/>
                <w:b w:val="0"/>
                <w:bCs w:val="0"/>
                <w:kern w:val="0"/>
                <w:sz w:val="24"/>
                <w:szCs w:val="24"/>
                <w:lang w:val="en-US" w:eastAsia="zh-CN"/>
              </w:rPr>
              <w:t>C14</w:t>
            </w:r>
            <w:r>
              <w:rPr>
                <w:rFonts w:hint="eastAsia" w:ascii="Times New Roman" w:hAnsi="Times New Roman" w:cs="Times New Roman"/>
                <w:b w:val="0"/>
                <w:bCs w:val="0"/>
                <w:kern w:val="0"/>
                <w:sz w:val="24"/>
                <w:szCs w:val="24"/>
                <w:lang w:val="en-US" w:eastAsia="zh-CN"/>
              </w:rPr>
              <w:t>3</w:t>
            </w:r>
            <w:r>
              <w:rPr>
                <w:rFonts w:hint="default" w:ascii="Times New Roman" w:hAnsi="Times New Roman" w:cs="Times New Roman"/>
                <w:b w:val="0"/>
                <w:bCs w:val="0"/>
                <w:kern w:val="0"/>
                <w:sz w:val="24"/>
                <w:szCs w:val="24"/>
                <w:lang w:val="en-US" w:eastAsia="zh-CN"/>
              </w:rPr>
              <w:t>9</w:t>
            </w:r>
            <w:r>
              <w:rPr>
                <w:rFonts w:hint="default" w:ascii="Times New Roman" w:hAnsi="Times New Roman" w:cs="Times New Roman"/>
                <w:sz w:val="24"/>
                <w:szCs w:val="24"/>
                <w:lang w:val="en-US" w:eastAsia="zh-CN"/>
              </w:rPr>
              <w:t>其他方便食品制造</w:t>
            </w:r>
            <w:r>
              <w:rPr>
                <w:rFonts w:hint="eastAsia" w:ascii="Times New Roman" w:hAnsi="Times New Roman" w:cs="Times New Roman"/>
                <w:sz w:val="24"/>
                <w:szCs w:val="24"/>
                <w:lang w:val="en-US" w:eastAsia="zh-CN"/>
              </w:rPr>
              <w:t>，符合</w:t>
            </w:r>
            <w:r>
              <w:rPr>
                <w:rFonts w:hint="eastAsia" w:ascii="Times New Roman" w:hAnsi="Times New Roman" w:cs="Times New Roman"/>
                <w:b w:val="0"/>
                <w:bCs w:val="0"/>
                <w:kern w:val="0"/>
                <w:sz w:val="24"/>
                <w:szCs w:val="24"/>
                <w:lang w:val="en-US" w:eastAsia="zh-CN"/>
              </w:rPr>
              <w:t>乐山味道食品饮料产业园，园区规划。</w:t>
            </w:r>
          </w:p>
          <w:p>
            <w:pPr>
              <w:numPr>
                <w:ilvl w:val="0"/>
                <w:numId w:val="0"/>
              </w:numPr>
              <w:autoSpaceDE w:val="0"/>
              <w:autoSpaceDN w:val="0"/>
              <w:adjustRightInd w:val="0"/>
              <w:snapToGrid w:val="0"/>
              <w:spacing w:line="360" w:lineRule="auto"/>
              <w:ind w:firstLine="482" w:firstLineChars="200"/>
              <w:jc w:val="left"/>
              <w:rPr>
                <w:rFonts w:hint="eastAsia" w:ascii="Times New Roman" w:hAnsi="Times New Roman" w:cs="Times New Roman"/>
                <w:b/>
                <w:bCs/>
                <w:sz w:val="24"/>
                <w:szCs w:val="24"/>
                <w:lang w:val="en-US" w:eastAsia="zh-CN"/>
              </w:rPr>
            </w:pPr>
            <w:r>
              <w:rPr>
                <w:rFonts w:hint="eastAsia" w:ascii="Times New Roman" w:hAnsi="Times New Roman" w:cs="Times New Roman"/>
                <w:b/>
                <w:bCs/>
                <w:kern w:val="2"/>
                <w:sz w:val="24"/>
                <w:szCs w:val="24"/>
                <w:lang w:val="en-US" w:eastAsia="zh-CN" w:bidi="ar-SA"/>
              </w:rPr>
              <w:t>三、</w:t>
            </w:r>
            <w:r>
              <w:rPr>
                <w:rFonts w:hint="eastAsia" w:ascii="Times New Roman" w:hAnsi="Times New Roman" w:cs="Times New Roman"/>
                <w:b/>
                <w:bCs/>
                <w:sz w:val="24"/>
                <w:szCs w:val="24"/>
                <w:lang w:val="en-US" w:eastAsia="zh-CN"/>
              </w:rPr>
              <w:t>与水污染防治相关文件的符合性分析</w:t>
            </w:r>
          </w:p>
          <w:p>
            <w:pPr>
              <w:numPr>
                <w:ilvl w:val="0"/>
                <w:numId w:val="0"/>
              </w:numPr>
              <w:autoSpaceDE w:val="0"/>
              <w:autoSpaceDN w:val="0"/>
              <w:adjustRightInd w:val="0"/>
              <w:snapToGrid w:val="0"/>
              <w:spacing w:line="360" w:lineRule="auto"/>
              <w:ind w:firstLine="516"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本项目与水污染防治相关文件的符合性分析详见下表。</w:t>
            </w:r>
          </w:p>
          <w:p>
            <w:pPr>
              <w:numPr>
                <w:ilvl w:val="0"/>
                <w:numId w:val="0"/>
              </w:numPr>
              <w:autoSpaceDE w:val="0"/>
              <w:autoSpaceDN w:val="0"/>
              <w:adjustRightInd w:val="0"/>
              <w:snapToGrid w:val="0"/>
              <w:spacing w:line="240" w:lineRule="auto"/>
              <w:jc w:val="center"/>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表1-2</w:t>
            </w:r>
            <w:r>
              <w:rPr>
                <w:rFonts w:hint="eastAsia" w:ascii="Times New Roman" w:hAnsi="Times New Roman" w:eastAsia="宋体" w:cs="Times New Roman"/>
                <w:b/>
                <w:bCs/>
                <w:spacing w:val="8"/>
                <w:sz w:val="21"/>
                <w:szCs w:val="21"/>
                <w:lang w:val="en-US" w:eastAsia="zh-CN"/>
              </w:rPr>
              <w:t xml:space="preserve">  </w:t>
            </w:r>
            <w:r>
              <w:rPr>
                <w:rFonts w:hint="default" w:ascii="Times New Roman" w:hAnsi="Times New Roman" w:eastAsia="宋体" w:cs="Times New Roman"/>
                <w:b/>
                <w:bCs/>
                <w:spacing w:val="8"/>
                <w:sz w:val="21"/>
                <w:szCs w:val="21"/>
              </w:rPr>
              <w:t>项目与水污染防治相关文件的符合性分析表</w:t>
            </w:r>
          </w:p>
          <w:tbl>
            <w:tblPr>
              <w:tblStyle w:val="42"/>
              <w:tblW w:w="718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3062"/>
              <w:gridCol w:w="1854"/>
              <w:gridCol w:w="7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文件名称</w:t>
                  </w:r>
                </w:p>
              </w:tc>
              <w:tc>
                <w:tcPr>
                  <w:tcW w:w="2129"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具体要求</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1"/>
                      <w:sz w:val="21"/>
                      <w:szCs w:val="21"/>
                    </w:rPr>
                    <w:t>本项目</w:t>
                  </w:r>
                </w:p>
              </w:tc>
              <w:tc>
                <w:tcPr>
                  <w:tcW w:w="493"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3"/>
                      <w:sz w:val="21"/>
                      <w:szCs w:val="21"/>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13"/>
                      <w:sz w:val="21"/>
                      <w:szCs w:val="21"/>
                    </w:rPr>
                    <w:t>《长江保</w:t>
                  </w:r>
                  <w:r>
                    <w:rPr>
                      <w:rFonts w:hint="eastAsia" w:ascii="宋体" w:hAnsi="宋体" w:eastAsia="宋体" w:cs="宋体"/>
                      <w:spacing w:val="3"/>
                      <w:sz w:val="21"/>
                      <w:szCs w:val="21"/>
                    </w:rPr>
                    <w:t>护法》</w:t>
                  </w: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12"/>
                      <w:sz w:val="21"/>
                      <w:szCs w:val="21"/>
                    </w:rPr>
                    <w:t>禁止在长江流域重点生态功能区布局对生</w:t>
                  </w:r>
                  <w:r>
                    <w:rPr>
                      <w:rFonts w:hint="eastAsia" w:ascii="宋体" w:hAnsi="宋体" w:eastAsia="宋体" w:cs="宋体"/>
                      <w:spacing w:val="-2"/>
                      <w:sz w:val="21"/>
                      <w:szCs w:val="21"/>
                    </w:rPr>
                    <w:t>态系统有严重影响的产业。禁止重污染企业</w:t>
                  </w:r>
                  <w:r>
                    <w:rPr>
                      <w:rFonts w:hint="eastAsia" w:ascii="宋体" w:hAnsi="宋体" w:eastAsia="宋体" w:cs="宋体"/>
                      <w:spacing w:val="-1"/>
                      <w:sz w:val="21"/>
                      <w:szCs w:val="21"/>
                    </w:rPr>
                    <w:t>和项目向长江中上游转移。</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3"/>
                      <w:sz w:val="21"/>
                      <w:szCs w:val="21"/>
                    </w:rPr>
                    <w:t>本项目属于《产业结构调整指导目录》中允许类，不属于重污染项目。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2"/>
                      <w:sz w:val="21"/>
                      <w:szCs w:val="21"/>
                    </w:rPr>
                    <w:t>禁止在长江干支流岸线一公里范围内新建、</w:t>
                  </w:r>
                  <w:r>
                    <w:rPr>
                      <w:rFonts w:hint="eastAsia" w:ascii="宋体" w:hAnsi="宋体" w:eastAsia="宋体" w:cs="宋体"/>
                      <w:spacing w:val="-1"/>
                      <w:sz w:val="21"/>
                      <w:szCs w:val="21"/>
                    </w:rPr>
                    <w:t>扩建化工园区和化工项目。</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3"/>
                      <w:sz w:val="21"/>
                      <w:szCs w:val="21"/>
                    </w:rPr>
                    <w:t>本项目为</w:t>
                  </w:r>
                  <w:r>
                    <w:rPr>
                      <w:rFonts w:hint="eastAsia" w:ascii="宋体" w:hAnsi="宋体" w:eastAsia="宋体" w:cs="宋体"/>
                      <w:spacing w:val="-3"/>
                      <w:sz w:val="21"/>
                      <w:szCs w:val="21"/>
                      <w:lang w:val="en-US" w:eastAsia="zh-CN"/>
                    </w:rPr>
                    <w:t>其他方便食品制造</w:t>
                  </w:r>
                  <w:r>
                    <w:rPr>
                      <w:rFonts w:hint="eastAsia" w:ascii="宋体" w:hAnsi="宋体" w:eastAsia="宋体" w:cs="宋体"/>
                      <w:spacing w:val="-3"/>
                      <w:sz w:val="21"/>
                      <w:szCs w:val="21"/>
                    </w:rPr>
                    <w:t>，不属于化工项目。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12"/>
                      <w:sz w:val="21"/>
                      <w:szCs w:val="21"/>
                    </w:rPr>
                    <w:t>禁止在长江干流岸线三公里范围内和重要</w:t>
                  </w:r>
                  <w:r>
                    <w:rPr>
                      <w:rFonts w:hint="eastAsia" w:ascii="宋体" w:hAnsi="宋体" w:eastAsia="宋体" w:cs="宋体"/>
                      <w:spacing w:val="-2"/>
                      <w:sz w:val="21"/>
                      <w:szCs w:val="21"/>
                    </w:rPr>
                    <w:t>支流岸线一公里范围内新建、改建、扩建尾矿库；但是以提升安全、生态环境保护水平</w:t>
                  </w:r>
                  <w:r>
                    <w:rPr>
                      <w:rFonts w:hint="eastAsia" w:ascii="宋体" w:hAnsi="宋体" w:eastAsia="宋体" w:cs="宋体"/>
                      <w:spacing w:val="-1"/>
                      <w:sz w:val="21"/>
                      <w:szCs w:val="21"/>
                    </w:rPr>
                    <w:t>为目的的改建除外。</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color w:val="auto"/>
                      <w:spacing w:val="-3"/>
                      <w:sz w:val="21"/>
                      <w:szCs w:val="21"/>
                    </w:rPr>
                    <w:t>本项目为</w:t>
                  </w:r>
                  <w:r>
                    <w:rPr>
                      <w:rFonts w:hint="default" w:ascii="Times New Roman" w:hAnsi="Times New Roman" w:eastAsia="宋体" w:cs="Times New Roman"/>
                      <w:color w:val="auto"/>
                      <w:spacing w:val="7"/>
                      <w:sz w:val="21"/>
                      <w:szCs w:val="21"/>
                      <w:lang w:val="en-US" w:eastAsia="zh-CN"/>
                    </w:rPr>
                    <w:t>其他方便食品制造</w:t>
                  </w:r>
                  <w:r>
                    <w:rPr>
                      <w:rFonts w:hint="eastAsia" w:ascii="宋体" w:hAnsi="宋体" w:eastAsia="宋体" w:cs="宋体"/>
                      <w:color w:val="auto"/>
                      <w:spacing w:val="-3"/>
                      <w:sz w:val="21"/>
                      <w:szCs w:val="21"/>
                    </w:rPr>
                    <w:t>，不</w:t>
                  </w:r>
                  <w:r>
                    <w:rPr>
                      <w:rFonts w:hint="eastAsia" w:ascii="宋体" w:hAnsi="宋体" w:eastAsia="宋体" w:cs="宋体"/>
                      <w:color w:val="auto"/>
                      <w:spacing w:val="-2"/>
                      <w:sz w:val="21"/>
                      <w:szCs w:val="21"/>
                    </w:rPr>
                    <w:t>涉及尾矿库。</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12"/>
                      <w:sz w:val="21"/>
                      <w:szCs w:val="21"/>
                    </w:rPr>
                    <w:t>禁止在长江流域禁止采砂区和禁止采砂期</w:t>
                  </w:r>
                  <w:r>
                    <w:rPr>
                      <w:rFonts w:hint="eastAsia" w:ascii="宋体" w:hAnsi="宋体" w:eastAsia="宋体" w:cs="宋体"/>
                      <w:spacing w:val="-1"/>
                      <w:sz w:val="21"/>
                      <w:szCs w:val="21"/>
                    </w:rPr>
                    <w:t>从事采砂活动。</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3"/>
                      <w:sz w:val="21"/>
                      <w:szCs w:val="21"/>
                    </w:rPr>
                    <w:t>本项目不涉及采砂活动。</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2"/>
                      <w:sz w:val="21"/>
                      <w:szCs w:val="21"/>
                    </w:rPr>
                    <w:t>加强对高耗水行业、重点用水单位的用水定</w:t>
                  </w:r>
                  <w:r>
                    <w:rPr>
                      <w:rFonts w:hint="eastAsia" w:ascii="宋体" w:hAnsi="宋体" w:eastAsia="宋体" w:cs="宋体"/>
                      <w:spacing w:val="-1"/>
                      <w:sz w:val="21"/>
                      <w:szCs w:val="21"/>
                    </w:rPr>
                    <w:t>额管理，严格控制高耗水项目建设。</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3"/>
                      <w:sz w:val="21"/>
                      <w:szCs w:val="21"/>
                    </w:rPr>
                    <w:t>本项目不属于高耗水行业。</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rPr>
                    <w:t>禁止在长江流域河湖管理范围内倾倒、填埋、堆放、弃置、处理固体废物</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lang w:val="en-US" w:eastAsia="zh-CN"/>
                    </w:rPr>
                  </w:pPr>
                  <w:r>
                    <w:rPr>
                      <w:rFonts w:hint="eastAsia" w:ascii="宋体" w:hAnsi="宋体" w:eastAsia="宋体" w:cs="宋体"/>
                      <w:spacing w:val="-3"/>
                      <w:sz w:val="21"/>
                      <w:szCs w:val="21"/>
                    </w:rPr>
                    <w:t>本项目产生的固废均去向明确，得到妥善处置。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《长江保护修复攻坚战行动计划》</w:t>
                  </w:r>
                  <w:r>
                    <w:rPr>
                      <w:rFonts w:hint="eastAsia" w:cs="Times New Roman"/>
                      <w:b w:val="0"/>
                      <w:bCs w:val="0"/>
                      <w:spacing w:val="8"/>
                      <w:sz w:val="21"/>
                      <w:szCs w:val="21"/>
                      <w:vertAlign w:val="baseline"/>
                      <w:lang w:val="en-US" w:eastAsia="zh-CN"/>
                    </w:rPr>
                    <w:t>（</w:t>
                  </w:r>
                  <w:r>
                    <w:rPr>
                      <w:rFonts w:hint="default" w:ascii="Times New Roman" w:hAnsi="Times New Roman" w:eastAsia="宋体" w:cs="Times New Roman"/>
                      <w:b w:val="0"/>
                      <w:bCs w:val="0"/>
                      <w:spacing w:val="8"/>
                      <w:sz w:val="21"/>
                      <w:szCs w:val="21"/>
                      <w:vertAlign w:val="baseline"/>
                      <w:lang w:val="en-US" w:eastAsia="zh-CN"/>
                    </w:rPr>
                    <w:t>环水体</w:t>
                  </w:r>
                  <w:r>
                    <w:rPr>
                      <w:rFonts w:hint="eastAsia" w:cs="Times New Roman"/>
                      <w:b w:val="0"/>
                      <w:bCs w:val="0"/>
                      <w:spacing w:val="8"/>
                      <w:sz w:val="21"/>
                      <w:szCs w:val="21"/>
                      <w:vertAlign w:val="baseline"/>
                      <w:lang w:val="en-US" w:eastAsia="zh-CN"/>
                    </w:rPr>
                    <w:t>〔</w:t>
                  </w:r>
                  <w:r>
                    <w:rPr>
                      <w:rFonts w:hint="default" w:ascii="Times New Roman" w:hAnsi="Times New Roman" w:eastAsia="宋体" w:cs="Times New Roman"/>
                      <w:b w:val="0"/>
                      <w:bCs w:val="0"/>
                      <w:spacing w:val="8"/>
                      <w:sz w:val="21"/>
                      <w:szCs w:val="21"/>
                      <w:vertAlign w:val="baseline"/>
                      <w:lang w:val="en-US" w:eastAsia="zh-CN"/>
                    </w:rPr>
                    <w:t>2018</w:t>
                  </w:r>
                  <w:r>
                    <w:rPr>
                      <w:rFonts w:hint="eastAsia" w:ascii="Times New Roman" w:hAnsi="Times New Roman" w:eastAsia="宋体" w:cs="Times New Roman"/>
                      <w:b w:val="0"/>
                      <w:bCs w:val="0"/>
                      <w:spacing w:val="8"/>
                      <w:sz w:val="21"/>
                      <w:szCs w:val="21"/>
                      <w:vertAlign w:val="baseline"/>
                      <w:lang w:val="en-US" w:eastAsia="zh-CN"/>
                    </w:rPr>
                    <w:t>〕</w:t>
                  </w:r>
                  <w:r>
                    <w:rPr>
                      <w:rFonts w:hint="default" w:ascii="Times New Roman" w:hAnsi="Times New Roman" w:eastAsia="宋体" w:cs="Times New Roman"/>
                      <w:b w:val="0"/>
                      <w:bCs w:val="0"/>
                      <w:spacing w:val="8"/>
                      <w:sz w:val="21"/>
                      <w:szCs w:val="21"/>
                      <w:vertAlign w:val="baseline"/>
                      <w:lang w:val="en-US" w:eastAsia="zh-CN"/>
                    </w:rPr>
                    <w:t>181号）</w:t>
                  </w: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优化产业结构布局。加快重污染企业搬迁改造或关闭退出，严禁污染产业、企业向长江中上游地区转移。长江干流及主要支流岸线1公里范围内不准新增化工园区，依法淘汰取缔违法违规工业园区。以长江干流、主要支流及重点湖库为重点，全面开展“散乱污”涉水企业综合整治，分类实施关停取缔、整合搬迁、提升改造等措施，依法淘汰涉及污染的落后产能。</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本项目位于乐山市市中区全福街道石农村，项目所在地位</w:t>
                  </w:r>
                  <w:r>
                    <w:rPr>
                      <w:rFonts w:hint="eastAsia" w:ascii="宋体" w:hAnsi="宋体" w:eastAsia="宋体" w:cs="宋体"/>
                      <w:spacing w:val="-3"/>
                      <w:sz w:val="21"/>
                      <w:szCs w:val="21"/>
                      <w:lang w:val="en-US" w:eastAsia="zh-CN"/>
                    </w:rPr>
                    <w:t>于</w:t>
                  </w:r>
                  <w:r>
                    <w:rPr>
                      <w:rFonts w:hint="eastAsia" w:ascii="宋体" w:hAnsi="宋体" w:eastAsia="宋体" w:cs="宋体"/>
                      <w:spacing w:val="-3"/>
                      <w:sz w:val="21"/>
                      <w:szCs w:val="21"/>
                    </w:rPr>
                    <w:t>乐山市市中规划的嘉州食品饮料产业园，本项目不属于化工项目和落后产能项目。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规范工业园区环境管理。新建工业企业原则上都应在工业园区内建设并符合相关规划和园区定位，现有重污染行业企业要限期搬入产业对口园区。工业园区应按规定建成污水集中处理设施并稳定达标运行，禁止偷排漏排。加大现有工业园区整治力度，完善污染治理设施，实施雨污分流改造。</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本项目位于乐山市市中区全福街道石农村，符合乐山市市中区全福镇总体规划，</w:t>
                  </w:r>
                  <w:r>
                    <w:rPr>
                      <w:rFonts w:hint="default" w:ascii="Times New Roman" w:hAnsi="Times New Roman" w:eastAsia="宋体" w:cs="Times New Roman"/>
                      <w:bCs/>
                      <w:color w:val="auto"/>
                      <w:sz w:val="21"/>
                      <w:szCs w:val="21"/>
                      <w:lang w:eastAsia="zh-CN"/>
                    </w:rPr>
                    <w:t>园区工业污水处理厂建成之前，项目废水经厂区预处理后排入</w:t>
                  </w:r>
                  <w:r>
                    <w:rPr>
                      <w:rFonts w:hint="eastAsia" w:ascii="Times New Roman" w:hAnsi="Times New Roman" w:eastAsia="宋体" w:cs="Times New Roman"/>
                      <w:bCs/>
                      <w:color w:val="auto"/>
                      <w:sz w:val="21"/>
                      <w:szCs w:val="21"/>
                      <w:lang w:eastAsia="zh-CN"/>
                    </w:rPr>
                    <w:t>全福镇污水处理厂</w:t>
                  </w:r>
                  <w:r>
                    <w:rPr>
                      <w:rFonts w:hint="default" w:ascii="Times New Roman" w:hAnsi="Times New Roman" w:eastAsia="宋体" w:cs="Times New Roman"/>
                      <w:bCs/>
                      <w:color w:val="auto"/>
                      <w:sz w:val="21"/>
                      <w:szCs w:val="21"/>
                      <w:lang w:eastAsia="zh-CN"/>
                    </w:rPr>
                    <w:t>，园区污水处理厂建成之后，项目废水排入园区污水处理厂处理。</w:t>
                  </w:r>
                  <w:r>
                    <w:rPr>
                      <w:rFonts w:hint="eastAsia" w:ascii="宋体" w:hAnsi="宋体" w:eastAsia="宋体" w:cs="宋体"/>
                      <w:spacing w:val="-3"/>
                      <w:sz w:val="21"/>
                      <w:szCs w:val="21"/>
                    </w:rPr>
                    <w:t>厂区内实现雨污分流。</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强化工业企业达标排放。制定造纸、焦化、氮肥、有色金属、印染、农副食品加工、原料药制造、制革、农药、电镀等十大重点行业专项治理方案，推动工业企业全面达标排放。</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本项目不属于造纸、焦化、氮肥、有色金属、印染、农副食品加工、原料药制造、制革、农药、电镀等十大重点行业；本项目废气和废水通过采取相应的处理措施，可实现达标排放。</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推进“三磷”综合整治。…磷化工重点排查企业和园区的初期雨水、含磷农药母液收集处理以及磷酸生产环节磷回收…</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本项目不涉及“三磷”行业。</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加强固体废物规范化管理。实施打击固体废物环境违法行为专项行动，持续深入推动长江沿岸固体废物大排查，对发现的问题督促地方政府限期整改，对发现的违法行为依法查处，全面公开问题清单和整改进展情况。建立部门和区域联防联控机制，建立健全环保有奖举报制度，严厉打击固体废物非法转移和倾倒等活动。</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项目固废去向明确，企业有健全的管理制度，不会进行非法转移和倾倒。</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严格环境风险源头防控。开展长江生态隐患和环境风险调查评估，从严实施环境风险防控措施。深化沿江石化、化工、医药、纺织、印染、化纤、危化品和石油类仓储、涉重金属和危险废物等重点企业环境风险评估，限期治理风险隐患。</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本次评价要求企业建设后按照相关管理规范要求，编制环境风险调查评估</w:t>
                  </w:r>
                  <w:r>
                    <w:rPr>
                      <w:rFonts w:hint="eastAsia" w:ascii="宋体" w:hAnsi="宋体" w:eastAsia="宋体" w:cs="宋体"/>
                      <w:spacing w:val="-3"/>
                      <w:sz w:val="21"/>
                      <w:szCs w:val="21"/>
                      <w:lang w:eastAsia="zh-CN"/>
                    </w:rPr>
                    <w:t>报告。</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val="0"/>
                      <w:bCs w:val="0"/>
                      <w:spacing w:val="8"/>
                      <w:sz w:val="21"/>
                      <w:szCs w:val="21"/>
                      <w:vertAlign w:val="baseline"/>
                      <w:lang w:val="en-US" w:eastAsia="zh-CN"/>
                    </w:rPr>
                    <w:t>《乐山市打赢碧水保卫战实施方案》</w:t>
                  </w: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推进重点行业企业达标和提标改造。制定造纸、焦化、氮肥、有色金属、印染、农副食品加工、原料药制造、制革、农药、电镀等十大重点行业专项治理方案，推动工业企业全面达标排放。</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本项目不涉及</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spacing w:val="-1"/>
                      <w:kern w:val="2"/>
                      <w:sz w:val="21"/>
                      <w:szCs w:val="21"/>
                      <w:lang w:val="en-US" w:eastAsia="zh-CN" w:bidi="ar-SA"/>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lang w:val="en-US" w:eastAsia="en-US"/>
                    </w:rPr>
                  </w:pPr>
                  <w:r>
                    <w:rPr>
                      <w:rFonts w:hint="eastAsia" w:ascii="宋体" w:hAnsi="宋体" w:eastAsia="宋体" w:cs="宋体"/>
                      <w:spacing w:val="-3"/>
                      <w:sz w:val="21"/>
                      <w:szCs w:val="21"/>
                      <w:lang w:val="en-US" w:eastAsia="en-US"/>
                    </w:rPr>
                    <w:t>减少工业废水排放量。减少重点行业工业企业废水排放量。制浆造纸、发酵酒精</w:t>
                  </w:r>
                  <w:r>
                    <w:rPr>
                      <w:rFonts w:hint="eastAsia" w:ascii="宋体" w:hAnsi="宋体" w:eastAsia="宋体" w:cs="宋体"/>
                      <w:spacing w:val="-3"/>
                      <w:sz w:val="21"/>
                      <w:szCs w:val="21"/>
                      <w:lang w:val="en-US" w:eastAsia="zh-CN"/>
                    </w:rPr>
                    <w:t>和</w:t>
                  </w:r>
                  <w:r>
                    <w:rPr>
                      <w:rFonts w:hint="eastAsia" w:ascii="宋体" w:hAnsi="宋体" w:eastAsia="宋体" w:cs="宋体"/>
                      <w:spacing w:val="-3"/>
                      <w:sz w:val="21"/>
                      <w:szCs w:val="21"/>
                      <w:lang w:val="en-US" w:eastAsia="en-US"/>
                    </w:rPr>
                    <w:t>白酒、啤酒、制革及毛皮加工、无机磷化工、有机磷农药等重点行业企业要尽快实施清洁生产改造，确保单位产品基准排水量达到《四川省岷江、沱江流域水污染物排放标准》。加大钢铁、印染、造纸、化工、制革等高耗水企业废水深度处理回收利用……。</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本项目不涉及</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val="0"/>
                      <w:bCs w:val="0"/>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提高环保准入门槛，充分考虑水资源、水环境承载力，以水定业、以水定产，严控高耗水、高污染项目建设，……严格岷江干流及主要支流岸线保护，严格沿江工业园区和化工、造纸等项目准入，严禁在岷江干流岸线</w:t>
                  </w:r>
                  <w:r>
                    <w:rPr>
                      <w:rFonts w:hint="default" w:ascii="宋体" w:hAnsi="宋体" w:eastAsia="宋体" w:cs="宋体"/>
                      <w:spacing w:val="-3"/>
                      <w:sz w:val="21"/>
                      <w:szCs w:val="21"/>
                    </w:rPr>
                    <w:t>1</w:t>
                  </w:r>
                  <w:r>
                    <w:rPr>
                      <w:rFonts w:hint="eastAsia" w:ascii="宋体" w:hAnsi="宋体" w:eastAsia="宋体" w:cs="宋体"/>
                      <w:spacing w:val="-3"/>
                      <w:sz w:val="21"/>
                      <w:szCs w:val="21"/>
                    </w:rPr>
                    <w:t>公里范围内新建布局重化工园区，严控沿岸地区新建石油化工、煤化工、涉磷、造纸、电镀、印染、制革、有色金属等项目。</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本项目不属于高耗水、高排水项目。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val="0"/>
                      <w:bCs w:val="0"/>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从严控制新建、改建、扩建涉磷行业项目建设，岷江干流及其支流执行总磷排放减量置换。</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本项目不涉及</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pacing w:val="8"/>
                      <w:sz w:val="21"/>
                      <w:szCs w:val="21"/>
                      <w:vertAlign w:val="baseline"/>
                      <w:lang w:val="en-US" w:eastAsia="zh-CN"/>
                    </w:rPr>
                  </w:pPr>
                  <w:r>
                    <w:rPr>
                      <w:rFonts w:hint="eastAsia" w:ascii="宋体" w:hAnsi="宋体" w:eastAsia="宋体" w:cs="宋体"/>
                      <w:spacing w:val="-1"/>
                      <w:sz w:val="21"/>
                      <w:szCs w:val="21"/>
                    </w:rPr>
                    <w:t>《乐山市三江岸线保护条例》</w:t>
                  </w: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第十二条</w:t>
                  </w:r>
                  <w:r>
                    <w:rPr>
                      <w:rFonts w:hint="eastAsia" w:ascii="宋体" w:hAnsi="宋体" w:eastAsia="宋体" w:cs="宋体"/>
                      <w:spacing w:val="-3"/>
                      <w:sz w:val="21"/>
                      <w:szCs w:val="21"/>
                      <w:lang w:val="en-US" w:eastAsia="zh-CN"/>
                    </w:rPr>
                    <w:t>...</w:t>
                  </w:r>
                  <w:r>
                    <w:rPr>
                      <w:rFonts w:hint="eastAsia" w:ascii="宋体" w:hAnsi="宋体" w:eastAsia="宋体" w:cs="宋体"/>
                      <w:spacing w:val="-3"/>
                      <w:sz w:val="21"/>
                      <w:szCs w:val="21"/>
                    </w:rPr>
                    <w:t>禁止在三江岸线一公里范围内新建、扩建化工园区和化工项目。</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禁止在三江岸线一公里范围内新建、改建、扩建尾矿库；但是以提升安全、生态环境保护水平目的的改建除外。</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对于不符合生态环境保护要求的既有建设项目，市、县级人民政府应当依法建立逐步退出机制。</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本项目不属于畜禽养殖场、化工项目、尾矿库等禁止建设项目；</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val="0"/>
                      <w:bCs w:val="0"/>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val="0"/>
                      <w:bCs w:val="0"/>
                      <w:spacing w:val="8"/>
                      <w:sz w:val="21"/>
                      <w:szCs w:val="21"/>
                      <w:vertAlign w:val="baseline"/>
                      <w:lang w:val="en-US" w:eastAsia="zh-CN"/>
                    </w:rPr>
                  </w:pPr>
                </w:p>
              </w:tc>
              <w:tc>
                <w:tcPr>
                  <w:tcW w:w="212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第十九条禁止下列破坏生态环境和自然资源的行为：</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一）擅自设置排污口，非法排放污水，倾倒建筑垃圾、生活垃圾等固体废物；</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二）非法砍伐、毁坏林木，破坏园林绿化等岸线景观；</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三）擅自从事开山、采石、开矿、采砂等破坏地质环境的活动；</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四）毁损步行道、骑行道，毁损或者擅自移动、拆除市政设施；</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五）焚烧沥青、油毡、橡胶、塑料、皮革、垃圾以及其他产生有毒有害烟尘和恶臭气体的物质，露天焚烧秸秆、落叶等产生烟尘污染的物质；</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六）法律法规规定的其他禁止行为。</w:t>
                  </w:r>
                </w:p>
              </w:tc>
              <w:tc>
                <w:tcPr>
                  <w:tcW w:w="1289" w:type="pc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园区工业污水处理厂建成之前，项目废水经厂区预处理后排入</w:t>
                  </w:r>
                  <w:r>
                    <w:rPr>
                      <w:rFonts w:hint="eastAsia" w:ascii="宋体" w:hAnsi="宋体" w:eastAsia="宋体" w:cs="宋体"/>
                      <w:spacing w:val="-3"/>
                      <w:sz w:val="21"/>
                      <w:szCs w:val="21"/>
                      <w:lang w:eastAsia="zh-CN"/>
                    </w:rPr>
                    <w:t>全福镇污水处理厂</w:t>
                  </w:r>
                  <w:r>
                    <w:rPr>
                      <w:rFonts w:hint="eastAsia" w:ascii="宋体" w:hAnsi="宋体" w:eastAsia="宋体" w:cs="宋体"/>
                      <w:spacing w:val="-3"/>
                      <w:sz w:val="21"/>
                      <w:szCs w:val="21"/>
                    </w:rPr>
                    <w:t>，园区污水处理厂建成之后，项目废水排入园区污水处理厂处理，本项目不新增排污口。</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restart"/>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snapToGrid/>
                      <w:spacing w:val="12"/>
                      <w:kern w:val="2"/>
                      <w:sz w:val="21"/>
                      <w:szCs w:val="21"/>
                      <w:lang w:val="en-US" w:eastAsia="zh-CN"/>
                    </w:rPr>
                  </w:pPr>
                  <w:r>
                    <w:rPr>
                      <w:rFonts w:hint="eastAsia" w:ascii="宋体" w:hAnsi="宋体" w:eastAsia="宋体" w:cs="宋体"/>
                      <w:spacing w:val="12"/>
                      <w:sz w:val="21"/>
                      <w:szCs w:val="21"/>
                    </w:rPr>
                    <w:t>《乐山市“十四五”生态环境保护规划》</w:t>
                  </w:r>
                </w:p>
              </w:tc>
              <w:tc>
                <w:tcPr>
                  <w:tcW w:w="2129" w:type="pct"/>
                  <w:vMerge w:val="restar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rPr>
                    <w:t>加强工业水污染治理。落实排污企业黑名单制度，强化工业企业污水收集处理设施能力，推进实施造纸、焦化、氮肥、有色金属、印染、农副食品加工、原料药制造、制革、农药、电镀等十大重点行业专项治理方案，推进“三磷”综合整治，推动重点行业工业污水处理设施改造，促进工业企业全面达标排放。深入推进排污许可证制度，推进高污染、高耗水行业清洁生产改造，加大钢铁、印染、造纸、化工、制革等高耗水企业废水深度处理回用。加快推进全市工业园区、工业集中区污水处理、污水管网基础设施建设，完善园区及企业雨污分流系统，推动初期雨水收集处理，全面提升工业园区污水处理能力和水平。加强工业园区污水处理站的建设运行和维护管理，保障运行技术经济效益，提高污水处理排放等级。增加工业污水中水回用配套设施建设，鼓励园区和企业中水回用。</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一）强化污染治理，持续改善生态环境质量。</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eastAsia="zh-CN"/>
                    </w:rPr>
                    <w:t>（</w:t>
                  </w:r>
                  <w:r>
                    <w:rPr>
                      <w:rFonts w:hint="eastAsia" w:ascii="宋体" w:hAnsi="宋体" w:eastAsia="宋体" w:cs="宋体"/>
                      <w:spacing w:val="-3"/>
                      <w:sz w:val="21"/>
                      <w:szCs w:val="21"/>
                    </w:rPr>
                    <w:t>1）强化工业源污染治理。</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default" w:ascii="宋体" w:hAnsi="宋体" w:eastAsia="宋体" w:cs="宋体"/>
                      <w:spacing w:val="-3"/>
                      <w:sz w:val="21"/>
                      <w:szCs w:val="21"/>
                    </w:rPr>
                    <w:t>2</w:t>
                  </w:r>
                  <w:r>
                    <w:rPr>
                      <w:rFonts w:hint="eastAsia" w:ascii="宋体" w:hAnsi="宋体" w:eastAsia="宋体" w:cs="宋体"/>
                      <w:spacing w:val="-3"/>
                      <w:sz w:val="21"/>
                      <w:szCs w:val="21"/>
                    </w:rPr>
                    <w:t>.地表水环境保护....</w:t>
                  </w:r>
                </w:p>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napToGrid/>
                      <w:spacing w:val="12"/>
                      <w:kern w:val="2"/>
                      <w:sz w:val="21"/>
                      <w:szCs w:val="21"/>
                    </w:rPr>
                  </w:pPr>
                  <w:r>
                    <w:rPr>
                      <w:rFonts w:hint="eastAsia" w:ascii="宋体" w:hAnsi="宋体" w:eastAsia="宋体" w:cs="宋体"/>
                      <w:spacing w:val="-3"/>
                      <w:sz w:val="21"/>
                      <w:szCs w:val="21"/>
                    </w:rPr>
                    <w:t>提升工业园区污水处理能力。加快推进工业园区、工业集中区污水处理及污水管网基础设施建设，全面提升工业园区污水处理能力和水平。加强工业园区污水处理站的建设运行和维护管理，保障运行技术经济效益，提高污水处理排放等级。增加工业污水中水回用配套设施建设，鼓励园区和企业中水回用。推进“污水零直排区”建设，制定相关行动方案和样板示范区创</w:t>
                  </w:r>
                  <w:r>
                    <w:rPr>
                      <w:rFonts w:hint="eastAsia" w:ascii="宋体" w:hAnsi="宋体" w:eastAsia="宋体" w:cs="宋体"/>
                      <w:snapToGrid/>
                      <w:spacing w:val="12"/>
                      <w:kern w:val="2"/>
                      <w:sz w:val="21"/>
                      <w:szCs w:val="21"/>
                    </w:rPr>
                    <w:t>建。</w:t>
                  </w:r>
                </w:p>
              </w:tc>
              <w:tc>
                <w:tcPr>
                  <w:tcW w:w="1289" w:type="pct"/>
                  <w:vMerge w:val="restart"/>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pacing w:val="-3"/>
                      <w:sz w:val="21"/>
                      <w:szCs w:val="21"/>
                    </w:rPr>
                  </w:pPr>
                  <w:r>
                    <w:rPr>
                      <w:rFonts w:hint="eastAsia" w:ascii="宋体" w:hAnsi="宋体" w:eastAsia="宋体" w:cs="宋体"/>
                      <w:spacing w:val="-3"/>
                      <w:sz w:val="21"/>
                      <w:szCs w:val="21"/>
                      <w:lang w:val="en-US" w:eastAsia="zh-CN"/>
                    </w:rPr>
                    <w:t>项目属于其他方便食品制造，</w:t>
                  </w:r>
                  <w:r>
                    <w:rPr>
                      <w:rFonts w:hint="eastAsia" w:ascii="宋体" w:hAnsi="宋体" w:eastAsia="宋体" w:cs="宋体"/>
                      <w:spacing w:val="-3"/>
                      <w:sz w:val="21"/>
                      <w:szCs w:val="21"/>
                    </w:rPr>
                    <w:t>园区工业污水处理厂建成之前，项目废水经厂区预处理后排入</w:t>
                  </w:r>
                  <w:r>
                    <w:rPr>
                      <w:rFonts w:hint="eastAsia" w:ascii="宋体" w:hAnsi="宋体" w:eastAsia="宋体" w:cs="宋体"/>
                      <w:spacing w:val="-3"/>
                      <w:sz w:val="21"/>
                      <w:szCs w:val="21"/>
                      <w:lang w:eastAsia="zh-CN"/>
                    </w:rPr>
                    <w:t>全福镇污水处理厂</w:t>
                  </w:r>
                  <w:r>
                    <w:rPr>
                      <w:rFonts w:hint="eastAsia" w:ascii="宋体" w:hAnsi="宋体" w:eastAsia="宋体" w:cs="宋体"/>
                      <w:spacing w:val="-3"/>
                      <w:sz w:val="21"/>
                      <w:szCs w:val="21"/>
                    </w:rPr>
                    <w:t>，园区污水处理厂建成之后，项目废水排入园区污水处理厂处理。</w:t>
                  </w: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86" w:type="pct"/>
                  <w:vMerge w:val="continue"/>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snapToGrid/>
                      <w:spacing w:val="12"/>
                      <w:kern w:val="2"/>
                      <w:sz w:val="21"/>
                      <w:szCs w:val="21"/>
                      <w:lang w:val="en-US" w:eastAsia="zh-CN"/>
                    </w:rPr>
                  </w:pPr>
                </w:p>
              </w:tc>
              <w:tc>
                <w:tcPr>
                  <w:tcW w:w="2129" w:type="pct"/>
                  <w:vMerge w:val="continue"/>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left"/>
                    <w:textAlignment w:val="auto"/>
                    <w:rPr>
                      <w:rFonts w:hint="eastAsia" w:ascii="宋体" w:hAnsi="宋体" w:eastAsia="宋体" w:cs="宋体"/>
                      <w:snapToGrid/>
                      <w:spacing w:val="12"/>
                      <w:kern w:val="2"/>
                      <w:sz w:val="21"/>
                      <w:szCs w:val="21"/>
                    </w:rPr>
                  </w:pPr>
                </w:p>
              </w:tc>
              <w:tc>
                <w:tcPr>
                  <w:tcW w:w="1289" w:type="pct"/>
                  <w:vMerge w:val="continue"/>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jc w:val="left"/>
                    <w:textAlignment w:val="auto"/>
                    <w:rPr>
                      <w:rFonts w:hint="eastAsia" w:ascii="宋体" w:hAnsi="宋体" w:eastAsia="宋体" w:cs="宋体"/>
                      <w:spacing w:val="-1"/>
                      <w:sz w:val="21"/>
                      <w:szCs w:val="21"/>
                    </w:rPr>
                  </w:pPr>
                </w:p>
              </w:tc>
              <w:tc>
                <w:tcPr>
                  <w:tcW w:w="493"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8"/>
                      <w:sz w:val="21"/>
                      <w:szCs w:val="21"/>
                      <w:vertAlign w:val="baseline"/>
                      <w:lang w:val="en-US" w:eastAsia="zh-CN"/>
                    </w:rPr>
                  </w:pPr>
                  <w:r>
                    <w:rPr>
                      <w:rFonts w:hint="eastAsia" w:ascii="宋体" w:hAnsi="宋体" w:eastAsia="宋体" w:cs="宋体"/>
                      <w:b/>
                      <w:bCs/>
                      <w:spacing w:val="8"/>
                      <w:sz w:val="21"/>
                      <w:szCs w:val="21"/>
                      <w:vertAlign w:val="baseline"/>
                      <w:lang w:val="en-US" w:eastAsia="zh-CN"/>
                    </w:rPr>
                    <w:t>符合</w:t>
                  </w:r>
                </w:p>
              </w:tc>
            </w:tr>
          </w:tbl>
          <w:p>
            <w:pPr>
              <w:pStyle w:val="341"/>
              <w:spacing w:before="47" w:line="360" w:lineRule="auto"/>
              <w:ind w:right="100" w:rightChars="0" w:firstLine="528" w:firstLineChars="200"/>
              <w:jc w:val="both"/>
              <w:rPr>
                <w:rFonts w:hint="default" w:ascii="Times New Roman" w:hAnsi="Times New Roman" w:eastAsia="宋体" w:cs="Times New Roman"/>
                <w:snapToGrid/>
                <w:spacing w:val="12"/>
                <w:kern w:val="2"/>
                <w:sz w:val="24"/>
                <w:szCs w:val="24"/>
              </w:rPr>
            </w:pPr>
            <w:r>
              <w:rPr>
                <w:rFonts w:hint="default" w:ascii="Times New Roman" w:hAnsi="Times New Roman" w:eastAsia="宋体" w:cs="Times New Roman"/>
                <w:snapToGrid/>
                <w:spacing w:val="12"/>
                <w:kern w:val="2"/>
                <w:sz w:val="24"/>
                <w:szCs w:val="24"/>
              </w:rPr>
              <w:t>综上，本项目满足《长江保护法》、《乐山市打赢碧水保卫战实施方案》、《乐山市三江岸线保护条例》、《长江保护修复攻坚战行动计划》</w:t>
            </w:r>
            <w:r>
              <w:rPr>
                <w:rFonts w:hint="eastAsia" w:ascii="Times New Roman" w:hAnsi="Times New Roman" w:eastAsia="宋体" w:cs="Times New Roman"/>
                <w:snapToGrid/>
                <w:spacing w:val="12"/>
                <w:kern w:val="2"/>
                <w:sz w:val="24"/>
                <w:szCs w:val="24"/>
                <w:lang w:eastAsia="zh-CN"/>
              </w:rPr>
              <w:t>（</w:t>
            </w:r>
            <w:r>
              <w:rPr>
                <w:rFonts w:hint="default" w:ascii="Times New Roman" w:hAnsi="Times New Roman" w:eastAsia="宋体" w:cs="Times New Roman"/>
                <w:snapToGrid/>
                <w:spacing w:val="12"/>
                <w:kern w:val="2"/>
                <w:sz w:val="24"/>
                <w:szCs w:val="24"/>
              </w:rPr>
              <w:t>环水体</w:t>
            </w:r>
            <w:r>
              <w:rPr>
                <w:rFonts w:hint="eastAsia" w:ascii="Times New Roman" w:hAnsi="Times New Roman" w:eastAsia="宋体" w:cs="Times New Roman"/>
                <w:snapToGrid/>
                <w:spacing w:val="12"/>
                <w:kern w:val="2"/>
                <w:sz w:val="24"/>
                <w:szCs w:val="24"/>
                <w:lang w:eastAsia="zh-CN"/>
              </w:rPr>
              <w:t>〔</w:t>
            </w:r>
            <w:r>
              <w:rPr>
                <w:rFonts w:hint="default" w:ascii="Times New Roman" w:hAnsi="Times New Roman" w:eastAsia="宋体" w:cs="Times New Roman"/>
                <w:snapToGrid/>
                <w:spacing w:val="12"/>
                <w:kern w:val="2"/>
                <w:sz w:val="24"/>
                <w:szCs w:val="24"/>
              </w:rPr>
              <w:t>2018</w:t>
            </w:r>
            <w:r>
              <w:rPr>
                <w:rFonts w:hint="eastAsia" w:ascii="Times New Roman" w:hAnsi="Times New Roman" w:eastAsia="宋体" w:cs="Times New Roman"/>
                <w:snapToGrid/>
                <w:spacing w:val="12"/>
                <w:kern w:val="2"/>
                <w:sz w:val="24"/>
                <w:szCs w:val="24"/>
                <w:lang w:eastAsia="zh-CN"/>
              </w:rPr>
              <w:t>〕</w:t>
            </w:r>
            <w:r>
              <w:rPr>
                <w:rFonts w:hint="default" w:ascii="Times New Roman" w:hAnsi="Times New Roman" w:eastAsia="宋体" w:cs="Times New Roman"/>
                <w:snapToGrid/>
                <w:spacing w:val="12"/>
                <w:kern w:val="2"/>
                <w:sz w:val="24"/>
                <w:szCs w:val="24"/>
              </w:rPr>
              <w:t>181号）文件要求。</w:t>
            </w:r>
          </w:p>
          <w:p>
            <w:pPr>
              <w:numPr>
                <w:ilvl w:val="0"/>
                <w:numId w:val="0"/>
              </w:numPr>
              <w:autoSpaceDE w:val="0"/>
              <w:autoSpaceDN w:val="0"/>
              <w:adjustRightInd w:val="0"/>
              <w:snapToGrid w:val="0"/>
              <w:spacing w:line="360" w:lineRule="auto"/>
              <w:ind w:firstLine="514" w:firstLineChars="200"/>
              <w:jc w:val="both"/>
              <w:rPr>
                <w:rFonts w:hint="eastAsia" w:ascii="Times New Roman" w:hAnsi="Times New Roman" w:eastAsia="宋体" w:cs="Times New Roman"/>
                <w:b/>
                <w:bCs/>
                <w:spacing w:val="8"/>
                <w:sz w:val="24"/>
                <w:szCs w:val="24"/>
                <w:lang w:val="en-US" w:eastAsia="zh-CN"/>
              </w:rPr>
            </w:pPr>
            <w:r>
              <w:rPr>
                <w:rFonts w:hint="eastAsia" w:ascii="Times New Roman" w:hAnsi="Times New Roman" w:eastAsia="宋体" w:cs="Times New Roman"/>
                <w:b/>
                <w:bCs/>
                <w:spacing w:val="8"/>
                <w:kern w:val="2"/>
                <w:sz w:val="24"/>
                <w:szCs w:val="24"/>
                <w:lang w:val="en-US" w:eastAsia="zh-CN" w:bidi="ar-SA"/>
              </w:rPr>
              <w:t>四、</w:t>
            </w:r>
            <w:r>
              <w:rPr>
                <w:rFonts w:hint="eastAsia" w:ascii="Times New Roman" w:hAnsi="Times New Roman" w:eastAsia="宋体" w:cs="Times New Roman"/>
                <w:b/>
                <w:bCs/>
                <w:spacing w:val="8"/>
                <w:sz w:val="24"/>
                <w:szCs w:val="24"/>
                <w:lang w:val="en-US" w:eastAsia="zh-CN"/>
              </w:rPr>
              <w:t>与大气污染防治相关文件的符合性分析</w:t>
            </w:r>
          </w:p>
          <w:p>
            <w:pPr>
              <w:numPr>
                <w:ilvl w:val="0"/>
                <w:numId w:val="0"/>
              </w:numPr>
              <w:autoSpaceDE w:val="0"/>
              <w:autoSpaceDN w:val="0"/>
              <w:adjustRightInd w:val="0"/>
              <w:snapToGrid w:val="0"/>
              <w:spacing w:line="360" w:lineRule="auto"/>
              <w:ind w:firstLine="480" w:firstLineChars="200"/>
              <w:jc w:val="both"/>
              <w:rPr>
                <w:spacing w:val="-1"/>
                <w:sz w:val="24"/>
                <w:szCs w:val="24"/>
              </w:rPr>
            </w:pPr>
            <w:r>
              <w:rPr>
                <w:sz w:val="24"/>
                <w:szCs w:val="24"/>
              </w:rPr>
              <w:t>本项目国家和地方大气污染防治相关法规、规范文件要求符合</w:t>
            </w:r>
            <w:r>
              <w:rPr>
                <w:spacing w:val="-1"/>
                <w:sz w:val="24"/>
                <w:szCs w:val="24"/>
              </w:rPr>
              <w:t>性见下表：</w:t>
            </w:r>
          </w:p>
          <w:p>
            <w:pPr>
              <w:numPr>
                <w:ilvl w:val="0"/>
                <w:numId w:val="0"/>
              </w:numPr>
              <w:autoSpaceDE w:val="0"/>
              <w:autoSpaceDN w:val="0"/>
              <w:adjustRightInd w:val="0"/>
              <w:snapToGrid w:val="0"/>
              <w:spacing w:line="240" w:lineRule="auto"/>
              <w:ind w:firstLine="418" w:firstLineChars="200"/>
              <w:jc w:val="center"/>
              <w:rPr>
                <w:rFonts w:hint="eastAsia"/>
                <w:b/>
                <w:bCs/>
                <w:spacing w:val="-1"/>
                <w:sz w:val="21"/>
                <w:szCs w:val="21"/>
                <w:lang w:val="en-US" w:eastAsia="zh-CN"/>
              </w:rPr>
            </w:pPr>
            <w:r>
              <w:rPr>
                <w:rFonts w:hint="eastAsia"/>
                <w:b/>
                <w:bCs/>
                <w:spacing w:val="-1"/>
                <w:sz w:val="21"/>
                <w:szCs w:val="21"/>
                <w:lang w:val="en-US" w:eastAsia="zh-CN"/>
              </w:rPr>
              <w:t>表1-3  项目</w:t>
            </w:r>
            <w:r>
              <w:rPr>
                <w:rFonts w:hint="eastAsia" w:ascii="Times New Roman" w:hAnsi="Times New Roman" w:eastAsia="宋体" w:cs="Times New Roman"/>
                <w:b/>
                <w:bCs/>
                <w:spacing w:val="8"/>
                <w:sz w:val="21"/>
                <w:szCs w:val="21"/>
                <w:lang w:val="en-US" w:eastAsia="zh-CN"/>
              </w:rPr>
              <w:t>与大气污染防治相关文件的符合性分析</w:t>
            </w:r>
          </w:p>
          <w:tbl>
            <w:tblPr>
              <w:tblStyle w:val="42"/>
              <w:tblW w:w="72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2924"/>
              <w:gridCol w:w="2269"/>
              <w:gridCol w:w="8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44" w:type="dxa"/>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bCs/>
                      <w:spacing w:val="-2"/>
                      <w:sz w:val="21"/>
                      <w:szCs w:val="21"/>
                    </w:rPr>
                    <w:t>文件名</w:t>
                  </w:r>
                  <w:r>
                    <w:rPr>
                      <w:rFonts w:hint="eastAsia" w:ascii="宋体" w:hAnsi="宋体" w:eastAsia="宋体" w:cs="宋体"/>
                      <w:b/>
                      <w:bCs/>
                      <w:sz w:val="21"/>
                      <w:szCs w:val="21"/>
                    </w:rPr>
                    <w:t>称</w:t>
                  </w:r>
                </w:p>
              </w:tc>
              <w:tc>
                <w:tcPr>
                  <w:tcW w:w="2924" w:type="dxa"/>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bCs/>
                      <w:spacing w:val="-3"/>
                      <w:sz w:val="21"/>
                      <w:szCs w:val="21"/>
                    </w:rPr>
                    <w:t>具体</w:t>
                  </w:r>
                  <w:r>
                    <w:rPr>
                      <w:rFonts w:hint="eastAsia" w:ascii="宋体" w:hAnsi="宋体" w:eastAsia="宋体" w:cs="宋体"/>
                      <w:b/>
                      <w:bCs/>
                      <w:spacing w:val="-3"/>
                      <w:sz w:val="21"/>
                      <w:szCs w:val="21"/>
                      <w:lang w:val="en-US" w:eastAsia="zh-CN"/>
                    </w:rPr>
                    <w:t>要</w:t>
                  </w:r>
                  <w:r>
                    <w:rPr>
                      <w:rFonts w:hint="eastAsia" w:ascii="宋体" w:hAnsi="宋体" w:eastAsia="宋体" w:cs="宋体"/>
                      <w:b/>
                      <w:bCs/>
                      <w:spacing w:val="-3"/>
                      <w:sz w:val="21"/>
                      <w:szCs w:val="21"/>
                    </w:rPr>
                    <w:t>求</w:t>
                  </w:r>
                </w:p>
              </w:tc>
              <w:tc>
                <w:tcPr>
                  <w:tcW w:w="2269" w:type="dxa"/>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bCs/>
                      <w:spacing w:val="-3"/>
                      <w:sz w:val="21"/>
                      <w:szCs w:val="21"/>
                      <w:lang w:val="en-US" w:eastAsia="zh-CN"/>
                    </w:rPr>
                    <w:t>本项目情况</w:t>
                  </w:r>
                </w:p>
              </w:tc>
              <w:tc>
                <w:tcPr>
                  <w:tcW w:w="801" w:type="dxa"/>
                  <w:noWrap w:val="0"/>
                  <w:vAlign w:val="center"/>
                </w:tcPr>
                <w:p>
                  <w:pPr>
                    <w:pStyle w:val="341"/>
                    <w:keepNext w:val="0"/>
                    <w:keepLines w:val="0"/>
                    <w:pageBreakBefore w:val="0"/>
                    <w:widowControl w:val="0"/>
                    <w:kinsoku/>
                    <w:wordWrap/>
                    <w:overflowPunct/>
                    <w:topLinePunct w:val="0"/>
                    <w:bidi w:val="0"/>
                    <w:spacing w:line="240" w:lineRule="auto"/>
                    <w:ind w:left="0" w:right="0" w:rightChars="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bCs/>
                      <w:spacing w:val="-3"/>
                      <w:sz w:val="21"/>
                      <w:szCs w:val="21"/>
                    </w:rPr>
                    <w:t>符合</w:t>
                  </w:r>
                  <w:r>
                    <w:rPr>
                      <w:rFonts w:hint="eastAsia" w:ascii="宋体" w:hAnsi="宋体" w:eastAsia="宋体" w:cs="宋体"/>
                      <w:b/>
                      <w:bCs/>
                      <w:sz w:val="21"/>
                      <w:szCs w:val="21"/>
                    </w:rPr>
                    <w:t>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1244" w:type="dxa"/>
                  <w:noWrap w:val="0"/>
                  <w:vAlign w:val="center"/>
                </w:tcPr>
                <w:p>
                  <w:pPr>
                    <w:pStyle w:val="341"/>
                    <w:keepNext w:val="0"/>
                    <w:keepLines w:val="0"/>
                    <w:pageBreakBefore w:val="0"/>
                    <w:widowControl w:val="0"/>
                    <w:kinsoku/>
                    <w:wordWrap/>
                    <w:overflowPunct/>
                    <w:topLinePunct w:val="0"/>
                    <w:bidi w:val="0"/>
                    <w:spacing w:line="240" w:lineRule="auto"/>
                    <w:ind w:left="0" w:right="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spacing w:val="12"/>
                      <w:sz w:val="21"/>
                      <w:szCs w:val="21"/>
                    </w:rPr>
                    <w:t>《中华人</w:t>
                  </w:r>
                  <w:r>
                    <w:rPr>
                      <w:rFonts w:hint="eastAsia" w:ascii="宋体" w:hAnsi="宋体" w:eastAsia="宋体" w:cs="宋体"/>
                      <w:spacing w:val="3"/>
                      <w:sz w:val="21"/>
                      <w:szCs w:val="21"/>
                    </w:rPr>
                    <w:t>民共和国</w:t>
                  </w:r>
                  <w:r>
                    <w:rPr>
                      <w:rFonts w:hint="eastAsia" w:ascii="宋体" w:hAnsi="宋体" w:eastAsia="宋体" w:cs="宋体"/>
                      <w:spacing w:val="7"/>
                      <w:sz w:val="21"/>
                      <w:szCs w:val="21"/>
                    </w:rPr>
                    <w:t>大气污染防治法》</w:t>
                  </w:r>
                </w:p>
              </w:tc>
              <w:tc>
                <w:tcPr>
                  <w:tcW w:w="2924" w:type="dxa"/>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jc w:val="left"/>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spacing w:val="2"/>
                      <w:sz w:val="21"/>
                      <w:szCs w:val="21"/>
                    </w:rPr>
                    <w:t>第四十三条钢铁、建材、有色金属、石油、化</w:t>
                  </w:r>
                  <w:r>
                    <w:rPr>
                      <w:rFonts w:hint="eastAsia" w:ascii="宋体" w:hAnsi="宋体" w:eastAsia="宋体" w:cs="宋体"/>
                      <w:spacing w:val="9"/>
                      <w:sz w:val="21"/>
                      <w:szCs w:val="21"/>
                    </w:rPr>
                    <w:t>工等企业生产过程中排放粉尘、硫化物和氮氧</w:t>
                  </w:r>
                  <w:r>
                    <w:rPr>
                      <w:rFonts w:hint="eastAsia" w:ascii="宋体" w:hAnsi="宋体" w:eastAsia="宋体" w:cs="宋体"/>
                      <w:spacing w:val="5"/>
                      <w:sz w:val="21"/>
                      <w:szCs w:val="21"/>
                    </w:rPr>
                    <w:t>化物的，应当采用清洁生产工艺，配套建设除</w:t>
                  </w:r>
                  <w:r>
                    <w:rPr>
                      <w:rFonts w:hint="eastAsia" w:ascii="宋体" w:hAnsi="宋体" w:eastAsia="宋体" w:cs="宋体"/>
                      <w:spacing w:val="6"/>
                      <w:sz w:val="21"/>
                      <w:szCs w:val="21"/>
                    </w:rPr>
                    <w:t>尘、脱硫、脱硝等装置，或者采取技术改造等</w:t>
                  </w:r>
                  <w:r>
                    <w:rPr>
                      <w:rFonts w:hint="eastAsia" w:ascii="宋体" w:hAnsi="宋体" w:eastAsia="宋体" w:cs="宋体"/>
                      <w:spacing w:val="8"/>
                      <w:sz w:val="21"/>
                      <w:szCs w:val="21"/>
                    </w:rPr>
                    <w:t>其他控制大气污染物排放的措施。</w:t>
                  </w:r>
                </w:p>
              </w:tc>
              <w:tc>
                <w:tcPr>
                  <w:tcW w:w="2269" w:type="dxa"/>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bCs/>
                      <w:spacing w:val="-1"/>
                      <w:sz w:val="21"/>
                      <w:szCs w:val="21"/>
                      <w:vertAlign w:val="baseline"/>
                      <w:lang w:val="en-US" w:eastAsia="zh-CN"/>
                    </w:rPr>
                  </w:pPr>
                  <w:r>
                    <w:rPr>
                      <w:rFonts w:hint="default" w:ascii="Times New Roman" w:hAnsi="Times New Roman" w:eastAsia="宋体" w:cs="Times New Roman"/>
                      <w:spacing w:val="16"/>
                      <w:sz w:val="21"/>
                      <w:szCs w:val="21"/>
                    </w:rPr>
                    <w:t>本项目锅炉使用天然气并采取</w:t>
                  </w:r>
                  <w:r>
                    <w:rPr>
                      <w:rFonts w:hint="default" w:ascii="Times New Roman" w:hAnsi="Times New Roman" w:eastAsia="宋体" w:cs="Times New Roman"/>
                      <w:spacing w:val="13"/>
                      <w:sz w:val="21"/>
                      <w:szCs w:val="21"/>
                    </w:rPr>
                    <w:t>低氮燃烧技术，满足《锅炉大</w:t>
                  </w:r>
                  <w:r>
                    <w:rPr>
                      <w:rFonts w:hint="default" w:ascii="Times New Roman" w:hAnsi="Times New Roman" w:eastAsia="宋体" w:cs="Times New Roman"/>
                      <w:spacing w:val="2"/>
                      <w:sz w:val="21"/>
                      <w:szCs w:val="21"/>
                    </w:rPr>
                    <w:t>气污染物排放标准》</w:t>
                  </w:r>
                  <w:r>
                    <w:rPr>
                      <w:rFonts w:hint="eastAsia" w:ascii="Times New Roman" w:hAnsi="Times New Roman" w:eastAsia="宋体" w:cs="Times New Roman"/>
                      <w:spacing w:val="6"/>
                      <w:sz w:val="21"/>
                      <w:szCs w:val="21"/>
                      <w:lang w:eastAsia="zh-CN"/>
                    </w:rPr>
                    <w:t>（</w:t>
                  </w:r>
                  <w:r>
                    <w:rPr>
                      <w:rFonts w:hint="default" w:ascii="Times New Roman" w:hAnsi="Times New Roman" w:eastAsia="宋体" w:cs="Times New Roman"/>
                      <w:sz w:val="21"/>
                      <w:szCs w:val="21"/>
                    </w:rPr>
                    <w:t>GB</w:t>
                  </w:r>
                  <w:r>
                    <w:rPr>
                      <w:rFonts w:hint="default" w:ascii="Times New Roman" w:hAnsi="Times New Roman" w:eastAsia="宋体" w:cs="Times New Roman"/>
                      <w:spacing w:val="6"/>
                      <w:sz w:val="21"/>
                      <w:szCs w:val="21"/>
                    </w:rPr>
                    <w:t>13271-2014）表3大气污</w:t>
                  </w:r>
                  <w:r>
                    <w:rPr>
                      <w:rFonts w:hint="default" w:ascii="Times New Roman" w:hAnsi="Times New Roman" w:eastAsia="宋体" w:cs="Times New Roman"/>
                      <w:spacing w:val="9"/>
                      <w:sz w:val="21"/>
                      <w:szCs w:val="21"/>
                    </w:rPr>
                    <w:t>染特别排放限值。</w:t>
                  </w:r>
                </w:p>
              </w:tc>
              <w:tc>
                <w:tcPr>
                  <w:tcW w:w="801" w:type="dxa"/>
                  <w:noWrap w:val="0"/>
                  <w:vAlign w:val="center"/>
                </w:tcPr>
                <w:p>
                  <w:pPr>
                    <w:pStyle w:val="341"/>
                    <w:keepNext w:val="0"/>
                    <w:keepLines w:val="0"/>
                    <w:pageBreakBefore w:val="0"/>
                    <w:widowControl w:val="0"/>
                    <w:kinsoku/>
                    <w:wordWrap/>
                    <w:overflowPunct/>
                    <w:topLinePunct w:val="0"/>
                    <w:bidi w:val="0"/>
                    <w:spacing w:line="240" w:lineRule="auto"/>
                    <w:ind w:left="0" w:leftChars="0" w:right="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bCs/>
                      <w:spacing w:val="6"/>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4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1"/>
                      <w:sz w:val="21"/>
                      <w:szCs w:val="21"/>
                      <w:vertAlign w:val="baseline"/>
                      <w:lang w:val="en-US" w:eastAsia="zh-CN"/>
                    </w:rPr>
                  </w:pPr>
                  <w:r>
                    <w:rPr>
                      <w:rFonts w:hint="default" w:ascii="Times New Roman" w:hAnsi="Times New Roman" w:cs="Times New Roman"/>
                      <w:spacing w:val="13"/>
                      <w:sz w:val="21"/>
                      <w:szCs w:val="21"/>
                    </w:rPr>
                    <w:t>《</w:t>
                  </w:r>
                  <w:r>
                    <w:rPr>
                      <w:rFonts w:hint="default" w:ascii="Times New Roman" w:hAnsi="Times New Roman" w:eastAsia="宋体" w:cs="Times New Roman"/>
                      <w:spacing w:val="13"/>
                      <w:sz w:val="21"/>
                      <w:szCs w:val="21"/>
                    </w:rPr>
                    <w:t>四川省</w:t>
                  </w:r>
                  <w:r>
                    <w:rPr>
                      <w:rFonts w:hint="default" w:ascii="Times New Roman" w:hAnsi="Times New Roman" w:eastAsia="宋体" w:cs="Times New Roman"/>
                      <w:spacing w:val="4"/>
                      <w:sz w:val="21"/>
                      <w:szCs w:val="21"/>
                    </w:rPr>
                    <w:t>2023-2025</w:t>
                  </w:r>
                  <w:r>
                    <w:rPr>
                      <w:rFonts w:hint="default" w:ascii="Times New Roman" w:hAnsi="Times New Roman" w:eastAsia="宋体" w:cs="Times New Roman"/>
                      <w:spacing w:val="7"/>
                      <w:sz w:val="21"/>
                      <w:szCs w:val="21"/>
                    </w:rPr>
                    <w:t>年工业源</w:t>
                  </w:r>
                  <w:r>
                    <w:rPr>
                      <w:rFonts w:hint="default" w:ascii="Times New Roman" w:hAnsi="Times New Roman" w:eastAsia="宋体" w:cs="Times New Roman"/>
                      <w:spacing w:val="8"/>
                      <w:sz w:val="21"/>
                      <w:szCs w:val="21"/>
                    </w:rPr>
                    <w:t>专项整治行动实施</w:t>
                  </w:r>
                  <w:r>
                    <w:rPr>
                      <w:rFonts w:hint="default" w:ascii="Times New Roman" w:hAnsi="Times New Roman" w:eastAsia="宋体" w:cs="Times New Roman"/>
                      <w:spacing w:val="12"/>
                      <w:sz w:val="21"/>
                      <w:szCs w:val="21"/>
                    </w:rPr>
                    <w:t>方案》</w:t>
                  </w:r>
                </w:p>
              </w:tc>
              <w:tc>
                <w:tcPr>
                  <w:tcW w:w="2924" w:type="dxa"/>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jc w:val="left"/>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spacing w:val="7"/>
                      <w:sz w:val="21"/>
                      <w:szCs w:val="21"/>
                    </w:rPr>
                    <w:t>严把项目审查</w:t>
                  </w:r>
                  <w:r>
                    <w:rPr>
                      <w:rFonts w:hint="eastAsia" w:ascii="宋体" w:hAnsi="宋体" w:eastAsia="宋体" w:cs="宋体"/>
                      <w:spacing w:val="7"/>
                      <w:sz w:val="21"/>
                      <w:szCs w:val="21"/>
                    </w:rPr>
                    <w:t>“</w:t>
                  </w:r>
                  <w:r>
                    <w:rPr>
                      <w:rFonts w:hint="default" w:ascii="Times New Roman" w:hAnsi="Times New Roman" w:eastAsia="宋体" w:cs="Times New Roman"/>
                      <w:spacing w:val="7"/>
                      <w:sz w:val="21"/>
                      <w:szCs w:val="21"/>
                    </w:rPr>
                    <w:t>准入</w:t>
                  </w:r>
                  <w:r>
                    <w:rPr>
                      <w:rFonts w:hint="eastAsia" w:ascii="宋体" w:hAnsi="宋体" w:eastAsia="宋体" w:cs="宋体"/>
                      <w:spacing w:val="7"/>
                      <w:sz w:val="21"/>
                      <w:szCs w:val="21"/>
                    </w:rPr>
                    <w:t>”</w:t>
                  </w:r>
                  <w:r>
                    <w:rPr>
                      <w:rFonts w:hint="default" w:ascii="Times New Roman" w:hAnsi="Times New Roman" w:eastAsia="宋体" w:cs="Times New Roman"/>
                      <w:spacing w:val="7"/>
                      <w:sz w:val="21"/>
                      <w:szCs w:val="21"/>
                    </w:rPr>
                    <w:t>关。严格执行《产业结</w:t>
                  </w:r>
                  <w:r>
                    <w:rPr>
                      <w:rFonts w:hint="default" w:ascii="Times New Roman" w:hAnsi="Times New Roman" w:eastAsia="宋体" w:cs="Times New Roman"/>
                      <w:spacing w:val="6"/>
                      <w:sz w:val="21"/>
                      <w:szCs w:val="21"/>
                    </w:rPr>
                    <w:t>构调整指导目录</w:t>
                  </w:r>
                  <w:r>
                    <w:rPr>
                      <w:rFonts w:hint="eastAsia" w:ascii="Times New Roman" w:hAnsi="Times New Roman" w:eastAsia="宋体" w:cs="Times New Roman"/>
                      <w:spacing w:val="6"/>
                      <w:sz w:val="21"/>
                      <w:szCs w:val="21"/>
                      <w:lang w:eastAsia="zh-CN"/>
                    </w:rPr>
                    <w:t>（</w:t>
                  </w:r>
                  <w:r>
                    <w:rPr>
                      <w:rFonts w:hint="default" w:ascii="Times New Roman" w:hAnsi="Times New Roman" w:eastAsia="宋体" w:cs="Times New Roman"/>
                      <w:spacing w:val="6"/>
                      <w:sz w:val="21"/>
                      <w:szCs w:val="21"/>
                    </w:rPr>
                    <w:t>2019年本）》和相关产业准</w:t>
                  </w:r>
                  <w:r>
                    <w:rPr>
                      <w:rFonts w:hint="default" w:ascii="Times New Roman" w:hAnsi="Times New Roman" w:eastAsia="宋体" w:cs="Times New Roman"/>
                      <w:spacing w:val="8"/>
                      <w:sz w:val="21"/>
                      <w:szCs w:val="21"/>
                    </w:rPr>
                    <w:t>入负面清单、技术标准等规定要求。严格控制</w:t>
                  </w:r>
                  <w:r>
                    <w:rPr>
                      <w:rFonts w:hint="default" w:ascii="Times New Roman" w:hAnsi="Times New Roman" w:eastAsia="宋体" w:cs="Times New Roman"/>
                      <w:spacing w:val="5"/>
                      <w:sz w:val="21"/>
                      <w:szCs w:val="21"/>
                    </w:rPr>
                    <w:t>新增审批、核准、备案</w:t>
                  </w:r>
                  <w:r>
                    <w:rPr>
                      <w:rFonts w:hint="eastAsia" w:ascii="宋体" w:hAnsi="宋体" w:eastAsia="宋体" w:cs="宋体"/>
                      <w:spacing w:val="5"/>
                      <w:sz w:val="21"/>
                      <w:szCs w:val="21"/>
                    </w:rPr>
                    <w:t>“</w:t>
                  </w:r>
                  <w:r>
                    <w:rPr>
                      <w:rFonts w:hint="default" w:ascii="Times New Roman" w:hAnsi="Times New Roman" w:eastAsia="宋体" w:cs="Times New Roman"/>
                      <w:spacing w:val="5"/>
                      <w:sz w:val="21"/>
                      <w:szCs w:val="21"/>
                    </w:rPr>
                    <w:t>两高一低</w:t>
                  </w:r>
                  <w:r>
                    <w:rPr>
                      <w:rFonts w:hint="eastAsia" w:ascii="宋体" w:hAnsi="宋体" w:eastAsia="宋体" w:cs="宋体"/>
                      <w:spacing w:val="5"/>
                      <w:sz w:val="21"/>
                      <w:szCs w:val="21"/>
                    </w:rPr>
                    <w:t>”</w:t>
                  </w:r>
                  <w:r>
                    <w:rPr>
                      <w:rFonts w:hint="default" w:ascii="Times New Roman" w:hAnsi="Times New Roman" w:eastAsia="宋体" w:cs="Times New Roman"/>
                      <w:spacing w:val="5"/>
                      <w:sz w:val="21"/>
                      <w:szCs w:val="21"/>
                    </w:rPr>
                    <w:t>项目，从</w:t>
                  </w:r>
                  <w:r>
                    <w:rPr>
                      <w:rFonts w:hint="default" w:ascii="Times New Roman" w:hAnsi="Times New Roman" w:eastAsia="宋体" w:cs="Times New Roman"/>
                      <w:spacing w:val="6"/>
                      <w:sz w:val="21"/>
                      <w:szCs w:val="21"/>
                    </w:rPr>
                    <w:t>严控制高耗能项目节能审查，对年综合能耗5</w:t>
                  </w:r>
                  <w:r>
                    <w:rPr>
                      <w:rFonts w:hint="default" w:ascii="Times New Roman" w:hAnsi="Times New Roman" w:eastAsia="宋体" w:cs="Times New Roman"/>
                      <w:spacing w:val="9"/>
                      <w:sz w:val="21"/>
                      <w:szCs w:val="21"/>
                    </w:rPr>
                    <w:t>万吨标准煤以上的项目按要求开展能耗等量减</w:t>
                  </w:r>
                  <w:r>
                    <w:rPr>
                      <w:rFonts w:hint="default" w:ascii="Times New Roman" w:hAnsi="Times New Roman" w:eastAsia="宋体" w:cs="Times New Roman"/>
                      <w:spacing w:val="6"/>
                      <w:sz w:val="21"/>
                      <w:szCs w:val="21"/>
                    </w:rPr>
                    <w:t>量替代。严格落实污染物等量或倍量替代措施，</w:t>
                  </w:r>
                  <w:r>
                    <w:rPr>
                      <w:rFonts w:hint="default" w:ascii="Times New Roman" w:hAnsi="Times New Roman" w:eastAsia="宋体" w:cs="Times New Roman"/>
                      <w:spacing w:val="9"/>
                      <w:sz w:val="21"/>
                      <w:szCs w:val="21"/>
                    </w:rPr>
                    <w:t>严控建设项目新增污染物排放。</w:t>
                  </w:r>
                </w:p>
              </w:tc>
              <w:tc>
                <w:tcPr>
                  <w:tcW w:w="2269" w:type="dxa"/>
                  <w:noWrap w:val="0"/>
                  <w:vAlign w:val="center"/>
                </w:tcPr>
                <w:p>
                  <w:pPr>
                    <w:pStyle w:val="341"/>
                    <w:keepNext w:val="0"/>
                    <w:keepLines w:val="0"/>
                    <w:pageBreakBefore w:val="0"/>
                    <w:widowControl w:val="0"/>
                    <w:kinsoku/>
                    <w:wordWrap/>
                    <w:overflowPunct/>
                    <w:topLinePunct w:val="0"/>
                    <w:bidi w:val="0"/>
                    <w:spacing w:line="240" w:lineRule="auto"/>
                    <w:ind w:left="0" w:leftChars="0" w:right="0" w:rightChars="0" w:firstLine="0" w:firstLineChars="0"/>
                    <w:jc w:val="center"/>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color w:val="auto"/>
                      <w:spacing w:val="12"/>
                      <w:sz w:val="21"/>
                      <w:szCs w:val="21"/>
                    </w:rPr>
                    <w:t>本项</w:t>
                  </w:r>
                  <w:r>
                    <w:rPr>
                      <w:rFonts w:hint="eastAsia" w:ascii="宋体" w:hAnsi="宋体" w:eastAsia="宋体" w:cs="宋体"/>
                      <w:color w:val="auto"/>
                      <w:spacing w:val="12"/>
                      <w:sz w:val="21"/>
                      <w:szCs w:val="21"/>
                    </w:rPr>
                    <w:t>目为</w:t>
                  </w:r>
                  <w:r>
                    <w:rPr>
                      <w:rFonts w:hint="eastAsia" w:ascii="宋体" w:hAnsi="宋体" w:eastAsia="宋体" w:cs="宋体"/>
                      <w:color w:val="auto"/>
                      <w:sz w:val="21"/>
                      <w:szCs w:val="21"/>
                      <w:lang w:val="en-US" w:eastAsia="zh-CN"/>
                    </w:rPr>
                    <w:t>其他方便食品制造</w:t>
                  </w:r>
                  <w:r>
                    <w:rPr>
                      <w:rFonts w:hint="default" w:ascii="Times New Roman" w:hAnsi="Times New Roman" w:eastAsia="宋体" w:cs="Times New Roman"/>
                      <w:color w:val="auto"/>
                      <w:spacing w:val="12"/>
                      <w:sz w:val="21"/>
                      <w:szCs w:val="21"/>
                    </w:rPr>
                    <w:t>，不属于</w:t>
                  </w:r>
                  <w:r>
                    <w:rPr>
                      <w:rFonts w:hint="eastAsia" w:ascii="宋体" w:hAnsi="宋体" w:eastAsia="宋体" w:cs="宋体"/>
                      <w:color w:val="auto"/>
                      <w:spacing w:val="11"/>
                      <w:sz w:val="21"/>
                      <w:szCs w:val="21"/>
                    </w:rPr>
                    <w:t>“</w:t>
                  </w:r>
                  <w:r>
                    <w:rPr>
                      <w:rFonts w:hint="default" w:ascii="Times New Roman" w:hAnsi="Times New Roman" w:eastAsia="宋体" w:cs="Times New Roman"/>
                      <w:color w:val="auto"/>
                      <w:spacing w:val="11"/>
                      <w:sz w:val="21"/>
                      <w:szCs w:val="21"/>
                    </w:rPr>
                    <w:t>两高一低</w:t>
                  </w:r>
                  <w:r>
                    <w:rPr>
                      <w:rFonts w:hint="eastAsia" w:ascii="宋体" w:hAnsi="宋体" w:eastAsia="宋体" w:cs="宋体"/>
                      <w:color w:val="auto"/>
                      <w:spacing w:val="11"/>
                      <w:sz w:val="21"/>
                      <w:szCs w:val="21"/>
                    </w:rPr>
                    <w:t>”</w:t>
                  </w:r>
                  <w:r>
                    <w:rPr>
                      <w:rFonts w:hint="default" w:ascii="Times New Roman" w:hAnsi="Times New Roman" w:eastAsia="宋体" w:cs="Times New Roman"/>
                      <w:color w:val="auto"/>
                      <w:spacing w:val="11"/>
                      <w:sz w:val="21"/>
                      <w:szCs w:val="21"/>
                    </w:rPr>
                    <w:t>项目，属于《产</w:t>
                  </w:r>
                  <w:r>
                    <w:rPr>
                      <w:rFonts w:hint="default" w:ascii="Times New Roman" w:hAnsi="Times New Roman" w:eastAsia="宋体" w:cs="Times New Roman"/>
                      <w:color w:val="auto"/>
                      <w:spacing w:val="10"/>
                      <w:sz w:val="21"/>
                      <w:szCs w:val="21"/>
                    </w:rPr>
                    <w:t>业结构调整指导目录</w:t>
                  </w:r>
                  <w:r>
                    <w:rPr>
                      <w:rFonts w:hint="eastAsia" w:ascii="Times New Roman" w:hAnsi="Times New Roman" w:eastAsia="宋体" w:cs="Times New Roman"/>
                      <w:color w:val="auto"/>
                      <w:spacing w:val="10"/>
                      <w:sz w:val="21"/>
                      <w:szCs w:val="21"/>
                      <w:lang w:eastAsia="zh-CN"/>
                    </w:rPr>
                    <w:t>（</w:t>
                  </w:r>
                  <w:r>
                    <w:rPr>
                      <w:rFonts w:hint="default" w:ascii="Times New Roman" w:hAnsi="Times New Roman" w:eastAsia="宋体" w:cs="Times New Roman"/>
                      <w:color w:val="auto"/>
                      <w:spacing w:val="10"/>
                      <w:sz w:val="21"/>
                      <w:szCs w:val="21"/>
                    </w:rPr>
                    <w:t>2024年</w:t>
                  </w:r>
                  <w:r>
                    <w:rPr>
                      <w:rFonts w:hint="default" w:ascii="Times New Roman" w:hAnsi="Times New Roman" w:eastAsia="宋体" w:cs="Times New Roman"/>
                      <w:color w:val="auto"/>
                      <w:spacing w:val="7"/>
                      <w:sz w:val="21"/>
                      <w:szCs w:val="21"/>
                    </w:rPr>
                    <w:t>本）》中允许类项目。主要废</w:t>
                  </w:r>
                  <w:r>
                    <w:rPr>
                      <w:rFonts w:hint="default" w:ascii="Times New Roman" w:hAnsi="Times New Roman" w:eastAsia="宋体" w:cs="Times New Roman"/>
                      <w:color w:val="auto"/>
                      <w:spacing w:val="5"/>
                      <w:sz w:val="21"/>
                      <w:szCs w:val="21"/>
                    </w:rPr>
                    <w:t>气污染物为颗粒物、二氧化硫、</w:t>
                  </w:r>
                  <w:r>
                    <w:rPr>
                      <w:rFonts w:hint="default" w:ascii="Times New Roman" w:hAnsi="Times New Roman" w:eastAsia="宋体" w:cs="Times New Roman"/>
                      <w:color w:val="auto"/>
                      <w:spacing w:val="13"/>
                      <w:sz w:val="21"/>
                      <w:szCs w:val="21"/>
                    </w:rPr>
                    <w:t>氮氧化物排放，排气筒高度为</w:t>
                  </w:r>
                  <w:r>
                    <w:rPr>
                      <w:rFonts w:hint="eastAsia" w:ascii="Times New Roman" w:hAnsi="Times New Roman" w:eastAsia="宋体" w:cs="Times New Roman"/>
                      <w:color w:val="auto"/>
                      <w:spacing w:val="14"/>
                      <w:sz w:val="21"/>
                      <w:szCs w:val="21"/>
                      <w:lang w:val="en-US" w:eastAsia="zh-CN"/>
                    </w:rPr>
                    <w:t>8</w:t>
                  </w:r>
                  <w:r>
                    <w:rPr>
                      <w:rFonts w:hint="default" w:ascii="Times New Roman" w:hAnsi="Times New Roman" w:eastAsia="宋体" w:cs="Times New Roman"/>
                      <w:color w:val="auto"/>
                      <w:spacing w:val="14"/>
                      <w:sz w:val="21"/>
                      <w:szCs w:val="21"/>
                    </w:rPr>
                    <w:t>米，</w:t>
                  </w:r>
                  <w:r>
                    <w:rPr>
                      <w:rFonts w:hint="eastAsia" w:ascii="Times New Roman" w:hAnsi="Times New Roman" w:eastAsia="宋体" w:cs="Times New Roman"/>
                      <w:color w:val="auto"/>
                      <w:spacing w:val="14"/>
                      <w:sz w:val="21"/>
                      <w:szCs w:val="21"/>
                      <w:lang w:val="en-US" w:eastAsia="zh-CN"/>
                    </w:rPr>
                    <w:t>污染物排放</w:t>
                  </w:r>
                  <w:r>
                    <w:rPr>
                      <w:rFonts w:hint="default" w:ascii="Times New Roman" w:hAnsi="Times New Roman" w:eastAsia="宋体" w:cs="Times New Roman"/>
                      <w:color w:val="auto"/>
                      <w:spacing w:val="11"/>
                      <w:sz w:val="21"/>
                      <w:szCs w:val="21"/>
                    </w:rPr>
                    <w:t>总量控制指标由</w:t>
                  </w:r>
                  <w:r>
                    <w:rPr>
                      <w:rFonts w:hint="default" w:ascii="Times New Roman" w:hAnsi="Times New Roman" w:eastAsia="宋体" w:cs="Times New Roman"/>
                      <w:color w:val="auto"/>
                      <w:spacing w:val="8"/>
                      <w:sz w:val="21"/>
                      <w:szCs w:val="21"/>
                    </w:rPr>
                    <w:t>生态环境主管部门调剂。</w:t>
                  </w:r>
                </w:p>
              </w:tc>
              <w:tc>
                <w:tcPr>
                  <w:tcW w:w="80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1"/>
                      <w:sz w:val="21"/>
                      <w:szCs w:val="21"/>
                      <w:vertAlign w:val="baseline"/>
                      <w:lang w:val="en-US" w:eastAsia="zh-CN"/>
                    </w:rPr>
                  </w:pPr>
                  <w:r>
                    <w:rPr>
                      <w:rFonts w:hint="eastAsia" w:ascii="宋体" w:hAnsi="宋体" w:eastAsia="宋体" w:cs="宋体"/>
                      <w:b/>
                      <w:bCs/>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3" w:hRule="atLeast"/>
                <w:jc w:val="center"/>
              </w:trPr>
              <w:tc>
                <w:tcPr>
                  <w:tcW w:w="1244" w:type="dxa"/>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《乐山市市中区“十四五”生态环境保护规划》</w:t>
                  </w:r>
                </w:p>
              </w:tc>
              <w:tc>
                <w:tcPr>
                  <w:tcW w:w="29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五、深入打好蓝天保卫战，持续改善大气环境质量</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一）强化工业源污染治理。严格涉气项目环境准入。严格控制石化、化工、火电、钢铁、有色金属冶炼、水泥、陶瓷等“两高”项目建设。严格控制城市及近郊新增涉气排放高架点源（排气筒高度高于50米）。严格控制园区外新建涉气工业企业，空气质量不达标区域严格落实颗粒物、二氧化硫、氮氧化物、挥发性有机物2倍现役源削减替代。</w:t>
                  </w:r>
                </w:p>
              </w:tc>
              <w:tc>
                <w:tcPr>
                  <w:tcW w:w="226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1"/>
                      <w:sz w:val="21"/>
                      <w:szCs w:val="21"/>
                      <w:vertAlign w:val="baseline"/>
                      <w:lang w:val="en-US" w:eastAsia="zh-CN"/>
                    </w:rPr>
                  </w:pPr>
                  <w:r>
                    <w:rPr>
                      <w:rFonts w:hint="eastAsia" w:ascii="Times New Roman" w:hAnsi="Times New Roman" w:eastAsia="宋体" w:cs="Times New Roman"/>
                      <w:spacing w:val="14"/>
                      <w:kern w:val="2"/>
                      <w:sz w:val="21"/>
                      <w:szCs w:val="21"/>
                      <w:lang w:val="en-US" w:eastAsia="zh-CN" w:bidi="ar-SA"/>
                    </w:rPr>
                    <w:t>项目产生主要废气为锅炉天然气废气和油烟，主要废气污染物为颗粒物、二氧化硫、氮</w:t>
                  </w:r>
                  <w:r>
                    <w:rPr>
                      <w:rFonts w:hint="eastAsia" w:ascii="Times New Roman" w:hAnsi="Times New Roman" w:eastAsia="宋体" w:cs="Times New Roman"/>
                      <w:color w:val="auto"/>
                      <w:spacing w:val="14"/>
                      <w:kern w:val="2"/>
                      <w:sz w:val="21"/>
                      <w:szCs w:val="21"/>
                      <w:lang w:val="en-US" w:eastAsia="zh-CN" w:bidi="ar-SA"/>
                    </w:rPr>
                    <w:t>氧化物排放，排气筒高度为8米，污染物排放总量控制指标由生态环境主管部门调剂</w:t>
                  </w:r>
                  <w:r>
                    <w:rPr>
                      <w:rFonts w:hint="eastAsia" w:ascii="Times New Roman" w:hAnsi="Times New Roman" w:eastAsia="宋体" w:cs="Times New Roman"/>
                      <w:spacing w:val="14"/>
                      <w:kern w:val="2"/>
                      <w:sz w:val="21"/>
                      <w:szCs w:val="21"/>
                      <w:lang w:val="en-US" w:eastAsia="zh-CN" w:bidi="ar-SA"/>
                    </w:rPr>
                    <w:t>。</w:t>
                  </w:r>
                </w:p>
              </w:tc>
              <w:tc>
                <w:tcPr>
                  <w:tcW w:w="80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1"/>
                      <w:sz w:val="21"/>
                      <w:szCs w:val="21"/>
                      <w:vertAlign w:val="baseline"/>
                      <w:lang w:val="en-US" w:eastAsia="zh-CN"/>
                    </w:rPr>
                  </w:pPr>
                  <w:r>
                    <w:rPr>
                      <w:rFonts w:hint="eastAsia" w:ascii="宋体" w:hAnsi="宋体" w:eastAsia="宋体" w:cs="宋体"/>
                      <w:b/>
                      <w:bCs/>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8" w:hRule="atLeast"/>
                <w:jc w:val="center"/>
              </w:trPr>
              <w:tc>
                <w:tcPr>
                  <w:tcW w:w="1244" w:type="dxa"/>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1"/>
                      <w:sz w:val="21"/>
                      <w:szCs w:val="21"/>
                      <w:vertAlign w:val="baseline"/>
                      <w:lang w:val="en-US" w:eastAsia="zh-CN"/>
                    </w:rPr>
                  </w:pPr>
                </w:p>
              </w:tc>
              <w:tc>
                <w:tcPr>
                  <w:tcW w:w="29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cs="宋体"/>
                      <w:b w:val="0"/>
                      <w:bCs w:val="0"/>
                      <w:spacing w:val="-1"/>
                      <w:sz w:val="21"/>
                      <w:szCs w:val="21"/>
                      <w:vertAlign w:val="baseline"/>
                      <w:lang w:val="en-US" w:eastAsia="zh-CN"/>
                    </w:rPr>
                    <w:t>（</w:t>
                  </w:r>
                  <w:r>
                    <w:rPr>
                      <w:rFonts w:hint="eastAsia" w:ascii="宋体" w:hAnsi="宋体" w:eastAsia="宋体" w:cs="宋体"/>
                      <w:b w:val="0"/>
                      <w:bCs w:val="0"/>
                      <w:spacing w:val="-1"/>
                      <w:sz w:val="21"/>
                      <w:szCs w:val="21"/>
                      <w:vertAlign w:val="baseline"/>
                      <w:lang w:val="en-US" w:eastAsia="zh-CN"/>
                    </w:rPr>
                    <w:t>一）强化污染治理，持续改善生态环境质量。</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cs="宋体"/>
                      <w:b w:val="0"/>
                      <w:bCs w:val="0"/>
                      <w:spacing w:val="-1"/>
                      <w:sz w:val="21"/>
                      <w:szCs w:val="21"/>
                      <w:vertAlign w:val="baseline"/>
                      <w:lang w:val="en-US" w:eastAsia="zh-CN"/>
                    </w:rPr>
                    <w:t>（</w:t>
                  </w:r>
                  <w:r>
                    <w:rPr>
                      <w:rFonts w:hint="eastAsia" w:ascii="宋体" w:hAnsi="宋体" w:eastAsia="宋体" w:cs="宋体"/>
                      <w:b w:val="0"/>
                      <w:bCs w:val="0"/>
                      <w:spacing w:val="-1"/>
                      <w:sz w:val="21"/>
                      <w:szCs w:val="21"/>
                      <w:vertAlign w:val="baseline"/>
                      <w:lang w:val="en-US" w:eastAsia="zh-CN"/>
                    </w:rPr>
                    <w:t>1）强化工业源污染治理。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1.大气环境保护....严格涉气项目环境准入。严格控制城市及近郊</w:t>
                  </w:r>
                  <w:r>
                    <w:rPr>
                      <w:rFonts w:hint="default" w:ascii="Times New Roman" w:hAnsi="Times New Roman" w:eastAsia="宋体" w:cs="Times New Roman"/>
                      <w:b w:val="0"/>
                      <w:bCs w:val="0"/>
                      <w:spacing w:val="-1"/>
                      <w:sz w:val="21"/>
                      <w:szCs w:val="21"/>
                      <w:vertAlign w:val="baseline"/>
                      <w:lang w:val="en-US" w:eastAsia="zh-CN"/>
                    </w:rPr>
                    <w:t>30</w:t>
                  </w:r>
                  <w:r>
                    <w:rPr>
                      <w:rFonts w:hint="eastAsia" w:ascii="宋体" w:hAnsi="宋体" w:eastAsia="宋体" w:cs="宋体"/>
                      <w:b w:val="0"/>
                      <w:bCs w:val="0"/>
                      <w:spacing w:val="-1"/>
                      <w:sz w:val="21"/>
                      <w:szCs w:val="21"/>
                      <w:vertAlign w:val="baseline"/>
                      <w:lang w:val="en-US" w:eastAsia="zh-CN"/>
                    </w:rPr>
                    <w:t>公里范围新增涉气排放高架点源</w:t>
                  </w:r>
                  <w:r>
                    <w:rPr>
                      <w:rFonts w:hint="eastAsia" w:ascii="宋体" w:hAnsi="宋体" w:cs="宋体"/>
                      <w:b w:val="0"/>
                      <w:bCs w:val="0"/>
                      <w:spacing w:val="-1"/>
                      <w:sz w:val="21"/>
                      <w:szCs w:val="21"/>
                      <w:vertAlign w:val="baseline"/>
                      <w:lang w:val="en-US" w:eastAsia="zh-CN"/>
                    </w:rPr>
                    <w:t>（</w:t>
                  </w:r>
                  <w:r>
                    <w:rPr>
                      <w:rFonts w:hint="eastAsia" w:ascii="宋体" w:hAnsi="宋体" w:eastAsia="宋体" w:cs="宋体"/>
                      <w:b w:val="0"/>
                      <w:bCs w:val="0"/>
                      <w:spacing w:val="-1"/>
                      <w:sz w:val="21"/>
                      <w:szCs w:val="21"/>
                      <w:vertAlign w:val="baseline"/>
                      <w:lang w:val="en-US" w:eastAsia="zh-CN"/>
                    </w:rPr>
                    <w:t>排气筒高度大于</w:t>
                  </w:r>
                  <w:r>
                    <w:rPr>
                      <w:rFonts w:hint="eastAsia" w:ascii="Times New Roman" w:hAnsi="Times New Roman" w:eastAsia="宋体" w:cs="Times New Roman"/>
                      <w:b w:val="0"/>
                      <w:bCs w:val="0"/>
                      <w:spacing w:val="-1"/>
                      <w:sz w:val="21"/>
                      <w:szCs w:val="21"/>
                      <w:vertAlign w:val="baseline"/>
                      <w:lang w:val="en-US" w:eastAsia="zh-CN"/>
                    </w:rPr>
                    <w:t>50米</w:t>
                  </w:r>
                  <w:r>
                    <w:rPr>
                      <w:rFonts w:hint="eastAsia" w:ascii="宋体" w:hAnsi="宋体" w:eastAsia="宋体" w:cs="宋体"/>
                      <w:b w:val="0"/>
                      <w:bCs w:val="0"/>
                      <w:spacing w:val="-1"/>
                      <w:sz w:val="21"/>
                      <w:szCs w:val="21"/>
                      <w:vertAlign w:val="baseline"/>
                      <w:lang w:val="en-US" w:eastAsia="zh-CN"/>
                    </w:rPr>
                    <w:t>）；严格控制园区外新建涉气工业企业；新建涉高挥发性有机物排放的建设项目需进入工业园区；空气质量不达标区域严格落实颗粒物、二氧化硫、氮氧化物、挥发性有机物倍量替代。</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持续深化重点企业提标治理。重点开展砖瓦、装备制造等行业大气污染防治深度治理，大力削减污染物排放。全区工业企业的二氧化硫、氮氧化物、烟尘和挥发性有机物排放控制总体达到国内先进水平。</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深化工业炉窑污染整治力度。加大不达标工业炉窑淘汰力度，鼓励工业炉窑使用电、天然气等清洁能源或由周边热电联产项目集中供热。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Times New Roman" w:hAnsi="Times New Roman" w:eastAsia="宋体" w:cs="Times New Roman"/>
                      <w:b w:val="0"/>
                      <w:bCs w:val="0"/>
                      <w:spacing w:val="-1"/>
                      <w:sz w:val="21"/>
                      <w:szCs w:val="21"/>
                      <w:vertAlign w:val="baseline"/>
                      <w:lang w:val="en-US" w:eastAsia="zh-CN"/>
                    </w:rPr>
                    <w:t>2.</w:t>
                  </w:r>
                  <w:r>
                    <w:rPr>
                      <w:rFonts w:hint="eastAsia" w:ascii="宋体" w:hAnsi="宋体" w:eastAsia="宋体" w:cs="宋体"/>
                      <w:b w:val="0"/>
                      <w:bCs w:val="0"/>
                      <w:spacing w:val="-1"/>
                      <w:sz w:val="21"/>
                      <w:szCs w:val="21"/>
                      <w:vertAlign w:val="baseline"/>
                      <w:lang w:val="en-US" w:eastAsia="zh-CN"/>
                    </w:rPr>
                    <w:t>地表水环境保护....加快城镇生活污水处理设施建设。按照《四川省城镇生活污水和城乡生活垃圾处理设施建设三年推进总体方案</w:t>
                  </w:r>
                  <w:r>
                    <w:rPr>
                      <w:rFonts w:hint="eastAsia" w:ascii="Times New Roman" w:hAnsi="Times New Roman" w:eastAsia="宋体" w:cs="Times New Roman"/>
                      <w:b w:val="0"/>
                      <w:bCs w:val="0"/>
                      <w:spacing w:val="-1"/>
                      <w:sz w:val="21"/>
                      <w:szCs w:val="21"/>
                      <w:vertAlign w:val="baseline"/>
                      <w:lang w:val="en-US" w:eastAsia="zh-CN"/>
                    </w:rPr>
                    <w:t>（2021—2023年）</w:t>
                  </w:r>
                  <w:r>
                    <w:rPr>
                      <w:rFonts w:hint="eastAsia" w:ascii="宋体" w:hAnsi="宋体" w:eastAsia="宋体" w:cs="宋体"/>
                      <w:b w:val="0"/>
                      <w:bCs w:val="0"/>
                      <w:spacing w:val="-1"/>
                      <w:sz w:val="21"/>
                      <w:szCs w:val="21"/>
                      <w:vertAlign w:val="baseline"/>
                      <w:lang w:val="en-US" w:eastAsia="zh-CN"/>
                    </w:rPr>
                    <w:t>》以及《乐山市城镇污水处理提质增效两年行动实施方案</w:t>
                  </w:r>
                  <w:r>
                    <w:rPr>
                      <w:rFonts w:hint="eastAsia" w:ascii="Times New Roman" w:hAnsi="Times New Roman" w:eastAsia="宋体" w:cs="Times New Roman"/>
                      <w:b w:val="0"/>
                      <w:bCs w:val="0"/>
                      <w:spacing w:val="-1"/>
                      <w:sz w:val="21"/>
                      <w:szCs w:val="21"/>
                      <w:vertAlign w:val="baseline"/>
                      <w:lang w:val="en-US" w:eastAsia="zh-CN"/>
                    </w:rPr>
                    <w:t>（2020—2021年）</w:t>
                  </w:r>
                  <w:r>
                    <w:rPr>
                      <w:rFonts w:hint="eastAsia" w:ascii="宋体" w:hAnsi="宋体" w:eastAsia="宋体" w:cs="宋体"/>
                      <w:b w:val="0"/>
                      <w:bCs w:val="0"/>
                      <w:spacing w:val="-1"/>
                      <w:sz w:val="21"/>
                      <w:szCs w:val="21"/>
                      <w:vertAlign w:val="baseline"/>
                      <w:lang w:val="en-US" w:eastAsia="zh-CN"/>
                    </w:rPr>
                    <w:t>》要求，全面加强城镇污水管网建设，着力解决市政排水管网不配套等历史欠账问题，持续实施城镇雨污分流改造和老旧污水管网改造，完善污水收集管网系统，完善污水处理设施运营保障机制和能力。严格执行《四川省岷江、沱江流域水污染物排放标准》，加快流域内应达标城镇污水处理设施提标改造。加大新技术研发和应用力度，科学选择污水处理提标改造工艺，重点强化脱氮除磷能力。到</w:t>
                  </w:r>
                  <w:r>
                    <w:rPr>
                      <w:rFonts w:hint="eastAsia" w:ascii="Times New Roman" w:hAnsi="Times New Roman" w:eastAsia="宋体" w:cs="Times New Roman"/>
                      <w:b w:val="0"/>
                      <w:bCs w:val="0"/>
                      <w:spacing w:val="-1"/>
                      <w:sz w:val="21"/>
                      <w:szCs w:val="21"/>
                      <w:vertAlign w:val="baseline"/>
                      <w:lang w:val="en-US" w:eastAsia="zh-CN"/>
                    </w:rPr>
                    <w:t>2025</w:t>
                  </w:r>
                  <w:r>
                    <w:rPr>
                      <w:rFonts w:hint="eastAsia" w:ascii="宋体" w:hAnsi="宋体" w:eastAsia="宋体" w:cs="宋体"/>
                      <w:b w:val="0"/>
                      <w:bCs w:val="0"/>
                      <w:spacing w:val="-1"/>
                      <w:sz w:val="21"/>
                      <w:szCs w:val="21"/>
                      <w:vertAlign w:val="baseline"/>
                      <w:lang w:val="en-US" w:eastAsia="zh-CN"/>
                    </w:rPr>
                    <w:t>年，城市污水处理率达到</w:t>
                  </w:r>
                  <w:r>
                    <w:rPr>
                      <w:rFonts w:hint="eastAsia" w:ascii="Times New Roman" w:hAnsi="Times New Roman" w:eastAsia="宋体" w:cs="Times New Roman"/>
                      <w:b w:val="0"/>
                      <w:bCs w:val="0"/>
                      <w:spacing w:val="-1"/>
                      <w:sz w:val="21"/>
                      <w:szCs w:val="21"/>
                      <w:vertAlign w:val="baseline"/>
                      <w:lang w:val="en-US" w:eastAsia="zh-CN"/>
                    </w:rPr>
                    <w:t>95%</w:t>
                  </w:r>
                  <w:r>
                    <w:rPr>
                      <w:rFonts w:hint="eastAsia" w:ascii="宋体" w:hAnsi="宋体" w:eastAsia="宋体" w:cs="宋体"/>
                      <w:b w:val="0"/>
                      <w:bCs w:val="0"/>
                      <w:spacing w:val="-1"/>
                      <w:sz w:val="21"/>
                      <w:szCs w:val="21"/>
                      <w:vertAlign w:val="baseline"/>
                      <w:lang w:val="en-US" w:eastAsia="zh-CN"/>
                    </w:rPr>
                    <w:t>，建制镇污水处理率达到</w:t>
                  </w:r>
                  <w:r>
                    <w:rPr>
                      <w:rFonts w:hint="eastAsia" w:ascii="Times New Roman" w:hAnsi="Times New Roman" w:eastAsia="宋体" w:cs="Times New Roman"/>
                      <w:b w:val="0"/>
                      <w:bCs w:val="0"/>
                      <w:spacing w:val="-1"/>
                      <w:sz w:val="21"/>
                      <w:szCs w:val="21"/>
                      <w:vertAlign w:val="baseline"/>
                      <w:lang w:val="en-US" w:eastAsia="zh-CN"/>
                    </w:rPr>
                    <w:t>85%</w:t>
                  </w:r>
                  <w:r>
                    <w:rPr>
                      <w:rFonts w:hint="eastAsia" w:ascii="宋体" w:hAnsi="宋体" w:eastAsia="宋体" w:cs="宋体"/>
                      <w:b w:val="0"/>
                      <w:bCs w:val="0"/>
                      <w:spacing w:val="-1"/>
                      <w:sz w:val="21"/>
                      <w:szCs w:val="21"/>
                      <w:vertAlign w:val="baseline"/>
                      <w:lang w:val="en-US" w:eastAsia="zh-CN"/>
                    </w:rPr>
                    <w:t>。完善农村生活污水处理。持续推进农村生活污水治理工程，优先实施聚居度高的农村生活污水处理设施建设，积极探索农村地区的科学污水治理方式，推广成功经验。建立长效机制，</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val="0"/>
                      <w:bCs w:val="0"/>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加强农村生活污水处理设施运维管理。</w:t>
                  </w:r>
                  <w:r>
                    <w:rPr>
                      <w:rFonts w:hint="eastAsia" w:ascii="Times New Roman" w:hAnsi="Times New Roman" w:eastAsia="宋体" w:cs="Times New Roman"/>
                      <w:b w:val="0"/>
                      <w:bCs w:val="0"/>
                      <w:spacing w:val="-1"/>
                      <w:sz w:val="21"/>
                      <w:szCs w:val="21"/>
                      <w:vertAlign w:val="baseline"/>
                      <w:lang w:val="en-US" w:eastAsia="zh-CN"/>
                    </w:rPr>
                    <w:t>到2025</w:t>
                  </w:r>
                  <w:r>
                    <w:rPr>
                      <w:rFonts w:hint="eastAsia" w:ascii="宋体" w:hAnsi="宋体" w:eastAsia="宋体" w:cs="宋体"/>
                      <w:b w:val="0"/>
                      <w:bCs w:val="0"/>
                      <w:spacing w:val="-1"/>
                      <w:sz w:val="21"/>
                      <w:szCs w:val="21"/>
                      <w:vertAlign w:val="baseline"/>
                      <w:lang w:val="en-US" w:eastAsia="zh-CN"/>
                    </w:rPr>
                    <w:t>年实现</w:t>
                  </w:r>
                  <w:r>
                    <w:rPr>
                      <w:rFonts w:hint="eastAsia" w:ascii="Times New Roman" w:hAnsi="Times New Roman" w:eastAsia="宋体" w:cs="Times New Roman"/>
                      <w:b w:val="0"/>
                      <w:bCs w:val="0"/>
                      <w:spacing w:val="-1"/>
                      <w:sz w:val="21"/>
                      <w:szCs w:val="21"/>
                      <w:vertAlign w:val="baseline"/>
                      <w:lang w:val="en-US" w:eastAsia="zh-CN"/>
                    </w:rPr>
                    <w:t>80%</w:t>
                  </w:r>
                  <w:r>
                    <w:rPr>
                      <w:rFonts w:hint="eastAsia" w:ascii="宋体" w:hAnsi="宋体" w:eastAsia="宋体" w:cs="宋体"/>
                      <w:b w:val="0"/>
                      <w:bCs w:val="0"/>
                      <w:spacing w:val="-1"/>
                      <w:sz w:val="21"/>
                      <w:szCs w:val="21"/>
                      <w:vertAlign w:val="baseline"/>
                      <w:lang w:val="en-US" w:eastAsia="zh-CN"/>
                    </w:rPr>
                    <w:t>以上行政村的农村生活污水得到有效处理。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left"/>
                    <w:textAlignment w:val="auto"/>
                    <w:rPr>
                      <w:rFonts w:hint="eastAsia" w:ascii="宋体" w:hAnsi="宋体" w:eastAsia="宋体" w:cs="宋体"/>
                      <w:b/>
                      <w:bCs/>
                      <w:spacing w:val="-1"/>
                      <w:sz w:val="21"/>
                      <w:szCs w:val="21"/>
                      <w:vertAlign w:val="baseline"/>
                      <w:lang w:val="en-US" w:eastAsia="zh-CN"/>
                    </w:rPr>
                  </w:pPr>
                  <w:r>
                    <w:rPr>
                      <w:rFonts w:hint="eastAsia" w:ascii="宋体" w:hAnsi="宋体" w:eastAsia="宋体" w:cs="宋体"/>
                      <w:b w:val="0"/>
                      <w:bCs w:val="0"/>
                      <w:spacing w:val="-1"/>
                      <w:sz w:val="21"/>
                      <w:szCs w:val="21"/>
                      <w:vertAlign w:val="baseline"/>
                      <w:lang w:val="en-US" w:eastAsia="zh-CN"/>
                    </w:rPr>
                    <w:t>提升工业园区污水处理能力。加快推进工业园区、工业集中区污水处理及污水管网基础设施建设，全面提升工业园区污水处理能力和水平。加强工业园区污水处理站的建设运行和维护管理，保障运行技术经济效益，提高污水处理排放等级。增加工业污水中水回用配套设施建设，鼓励园区和企业中水回用。推进“污水零直排区”建设，制定相关行动方案和样板示范区创建</w:t>
                  </w:r>
                </w:p>
              </w:tc>
              <w:tc>
                <w:tcPr>
                  <w:tcW w:w="226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宋体" w:hAnsi="宋体" w:eastAsia="宋体" w:cs="宋体"/>
                      <w:b/>
                      <w:bCs/>
                      <w:spacing w:val="-1"/>
                      <w:sz w:val="21"/>
                      <w:szCs w:val="21"/>
                      <w:vertAlign w:val="baseline"/>
                      <w:lang w:val="en-US" w:eastAsia="zh-CN"/>
                    </w:rPr>
                  </w:pPr>
                  <w:r>
                    <w:rPr>
                      <w:rFonts w:hint="eastAsia" w:ascii="Times New Roman" w:hAnsi="Times New Roman" w:eastAsia="宋体" w:cs="Times New Roman"/>
                      <w:spacing w:val="14"/>
                      <w:kern w:val="2"/>
                      <w:sz w:val="21"/>
                      <w:szCs w:val="21"/>
                      <w:lang w:val="en-US" w:eastAsia="zh-CN" w:bidi="ar-SA"/>
                    </w:rPr>
                    <w:t>项</w:t>
                  </w:r>
                  <w:r>
                    <w:rPr>
                      <w:rFonts w:hint="eastAsia" w:ascii="Times New Roman" w:hAnsi="Times New Roman" w:eastAsia="宋体" w:cs="Times New Roman"/>
                      <w:color w:val="auto"/>
                      <w:spacing w:val="14"/>
                      <w:kern w:val="2"/>
                      <w:sz w:val="21"/>
                      <w:szCs w:val="21"/>
                      <w:lang w:val="en-US" w:eastAsia="zh-CN" w:bidi="ar-SA"/>
                    </w:rPr>
                    <w:t>目产生主要废气为锅炉天然气废气和油烟，主要废气污染物为颗粒物、二氧化硫、氮氧化物排放，排气筒高度为8米，污染物排放总量控制指标由生态环境主管部门调</w:t>
                  </w:r>
                  <w:r>
                    <w:rPr>
                      <w:rFonts w:hint="eastAsia" w:ascii="Times New Roman" w:hAnsi="Times New Roman" w:eastAsia="宋体" w:cs="Times New Roman"/>
                      <w:spacing w:val="14"/>
                      <w:kern w:val="2"/>
                      <w:sz w:val="21"/>
                      <w:szCs w:val="21"/>
                      <w:lang w:val="en-US" w:eastAsia="zh-CN" w:bidi="ar-SA"/>
                    </w:rPr>
                    <w:t>剂。</w:t>
                  </w:r>
                </w:p>
              </w:tc>
              <w:tc>
                <w:tcPr>
                  <w:tcW w:w="80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宋体" w:hAnsi="宋体" w:eastAsia="宋体" w:cs="宋体"/>
                      <w:b/>
                      <w:bCs/>
                      <w:spacing w:val="-1"/>
                      <w:sz w:val="21"/>
                      <w:szCs w:val="21"/>
                      <w:vertAlign w:val="baseline"/>
                      <w:lang w:val="en-US" w:eastAsia="zh-CN"/>
                    </w:rPr>
                  </w:pPr>
                  <w:r>
                    <w:rPr>
                      <w:rFonts w:hint="eastAsia" w:ascii="宋体" w:hAnsi="宋体" w:eastAsia="宋体" w:cs="宋体"/>
                      <w:b/>
                      <w:bCs/>
                      <w:spacing w:val="-1"/>
                      <w:sz w:val="21"/>
                      <w:szCs w:val="21"/>
                      <w:vertAlign w:val="baseline"/>
                      <w:lang w:val="en-US" w:eastAsia="zh-CN"/>
                    </w:rPr>
                    <w:t>符合</w:t>
                  </w:r>
                </w:p>
              </w:tc>
            </w:tr>
          </w:tbl>
          <w:p>
            <w:pPr>
              <w:numPr>
                <w:ilvl w:val="0"/>
                <w:numId w:val="0"/>
              </w:numPr>
              <w:autoSpaceDE w:val="0"/>
              <w:autoSpaceDN w:val="0"/>
              <w:adjustRightInd w:val="0"/>
              <w:snapToGrid w:val="0"/>
              <w:spacing w:line="360" w:lineRule="auto"/>
              <w:ind w:firstLine="478" w:firstLineChars="200"/>
              <w:jc w:val="both"/>
              <w:rPr>
                <w:rFonts w:hint="default"/>
                <w:b/>
                <w:bCs/>
                <w:spacing w:val="-1"/>
                <w:sz w:val="24"/>
                <w:szCs w:val="24"/>
                <w:lang w:val="en-US" w:eastAsia="zh-CN"/>
              </w:rPr>
            </w:pPr>
            <w:r>
              <w:rPr>
                <w:rFonts w:hint="eastAsia"/>
                <w:b/>
                <w:bCs/>
                <w:spacing w:val="-1"/>
                <w:sz w:val="24"/>
                <w:szCs w:val="24"/>
                <w:lang w:val="en-US" w:eastAsia="zh-CN"/>
              </w:rPr>
              <w:t>根据上表分析，本项目符合国家和地方大污染相关要求。</w:t>
            </w:r>
          </w:p>
          <w:p>
            <w:pPr>
              <w:numPr>
                <w:ilvl w:val="0"/>
                <w:numId w:val="0"/>
              </w:numPr>
              <w:autoSpaceDE w:val="0"/>
              <w:autoSpaceDN w:val="0"/>
              <w:adjustRightInd w:val="0"/>
              <w:snapToGrid w:val="0"/>
              <w:spacing w:line="240" w:lineRule="auto"/>
              <w:ind w:firstLine="574" w:firstLineChars="200"/>
              <w:jc w:val="both"/>
              <w:rPr>
                <w:rFonts w:hint="eastAsia" w:ascii="宋体" w:hAnsi="宋体" w:eastAsia="宋体" w:cs="宋体"/>
                <w:b/>
                <w:bCs/>
                <w:spacing w:val="23"/>
                <w:kern w:val="2"/>
                <w:sz w:val="24"/>
                <w:szCs w:val="24"/>
                <w:lang w:val="en-US" w:eastAsia="zh-CN" w:bidi="ar-SA"/>
              </w:rPr>
            </w:pPr>
          </w:p>
          <w:p>
            <w:pPr>
              <w:numPr>
                <w:ilvl w:val="0"/>
                <w:numId w:val="0"/>
              </w:numPr>
              <w:autoSpaceDE w:val="0"/>
              <w:autoSpaceDN w:val="0"/>
              <w:adjustRightInd w:val="0"/>
              <w:snapToGrid w:val="0"/>
              <w:spacing w:line="240" w:lineRule="auto"/>
              <w:ind w:firstLine="574" w:firstLineChars="200"/>
              <w:jc w:val="both"/>
              <w:rPr>
                <w:rFonts w:hint="eastAsia" w:ascii="宋体" w:hAnsi="宋体" w:eastAsia="宋体" w:cs="宋体"/>
                <w:b/>
                <w:bCs/>
                <w:spacing w:val="23"/>
                <w:sz w:val="24"/>
                <w:szCs w:val="24"/>
                <w:lang w:val="en-US" w:eastAsia="zh-CN"/>
              </w:rPr>
            </w:pPr>
            <w:r>
              <w:rPr>
                <w:rFonts w:hint="eastAsia" w:ascii="宋体" w:hAnsi="宋体" w:eastAsia="宋体" w:cs="宋体"/>
                <w:b/>
                <w:bCs/>
                <w:spacing w:val="23"/>
                <w:kern w:val="2"/>
                <w:sz w:val="24"/>
                <w:szCs w:val="24"/>
                <w:lang w:val="en-US" w:eastAsia="zh-CN" w:bidi="ar-SA"/>
              </w:rPr>
              <w:t>五、</w:t>
            </w:r>
            <w:r>
              <w:rPr>
                <w:rFonts w:hint="eastAsia" w:ascii="宋体" w:hAnsi="宋体" w:eastAsia="宋体" w:cs="宋体"/>
                <w:b/>
                <w:bCs/>
                <w:spacing w:val="23"/>
                <w:sz w:val="24"/>
                <w:szCs w:val="24"/>
                <w:lang w:val="en-US" w:eastAsia="zh-CN"/>
              </w:rPr>
              <w:t>与长江经济带相关规划、负面清单符合性分析</w:t>
            </w:r>
          </w:p>
          <w:p>
            <w:pPr>
              <w:numPr>
                <w:ilvl w:val="0"/>
                <w:numId w:val="0"/>
              </w:numPr>
              <w:autoSpaceDE w:val="0"/>
              <w:autoSpaceDN w:val="0"/>
              <w:adjustRightInd w:val="0"/>
              <w:snapToGrid w:val="0"/>
              <w:spacing w:line="360" w:lineRule="auto"/>
              <w:ind w:firstLine="572" w:firstLineChars="200"/>
              <w:jc w:val="both"/>
              <w:rPr>
                <w:rFonts w:hint="eastAsia" w:ascii="宋体" w:hAnsi="宋体" w:eastAsia="宋体" w:cs="宋体"/>
                <w:b w:val="0"/>
                <w:bCs w:val="0"/>
                <w:spacing w:val="-1"/>
                <w:kern w:val="2"/>
                <w:sz w:val="24"/>
                <w:szCs w:val="24"/>
                <w:vertAlign w:val="baseline"/>
                <w:lang w:val="en-US" w:eastAsia="zh-CN" w:bidi="ar-SA"/>
              </w:rPr>
            </w:pPr>
            <w:r>
              <w:rPr>
                <w:rFonts w:hint="eastAsia" w:ascii="宋体" w:hAnsi="宋体" w:eastAsia="宋体" w:cs="宋体"/>
                <w:spacing w:val="23"/>
                <w:sz w:val="24"/>
                <w:szCs w:val="24"/>
                <w:lang w:val="en-US" w:eastAsia="zh-CN"/>
              </w:rPr>
              <w:t>本次环评结合</w:t>
            </w:r>
            <w:r>
              <w:rPr>
                <w:rFonts w:hint="default" w:ascii="宋体" w:hAnsi="宋体" w:eastAsia="宋体" w:cs="宋体"/>
                <w:spacing w:val="23"/>
                <w:sz w:val="24"/>
                <w:szCs w:val="24"/>
                <w:lang w:val="en-US" w:eastAsia="zh-CN"/>
              </w:rPr>
              <w:t>《长江经济带生态环境保护规划》</w:t>
            </w:r>
            <w:r>
              <w:rPr>
                <w:rFonts w:hint="eastAsia" w:ascii="宋体" w:hAnsi="宋体" w:eastAsia="宋体" w:cs="宋体"/>
                <w:spacing w:val="23"/>
                <w:sz w:val="24"/>
                <w:szCs w:val="24"/>
                <w:lang w:val="en-US" w:eastAsia="zh-CN"/>
              </w:rPr>
              <w:t>（</w:t>
            </w:r>
            <w:r>
              <w:rPr>
                <w:rFonts w:hint="default" w:ascii="宋体" w:hAnsi="宋体" w:eastAsia="宋体" w:cs="宋体"/>
                <w:spacing w:val="23"/>
                <w:sz w:val="24"/>
                <w:szCs w:val="24"/>
                <w:lang w:val="en-US" w:eastAsia="zh-CN"/>
              </w:rPr>
              <w:t>环规财</w:t>
            </w:r>
            <w:r>
              <w:rPr>
                <w:rFonts w:hint="eastAsia"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2017</w:t>
            </w:r>
            <w:r>
              <w:rPr>
                <w:rFonts w:hint="eastAsia" w:ascii="Times New Roman" w:hAnsi="Times New Roman"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88号）、《长江保护修复攻坚战行动计划》</w:t>
            </w:r>
            <w:r>
              <w:rPr>
                <w:rFonts w:hint="eastAsia"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环水体</w:t>
            </w:r>
            <w:r>
              <w:rPr>
                <w:rFonts w:hint="eastAsia"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2018</w:t>
            </w:r>
            <w:r>
              <w:rPr>
                <w:rFonts w:hint="eastAsia" w:ascii="Times New Roman" w:hAnsi="Times New Roman"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181号）、《长江经济带发展负面清单指南</w:t>
            </w:r>
            <w:r>
              <w:rPr>
                <w:rFonts w:hint="eastAsia"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试行），2022年版》及《四川省、重庆市长江经济带发展负面清单实施细则</w:t>
            </w:r>
            <w:r>
              <w:rPr>
                <w:rFonts w:hint="eastAsia" w:eastAsia="宋体" w:cs="Times New Roman"/>
                <w:b w:val="0"/>
                <w:bCs w:val="0"/>
                <w:spacing w:val="-1"/>
                <w:kern w:val="2"/>
                <w:sz w:val="24"/>
                <w:szCs w:val="24"/>
                <w:vertAlign w:val="baseline"/>
                <w:lang w:val="en-US" w:eastAsia="zh-CN" w:bidi="ar-SA"/>
              </w:rPr>
              <w:t>（</w:t>
            </w:r>
            <w:r>
              <w:rPr>
                <w:rFonts w:hint="default" w:ascii="Times New Roman" w:hAnsi="Times New Roman" w:eastAsia="宋体" w:cs="Times New Roman"/>
                <w:b w:val="0"/>
                <w:bCs w:val="0"/>
                <w:spacing w:val="-1"/>
                <w:kern w:val="2"/>
                <w:sz w:val="24"/>
                <w:szCs w:val="24"/>
                <w:vertAlign w:val="baseline"/>
                <w:lang w:val="en-US" w:eastAsia="zh-CN" w:bidi="ar-SA"/>
              </w:rPr>
              <w:t>试行，2022年版）》</w:t>
            </w:r>
            <w:r>
              <w:rPr>
                <w:rFonts w:hint="eastAsia" w:ascii="宋体" w:hAnsi="宋体" w:eastAsia="宋体" w:cs="宋体"/>
                <w:b w:val="0"/>
                <w:bCs w:val="0"/>
                <w:spacing w:val="-1"/>
                <w:kern w:val="2"/>
                <w:sz w:val="24"/>
                <w:szCs w:val="24"/>
                <w:vertAlign w:val="baseline"/>
                <w:lang w:val="en-US" w:eastAsia="zh-CN" w:bidi="ar-SA"/>
              </w:rPr>
              <w:t>相关文件，对项目建设符合性进行分析，对照分析情况见下表。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
                <w:kern w:val="2"/>
                <w:sz w:val="24"/>
                <w:szCs w:val="24"/>
                <w:vertAlign w:val="baseline"/>
                <w:lang w:val="en-US" w:eastAsia="zh-CN" w:bidi="ar-SA"/>
              </w:rPr>
            </w:pPr>
            <w:r>
              <w:rPr>
                <w:rFonts w:hint="default" w:ascii="Times New Roman" w:hAnsi="Times New Roman" w:eastAsia="宋体" w:cs="Times New Roman"/>
                <w:b/>
                <w:bCs/>
                <w:spacing w:val="-1"/>
                <w:kern w:val="2"/>
                <w:sz w:val="21"/>
                <w:szCs w:val="21"/>
                <w:vertAlign w:val="baseline"/>
                <w:lang w:val="en-US" w:eastAsia="zh-CN" w:bidi="ar-SA"/>
              </w:rPr>
              <w:t>表1-4</w:t>
            </w:r>
            <w:r>
              <w:rPr>
                <w:rFonts w:hint="eastAsia" w:ascii="Times New Roman" w:hAnsi="Times New Roman" w:eastAsia="宋体" w:cs="Times New Roman"/>
                <w:b/>
                <w:bCs/>
                <w:spacing w:val="-1"/>
                <w:kern w:val="2"/>
                <w:sz w:val="21"/>
                <w:szCs w:val="21"/>
                <w:vertAlign w:val="baseline"/>
                <w:lang w:val="en-US" w:eastAsia="zh-CN" w:bidi="ar-SA"/>
              </w:rPr>
              <w:t xml:space="preserve">  </w:t>
            </w:r>
            <w:r>
              <w:rPr>
                <w:rFonts w:hint="default" w:ascii="Times New Roman" w:hAnsi="Times New Roman" w:eastAsia="宋体" w:cs="Times New Roman"/>
                <w:b/>
                <w:bCs/>
                <w:spacing w:val="-1"/>
                <w:kern w:val="2"/>
                <w:sz w:val="21"/>
                <w:szCs w:val="21"/>
                <w:vertAlign w:val="baseline"/>
                <w:lang w:val="en-US" w:eastAsia="zh-CN" w:bidi="ar-SA"/>
              </w:rPr>
              <w:t>项目与长江经济带相关规划文件的符合性分析表</w:t>
            </w:r>
          </w:p>
          <w:tbl>
            <w:tblPr>
              <w:tblStyle w:val="4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468"/>
              <w:gridCol w:w="1897"/>
              <w:gridCol w:w="6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b/>
                      <w:bCs/>
                      <w:spacing w:val="-1"/>
                      <w:sz w:val="21"/>
                      <w:szCs w:val="21"/>
                      <w:vertAlign w:val="baseline"/>
                      <w:lang w:val="en-US" w:eastAsia="zh-CN"/>
                    </w:rPr>
                    <w:t>文件名称</w:t>
                  </w: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b/>
                      <w:bCs/>
                      <w:spacing w:val="-1"/>
                      <w:sz w:val="21"/>
                      <w:szCs w:val="21"/>
                      <w:vertAlign w:val="baseline"/>
                      <w:lang w:val="en-US" w:eastAsia="zh-CN"/>
                    </w:rPr>
                    <w:t>具体要求</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b/>
                      <w:bCs/>
                      <w:spacing w:val="-1"/>
                      <w:sz w:val="21"/>
                      <w:szCs w:val="21"/>
                      <w:vertAlign w:val="baseline"/>
                      <w:lang w:val="en-US" w:eastAsia="zh-CN"/>
                    </w:rPr>
                    <w:t>本项目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1"/>
                      <w:sz w:val="21"/>
                      <w:szCs w:val="21"/>
                      <w:vertAlign w:val="baseline"/>
                      <w:lang w:val="en-US" w:eastAsia="zh-CN"/>
                    </w:rPr>
                  </w:pPr>
                  <w:r>
                    <w:rPr>
                      <w:rFonts w:hint="default" w:ascii="Times New Roman" w:hAnsi="Times New Roman" w:eastAsia="宋体" w:cs="Times New Roman"/>
                      <w:b/>
                      <w:bCs/>
                      <w:spacing w:val="-1"/>
                      <w:sz w:val="21"/>
                      <w:szCs w:val="21"/>
                      <w:vertAlign w:val="baseline"/>
                      <w:lang w:val="en-US" w:eastAsia="zh-CN"/>
                    </w:rPr>
                    <w:t>结论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《长江经济带生态环境保护规划》</w:t>
                  </w: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三、确立水资源利用上线，妥善处理江河湖库关系</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严格控制高耗水行业发展。以供给侧结构性改革为契机，倒逼钢铁、造纸、纺织、火电等高耗水行业化解过剩产能，</w:t>
                  </w:r>
                  <w:r>
                    <w:rPr>
                      <w:rFonts w:hint="default" w:ascii="宋体" w:hAnsi="宋体" w:eastAsia="宋体" w:cs="宋体"/>
                      <w:b w:val="0"/>
                      <w:bCs w:val="0"/>
                      <w:spacing w:val="-1"/>
                      <w:sz w:val="21"/>
                      <w:szCs w:val="21"/>
                      <w:vertAlign w:val="baseline"/>
                      <w:lang w:val="en-US" w:eastAsia="zh-CN"/>
                    </w:rPr>
                    <w:t>严禁</w:t>
                  </w:r>
                  <w:r>
                    <w:rPr>
                      <w:rFonts w:hint="default" w:ascii="Times New Roman" w:hAnsi="Times New Roman" w:eastAsia="宋体" w:cs="Times New Roman"/>
                      <w:b w:val="0"/>
                      <w:bCs w:val="0"/>
                      <w:spacing w:val="-1"/>
                      <w:sz w:val="21"/>
                      <w:szCs w:val="21"/>
                      <w:vertAlign w:val="baseline"/>
                      <w:lang w:val="en-US" w:eastAsia="zh-CN"/>
                    </w:rPr>
                    <w:t>新增产能。加强高耗水行业用水定额管理，严格控制高耗水项目建设。限制上海、马鞍山、南京等地钢铁行业，杭州、成都、南昌等地造纸行业，宁波、苏州等地纺织行业，铜陵、淮南、武汉、黄石、六盘水、遵义等地区火电行业规模。严格控制上海、南京、武汉、九江等地区的老石化基地以及岳阳化工产业园、淮北煤化工产业园的工业用水总量。鼓励沿海城市在电力、化工、石化等行业直接利用海水作为循环冷却水。</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本项目不属于高耗水项目。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四、划定生态保护红线，实施生态保护与修复</w:t>
                  </w:r>
                  <w:r>
                    <w:rPr>
                      <w:rFonts w:hint="eastAsia"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严守生态保护红线。要将生态保护红线作为空间规划编制的重要基础，相关规划要符合生态保护红线空间管控要求，不符合的要及时进行调整。生态保护红线原则上按禁止开发区域的要求进行管理，严禁不符合主体功能定位的各类开发活动，严禁任意改变用途</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w:t>
                  </w:r>
                  <w:r>
                    <w:rPr>
                      <w:rFonts w:hint="eastAsia" w:eastAsia="宋体" w:cs="Times New Roman"/>
                      <w:b w:val="0"/>
                      <w:bCs w:val="0"/>
                      <w:spacing w:val="-1"/>
                      <w:sz w:val="21"/>
                      <w:szCs w:val="21"/>
                      <w:vertAlign w:val="baseline"/>
                      <w:lang w:val="en-US" w:eastAsia="zh-CN"/>
                    </w:rPr>
                    <w:t>乐山味道食品饮料产业园</w:t>
                  </w:r>
                  <w:r>
                    <w:rPr>
                      <w:rFonts w:hint="default" w:ascii="Times New Roman" w:hAnsi="Times New Roman" w:eastAsia="宋体" w:cs="Times New Roman"/>
                      <w:b w:val="0"/>
                      <w:bCs w:val="0"/>
                      <w:spacing w:val="-1"/>
                      <w:sz w:val="21"/>
                      <w:szCs w:val="21"/>
                      <w:vertAlign w:val="baseline"/>
                      <w:lang w:val="en-US" w:eastAsia="zh-CN"/>
                    </w:rPr>
                    <w:t>，不涉及生态红线</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八、创新大保护的生态环保机制政策，推动区域协同联动实行负面清单管理。长江沿线一切经济活动都要以不破坏生态环境为前提，抓紧制定产业准入负面清单，明确空间准入和环境准入的清单式管理要求。提出长江沿线限制开发和禁止开发的岸线、河段、区域、产业以及相关管理措施。不符合要求占用岸线、河段、土地和布局的产业，必须无条件退出。除在建项目外，严禁在干流及主要支流岸线1公里范围内布局新建重化工园区，严控在中上游沿岸地区新建石油化工和煤化工项目。严禁下游高污染、高排放企业向上游转移。</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项目符合乐山市重点管控单元生态环境管控要求和</w:t>
                  </w:r>
                  <w:r>
                    <w:rPr>
                      <w:rFonts w:hint="eastAsia" w:ascii="Times New Roman" w:hAnsi="Times New Roman" w:eastAsia="宋体" w:cs="Times New Roman"/>
                      <w:b w:val="0"/>
                      <w:bCs w:val="0"/>
                      <w:spacing w:val="-1"/>
                      <w:sz w:val="21"/>
                      <w:szCs w:val="21"/>
                      <w:vertAlign w:val="baseline"/>
                      <w:lang w:val="en-US" w:eastAsia="zh-CN"/>
                    </w:rPr>
                    <w:t>市中区</w:t>
                  </w:r>
                  <w:r>
                    <w:rPr>
                      <w:rFonts w:hint="default" w:ascii="Times New Roman" w:hAnsi="Times New Roman" w:eastAsia="宋体" w:cs="Times New Roman"/>
                      <w:b w:val="0"/>
                      <w:bCs w:val="0"/>
                      <w:spacing w:val="-1"/>
                      <w:sz w:val="21"/>
                      <w:szCs w:val="21"/>
                      <w:vertAlign w:val="baseline"/>
                      <w:lang w:val="en-US" w:eastAsia="zh-CN"/>
                    </w:rPr>
                    <w:t>生态环境管控要求，符合园区准入要求，不属于高污染、高排放。</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《长江保护修复攻坚战行动计划》</w:t>
                  </w: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强化生态环境空间管控，严守生态保护红线。</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w:t>
                  </w:r>
                  <w:r>
                    <w:rPr>
                      <w:rFonts w:hint="eastAsia" w:eastAsia="宋体" w:cs="Times New Roman"/>
                      <w:b w:val="0"/>
                      <w:bCs w:val="0"/>
                      <w:spacing w:val="-1"/>
                      <w:sz w:val="21"/>
                      <w:szCs w:val="21"/>
                      <w:vertAlign w:val="baseline"/>
                      <w:lang w:val="en-US" w:eastAsia="zh-CN"/>
                    </w:rPr>
                    <w:t>乐山味道食品饮料产业园</w:t>
                  </w:r>
                  <w:r>
                    <w:rPr>
                      <w:rFonts w:hint="default" w:ascii="Times New Roman" w:hAnsi="Times New Roman" w:eastAsia="宋体" w:cs="Times New Roman"/>
                      <w:b w:val="0"/>
                      <w:bCs w:val="0"/>
                      <w:spacing w:val="-1"/>
                      <w:sz w:val="21"/>
                      <w:szCs w:val="21"/>
                      <w:vertAlign w:val="baseline"/>
                      <w:lang w:val="en-US" w:eastAsia="zh-CN"/>
                    </w:rPr>
                    <w:t>，不涉及生态红线</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关闭退出，严禁污染产业、企业向长江中上游地区转移。长江干流及主要支流岸线1公里范围内不准新增化工园区，依法淘汰取缔违法违规工业园区。以长江干流、主要支流及重点湖库为重点，全面开展</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散乱污</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涉水企业综合整治，分类实施关停取缔、整合搬、提升改造等措施，依法淘汰及污染的落后产能。</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本项目为其他方便食品制造，不属于</w:t>
                  </w:r>
                  <w:r>
                    <w:rPr>
                      <w:rFonts w:hint="eastAsia"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散乱污</w:t>
                  </w:r>
                  <w:r>
                    <w:rPr>
                      <w:rFonts w:hint="eastAsia"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涉水企业。</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强化工业企业达标排放。制定造纸、焦化、氮肥、有色金属、印染、农副食品加工、原料药制造、制革、农药、电镀等十大重点行业专项治理方案，推动工业企业全面达标排放。深入推进排污许可证制度，2020年年底前，完成覆盖所有固定污染源的排污许可证核发工作。</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废气</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污染物经处理后达标排放，废水</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园区工业污水处理厂建成之前，项目废水经厂区预处理后排入</w:t>
                  </w:r>
                  <w:r>
                    <w:rPr>
                      <w:rFonts w:hint="eastAsia" w:eastAsia="宋体" w:cs="Times New Roman"/>
                      <w:b w:val="0"/>
                      <w:bCs w:val="0"/>
                      <w:spacing w:val="-1"/>
                      <w:sz w:val="21"/>
                      <w:szCs w:val="21"/>
                      <w:vertAlign w:val="baseline"/>
                      <w:lang w:val="en-US" w:eastAsia="zh-CN"/>
                    </w:rPr>
                    <w:t>全福镇污水处理厂</w:t>
                  </w:r>
                  <w:r>
                    <w:rPr>
                      <w:rFonts w:hint="default" w:ascii="Times New Roman" w:hAnsi="Times New Roman" w:eastAsia="宋体" w:cs="Times New Roman"/>
                      <w:b w:val="0"/>
                      <w:bCs w:val="0"/>
                      <w:spacing w:val="-1"/>
                      <w:sz w:val="21"/>
                      <w:szCs w:val="21"/>
                      <w:vertAlign w:val="baseline"/>
                      <w:lang w:val="en-US" w:eastAsia="zh-CN"/>
                    </w:rPr>
                    <w:t>，园区污水处理厂建成之后，项目废水排入园区污水处理厂处理。项目建成后将按照要求进行排污许可证申报。</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《长江经济带发展负面清单指南</w:t>
                  </w:r>
                  <w:r>
                    <w:rPr>
                      <w:rFonts w:hint="eastAsia"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试行），2022年版》</w:t>
                  </w: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禁止在自然保护区核心、缓冲区的岸线和河段范围内投资建设旅游和生产经营项目。禁止在风景名胜区核心景区的岸线和河段范围内投资建设与风景名胜资源保护无关的项目。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本项目位于乐山市市中区全福街道石农村，不涉及自然保护区。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w:t>
                  </w:r>
                  <w:r>
                    <w:rPr>
                      <w:rFonts w:hint="eastAsia" w:eastAsia="宋体" w:cs="Times New Roman"/>
                      <w:b w:val="0"/>
                      <w:bCs w:val="0"/>
                      <w:spacing w:val="-1"/>
                      <w:sz w:val="21"/>
                      <w:szCs w:val="21"/>
                      <w:vertAlign w:val="baseline"/>
                      <w:lang w:val="en-US" w:eastAsia="zh-CN"/>
                    </w:rPr>
                    <w:t>乐山味道食品饮料产业园</w:t>
                  </w:r>
                  <w:r>
                    <w:rPr>
                      <w:rFonts w:hint="default" w:ascii="Times New Roman" w:hAnsi="Times New Roman" w:eastAsia="宋体" w:cs="Times New Roman"/>
                      <w:b w:val="0"/>
                      <w:bCs w:val="0"/>
                      <w:spacing w:val="-1"/>
                      <w:sz w:val="21"/>
                      <w:szCs w:val="21"/>
                      <w:vertAlign w:val="baseline"/>
                      <w:lang w:val="en-US" w:eastAsia="zh-CN"/>
                    </w:rPr>
                    <w:t>，不涉及饮用水源保护区。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本项目不在水产种质资源保护区的岸线和河段范围内，不在国家湿地公园的岸线和河段范围内。</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违法利用、占用长江流域河湖岸线。禁止在《长江岸线保护和开发利用总体规划》划定的岸线保护区和保留区内投资建设除事关公共安全及公众利益的防洪护岸、河道治理、供水、生态环境保护、道整治、国家重要基础设施的项目。禁止在《全国重要江河泊水功能区划》划定的河段及湖泊保护区、保留区内投资建设不利于水资源及自然生态保护的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项目不占用长江流域河湖岸线，不在划定的岸线保护区和保留区内。</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禁止未经许可在长江干支流及湖泊新设、改设或扩大排污口。</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废水</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园区工业污水处理厂建成之前，项目废水经厂区预处理后排入</w:t>
                  </w:r>
                  <w:r>
                    <w:rPr>
                      <w:rFonts w:hint="eastAsia" w:ascii="Times New Roman" w:hAnsi="Times New Roman" w:eastAsia="宋体" w:cs="Times New Roman"/>
                      <w:b w:val="0"/>
                      <w:bCs w:val="0"/>
                      <w:spacing w:val="-1"/>
                      <w:sz w:val="21"/>
                      <w:szCs w:val="21"/>
                      <w:vertAlign w:val="baseline"/>
                      <w:lang w:val="en-US" w:eastAsia="zh-CN"/>
                    </w:rPr>
                    <w:t>全福镇污水处理厂</w:t>
                  </w:r>
                  <w:r>
                    <w:rPr>
                      <w:rFonts w:hint="default" w:ascii="Times New Roman" w:hAnsi="Times New Roman" w:eastAsia="宋体" w:cs="Times New Roman"/>
                      <w:b w:val="0"/>
                      <w:bCs w:val="0"/>
                      <w:spacing w:val="-1"/>
                      <w:sz w:val="21"/>
                      <w:szCs w:val="21"/>
                      <w:vertAlign w:val="baseline"/>
                      <w:lang w:val="en-US" w:eastAsia="zh-CN"/>
                    </w:rPr>
                    <w:t>，园区污水处理厂建成之后，项目废水排入园区污水处理厂处理</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本项目不新增排污口。</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一江一口两湖七河</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和332个水生生物保护区开展生产性捕捞。</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本项目不涉及</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长江干支流、重要湖泊岸线1公里范围内新建、扩建化工园区和化工项目。止在长江干流岸线3公里范围和重要支流岸线1公里范围内新、改建、扩建尾矿库、冶炼渣库和磷石膏库，以提升安全、生态环境保护水平为目的的改建除外。</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本项目为其他方便食品制造，不属于化工园区和化工项目，不属于尾矿库、冶炼渣库和磷石膏库。</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6" w:hRule="atLeast"/>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禁止在合规园区外新建、改建钢铁、石化、化工、焦化、建材、有色、制浆造纸等高污染项目。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本项目不属于钢铁、石化、化工、焦化、建材、有色、制浆造纸等高污染项目。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禁止新建、扩建不符合国家石化、现代煤化工等产业布局规划的项目。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本项目不涉及</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禁止新建、扩法律法规相关政策明令禁止的落后产能项目。禁止新建、扩建不符合国家产能置换要求的严重过剩产能行业的项目。禁止新建、扩建不符合要求的高耗能高排放项目。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本项目不属于落后产能及过剩产能项目，不属于高耗能高排放项目。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法律法规及相关政策文件有更加严格规定的从其规定。</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本项目不涉及。</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《四川省、重庆市长江经济带发展负面清单实施细则</w:t>
                  </w:r>
                  <w:r>
                    <w:rPr>
                      <w:rFonts w:hint="eastAsia"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试行，2022年版）》</w:t>
                  </w: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第七条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禁止在自然保护区核心区、缓冲区的岸线和河段范围内投资建设旅游和生产经营项目。自然保护区的内部未分区的，依照本实施细则核心区和缓冲区的规定管控。</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本项目位于乐山市市中区全福街道石农村乐山味道食品饮料产业园，不涉及自然保护区。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第八条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禁止违反风景名胜区规划</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在风景名胜区内设立各类开发区。禁止在风景名胜区核心景区的岸线和河段范围内建设宾馆、招待所、培训中心、疗养院以及与风景名胜资源保护无关的项目。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本项目位于乐山市市中区全福街道石农村乐山味道食品饮料产业园，不涉及风景名胜区。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第九条禁止在饮用水水源准保护区的岸线和河段范围内新建、扩建对水体污染严重的建设项目，禁止改建增加排污量的建设项目。</w:t>
                  </w:r>
                </w:p>
              </w:tc>
              <w:tc>
                <w:tcPr>
                  <w:tcW w:w="1332" w:type="pct"/>
                  <w:vMerge w:val="restar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本项目位于乐山市市中区全福街道石农村乐山味道食品饮料产业园，不涉及各级饮用水水源保护区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饮用水水源二级保护区的岸线和河段范围内</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除应遵守准保护区规定外，禁止新建、改建、扩建排放污染物的投资建设项目；禁止从事采石(砂</w:t>
                  </w:r>
                  <w:r>
                    <w:rPr>
                      <w:rFonts w:hint="eastAsia"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、对水体有污染的水产养殖等活动。</w:t>
                  </w:r>
                </w:p>
              </w:tc>
              <w:tc>
                <w:tcPr>
                  <w:tcW w:w="1332"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第十一条饮用水水源一级保护区的岸线和河段范围内</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除应遵守二级保护区规定外，禁止新建、改建、扩建与供(取）水设施和保护水源无关的项目，以及网箱养殖、畜禽养殖、旅游等可能污染饮用水水体的投资建设项目。</w:t>
                  </w:r>
                </w:p>
              </w:tc>
              <w:tc>
                <w:tcPr>
                  <w:tcW w:w="1332"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第十二条禁止在水产种质资源保护区岸线和河段范围内新建围湖造田、围湖造地或挖沙采石等投资建设项目。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w:t>
                  </w:r>
                  <w:r>
                    <w:rPr>
                      <w:rFonts w:hint="eastAsia" w:eastAsia="宋体" w:cs="Times New Roman"/>
                      <w:b w:val="0"/>
                      <w:bCs w:val="0"/>
                      <w:spacing w:val="-1"/>
                      <w:sz w:val="21"/>
                      <w:szCs w:val="21"/>
                      <w:vertAlign w:val="baseline"/>
                      <w:lang w:val="en-US" w:eastAsia="zh-CN"/>
                    </w:rPr>
                    <w:t>位于</w:t>
                  </w:r>
                  <w:r>
                    <w:rPr>
                      <w:rFonts w:hint="default" w:ascii="Times New Roman" w:hAnsi="Times New Roman" w:eastAsia="宋体" w:cs="Times New Roman"/>
                      <w:b w:val="0"/>
                      <w:bCs w:val="0"/>
                      <w:spacing w:val="-1"/>
                      <w:sz w:val="21"/>
                      <w:szCs w:val="21"/>
                      <w:vertAlign w:val="baseline"/>
                      <w:lang w:val="en-US" w:eastAsia="zh-CN"/>
                    </w:rPr>
                    <w:t>乐山味道食品饮料产业园不涉及水产种质资源保护区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第十四条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本项目不涉及岸线保护区和岸线保留区</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第十六条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禁止在长江流域江河、湖泊新设、改设或者扩大排污口</w:t>
                  </w:r>
                  <w:r>
                    <w:rPr>
                      <w:rFonts w:hint="default" w:ascii="宋体" w:hAnsi="宋体" w:eastAsia="宋体" w:cs="宋体"/>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经有管辖权的生态环境主管部门或者长江流域生态环境监督管理机构同意的除外。</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本次新建不涉及新增废水排放，本项目不新增排污口</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第十八条禁止在长江干支流、重要湖泊岸线一公里范围内新建、扩建化工园区和化工项目。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本项目不属于化工项目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第二十一条</w:t>
                  </w:r>
                  <w:r>
                    <w:rPr>
                      <w:rFonts w:hint="eastAsia" w:ascii="Times New Roman" w:hAnsi="Times New Roman" w:eastAsia="宋体" w:cs="Times New Roman"/>
                      <w:b w:val="0"/>
                      <w:bCs w:val="0"/>
                      <w:spacing w:val="-1"/>
                      <w:sz w:val="21"/>
                      <w:szCs w:val="21"/>
                      <w:vertAlign w:val="baseline"/>
                      <w:lang w:val="en-US" w:eastAsia="zh-CN"/>
                    </w:rPr>
                    <w:t>，</w:t>
                  </w:r>
                  <w:r>
                    <w:rPr>
                      <w:rFonts w:hint="default" w:ascii="Times New Roman" w:hAnsi="Times New Roman" w:eastAsia="宋体" w:cs="Times New Roman"/>
                      <w:b w:val="0"/>
                      <w:bCs w:val="0"/>
                      <w:spacing w:val="-1"/>
                      <w:sz w:val="21"/>
                      <w:szCs w:val="21"/>
                      <w:vertAlign w:val="baseline"/>
                      <w:lang w:val="en-US" w:eastAsia="zh-CN"/>
                    </w:rPr>
                    <w:t>禁止在合规园区外新建、扩建钢铁、石化、化工、焦化、建材、有色、制浆造纸等高污染项目。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本项目不属于高污染项目。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项目属于《产业结构调整指导目录》中允许类</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第二十四条禁止新建、扩建不符合国家产能置换要求的严重过剩产能行业的项目。对于不符合国家产能置换要求的严重过剩产能行业,不得以其他任何名义、任何方式备案新增产能项目。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本项目不属于落后产能及过剩产能项目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pct"/>
                  <w:vMerge w:val="continue"/>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p>
              </w:tc>
              <w:tc>
                <w:tcPr>
                  <w:tcW w:w="2436"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第二十六条禁止新建、扩建不符合要求的高耗能、高排放、低水平项目。</w:t>
                  </w:r>
                </w:p>
              </w:tc>
              <w:tc>
                <w:tcPr>
                  <w:tcW w:w="133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本项目不属于高耗能高排放项目。</w:t>
                  </w:r>
                </w:p>
              </w:tc>
              <w:tc>
                <w:tcPr>
                  <w:tcW w:w="465"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spacing w:val="-1"/>
                      <w:sz w:val="21"/>
                      <w:szCs w:val="21"/>
                      <w:vertAlign w:val="baseline"/>
                      <w:lang w:val="en-US" w:eastAsia="zh-CN"/>
                    </w:rPr>
                  </w:pPr>
                  <w:r>
                    <w:rPr>
                      <w:rFonts w:hint="default" w:ascii="Times New Roman" w:hAnsi="Times New Roman" w:eastAsia="宋体" w:cs="Times New Roman"/>
                      <w:b w:val="0"/>
                      <w:bCs w:val="0"/>
                      <w:spacing w:val="-1"/>
                      <w:sz w:val="21"/>
                      <w:szCs w:val="21"/>
                      <w:vertAlign w:val="baseline"/>
                      <w:lang w:val="en-US" w:eastAsia="zh-CN"/>
                    </w:rPr>
                    <w:t>符合</w:t>
                  </w:r>
                </w:p>
              </w:tc>
            </w:tr>
          </w:tbl>
          <w:p>
            <w:pPr>
              <w:pStyle w:val="341"/>
              <w:spacing w:before="13" w:line="360" w:lineRule="auto"/>
              <w:ind w:left="99" w:right="103" w:firstLine="420"/>
              <w:jc w:val="both"/>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rPr>
              <w:t>综上，本项目《长江经济带生态环境保护规划》</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环规财</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2017</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6"/>
                <w:sz w:val="24"/>
                <w:szCs w:val="24"/>
              </w:rPr>
              <w:t>88号）、《长江保护修复攻坚战行动</w:t>
            </w:r>
            <w:r>
              <w:rPr>
                <w:rFonts w:hint="default" w:ascii="Times New Roman" w:hAnsi="Times New Roman" w:eastAsia="宋体" w:cs="Times New Roman"/>
                <w:spacing w:val="7"/>
                <w:sz w:val="24"/>
                <w:szCs w:val="24"/>
              </w:rPr>
              <w:t>计划》</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环水体</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2018</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181号）、《长江经济带发展负面清单指南</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试行</w:t>
            </w:r>
            <w:r>
              <w:rPr>
                <w:rFonts w:hint="default" w:ascii="Times New Roman" w:hAnsi="Times New Roman" w:eastAsia="宋体" w:cs="Times New Roman"/>
                <w:spacing w:val="-10"/>
                <w:sz w:val="24"/>
                <w:szCs w:val="24"/>
              </w:rPr>
              <w:t>），</w:t>
            </w:r>
            <w:r>
              <w:rPr>
                <w:rFonts w:hint="default" w:ascii="Times New Roman" w:hAnsi="Times New Roman" w:eastAsia="宋体" w:cs="Times New Roman"/>
                <w:spacing w:val="7"/>
                <w:sz w:val="24"/>
                <w:szCs w:val="24"/>
              </w:rPr>
              <w:t>2022年版》及《四川省、重庆市长江经济带发展负面清单实施细则</w:t>
            </w:r>
            <w:r>
              <w:rPr>
                <w:rFonts w:hint="eastAsia"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试行，</w:t>
            </w:r>
            <w:r>
              <w:rPr>
                <w:rFonts w:hint="default" w:ascii="Times New Roman" w:hAnsi="Times New Roman" w:eastAsia="宋体" w:cs="Times New Roman"/>
                <w:spacing w:val="6"/>
                <w:sz w:val="24"/>
                <w:szCs w:val="24"/>
              </w:rPr>
              <w:t>2022年版）》相关文件要求。</w:t>
            </w:r>
          </w:p>
          <w:p>
            <w:pPr>
              <w:pStyle w:val="341"/>
              <w:spacing w:line="360" w:lineRule="auto"/>
              <w:ind w:left="521"/>
              <w:rPr>
                <w:rFonts w:hint="default" w:ascii="Times New Roman" w:hAnsi="Times New Roman" w:eastAsia="宋体" w:cs="Times New Roman"/>
                <w:sz w:val="24"/>
                <w:szCs w:val="24"/>
              </w:rPr>
            </w:pPr>
            <w:r>
              <w:rPr>
                <w:rFonts w:hint="default" w:ascii="Times New Roman" w:hAnsi="Times New Roman" w:eastAsia="宋体" w:cs="Times New Roman"/>
                <w:b/>
                <w:bCs/>
                <w:spacing w:val="-1"/>
                <w:kern w:val="2"/>
                <w:sz w:val="24"/>
                <w:szCs w:val="24"/>
                <w:vertAlign w:val="baseline"/>
                <w:lang w:val="en-US" w:eastAsia="zh-CN" w:bidi="ar-SA"/>
              </w:rPr>
              <w:t>六、</w:t>
            </w:r>
            <w:r>
              <w:rPr>
                <w:rFonts w:hint="default" w:ascii="Times New Roman" w:hAnsi="Times New Roman" w:eastAsia="宋体" w:cs="Times New Roman"/>
                <w:b/>
                <w:bCs/>
                <w:spacing w:val="8"/>
                <w:sz w:val="24"/>
                <w:szCs w:val="24"/>
              </w:rPr>
              <w:t>与《食品生产通用卫生规范》符合性分析</w:t>
            </w:r>
          </w:p>
          <w:p>
            <w:pPr>
              <w:numPr>
                <w:ilvl w:val="0"/>
                <w:numId w:val="0"/>
              </w:numPr>
              <w:autoSpaceDE w:val="0"/>
              <w:autoSpaceDN w:val="0"/>
              <w:adjustRightInd w:val="0"/>
              <w:snapToGrid w:val="0"/>
              <w:spacing w:line="360" w:lineRule="auto"/>
              <w:ind w:firstLine="516" w:firstLineChars="200"/>
              <w:jc w:val="left"/>
              <w:rPr>
                <w:rFonts w:hint="default" w:ascii="Times New Roman" w:hAnsi="Times New Roman" w:eastAsia="宋体" w:cs="Times New Roman"/>
                <w:spacing w:val="8"/>
                <w:sz w:val="24"/>
                <w:szCs w:val="24"/>
              </w:rPr>
            </w:pPr>
            <w:r>
              <w:rPr>
                <w:rFonts w:hint="default" w:ascii="Times New Roman" w:hAnsi="Times New Roman" w:eastAsia="宋体" w:cs="Times New Roman"/>
                <w:spacing w:val="9"/>
                <w:sz w:val="24"/>
                <w:szCs w:val="24"/>
              </w:rPr>
              <w:t>本项目与《食品生产通用卫生规范》</w:t>
            </w:r>
            <w:r>
              <w:rPr>
                <w:rFonts w:hint="eastAsia" w:cs="Times New Roman"/>
                <w:spacing w:val="9"/>
                <w:sz w:val="24"/>
                <w:szCs w:val="24"/>
                <w:lang w:eastAsia="zh-CN"/>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9"/>
                <w:sz w:val="24"/>
                <w:szCs w:val="24"/>
              </w:rPr>
              <w:t>14881-2013）对食品企业选址的要求对照</w:t>
            </w:r>
            <w:r>
              <w:rPr>
                <w:rFonts w:hint="default" w:ascii="Times New Roman" w:hAnsi="Times New Roman" w:eastAsia="宋体" w:cs="Times New Roman"/>
                <w:spacing w:val="8"/>
                <w:sz w:val="24"/>
                <w:szCs w:val="24"/>
              </w:rPr>
              <w:t>分析详见下表。</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
                <w:kern w:val="2"/>
                <w:sz w:val="21"/>
                <w:szCs w:val="21"/>
                <w:vertAlign w:val="baseline"/>
                <w:lang w:val="en-US" w:eastAsia="zh-CN" w:bidi="ar-SA"/>
              </w:rPr>
            </w:pPr>
            <w:r>
              <w:rPr>
                <w:rFonts w:hint="default" w:ascii="Times New Roman" w:hAnsi="Times New Roman" w:eastAsia="宋体" w:cs="Times New Roman"/>
                <w:b/>
                <w:bCs/>
                <w:spacing w:val="-1"/>
                <w:kern w:val="2"/>
                <w:sz w:val="21"/>
                <w:szCs w:val="21"/>
                <w:vertAlign w:val="baseline"/>
                <w:lang w:val="en-US" w:eastAsia="zh-CN" w:bidi="ar-SA"/>
              </w:rPr>
              <w:t>表1-</w:t>
            </w:r>
            <w:r>
              <w:rPr>
                <w:rFonts w:hint="eastAsia" w:ascii="Times New Roman" w:hAnsi="Times New Roman" w:eastAsia="宋体" w:cs="Times New Roman"/>
                <w:b/>
                <w:bCs/>
                <w:spacing w:val="-1"/>
                <w:kern w:val="2"/>
                <w:sz w:val="21"/>
                <w:szCs w:val="21"/>
                <w:vertAlign w:val="baseline"/>
                <w:lang w:val="en-US" w:eastAsia="zh-CN" w:bidi="ar-SA"/>
              </w:rPr>
              <w:t xml:space="preserve">5  </w:t>
            </w:r>
            <w:r>
              <w:rPr>
                <w:rFonts w:hint="default" w:ascii="Times New Roman" w:hAnsi="Times New Roman" w:eastAsia="宋体" w:cs="Times New Roman"/>
                <w:b/>
                <w:bCs/>
                <w:spacing w:val="-1"/>
                <w:kern w:val="2"/>
                <w:sz w:val="21"/>
                <w:szCs w:val="21"/>
                <w:vertAlign w:val="baseline"/>
                <w:lang w:val="en-US" w:eastAsia="zh-CN" w:bidi="ar-SA"/>
              </w:rPr>
              <w:t>项目与</w:t>
            </w:r>
            <w:r>
              <w:rPr>
                <w:rFonts w:hint="eastAsia" w:ascii="Times New Roman" w:hAnsi="Times New Roman" w:eastAsia="宋体" w:cs="Times New Roman"/>
                <w:b/>
                <w:bCs/>
                <w:spacing w:val="-1"/>
                <w:kern w:val="2"/>
                <w:sz w:val="21"/>
                <w:szCs w:val="21"/>
                <w:vertAlign w:val="baseline"/>
                <w:lang w:val="en-US" w:eastAsia="zh-CN" w:bidi="ar-SA"/>
              </w:rPr>
              <w:t>食品生产通用卫生规范</w:t>
            </w:r>
            <w:r>
              <w:rPr>
                <w:rFonts w:hint="default" w:ascii="Times New Roman" w:hAnsi="Times New Roman" w:eastAsia="宋体" w:cs="Times New Roman"/>
                <w:b/>
                <w:bCs/>
                <w:spacing w:val="-1"/>
                <w:kern w:val="2"/>
                <w:sz w:val="21"/>
                <w:szCs w:val="21"/>
                <w:vertAlign w:val="baseline"/>
                <w:lang w:val="en-US" w:eastAsia="zh-CN" w:bidi="ar-SA"/>
              </w:rPr>
              <w:t>的符合性分析表</w:t>
            </w:r>
          </w:p>
          <w:tbl>
            <w:tblPr>
              <w:tblStyle w:val="42"/>
              <w:tblW w:w="7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969"/>
              <w:gridCol w:w="2618"/>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000000" w:sz="12" w:space="0"/>
                    <w:left w:val="nil"/>
                    <w:tl2br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8"/>
                      <w:sz w:val="21"/>
                      <w:szCs w:val="21"/>
                      <w:vertAlign w:val="baseline"/>
                      <w:lang w:val="en-US" w:eastAsia="zh-CN"/>
                    </w:rPr>
                  </w:pPr>
                  <w:r>
                    <w:rPr>
                      <w:rFonts w:hint="default" w:ascii="Times New Roman" w:hAnsi="Times New Roman" w:eastAsia="宋体" w:cs="Times New Roman"/>
                      <w:b/>
                      <w:bCs w:val="0"/>
                      <w:color w:val="000000"/>
                      <w:spacing w:val="8"/>
                      <w:sz w:val="21"/>
                      <w:szCs w:val="21"/>
                      <w:vertAlign w:val="baseline"/>
                      <w:lang w:val="en-US" w:eastAsia="zh-CN"/>
                    </w:rPr>
                    <w:t>序号</w:t>
                  </w:r>
                </w:p>
              </w:tc>
              <w:tc>
                <w:tcPr>
                  <w:tcW w:w="2072" w:type="pct"/>
                  <w:tcBorders>
                    <w:top w:val="single" w:color="000000"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8"/>
                      <w:sz w:val="21"/>
                      <w:szCs w:val="21"/>
                      <w:vertAlign w:val="baseline"/>
                      <w:lang w:val="en-US" w:eastAsia="zh-CN"/>
                    </w:rPr>
                  </w:pPr>
                  <w:r>
                    <w:rPr>
                      <w:rFonts w:hint="default" w:ascii="Times New Roman" w:hAnsi="Times New Roman" w:eastAsia="宋体" w:cs="Times New Roman"/>
                      <w:b/>
                      <w:bCs w:val="0"/>
                      <w:color w:val="000000"/>
                      <w:spacing w:val="1"/>
                      <w:sz w:val="21"/>
                      <w:szCs w:val="21"/>
                    </w:rPr>
                    <w:t>《食品生产通用卫生规范》要求</w:t>
                  </w:r>
                </w:p>
              </w:tc>
              <w:tc>
                <w:tcPr>
                  <w:tcW w:w="1827" w:type="pct"/>
                  <w:tcBorders>
                    <w:top w:val="single" w:color="000000"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8"/>
                      <w:sz w:val="21"/>
                      <w:szCs w:val="21"/>
                      <w:vertAlign w:val="baseline"/>
                      <w:lang w:val="en-US" w:eastAsia="zh-CN"/>
                    </w:rPr>
                  </w:pPr>
                  <w:r>
                    <w:rPr>
                      <w:rFonts w:hint="default" w:ascii="Times New Roman" w:hAnsi="Times New Roman" w:eastAsia="宋体" w:cs="Times New Roman"/>
                      <w:b/>
                      <w:bCs w:val="0"/>
                      <w:color w:val="000000"/>
                      <w:sz w:val="21"/>
                      <w:szCs w:val="21"/>
                    </w:rPr>
                    <w:t>本项目情况</w:t>
                  </w:r>
                </w:p>
              </w:tc>
              <w:tc>
                <w:tcPr>
                  <w:tcW w:w="631" w:type="pct"/>
                  <w:tcBorders>
                    <w:top w:val="single" w:color="000000" w:sz="12" w:space="0"/>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8"/>
                      <w:sz w:val="21"/>
                      <w:szCs w:val="21"/>
                      <w:vertAlign w:val="baseline"/>
                      <w:lang w:val="en-US" w:eastAsia="zh-CN"/>
                    </w:rPr>
                  </w:pPr>
                  <w:r>
                    <w:rPr>
                      <w:rFonts w:hint="default" w:ascii="Times New Roman" w:hAnsi="Times New Roman" w:eastAsia="宋体" w:cs="Times New Roman"/>
                      <w:b/>
                      <w:bCs w:val="0"/>
                      <w:color w:val="000000"/>
                      <w:spacing w:val="8"/>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lef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bCs w:val="0"/>
                      <w:color w:val="000000"/>
                      <w:spacing w:val="8"/>
                      <w:sz w:val="21"/>
                      <w:szCs w:val="21"/>
                      <w:vertAlign w:val="baseline"/>
                      <w:lang w:val="en-US" w:eastAsia="zh-CN"/>
                    </w:rPr>
                    <w:t>1</w:t>
                  </w:r>
                </w:p>
              </w:tc>
              <w:tc>
                <w:tcPr>
                  <w:tcW w:w="207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厂区不应选择对食品有显著污染的区域。如某地对食品安全和食品宜食用性存在明显的不利影响，且无法通过采取措施加以改善，应避免在该地址建厂</w:t>
                  </w:r>
                </w:p>
              </w:tc>
              <w:tc>
                <w:tcPr>
                  <w:tcW w:w="1827"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本项目位于乐山市市中区全福街道</w:t>
                  </w:r>
                  <w:r>
                    <w:rPr>
                      <w:rFonts w:hint="default" w:ascii="Times New Roman" w:hAnsi="Times New Roman" w:eastAsia="宋体" w:cs="Times New Roman"/>
                      <w:b w:val="0"/>
                      <w:color w:val="000000"/>
                      <w:spacing w:val="-4"/>
                      <w:sz w:val="21"/>
                      <w:szCs w:val="21"/>
                    </w:rPr>
                    <w:t>石农村，拟引进的项目均为食品加工</w:t>
                  </w:r>
                  <w:r>
                    <w:rPr>
                      <w:rFonts w:hint="default" w:ascii="Times New Roman" w:hAnsi="Times New Roman" w:eastAsia="宋体" w:cs="Times New Roman"/>
                      <w:b w:val="0"/>
                      <w:color w:val="000000"/>
                      <w:spacing w:val="-1"/>
                      <w:sz w:val="21"/>
                      <w:szCs w:val="21"/>
                    </w:rPr>
                    <w:t>企业，不会对食品造成显著污染。</w:t>
                  </w:r>
                </w:p>
              </w:tc>
              <w:tc>
                <w:tcPr>
                  <w:tcW w:w="63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eastAsia" w:ascii="Times New Roman" w:hAnsi="Times New Roman" w:eastAsia="宋体" w:cs="Times New Roman"/>
                      <w:b w:val="0"/>
                      <w:bCs w:val="0"/>
                      <w:color w:val="000000"/>
                      <w:spacing w:val="8"/>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lef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bCs w:val="0"/>
                      <w:color w:val="000000"/>
                      <w:spacing w:val="8"/>
                      <w:sz w:val="21"/>
                      <w:szCs w:val="21"/>
                      <w:vertAlign w:val="baseline"/>
                      <w:lang w:val="en-US" w:eastAsia="zh-CN"/>
                    </w:rPr>
                    <w:t>2</w:t>
                  </w:r>
                </w:p>
              </w:tc>
              <w:tc>
                <w:tcPr>
                  <w:tcW w:w="207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厂区不应选择有害废弃物以及粉尘、有害气体、放射性物质和其他扩散性污染源不能有效清除的地址；</w:t>
                  </w:r>
                </w:p>
              </w:tc>
              <w:tc>
                <w:tcPr>
                  <w:tcW w:w="1827"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本项目位于乐山市市中区全福街道</w:t>
                  </w:r>
                  <w:r>
                    <w:rPr>
                      <w:rFonts w:hint="default" w:ascii="Times New Roman" w:hAnsi="Times New Roman" w:eastAsia="宋体" w:cs="Times New Roman"/>
                      <w:b w:val="0"/>
                      <w:color w:val="000000"/>
                      <w:spacing w:val="-4"/>
                      <w:sz w:val="21"/>
                      <w:szCs w:val="21"/>
                    </w:rPr>
                    <w:t>石农村，周边拟引进的项目均为食品</w:t>
                  </w:r>
                  <w:r>
                    <w:rPr>
                      <w:rFonts w:hint="default" w:ascii="Times New Roman" w:hAnsi="Times New Roman" w:eastAsia="宋体" w:cs="Times New Roman"/>
                      <w:b w:val="0"/>
                      <w:color w:val="000000"/>
                      <w:spacing w:val="-1"/>
                      <w:sz w:val="21"/>
                      <w:szCs w:val="21"/>
                    </w:rPr>
                    <w:t>加工企业并采取相应的污染治理措</w:t>
                  </w:r>
                  <w:r>
                    <w:rPr>
                      <w:rFonts w:hint="default" w:ascii="Times New Roman" w:hAnsi="Times New Roman" w:eastAsia="宋体" w:cs="Times New Roman"/>
                      <w:b w:val="0"/>
                      <w:color w:val="000000"/>
                      <w:spacing w:val="-2"/>
                      <w:sz w:val="21"/>
                      <w:szCs w:val="21"/>
                    </w:rPr>
                    <w:t>施。</w:t>
                  </w:r>
                </w:p>
              </w:tc>
              <w:tc>
                <w:tcPr>
                  <w:tcW w:w="63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eastAsia" w:ascii="Times New Roman" w:hAnsi="Times New Roman" w:eastAsia="宋体" w:cs="Times New Roman"/>
                      <w:b w:val="0"/>
                      <w:bCs w:val="0"/>
                      <w:color w:val="000000"/>
                      <w:spacing w:val="8"/>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lef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bCs w:val="0"/>
                      <w:color w:val="000000"/>
                      <w:spacing w:val="8"/>
                      <w:sz w:val="21"/>
                      <w:szCs w:val="21"/>
                      <w:vertAlign w:val="baseline"/>
                      <w:lang w:val="en-US" w:eastAsia="zh-CN"/>
                    </w:rPr>
                    <w:t>3</w:t>
                  </w:r>
                </w:p>
              </w:tc>
              <w:tc>
                <w:tcPr>
                  <w:tcW w:w="2072"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厂区不宜择易发生洪涝灾害的地区，难</w:t>
                  </w:r>
                  <w:r>
                    <w:rPr>
                      <w:rFonts w:hint="default" w:ascii="Times New Roman" w:hAnsi="Times New Roman" w:eastAsia="宋体" w:cs="Times New Roman"/>
                      <w:b w:val="0"/>
                      <w:color w:val="000000"/>
                      <w:spacing w:val="-2"/>
                      <w:sz w:val="21"/>
                      <w:szCs w:val="21"/>
                    </w:rPr>
                    <w:t>以避开时应设计必要的防范措施。</w:t>
                  </w:r>
                </w:p>
              </w:tc>
              <w:tc>
                <w:tcPr>
                  <w:tcW w:w="1827" w:type="pct"/>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4"/>
                      <w:sz w:val="21"/>
                      <w:szCs w:val="21"/>
                    </w:rPr>
                    <w:t>厂址周边无地表水体、排洪沟，不在</w:t>
                  </w:r>
                  <w:r>
                    <w:rPr>
                      <w:rFonts w:hint="default" w:ascii="Times New Roman" w:hAnsi="Times New Roman" w:eastAsia="宋体" w:cs="Times New Roman"/>
                      <w:b w:val="0"/>
                      <w:color w:val="000000"/>
                      <w:spacing w:val="-5"/>
                      <w:sz w:val="21"/>
                      <w:szCs w:val="21"/>
                    </w:rPr>
                    <w:t>山谷中，厂区所在地域不易发生洪涝</w:t>
                  </w:r>
                  <w:r>
                    <w:rPr>
                      <w:rFonts w:hint="default" w:ascii="Times New Roman" w:hAnsi="Times New Roman" w:eastAsia="宋体" w:cs="Times New Roman"/>
                      <w:b w:val="0"/>
                      <w:color w:val="000000"/>
                      <w:spacing w:val="-5"/>
                      <w:sz w:val="21"/>
                      <w:szCs w:val="21"/>
                      <w:lang w:val="en-US" w:eastAsia="zh-CN"/>
                    </w:rPr>
                    <w:t>灾害</w:t>
                  </w:r>
                </w:p>
              </w:tc>
              <w:tc>
                <w:tcPr>
                  <w:tcW w:w="631" w:type="pct"/>
                  <w:tcBorders>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eastAsia" w:ascii="Times New Roman" w:hAnsi="Times New Roman" w:eastAsia="宋体" w:cs="Times New Roman"/>
                      <w:b w:val="0"/>
                      <w:bCs w:val="0"/>
                      <w:color w:val="000000"/>
                      <w:spacing w:val="8"/>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left w:val="nil"/>
                    <w:bottom w:val="single" w:color="000000"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bCs w:val="0"/>
                      <w:color w:val="000000"/>
                      <w:spacing w:val="8"/>
                      <w:sz w:val="21"/>
                      <w:szCs w:val="21"/>
                      <w:vertAlign w:val="baseline"/>
                      <w:lang w:val="en-US" w:eastAsia="zh-CN"/>
                    </w:rPr>
                    <w:t>4</w:t>
                  </w:r>
                </w:p>
              </w:tc>
              <w:tc>
                <w:tcPr>
                  <w:tcW w:w="2072" w:type="pct"/>
                  <w:tcBorders>
                    <w:bottom w:val="single" w:color="000000" w:sz="12" w:space="0"/>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1"/>
                      <w:sz w:val="21"/>
                      <w:szCs w:val="21"/>
                    </w:rPr>
                    <w:t>厂区周围不宜有虫害大量滋生的潜在场</w:t>
                  </w:r>
                  <w:r>
                    <w:rPr>
                      <w:rFonts w:hint="default" w:ascii="Times New Roman" w:hAnsi="Times New Roman" w:eastAsia="宋体" w:cs="Times New Roman"/>
                      <w:b w:val="0"/>
                      <w:color w:val="000000"/>
                      <w:spacing w:val="-3"/>
                      <w:sz w:val="21"/>
                      <w:szCs w:val="21"/>
                    </w:rPr>
                    <w:t>所，难以避开时应设计必要的防范措施</w:t>
                  </w:r>
                </w:p>
              </w:tc>
              <w:tc>
                <w:tcPr>
                  <w:tcW w:w="1827" w:type="pct"/>
                  <w:tcBorders>
                    <w:bottom w:val="single" w:color="000000" w:sz="12" w:space="0"/>
                  </w:tcBorders>
                  <w:noWrap w:val="0"/>
                  <w:vAlign w:val="center"/>
                </w:tcPr>
                <w:p>
                  <w:pPr>
                    <w:pStyle w:val="341"/>
                    <w:keepNext w:val="0"/>
                    <w:keepLines w:val="0"/>
                    <w:pageBreakBefore w:val="0"/>
                    <w:widowControl w:val="0"/>
                    <w:kinsoku/>
                    <w:wordWrap/>
                    <w:overflowPunct/>
                    <w:topLinePunct w:val="0"/>
                    <w:bidi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default" w:ascii="Times New Roman" w:hAnsi="Times New Roman" w:eastAsia="宋体" w:cs="Times New Roman"/>
                      <w:b w:val="0"/>
                      <w:color w:val="000000"/>
                      <w:spacing w:val="7"/>
                      <w:sz w:val="21"/>
                      <w:szCs w:val="21"/>
                    </w:rPr>
                    <w:t>项目位于乐山市市中区全福街道石农</w:t>
                  </w:r>
                  <w:r>
                    <w:rPr>
                      <w:rFonts w:hint="default" w:ascii="Times New Roman" w:hAnsi="Times New Roman" w:eastAsia="宋体" w:cs="Times New Roman"/>
                      <w:b w:val="0"/>
                      <w:color w:val="000000"/>
                      <w:spacing w:val="5"/>
                      <w:sz w:val="21"/>
                      <w:szCs w:val="21"/>
                    </w:rPr>
                    <w:t>村，属于嘉州食品饮料加工产业园，项目</w:t>
                  </w:r>
                  <w:r>
                    <w:rPr>
                      <w:rFonts w:hint="default" w:ascii="Times New Roman" w:hAnsi="Times New Roman" w:eastAsia="宋体" w:cs="Times New Roman"/>
                      <w:b w:val="0"/>
                      <w:color w:val="000000"/>
                      <w:spacing w:val="9"/>
                      <w:sz w:val="21"/>
                      <w:szCs w:val="21"/>
                    </w:rPr>
                    <w:t>按照《食品加工厂虫害控制管理规范》采</w:t>
                  </w:r>
                  <w:r>
                    <w:rPr>
                      <w:rFonts w:hint="default" w:ascii="Times New Roman" w:hAnsi="Times New Roman" w:eastAsia="宋体" w:cs="Times New Roman"/>
                      <w:b w:val="0"/>
                      <w:color w:val="000000"/>
                      <w:spacing w:val="8"/>
                      <w:sz w:val="21"/>
                      <w:szCs w:val="21"/>
                    </w:rPr>
                    <w:t>取了相应范围措施。</w:t>
                  </w:r>
                </w:p>
              </w:tc>
              <w:tc>
                <w:tcPr>
                  <w:tcW w:w="631" w:type="pct"/>
                  <w:tcBorders>
                    <w:bottom w:val="single" w:color="000000" w:sz="12" w:space="0"/>
                    <w:right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val="0"/>
                      <w:color w:val="000000"/>
                      <w:spacing w:val="8"/>
                      <w:sz w:val="21"/>
                      <w:szCs w:val="21"/>
                      <w:vertAlign w:val="baseline"/>
                      <w:lang w:val="en-US" w:eastAsia="zh-CN"/>
                    </w:rPr>
                  </w:pPr>
                  <w:r>
                    <w:rPr>
                      <w:rFonts w:hint="eastAsia" w:ascii="Times New Roman" w:hAnsi="Times New Roman" w:eastAsia="宋体" w:cs="Times New Roman"/>
                      <w:b w:val="0"/>
                      <w:bCs w:val="0"/>
                      <w:color w:val="000000"/>
                      <w:spacing w:val="8"/>
                      <w:sz w:val="21"/>
                      <w:szCs w:val="21"/>
                      <w:vertAlign w:val="baseline"/>
                      <w:lang w:val="en-US" w:eastAsia="zh-CN"/>
                    </w:rPr>
                    <w:t>符合</w:t>
                  </w:r>
                </w:p>
              </w:tc>
            </w:tr>
          </w:tbl>
          <w:p>
            <w:pPr>
              <w:pStyle w:val="341"/>
              <w:spacing w:before="4" w:line="232" w:lineRule="auto"/>
              <w:ind w:firstLine="512" w:firstLineChars="200"/>
              <w:jc w:val="left"/>
              <w:rPr>
                <w:rFonts w:hint="eastAsia" w:ascii="宋体" w:hAnsi="宋体" w:eastAsia="宋体" w:cs="宋体"/>
                <w:sz w:val="24"/>
                <w:szCs w:val="24"/>
              </w:rPr>
            </w:pPr>
            <w:r>
              <w:rPr>
                <w:rFonts w:hint="default" w:ascii="Times New Roman" w:hAnsi="Times New Roman" w:eastAsia="宋体" w:cs="Times New Roman"/>
                <w:spacing w:val="8"/>
                <w:sz w:val="24"/>
                <w:szCs w:val="24"/>
              </w:rPr>
              <w:t>项目建设符合《食品生产通用卫生规范》</w:t>
            </w:r>
            <w:r>
              <w:rPr>
                <w:rFonts w:hint="eastAsia" w:ascii="Times New Roman" w:hAnsi="Times New Roman" w:eastAsia="宋体" w:cs="Times New Roman"/>
                <w:spacing w:val="8"/>
                <w:sz w:val="24"/>
                <w:szCs w:val="24"/>
                <w:lang w:eastAsia="zh-CN"/>
              </w:rPr>
              <w:t>（</w:t>
            </w:r>
            <w:r>
              <w:rPr>
                <w:rFonts w:hint="default" w:ascii="Times New Roman" w:hAnsi="Times New Roman" w:eastAsia="宋体" w:cs="Times New Roman"/>
                <w:sz w:val="24"/>
                <w:szCs w:val="24"/>
              </w:rPr>
              <w:t>GB</w:t>
            </w:r>
            <w:r>
              <w:rPr>
                <w:rFonts w:hint="default" w:ascii="Times New Roman" w:hAnsi="Times New Roman" w:eastAsia="宋体" w:cs="Times New Roman"/>
                <w:spacing w:val="8"/>
                <w:sz w:val="24"/>
                <w:szCs w:val="24"/>
              </w:rPr>
              <w:t>14881-2013）相关要求</w:t>
            </w:r>
            <w:r>
              <w:rPr>
                <w:rFonts w:hint="eastAsia" w:ascii="宋体" w:hAnsi="宋体" w:eastAsia="宋体" w:cs="宋体"/>
                <w:spacing w:val="8"/>
                <w:sz w:val="24"/>
                <w:szCs w:val="24"/>
              </w:rPr>
              <w:t>。</w:t>
            </w:r>
          </w:p>
          <w:p>
            <w:pPr>
              <w:numPr>
                <w:ilvl w:val="0"/>
                <w:numId w:val="0"/>
              </w:numPr>
              <w:autoSpaceDE w:val="0"/>
              <w:autoSpaceDN w:val="0"/>
              <w:adjustRightInd w:val="0"/>
              <w:snapToGrid w:val="0"/>
              <w:spacing w:line="360" w:lineRule="auto"/>
              <w:ind w:firstLine="514" w:firstLineChars="200"/>
              <w:jc w:val="left"/>
              <w:rPr>
                <w:rFonts w:hint="eastAsia"/>
                <w:b/>
                <w:bCs/>
                <w:spacing w:val="8"/>
                <w:sz w:val="24"/>
                <w:szCs w:val="24"/>
                <w:lang w:val="en-US" w:eastAsia="zh-CN"/>
              </w:rPr>
            </w:pPr>
            <w:r>
              <w:rPr>
                <w:rFonts w:hint="eastAsia"/>
                <w:b/>
                <w:bCs/>
                <w:spacing w:val="8"/>
                <w:kern w:val="2"/>
                <w:sz w:val="24"/>
                <w:szCs w:val="24"/>
                <w:lang w:val="en-US" w:eastAsia="zh-CN" w:bidi="ar-SA"/>
              </w:rPr>
              <w:t>七、</w:t>
            </w:r>
            <w:r>
              <w:rPr>
                <w:rFonts w:hint="eastAsia"/>
                <w:b/>
                <w:bCs/>
                <w:spacing w:val="8"/>
                <w:sz w:val="24"/>
                <w:szCs w:val="24"/>
                <w:lang w:val="en-US" w:eastAsia="zh-CN"/>
              </w:rPr>
              <w:t>生态环境分区管控符合性分析</w:t>
            </w:r>
          </w:p>
          <w:p>
            <w:pPr>
              <w:keepNext w:val="0"/>
              <w:keepLines w:val="0"/>
              <w:widowControl/>
              <w:suppressLineNumbers w:val="0"/>
              <w:spacing w:line="360" w:lineRule="auto"/>
              <w:ind w:firstLine="514"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spacing w:val="8"/>
                <w:sz w:val="24"/>
                <w:szCs w:val="24"/>
                <w:lang w:val="en-US" w:eastAsia="zh-CN"/>
              </w:rPr>
              <w:t>1、</w:t>
            </w:r>
            <w:r>
              <w:rPr>
                <w:rFonts w:hint="default" w:ascii="Times New Roman" w:hAnsi="Times New Roman" w:eastAsia="宋体" w:cs="Times New Roman"/>
                <w:b/>
                <w:bCs/>
                <w:color w:val="000000"/>
                <w:kern w:val="0"/>
                <w:sz w:val="24"/>
                <w:szCs w:val="24"/>
                <w:lang w:val="en-US" w:eastAsia="zh-CN" w:bidi="ar"/>
              </w:rPr>
              <w:t>与乐山市生态环境分区管控文件符合性分析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根据乐山市人民政府《关于印发乐山市生态环境分区管控方案</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2023年版）的通知》</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乐府发</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10号），乐山市共划定环境综合管控单元64，其中优先保护单元26个，重点管控单元一共33个，一般控单元5个。乐山市环境管控单元分布图如下所示：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left"/>
              <w:textAlignment w:val="auto"/>
              <w:rPr>
                <w:rFonts w:hint="default"/>
                <w:spacing w:val="8"/>
                <w:sz w:val="21"/>
                <w:szCs w:val="21"/>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2416810</wp:posOffset>
                      </wp:positionH>
                      <wp:positionV relativeFrom="paragraph">
                        <wp:posOffset>643890</wp:posOffset>
                      </wp:positionV>
                      <wp:extent cx="701675" cy="290830"/>
                      <wp:effectExtent l="4445" t="4445" r="17780" b="85725"/>
                      <wp:wrapNone/>
                      <wp:docPr id="9" name="圆角矩形标注 9"/>
                      <wp:cNvGraphicFramePr/>
                      <a:graphic xmlns:a="http://schemas.openxmlformats.org/drawingml/2006/main">
                        <a:graphicData uri="http://schemas.microsoft.com/office/word/2010/wordprocessingShape">
                          <wps:wsp>
                            <wps:cNvSpPr/>
                            <wps:spPr>
                              <a:xfrm>
                                <a:off x="0" y="0"/>
                                <a:ext cx="701675" cy="290830"/>
                              </a:xfrm>
                              <a:prstGeom prst="wedgeRoundRectCallout">
                                <a:avLst>
                                  <a:gd name="adj1" fmla="val -43750"/>
                                  <a:gd name="adj2" fmla="val 70000"/>
                                  <a:gd name="adj3" fmla="val 16667"/>
                                </a:avLst>
                              </a:prstGeom>
                              <a:noFill/>
                              <a:ln w="9525" cap="flat" cmpd="sng">
                                <a:solidFill>
                                  <a:srgbClr val="FF0000"/>
                                </a:solidFill>
                                <a:prstDash val="solid"/>
                                <a:miter/>
                                <a:headEnd type="none" w="med" len="med"/>
                                <a:tailEnd type="none" w="med" len="med"/>
                              </a:ln>
                            </wps:spPr>
                            <wps:txbx>
                              <w:txbxContent>
                                <w:p>
                                  <w:pPr>
                                    <w:rPr>
                                      <w:rFonts w:hint="eastAsia" w:eastAsia="宋体"/>
                                      <w:color w:val="FF0000"/>
                                      <w:lang w:val="en-US" w:eastAsia="zh-CN"/>
                                    </w:rPr>
                                  </w:pPr>
                                  <w:r>
                                    <w:rPr>
                                      <w:rFonts w:hint="eastAsia"/>
                                      <w:color w:val="FF0000"/>
                                      <w:lang w:val="en-US" w:eastAsia="zh-CN"/>
                                    </w:rPr>
                                    <w:t>本项目</w:t>
                                  </w:r>
                                </w:p>
                              </w:txbxContent>
                            </wps:txbx>
                            <wps:bodyPr upright="1"/>
                          </wps:wsp>
                        </a:graphicData>
                      </a:graphic>
                    </wp:anchor>
                  </w:drawing>
                </mc:Choice>
                <mc:Fallback>
                  <w:pict>
                    <v:shape id="_x0000_s1026" o:spid="_x0000_s1026" o:spt="62" type="#_x0000_t62" style="position:absolute;left:0pt;margin-left:190.3pt;margin-top:50.7pt;height:22.9pt;width:55.25pt;z-index:251659264;mso-width-relative:page;mso-height-relative:page;" filled="f" stroked="t" coordsize="21600,21600" o:gfxdata="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TjWbYAAAACwEAAA8AAAAAAAAAAQAgAAAAIgAAAGRycy9kb3ducmV2Lnht&#10;bFBLAQIUABQAAAAIAIdO4kC19TwIMgIAAEQEAAAOAAAAAAAAAAEAIAAAACcBAABkcnMvZTJvRG9j&#10;LnhtbFBLBQYAAAAABgAGAFkBAADLBQAAAAA=&#10;" adj="1350,25920,14400">
                      <v:fill on="f" focussize="0,0"/>
                      <v:stroke color="#FF0000" joinstyle="miter"/>
                      <v:imagedata o:title=""/>
                      <o:lock v:ext="edit" aspectratio="f"/>
                      <v:textbox>
                        <w:txbxContent>
                          <w:p>
                            <w:pPr>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sz w:val="21"/>
                <w:szCs w:val="21"/>
              </w:rPr>
              <w:drawing>
                <wp:inline distT="0" distB="0" distL="114300" distR="114300">
                  <wp:extent cx="4512310" cy="3233420"/>
                  <wp:effectExtent l="0" t="0" r="2540"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4512310" cy="32334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spacing w:val="8"/>
                <w:sz w:val="21"/>
                <w:szCs w:val="21"/>
                <w:lang w:val="en-US" w:eastAsia="zh-CN"/>
              </w:rPr>
            </w:pPr>
            <w:r>
              <w:rPr>
                <w:rFonts w:hint="eastAsia"/>
                <w:b/>
                <w:bCs/>
                <w:spacing w:val="8"/>
                <w:sz w:val="21"/>
                <w:szCs w:val="21"/>
                <w:lang w:val="en-US" w:eastAsia="zh-CN"/>
              </w:rPr>
              <w:t>图1-2  乐山市环境管控单元分布图</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both"/>
              <w:textAlignment w:val="auto"/>
              <w:rPr>
                <w:rFonts w:hint="default" w:ascii="Helvetica" w:hAnsi="Helvetica" w:eastAsia="Helvetica"/>
                <w:sz w:val="21"/>
                <w:szCs w:val="21"/>
              </w:rPr>
            </w:pPr>
            <w:r>
              <w:rPr>
                <w:rFonts w:hint="default" w:ascii="Helvetica" w:hAnsi="Helvetica" w:eastAsia="Helvetica"/>
                <w:sz w:val="24"/>
                <w:szCs w:val="24"/>
              </w:rPr>
              <w:drawing>
                <wp:inline distT="0" distB="0" distL="114300" distR="114300">
                  <wp:extent cx="4551045" cy="2956560"/>
                  <wp:effectExtent l="0" t="0" r="1905" b="1524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4551045" cy="29565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图1-3</w:t>
            </w:r>
            <w:r>
              <w:rPr>
                <w:rFonts w:hint="eastAsia"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项目与乐山市环境管控单元图</w:t>
            </w:r>
            <w:r>
              <w:rPr>
                <w:rFonts w:hint="eastAsia" w:cs="Times New Roman"/>
                <w:b/>
                <w:bCs/>
                <w:sz w:val="21"/>
                <w:szCs w:val="21"/>
                <w:lang w:val="en-US" w:eastAsia="zh-CN"/>
              </w:rPr>
              <w:t>（</w:t>
            </w:r>
            <w:r>
              <w:rPr>
                <w:rFonts w:hint="default" w:ascii="Times New Roman" w:hAnsi="Times New Roman" w:eastAsia="宋体" w:cs="Times New Roman"/>
                <w:b/>
                <w:bCs/>
                <w:color w:val="00FFFF"/>
                <w:sz w:val="21"/>
                <w:szCs w:val="21"/>
              </w:rPr>
              <w:t>▼</w:t>
            </w:r>
            <w:r>
              <w:rPr>
                <w:rFonts w:hint="default" w:ascii="Times New Roman" w:hAnsi="Times New Roman" w:eastAsia="宋体" w:cs="Times New Roman"/>
                <w:b/>
                <w:bCs/>
                <w:sz w:val="21"/>
                <w:szCs w:val="21"/>
              </w:rPr>
              <w:t>表示项目位置</w:t>
            </w:r>
            <w:r>
              <w:rPr>
                <w:rFonts w:hint="default" w:ascii="Times New Roman" w:hAnsi="Times New Roman" w:eastAsia="宋体" w:cs="Times New Roman"/>
                <w:b/>
                <w:bCs/>
                <w:sz w:val="21"/>
                <w:szCs w:val="21"/>
                <w:lang w:val="en-US" w:eastAsia="zh-CN"/>
              </w:rPr>
              <w:t>）</w:t>
            </w:r>
          </w:p>
          <w:p>
            <w:pPr>
              <w:numPr>
                <w:ilvl w:val="0"/>
                <w:numId w:val="0"/>
              </w:numPr>
              <w:autoSpaceDE w:val="0"/>
              <w:autoSpaceDN w:val="0"/>
              <w:adjustRightInd w:val="0"/>
              <w:snapToGrid w:val="0"/>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四川程锦自热方便食品生产基地项目位于乐山市市中区全福街道石农村</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环境综合管控单元工业重点管控单元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管控单元名称：市中区新型工业园，管控单元编号：ZH51110220003）</w:t>
            </w:r>
            <w:r>
              <w:rPr>
                <w:rFonts w:hint="eastAsia" w:ascii="Times New Roman" w:hAnsi="Times New Roman" w:eastAsia="宋体" w:cs="Times New Roman"/>
                <w:color w:val="auto"/>
                <w:sz w:val="24"/>
                <w:szCs w:val="24"/>
                <w:lang w:eastAsia="zh-CN"/>
              </w:rPr>
              <w:t>，对照乐山市生态环境分区文件管控要求，本项目与其符合性分析如下：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表1-6</w:t>
            </w:r>
            <w:r>
              <w:rPr>
                <w:rFonts w:hint="eastAsia" w:ascii="Times New Roman" w:hAnsi="Times New Roman" w:eastAsia="宋体" w:cs="Times New Roman"/>
                <w:b/>
                <w:bCs/>
                <w:spacing w:val="8"/>
                <w:sz w:val="21"/>
                <w:szCs w:val="21"/>
                <w:lang w:val="en-US" w:eastAsia="zh-CN"/>
              </w:rPr>
              <w:t xml:space="preserve">  </w:t>
            </w:r>
            <w:r>
              <w:rPr>
                <w:rFonts w:hint="default" w:ascii="Times New Roman" w:hAnsi="Times New Roman" w:eastAsia="宋体" w:cs="Times New Roman"/>
                <w:b/>
                <w:bCs/>
                <w:spacing w:val="8"/>
                <w:sz w:val="21"/>
                <w:szCs w:val="21"/>
              </w:rPr>
              <w:t>项目与乐山市生态环境分区管控文件的符合性分析</w:t>
            </w:r>
          </w:p>
          <w:tbl>
            <w:tblPr>
              <w:tblStyle w:val="42"/>
              <w:tblW w:w="71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4"/>
              <w:gridCol w:w="3218"/>
              <w:gridCol w:w="2113"/>
              <w:gridCol w:w="9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2" w:type="dxa"/>
                  <w:gridSpan w:val="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相关要求</w:t>
                  </w:r>
                </w:p>
              </w:tc>
              <w:tc>
                <w:tcPr>
                  <w:tcW w:w="211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本项目</w:t>
                  </w:r>
                </w:p>
              </w:tc>
              <w:tc>
                <w:tcPr>
                  <w:tcW w:w="91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9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b w:val="0"/>
                      <w:bCs w:val="0"/>
                      <w:snapToGrid/>
                      <w:spacing w:val="8"/>
                      <w:kern w:val="2"/>
                      <w:sz w:val="21"/>
                      <w:szCs w:val="21"/>
                      <w:vertAlign w:val="baseline"/>
                      <w:lang w:val="en-US" w:eastAsia="zh-CN"/>
                    </w:rPr>
                    <w:t>乐山市重点管控单元生态环境管控要求</w:t>
                  </w:r>
                </w:p>
              </w:tc>
              <w:tc>
                <w:tcPr>
                  <w:tcW w:w="3218"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eastAsia" w:ascii="宋体" w:hAnsi="宋体" w:eastAsia="宋体" w:cs="宋体"/>
                      <w:b/>
                      <w:bCs/>
                      <w:spacing w:val="8"/>
                      <w:sz w:val="21"/>
                      <w:szCs w:val="21"/>
                      <w:vertAlign w:val="baseline"/>
                      <w:lang w:val="en-US" w:eastAsia="zh-CN"/>
                    </w:rPr>
                  </w:pPr>
                  <w:r>
                    <w:rPr>
                      <w:rFonts w:hint="eastAsia" w:ascii="Times New Roman" w:hAnsi="Times New Roman" w:eastAsia="宋体" w:cs="Times New Roman"/>
                      <w:bCs/>
                      <w:color w:val="auto"/>
                      <w:sz w:val="21"/>
                      <w:szCs w:val="21"/>
                      <w:lang w:eastAsia="zh-CN"/>
                    </w:rPr>
                    <w:t>重点管控单元中，应针对性地加强污染物排放控制和环境风险防控，解决生态环境质量不达标、生态环境风险突出等问题，制定差别化的生态环境准入要求。</w:t>
                  </w:r>
                </w:p>
              </w:tc>
              <w:tc>
                <w:tcPr>
                  <w:tcW w:w="2113"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eastAsia" w:ascii="宋体" w:hAnsi="宋体" w:eastAsia="宋体" w:cs="宋体"/>
                      <w:b/>
                      <w:bCs/>
                      <w:spacing w:val="8"/>
                      <w:sz w:val="21"/>
                      <w:szCs w:val="21"/>
                      <w:vertAlign w:val="baseline"/>
                      <w:lang w:val="en-US" w:eastAsia="zh-CN"/>
                    </w:rPr>
                  </w:pPr>
                  <w:r>
                    <w:rPr>
                      <w:rFonts w:hint="eastAsia" w:ascii="宋体" w:hAnsi="宋体" w:eastAsia="宋体" w:cs="宋体"/>
                      <w:spacing w:val="7"/>
                      <w:sz w:val="21"/>
                      <w:szCs w:val="21"/>
                    </w:rPr>
                    <w:t>本</w:t>
                  </w:r>
                  <w:r>
                    <w:rPr>
                      <w:rFonts w:hint="eastAsia" w:ascii="Times New Roman" w:hAnsi="Times New Roman" w:eastAsia="宋体" w:cs="Times New Roman"/>
                      <w:bCs/>
                      <w:color w:val="auto"/>
                      <w:sz w:val="21"/>
                      <w:szCs w:val="21"/>
                      <w:lang w:eastAsia="zh-CN"/>
                    </w:rPr>
                    <w:t>项目位于乐山市市中区，处于环境质量</w:t>
                  </w:r>
                  <w:r>
                    <w:rPr>
                      <w:rFonts w:hint="eastAsia" w:ascii="Times New Roman" w:hAnsi="Times New Roman" w:eastAsia="宋体" w:cs="Times New Roman"/>
                      <w:bCs/>
                      <w:color w:val="auto"/>
                      <w:sz w:val="21"/>
                      <w:szCs w:val="21"/>
                      <w:lang w:val="en-US" w:eastAsia="zh-CN"/>
                    </w:rPr>
                    <w:t>不</w:t>
                  </w:r>
                  <w:r>
                    <w:rPr>
                      <w:rFonts w:hint="eastAsia" w:ascii="Times New Roman" w:hAnsi="Times New Roman" w:eastAsia="宋体" w:cs="Times New Roman"/>
                      <w:bCs/>
                      <w:color w:val="auto"/>
                      <w:sz w:val="21"/>
                      <w:szCs w:val="21"/>
                      <w:lang w:eastAsia="zh-CN"/>
                    </w:rPr>
                    <w:t>达标区域，项目采用了有效的污染治理措施。</w:t>
                  </w:r>
                </w:p>
              </w:tc>
              <w:tc>
                <w:tcPr>
                  <w:tcW w:w="91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9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default" w:ascii="Times New Roman" w:hAnsi="Times New Roman" w:eastAsia="宋体" w:cs="Times New Roman"/>
                      <w:spacing w:val="7"/>
                      <w:sz w:val="21"/>
                      <w:szCs w:val="21"/>
                    </w:rPr>
                    <w:t>乐山市总体生态环境管控要求</w:t>
                  </w:r>
                </w:p>
              </w:tc>
              <w:tc>
                <w:tcPr>
                  <w:tcW w:w="3218"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spacing w:val="7"/>
                      <w:sz w:val="21"/>
                      <w:szCs w:val="21"/>
                    </w:rPr>
                    <w:t>1</w:t>
                  </w:r>
                  <w:r>
                    <w:rPr>
                      <w:rFonts w:hint="default" w:ascii="Times New Roman" w:hAnsi="Times New Roman" w:eastAsia="宋体" w:cs="Times New Roman"/>
                      <w:bCs/>
                      <w:color w:val="auto"/>
                      <w:sz w:val="21"/>
                      <w:szCs w:val="21"/>
                      <w:lang w:eastAsia="zh-CN"/>
                    </w:rPr>
                    <w:t>.对化工、钢铁、水泥、陶瓷、造纸、铁合金、砖瓦等重点行业提出严格资源环境绩效水平要求。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2.禁止在长江干支流岸线一公里范围内新建、扩建化工园区和化工项目；鼓励现有化工企业逐步搬入合规园区。</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3.按照工业总体布局，推进城区以及布局不合理的高排放、高能耗企业“退城入园</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，引导企业在搬迁改造中压减低端、低效、负效产能。</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4.严格控制高排放、高能耗项目准入；严格执行能源消费总量和强度双控制度；严格执行煤炭消费总量控制要求。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5.引进项目应符合园区规划环评和区域产业准入清单要求。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6.深化成都平原、川南、川东北地区大气污染联防联控工作机制，加强川渝地区联防联控。强化重污染天气区域应急联动机制，深化区域重污染天气联合应对。</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7.现有处理规模大于1000吨/日的城镇生活污水处理厂，以及存栏量≥300头猪、粪污经处理后向环境排放的畜禽养殖场，应执行《四川省岷江、沱江流域水污染物排放标准》</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DB51/2311—2016）相关要求。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8.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35毫克/立方米，氮氧化物低于50毫克/立方米。</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bCs/>
                      <w:color w:val="auto"/>
                      <w:sz w:val="21"/>
                      <w:szCs w:val="21"/>
                      <w:lang w:eastAsia="zh-CN"/>
                    </w:rPr>
                    <w:t>9.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喷雾干燥塔）清洁能源改造工程，加快推进五通桥涉氨排放化工企业氨排放治理。</w:t>
                  </w:r>
                </w:p>
              </w:tc>
              <w:tc>
                <w:tcPr>
                  <w:tcW w:w="2113"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1、本项目为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宋体" w:cs="Times New Roman"/>
                      <w:bCs/>
                      <w:color w:val="auto"/>
                      <w:sz w:val="21"/>
                      <w:szCs w:val="21"/>
                      <w:lang w:eastAsia="zh-CN"/>
                    </w:rPr>
                    <w:t>，不属于化工、钢铁、水泥、陶瓷、造纸、铁合金、砖瓦等重点行业。</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2、本项目不属于化工项目；</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3、本项目不属于两高行业；</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4、本项目不涉及使用燃煤；</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5、本项目符乐山市重点管控单元生态环境管控要求和市中区体生态环境管控要求。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6</w:t>
                  </w:r>
                  <w:r>
                    <w:rPr>
                      <w:rFonts w:hint="default" w:ascii="Times New Roman" w:hAnsi="Times New Roman" w:eastAsia="宋体" w:cs="Times New Roman"/>
                      <w:bCs/>
                      <w:color w:val="auto"/>
                      <w:sz w:val="21"/>
                      <w:szCs w:val="21"/>
                      <w:lang w:val="en-US" w:eastAsia="en-US"/>
                    </w:rPr>
                    <w:t>、项目所在区域属于乐山市市中区规划的嘉州食品饮料产业园，本项目为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宋体" w:cs="Times New Roman"/>
                      <w:bCs/>
                      <w:color w:val="auto"/>
                      <w:sz w:val="21"/>
                      <w:szCs w:val="21"/>
                      <w:lang w:val="en-US" w:eastAsia="en-US"/>
                    </w:rPr>
                    <w:t>，符合区域产业定位。</w:t>
                  </w:r>
                  <w:r>
                    <w:rPr>
                      <w:rFonts w:hint="eastAsia" w:ascii="Times New Roman" w:hAnsi="Times New Roman" w:eastAsia="宋体" w:cs="Times New Roman"/>
                      <w:bCs/>
                      <w:color w:val="auto"/>
                      <w:sz w:val="21"/>
                      <w:szCs w:val="21"/>
                      <w:lang w:val="en-US" w:eastAsia="zh-CN"/>
                    </w:rPr>
                    <w:t>项目不涉及</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val="en-US" w:eastAsia="en-US"/>
                    </w:rPr>
                  </w:pPr>
                  <w:r>
                    <w:rPr>
                      <w:rFonts w:hint="default" w:ascii="Times New Roman" w:hAnsi="Times New Roman" w:eastAsia="宋体" w:cs="Times New Roman"/>
                      <w:bCs/>
                      <w:color w:val="auto"/>
                      <w:sz w:val="21"/>
                      <w:szCs w:val="21"/>
                      <w:lang w:val="en-US" w:eastAsia="en-US"/>
                    </w:rPr>
                    <w:t>7、本项目不涉及。</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val="en-US" w:eastAsia="en-US"/>
                    </w:rPr>
                  </w:pPr>
                  <w:r>
                    <w:rPr>
                      <w:rFonts w:hint="default" w:ascii="Times New Roman" w:hAnsi="Times New Roman" w:eastAsia="宋体" w:cs="Times New Roman"/>
                      <w:bCs/>
                      <w:color w:val="auto"/>
                      <w:sz w:val="21"/>
                      <w:szCs w:val="21"/>
                      <w:lang w:val="en-US" w:eastAsia="en-US"/>
                    </w:rPr>
                    <w:t>8、本项目采用天然气锅炉，天然气燃烧废气满足《锅炉大气污染物排放标准》</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en-US"/>
                    </w:rPr>
                    <w:t>GB13271-2014）表3标准限值要求。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spacing w:val="7"/>
                      <w:sz w:val="21"/>
                      <w:szCs w:val="21"/>
                      <w:lang w:val="en-US" w:eastAsia="zh-CN"/>
                    </w:rPr>
                  </w:pPr>
                  <w:r>
                    <w:rPr>
                      <w:rFonts w:hint="default" w:ascii="Times New Roman" w:hAnsi="Times New Roman" w:eastAsia="宋体" w:cs="Times New Roman"/>
                      <w:bCs/>
                      <w:color w:val="auto"/>
                      <w:sz w:val="21"/>
                      <w:szCs w:val="21"/>
                      <w:lang w:val="en-US" w:eastAsia="en-US"/>
                    </w:rPr>
                    <w:t>9、本项目不涉及。</w:t>
                  </w:r>
                </w:p>
              </w:tc>
              <w:tc>
                <w:tcPr>
                  <w:tcW w:w="91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93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市中区</w:t>
                  </w:r>
                </w:p>
              </w:tc>
              <w:tc>
                <w:tcPr>
                  <w:tcW w:w="3218"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spacing w:val="6"/>
                      <w:sz w:val="21"/>
                      <w:szCs w:val="21"/>
                    </w:rPr>
                    <w:t>1</w:t>
                  </w:r>
                  <w:r>
                    <w:rPr>
                      <w:rFonts w:hint="default" w:ascii="Times New Roman" w:hAnsi="Times New Roman" w:eastAsia="宋体" w:cs="Times New Roman"/>
                      <w:bCs/>
                      <w:color w:val="auto"/>
                      <w:sz w:val="21"/>
                      <w:szCs w:val="21"/>
                      <w:lang w:eastAsia="zh-CN"/>
                    </w:rPr>
                    <w:t>.优化调整产业结构，严格生态环境准入要求。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2.推动城市建成区内企业“退城入园”，严格控制园外企业无序扩张。</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3.加强泥溪河、茫溪河等小流域污染治理，严控泥溪河、茫溪河流域涉水排放项目及水产养殖规模；加强农业面源污染治理，严格控制化肥农药使用量，积极推广畜禽清洁养殖和畜禽粪污无害化、</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资源化利用技术。</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4.加强区域大气污染治理，推进涉挥发性有机物排放项目、砖瓦企业深度治理改造；执行大气污染物特别排放限值。</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5.加强涉危涉化企业管控，严控环境风险。</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
                      <w:bCs/>
                      <w:spacing w:val="8"/>
                      <w:sz w:val="21"/>
                      <w:szCs w:val="21"/>
                      <w:vertAlign w:val="baseline"/>
                      <w:lang w:val="en-US" w:eastAsia="zh-CN"/>
                    </w:rPr>
                  </w:pPr>
                  <w:r>
                    <w:rPr>
                      <w:rFonts w:hint="default" w:ascii="Times New Roman" w:hAnsi="Times New Roman" w:eastAsia="宋体" w:cs="Times New Roman"/>
                      <w:bCs/>
                      <w:color w:val="auto"/>
                      <w:sz w:val="21"/>
                      <w:szCs w:val="21"/>
                      <w:lang w:eastAsia="zh-CN"/>
                    </w:rPr>
                    <w:t>6.加强城乡生态环境保护基础设施建设。</w:t>
                  </w:r>
                </w:p>
              </w:tc>
              <w:tc>
                <w:tcPr>
                  <w:tcW w:w="2113" w:type="dxa"/>
                  <w:noWrap w:val="0"/>
                  <w:vAlign w:val="center"/>
                </w:tcPr>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1、本项目符乐山市重点管控单元生态环境管控要求和市中区</w:t>
                  </w:r>
                  <w:r>
                    <w:rPr>
                      <w:rFonts w:hint="eastAsia" w:ascii="Times New Roman" w:hAnsi="Times New Roman" w:eastAsia="宋体" w:cs="Times New Roman"/>
                      <w:bCs/>
                      <w:color w:val="auto"/>
                      <w:sz w:val="21"/>
                      <w:szCs w:val="21"/>
                      <w:lang w:val="en-US" w:eastAsia="zh-CN"/>
                    </w:rPr>
                    <w:t>总</w:t>
                  </w:r>
                  <w:r>
                    <w:rPr>
                      <w:rFonts w:hint="default" w:ascii="Times New Roman" w:hAnsi="Times New Roman" w:eastAsia="宋体" w:cs="Times New Roman"/>
                      <w:bCs/>
                      <w:color w:val="auto"/>
                      <w:sz w:val="21"/>
                      <w:szCs w:val="21"/>
                      <w:lang w:eastAsia="zh-CN"/>
                    </w:rPr>
                    <w:t>体生态环境管控要求。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2、本项目位于乐山市市中区全福街道石农村，不属于城市建成区，项目所在区域属于乐山市市中区规划的嘉州食品饮料产业园，本项目为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宋体" w:cs="Times New Roman"/>
                      <w:bCs/>
                      <w:color w:val="auto"/>
                      <w:sz w:val="21"/>
                      <w:szCs w:val="21"/>
                      <w:lang w:eastAsia="zh-CN"/>
                    </w:rPr>
                    <w:t>，符合区域产业定位。</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3、本项目不涉及；</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4、本项目采用天然气锅炉，天然气燃烧废气满足《锅炉大气污染物排放标准》</w:t>
                  </w: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eastAsia="zh-CN"/>
                    </w:rPr>
                    <w:t>GB13271-2014）表3标准限值要求。</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5.本项目不涉及。</w:t>
                  </w:r>
                </w:p>
                <w:p>
                  <w:pPr>
                    <w:keepNext w:val="0"/>
                    <w:keepLines w:val="0"/>
                    <w:pageBreakBefore w:val="0"/>
                    <w:widowControl w:val="0"/>
                    <w:kinsoku/>
                    <w:wordWrap/>
                    <w:overflowPunct/>
                    <w:topLinePunct w:val="0"/>
                    <w:autoSpaceDN w:val="0"/>
                    <w:bidi w:val="0"/>
                    <w:adjustRightInd w:val="0"/>
                    <w:snapToGrid w:val="0"/>
                    <w:spacing w:line="240" w:lineRule="auto"/>
                    <w:jc w:val="left"/>
                    <w:textAlignment w:val="auto"/>
                    <w:rPr>
                      <w:rFonts w:hint="default" w:ascii="Times New Roman" w:hAnsi="Times New Roman" w:eastAsia="宋体" w:cs="Times New Roman"/>
                      <w:b/>
                      <w:bCs/>
                      <w:spacing w:val="8"/>
                      <w:sz w:val="21"/>
                      <w:szCs w:val="21"/>
                      <w:vertAlign w:val="baseline"/>
                      <w:lang w:val="en-US" w:eastAsia="zh-CN"/>
                    </w:rPr>
                  </w:pPr>
                  <w:r>
                    <w:rPr>
                      <w:rFonts w:hint="default" w:ascii="Times New Roman" w:hAnsi="Times New Roman" w:eastAsia="宋体" w:cs="Times New Roman"/>
                      <w:bCs/>
                      <w:color w:val="auto"/>
                      <w:sz w:val="21"/>
                      <w:szCs w:val="21"/>
                      <w:lang w:eastAsia="zh-CN"/>
                    </w:rPr>
                    <w:t>6.本项目不涉及。</w:t>
                  </w:r>
                </w:p>
              </w:tc>
              <w:tc>
                <w:tcPr>
                  <w:tcW w:w="91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符合</w:t>
                  </w:r>
                </w:p>
              </w:tc>
            </w:tr>
          </w:tbl>
          <w:p>
            <w:pPr>
              <w:pStyle w:val="341"/>
              <w:spacing w:before="128" w:line="237" w:lineRule="auto"/>
              <w:ind w:firstLine="504" w:firstLineChars="200"/>
              <w:rPr>
                <w:rFonts w:hint="eastAsia" w:ascii="Times New Roman" w:hAnsi="Times New Roman" w:eastAsia="宋体" w:cs="Times New Roman"/>
                <w:b w:val="0"/>
                <w:bCs w:val="0"/>
                <w:spacing w:val="6"/>
                <w:sz w:val="24"/>
                <w:szCs w:val="24"/>
                <w:lang w:val="en-US" w:eastAsia="zh-CN"/>
              </w:rPr>
            </w:pPr>
            <w:r>
              <w:rPr>
                <w:rFonts w:hint="default" w:ascii="Times New Roman" w:hAnsi="Times New Roman" w:eastAsia="宋体" w:cs="Times New Roman"/>
                <w:b w:val="0"/>
                <w:bCs w:val="0"/>
                <w:spacing w:val="6"/>
                <w:sz w:val="24"/>
                <w:szCs w:val="24"/>
              </w:rPr>
              <w:t>根据上述分析，本项目符合乐山市生态环境分区环境管控单元分区管控要求。</w:t>
            </w:r>
          </w:p>
          <w:p>
            <w:pPr>
              <w:pStyle w:val="341"/>
              <w:spacing w:before="128" w:line="360" w:lineRule="auto"/>
              <w:ind w:left="521"/>
              <w:rPr>
                <w:rFonts w:hint="default" w:ascii="Times New Roman" w:hAnsi="Times New Roman" w:eastAsia="宋体" w:cs="Times New Roman"/>
                <w:sz w:val="24"/>
                <w:szCs w:val="24"/>
              </w:rPr>
            </w:pPr>
            <w:r>
              <w:rPr>
                <w:rFonts w:hint="default" w:ascii="Times New Roman" w:hAnsi="Times New Roman" w:eastAsia="宋体" w:cs="Times New Roman"/>
                <w:b/>
                <w:bCs/>
                <w:spacing w:val="6"/>
                <w:sz w:val="24"/>
                <w:szCs w:val="24"/>
              </w:rPr>
              <w:t>2.与</w:t>
            </w:r>
            <w:r>
              <w:rPr>
                <w:rFonts w:hint="eastAsia" w:ascii="Times New Roman" w:hAnsi="Times New Roman" w:eastAsia="宋体" w:cs="Times New Roman"/>
                <w:b/>
                <w:bCs/>
                <w:spacing w:val="6"/>
                <w:sz w:val="24"/>
                <w:szCs w:val="24"/>
                <w:lang w:val="en-US" w:eastAsia="zh-CN"/>
              </w:rPr>
              <w:t>生态环境准入清单</w:t>
            </w:r>
            <w:r>
              <w:rPr>
                <w:rFonts w:hint="default" w:ascii="Times New Roman" w:hAnsi="Times New Roman" w:eastAsia="宋体" w:cs="Times New Roman"/>
                <w:b/>
                <w:bCs/>
                <w:spacing w:val="6"/>
                <w:sz w:val="24"/>
                <w:szCs w:val="24"/>
              </w:rPr>
              <w:t>符合性</w:t>
            </w:r>
            <w:r>
              <w:rPr>
                <w:rFonts w:hint="default" w:ascii="Times New Roman" w:hAnsi="Times New Roman" w:eastAsia="宋体" w:cs="Times New Roman"/>
                <w:b/>
                <w:bCs/>
                <w:spacing w:val="5"/>
                <w:sz w:val="24"/>
                <w:szCs w:val="24"/>
              </w:rPr>
              <w:t>分析</w:t>
            </w:r>
          </w:p>
          <w:p>
            <w:pPr>
              <w:numPr>
                <w:ilvl w:val="0"/>
                <w:numId w:val="0"/>
              </w:numPr>
              <w:autoSpaceDE w:val="0"/>
              <w:autoSpaceDN w:val="0"/>
              <w:adjustRightInd w:val="0"/>
              <w:snapToGrid w:val="0"/>
              <w:spacing w:line="360" w:lineRule="auto"/>
              <w:ind w:firstLine="536" w:firstLineChars="200"/>
              <w:jc w:val="left"/>
              <w:rPr>
                <w:rFonts w:hint="default" w:ascii="Times New Roman" w:hAnsi="Times New Roman" w:eastAsia="宋体" w:cs="Times New Roman"/>
                <w:spacing w:val="7"/>
                <w:sz w:val="24"/>
                <w:szCs w:val="24"/>
              </w:rPr>
            </w:pPr>
            <w:r>
              <w:rPr>
                <w:rFonts w:hint="default" w:ascii="Times New Roman" w:hAnsi="Times New Roman" w:eastAsia="宋体" w:cs="Times New Roman"/>
                <w:spacing w:val="14"/>
                <w:sz w:val="24"/>
                <w:szCs w:val="24"/>
              </w:rPr>
              <w:t>根据《四川省生态环境厅办公室关于印发&lt;产业园区规划环评</w:t>
            </w:r>
            <w:r>
              <w:rPr>
                <w:rFonts w:hint="default" w:ascii="宋体" w:hAnsi="宋体" w:eastAsia="宋体" w:cs="宋体"/>
                <w:spacing w:val="8"/>
                <w:sz w:val="24"/>
                <w:szCs w:val="24"/>
              </w:rPr>
              <w:t>“</w:t>
            </w:r>
            <w:r>
              <w:rPr>
                <w:rFonts w:hint="default" w:ascii="Times New Roman" w:hAnsi="Times New Roman" w:eastAsia="宋体" w:cs="Times New Roman"/>
                <w:spacing w:val="14"/>
                <w:sz w:val="24"/>
                <w:szCs w:val="24"/>
              </w:rPr>
              <w:t>三线一单</w:t>
            </w:r>
            <w:r>
              <w:rPr>
                <w:rFonts w:hint="default" w:ascii="宋体" w:hAnsi="宋体" w:eastAsia="宋体" w:cs="宋体"/>
                <w:spacing w:val="8"/>
                <w:sz w:val="24"/>
                <w:szCs w:val="24"/>
              </w:rPr>
              <w:t>”</w:t>
            </w:r>
            <w:r>
              <w:rPr>
                <w:rFonts w:hint="default" w:ascii="Times New Roman" w:hAnsi="Times New Roman" w:eastAsia="宋体" w:cs="Times New Roman"/>
                <w:spacing w:val="14"/>
                <w:sz w:val="24"/>
                <w:szCs w:val="24"/>
              </w:rPr>
              <w:t>符合性分析技术要点</w:t>
            </w:r>
            <w:r>
              <w:rPr>
                <w:rFonts w:hint="eastAsia" w:cs="Times New Roman"/>
                <w:spacing w:val="14"/>
                <w:sz w:val="24"/>
                <w:szCs w:val="24"/>
                <w:lang w:eastAsia="zh-CN"/>
              </w:rPr>
              <w:t>（</w:t>
            </w:r>
            <w:r>
              <w:rPr>
                <w:rFonts w:hint="default" w:ascii="Times New Roman" w:hAnsi="Times New Roman" w:eastAsia="宋体" w:cs="Times New Roman"/>
                <w:spacing w:val="14"/>
                <w:sz w:val="24"/>
                <w:szCs w:val="24"/>
              </w:rPr>
              <w:t>试</w:t>
            </w:r>
            <w:r>
              <w:rPr>
                <w:rFonts w:hint="default" w:ascii="Times New Roman" w:hAnsi="Times New Roman" w:eastAsia="宋体" w:cs="Times New Roman"/>
                <w:spacing w:val="8"/>
                <w:sz w:val="24"/>
                <w:szCs w:val="24"/>
              </w:rPr>
              <w:t>行）&gt;和&lt;项目环评</w:t>
            </w:r>
            <w:r>
              <w:rPr>
                <w:rFonts w:hint="eastAsia" w:ascii="宋体" w:hAnsi="宋体" w:eastAsia="宋体" w:cs="宋体"/>
                <w:spacing w:val="8"/>
                <w:sz w:val="24"/>
                <w:szCs w:val="24"/>
              </w:rPr>
              <w:t>“</w:t>
            </w:r>
            <w:r>
              <w:rPr>
                <w:rFonts w:hint="default" w:ascii="Times New Roman" w:hAnsi="Times New Roman" w:eastAsia="宋体" w:cs="Times New Roman"/>
                <w:spacing w:val="8"/>
                <w:sz w:val="24"/>
                <w:szCs w:val="24"/>
              </w:rPr>
              <w:t>三线一单</w:t>
            </w:r>
            <w:r>
              <w:rPr>
                <w:rFonts w:hint="default" w:ascii="宋体" w:hAnsi="宋体" w:eastAsia="宋体" w:cs="宋体"/>
                <w:spacing w:val="8"/>
                <w:sz w:val="24"/>
                <w:szCs w:val="24"/>
              </w:rPr>
              <w:t>”</w:t>
            </w:r>
            <w:r>
              <w:rPr>
                <w:rFonts w:hint="default" w:ascii="Times New Roman" w:hAnsi="Times New Roman" w:eastAsia="宋体" w:cs="Times New Roman"/>
                <w:spacing w:val="8"/>
                <w:sz w:val="24"/>
                <w:szCs w:val="24"/>
              </w:rPr>
              <w:t>符合性分析技术要点</w:t>
            </w:r>
            <w:r>
              <w:rPr>
                <w:rFonts w:hint="eastAsia" w:cs="Times New Roman"/>
                <w:spacing w:val="8"/>
                <w:sz w:val="24"/>
                <w:szCs w:val="24"/>
                <w:lang w:eastAsia="zh-CN"/>
              </w:rPr>
              <w:t>（</w:t>
            </w:r>
            <w:r>
              <w:rPr>
                <w:rFonts w:hint="default" w:ascii="Times New Roman" w:hAnsi="Times New Roman" w:eastAsia="宋体" w:cs="Times New Roman"/>
                <w:spacing w:val="8"/>
                <w:sz w:val="24"/>
                <w:szCs w:val="24"/>
              </w:rPr>
              <w:t>试行）&gt;的通知》</w:t>
            </w:r>
            <w:r>
              <w:rPr>
                <w:rFonts w:hint="eastAsia" w:cs="Times New Roman"/>
                <w:spacing w:val="8"/>
                <w:sz w:val="24"/>
                <w:szCs w:val="24"/>
                <w:lang w:eastAsia="zh-CN"/>
              </w:rPr>
              <w:t>（</w:t>
            </w:r>
            <w:r>
              <w:rPr>
                <w:rFonts w:hint="default" w:ascii="Times New Roman" w:hAnsi="Times New Roman" w:eastAsia="宋体" w:cs="Times New Roman"/>
                <w:spacing w:val="8"/>
                <w:sz w:val="24"/>
                <w:szCs w:val="24"/>
              </w:rPr>
              <w:t>川环办函〔2021〕469号）的要</w:t>
            </w:r>
            <w:r>
              <w:rPr>
                <w:rFonts w:hint="default" w:ascii="Times New Roman" w:hAnsi="Times New Roman" w:eastAsia="宋体" w:cs="Times New Roman"/>
                <w:spacing w:val="7"/>
                <w:sz w:val="24"/>
                <w:szCs w:val="24"/>
              </w:rPr>
              <w:t>求，项目生态环境分区管控要求符合性分析如下。</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left"/>
              <w:textAlignment w:val="auto"/>
              <w:rPr>
                <w:sz w:val="21"/>
                <w:szCs w:val="21"/>
                <w:highlight w:val="yellow"/>
              </w:rPr>
            </w:pPr>
            <w:r>
              <w:drawing>
                <wp:inline distT="0" distB="0" distL="114300" distR="114300">
                  <wp:extent cx="4517390" cy="3526790"/>
                  <wp:effectExtent l="0" t="0" r="16510" b="165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4517390" cy="35267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eastAsia"/>
                <w:b/>
                <w:bCs/>
                <w:sz w:val="21"/>
                <w:szCs w:val="21"/>
                <w:highlight w:val="none"/>
                <w:lang w:val="en-US" w:eastAsia="zh-CN"/>
              </w:rPr>
            </w:pPr>
            <w:r>
              <w:rPr>
                <w:rFonts w:hint="eastAsia"/>
                <w:b/>
                <w:bCs/>
                <w:sz w:val="21"/>
                <w:szCs w:val="21"/>
                <w:highlight w:val="none"/>
                <w:lang w:val="en-US" w:eastAsia="zh-CN"/>
              </w:rPr>
              <w:t>图1-5  四川省生态环境分区管控系统查询结果</w:t>
            </w:r>
          </w:p>
          <w:p>
            <w:pPr>
              <w:spacing w:line="360" w:lineRule="auto"/>
              <w:ind w:firstLine="480" w:firstLineChars="200"/>
              <w:rPr>
                <w:rFonts w:hint="default" w:ascii="Times New Roman" w:hAnsi="Times New Roman" w:eastAsia="宋体" w:cs="Times New Roman"/>
                <w:b/>
                <w:bCs/>
                <w:spacing w:val="8"/>
                <w:sz w:val="24"/>
                <w:szCs w:val="24"/>
              </w:rPr>
            </w:pPr>
            <w:r>
              <w:rPr>
                <w:rFonts w:hint="default" w:ascii="Times New Roman" w:hAnsi="Times New Roman" w:eastAsia="宋体" w:cs="Times New Roman"/>
                <w:color w:val="auto"/>
                <w:sz w:val="24"/>
                <w:szCs w:val="24"/>
              </w:rPr>
              <w:t>项目位于乐山市市中区环境综合管控单元工业重点管控单元</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管控单元名称：市中区新型工业园，管控单元编号：ZH51110220003）</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0" w:firstLineChars="0"/>
              <w:jc w:val="center"/>
              <w:textAlignment w:val="auto"/>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表1-7</w:t>
            </w:r>
            <w:r>
              <w:rPr>
                <w:rFonts w:hint="eastAsia" w:ascii="Times New Roman" w:hAnsi="Times New Roman" w:eastAsia="宋体" w:cs="Times New Roman"/>
                <w:b/>
                <w:bCs/>
                <w:spacing w:val="8"/>
                <w:sz w:val="21"/>
                <w:szCs w:val="21"/>
                <w:lang w:val="en-US" w:eastAsia="zh-CN"/>
              </w:rPr>
              <w:t xml:space="preserve">  </w:t>
            </w:r>
            <w:r>
              <w:rPr>
                <w:rFonts w:hint="default" w:ascii="Times New Roman" w:hAnsi="Times New Roman" w:eastAsia="宋体" w:cs="Times New Roman"/>
                <w:b/>
                <w:bCs/>
                <w:spacing w:val="8"/>
                <w:sz w:val="21"/>
                <w:szCs w:val="21"/>
              </w:rPr>
              <w:t>项目涉及的环境管控单元情况一览表</w:t>
            </w:r>
          </w:p>
          <w:tbl>
            <w:tblPr>
              <w:tblStyle w:val="42"/>
              <w:tblW w:w="71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510"/>
              <w:gridCol w:w="893"/>
              <w:gridCol w:w="824"/>
              <w:gridCol w:w="989"/>
              <w:gridCol w:w="17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1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管控单元编码</w:t>
                  </w:r>
                </w:p>
              </w:tc>
              <w:tc>
                <w:tcPr>
                  <w:tcW w:w="151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管控单元名称</w:t>
                  </w:r>
                </w:p>
              </w:tc>
              <w:tc>
                <w:tcPr>
                  <w:tcW w:w="89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所属城市</w:t>
                  </w:r>
                </w:p>
              </w:tc>
              <w:tc>
                <w:tcPr>
                  <w:tcW w:w="8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所属区县</w:t>
                  </w:r>
                </w:p>
              </w:tc>
              <w:tc>
                <w:tcPr>
                  <w:tcW w:w="98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准入清单类型</w:t>
                  </w:r>
                </w:p>
              </w:tc>
              <w:tc>
                <w:tcPr>
                  <w:tcW w:w="173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8"/>
                      <w:sz w:val="21"/>
                      <w:szCs w:val="21"/>
                      <w:vertAlign w:val="baseline"/>
                      <w:lang w:val="en-US" w:eastAsia="zh-CN"/>
                    </w:rPr>
                  </w:pPr>
                  <w:r>
                    <w:rPr>
                      <w:rFonts w:hint="eastAsia" w:ascii="Times New Roman" w:hAnsi="Times New Roman" w:eastAsia="宋体" w:cs="Times New Roman"/>
                      <w:b/>
                      <w:bCs/>
                      <w:spacing w:val="8"/>
                      <w:sz w:val="21"/>
                      <w:szCs w:val="21"/>
                      <w:vertAlign w:val="baseline"/>
                      <w:lang w:val="en-US" w:eastAsia="zh-CN"/>
                    </w:rPr>
                    <w:t>管控类型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1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ZH51110220003</w:t>
                  </w:r>
                </w:p>
              </w:tc>
              <w:tc>
                <w:tcPr>
                  <w:tcW w:w="151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w:t>
                  </w:r>
                  <w:r>
                    <w:rPr>
                      <w:rFonts w:hint="default" w:ascii="Times New Roman" w:hAnsi="Times New Roman" w:eastAsia="宋体" w:cs="Times New Roman"/>
                      <w:b w:val="0"/>
                      <w:bCs w:val="0"/>
                      <w:spacing w:val="8"/>
                      <w:sz w:val="21"/>
                      <w:szCs w:val="21"/>
                      <w:vertAlign w:val="baseline"/>
                      <w:lang w:val="en-US" w:eastAsia="zh-CN"/>
                    </w:rPr>
                    <w:t>中区新型工业园</w:t>
                  </w:r>
                </w:p>
              </w:tc>
              <w:tc>
                <w:tcPr>
                  <w:tcW w:w="89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乐山市</w:t>
                  </w:r>
                </w:p>
              </w:tc>
              <w:tc>
                <w:tcPr>
                  <w:tcW w:w="8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市中区</w:t>
                  </w:r>
                </w:p>
              </w:tc>
              <w:tc>
                <w:tcPr>
                  <w:tcW w:w="98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环境综合</w:t>
                  </w:r>
                </w:p>
              </w:tc>
              <w:tc>
                <w:tcPr>
                  <w:tcW w:w="173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环境综合管控单元工业重点管控单元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21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YS5111022210004</w:t>
                  </w:r>
                </w:p>
              </w:tc>
              <w:tc>
                <w:tcPr>
                  <w:tcW w:w="151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泥溪河-市中区-泥溪河口-控制单元</w:t>
                  </w:r>
                </w:p>
              </w:tc>
              <w:tc>
                <w:tcPr>
                  <w:tcW w:w="89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乐山市</w:t>
                  </w:r>
                </w:p>
              </w:tc>
              <w:tc>
                <w:tcPr>
                  <w:tcW w:w="8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市中区</w:t>
                  </w:r>
                </w:p>
              </w:tc>
              <w:tc>
                <w:tcPr>
                  <w:tcW w:w="98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水环境分区</w:t>
                  </w:r>
                </w:p>
              </w:tc>
              <w:tc>
                <w:tcPr>
                  <w:tcW w:w="173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水环境工业污染重点管控区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1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Y</w:t>
                  </w:r>
                  <w:r>
                    <w:rPr>
                      <w:rFonts w:hint="default" w:ascii="Times New Roman" w:hAnsi="Times New Roman" w:eastAsia="宋体" w:cs="Times New Roman"/>
                      <w:b w:val="0"/>
                      <w:bCs w:val="0"/>
                      <w:spacing w:val="8"/>
                      <w:sz w:val="21"/>
                      <w:szCs w:val="21"/>
                      <w:vertAlign w:val="baseline"/>
                      <w:lang w:val="en-US" w:eastAsia="zh-CN"/>
                    </w:rPr>
                    <w:t>S5111022310002</w:t>
                  </w:r>
                </w:p>
              </w:tc>
              <w:tc>
                <w:tcPr>
                  <w:tcW w:w="151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市中区新型工业园</w:t>
                  </w:r>
                </w:p>
              </w:tc>
              <w:tc>
                <w:tcPr>
                  <w:tcW w:w="89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乐山市</w:t>
                  </w:r>
                </w:p>
              </w:tc>
              <w:tc>
                <w:tcPr>
                  <w:tcW w:w="8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市中区</w:t>
                  </w:r>
                </w:p>
              </w:tc>
              <w:tc>
                <w:tcPr>
                  <w:tcW w:w="98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大气环境分区</w:t>
                  </w:r>
                </w:p>
              </w:tc>
              <w:tc>
                <w:tcPr>
                  <w:tcW w:w="173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大气环境高排放重点管控区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21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YS5111022530001</w:t>
                  </w:r>
                </w:p>
              </w:tc>
              <w:tc>
                <w:tcPr>
                  <w:tcW w:w="1510"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default" w:ascii="Times New Roman" w:hAnsi="Times New Roman" w:eastAsia="宋体" w:cs="Times New Roman"/>
                      <w:b w:val="0"/>
                      <w:bCs w:val="0"/>
                      <w:spacing w:val="8"/>
                      <w:sz w:val="21"/>
                      <w:szCs w:val="21"/>
                      <w:vertAlign w:val="baseline"/>
                      <w:lang w:val="en-US" w:eastAsia="zh-CN"/>
                    </w:rPr>
                    <w:t>乐山市市中区城镇开发边界</w:t>
                  </w:r>
                </w:p>
              </w:tc>
              <w:tc>
                <w:tcPr>
                  <w:tcW w:w="893"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乐山市</w:t>
                  </w:r>
                </w:p>
              </w:tc>
              <w:tc>
                <w:tcPr>
                  <w:tcW w:w="824"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市中区</w:t>
                  </w:r>
                </w:p>
              </w:tc>
              <w:tc>
                <w:tcPr>
                  <w:tcW w:w="989"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资源利用</w:t>
                  </w:r>
                </w:p>
              </w:tc>
              <w:tc>
                <w:tcPr>
                  <w:tcW w:w="1731" w:type="dxa"/>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8"/>
                      <w:sz w:val="21"/>
                      <w:szCs w:val="21"/>
                      <w:vertAlign w:val="baseline"/>
                      <w:lang w:val="en-US" w:eastAsia="zh-CN"/>
                    </w:rPr>
                  </w:pPr>
                  <w:r>
                    <w:rPr>
                      <w:rFonts w:hint="eastAsia" w:ascii="Times New Roman" w:hAnsi="Times New Roman" w:eastAsia="宋体" w:cs="Times New Roman"/>
                      <w:b w:val="0"/>
                      <w:bCs w:val="0"/>
                      <w:spacing w:val="8"/>
                      <w:sz w:val="21"/>
                      <w:szCs w:val="21"/>
                      <w:vertAlign w:val="baseline"/>
                      <w:lang w:val="en-US" w:eastAsia="zh-CN"/>
                    </w:rPr>
                    <w:t>土</w:t>
                  </w:r>
                  <w:r>
                    <w:rPr>
                      <w:rFonts w:hint="default" w:ascii="Times New Roman" w:hAnsi="Times New Roman" w:eastAsia="宋体" w:cs="Times New Roman"/>
                      <w:b w:val="0"/>
                      <w:bCs w:val="0"/>
                      <w:spacing w:val="8"/>
                      <w:sz w:val="21"/>
                      <w:szCs w:val="21"/>
                      <w:vertAlign w:val="baseline"/>
                      <w:lang w:val="en-US" w:eastAsia="zh-CN"/>
                    </w:rPr>
                    <w:t>地资源重点管控区</w:t>
                  </w:r>
                </w:p>
              </w:tc>
            </w:tr>
          </w:tbl>
          <w:p>
            <w:pPr>
              <w:numPr>
                <w:ilvl w:val="0"/>
                <w:numId w:val="0"/>
              </w:numPr>
              <w:autoSpaceDE w:val="0"/>
              <w:autoSpaceDN w:val="0"/>
              <w:adjustRightInd w:val="0"/>
              <w:snapToGrid w:val="0"/>
              <w:spacing w:line="360" w:lineRule="auto"/>
              <w:ind w:firstLine="504" w:firstLineChars="200"/>
              <w:jc w:val="left"/>
              <w:rPr>
                <w:rFonts w:hint="eastAsia" w:ascii="Times New Roman" w:hAnsi="Times New Roman" w:eastAsia="宋体" w:cs="Times New Roman"/>
                <w:spacing w:val="6"/>
                <w:sz w:val="24"/>
                <w:szCs w:val="24"/>
                <w:lang w:val="en-US" w:eastAsia="zh-CN"/>
              </w:rPr>
            </w:pPr>
            <w:r>
              <w:rPr>
                <w:rFonts w:hint="eastAsia" w:eastAsia="宋体" w:cs="Times New Roman"/>
                <w:spacing w:val="6"/>
                <w:kern w:val="2"/>
                <w:sz w:val="24"/>
                <w:szCs w:val="24"/>
                <w:lang w:val="en-US" w:eastAsia="zh-CN" w:bidi="ar-SA"/>
              </w:rPr>
              <w:t>（</w:t>
            </w:r>
            <w:r>
              <w:rPr>
                <w:rFonts w:hint="eastAsia" w:ascii="Times New Roman" w:hAnsi="Times New Roman" w:eastAsia="宋体" w:cs="Times New Roman"/>
                <w:spacing w:val="6"/>
                <w:kern w:val="2"/>
                <w:sz w:val="24"/>
                <w:szCs w:val="24"/>
                <w:lang w:val="en-US" w:eastAsia="zh-CN" w:bidi="ar-SA"/>
              </w:rPr>
              <w:t>2）</w:t>
            </w:r>
            <w:r>
              <w:rPr>
                <w:rFonts w:hint="eastAsia" w:ascii="Times New Roman" w:hAnsi="Times New Roman" w:eastAsia="宋体" w:cs="Times New Roman"/>
                <w:spacing w:val="6"/>
                <w:sz w:val="24"/>
                <w:szCs w:val="24"/>
                <w:lang w:val="en-US" w:eastAsia="zh-CN"/>
              </w:rPr>
              <w:t>生态环境准入清单</w:t>
            </w:r>
          </w:p>
          <w:p>
            <w:pPr>
              <w:numPr>
                <w:ilvl w:val="0"/>
                <w:numId w:val="0"/>
              </w:numPr>
              <w:autoSpaceDE w:val="0"/>
              <w:autoSpaceDN w:val="0"/>
              <w:adjustRightInd w:val="0"/>
              <w:snapToGrid w:val="0"/>
              <w:spacing w:line="360" w:lineRule="auto"/>
              <w:ind w:firstLine="504" w:firstLineChars="200"/>
              <w:jc w:val="both"/>
              <w:rPr>
                <w:rFonts w:hint="default" w:ascii="Times New Roman" w:hAnsi="Times New Roman" w:eastAsia="宋体" w:cs="Times New Roman"/>
                <w:spacing w:val="6"/>
                <w:sz w:val="24"/>
                <w:szCs w:val="24"/>
                <w:lang w:val="en-US" w:eastAsia="zh-CN"/>
              </w:rPr>
            </w:pPr>
            <w:r>
              <w:rPr>
                <w:rFonts w:hint="eastAsia" w:ascii="Times New Roman" w:hAnsi="Times New Roman" w:eastAsia="宋体" w:cs="Times New Roman"/>
                <w:spacing w:val="6"/>
                <w:sz w:val="24"/>
                <w:szCs w:val="24"/>
                <w:lang w:val="en-US" w:eastAsia="zh-CN"/>
              </w:rPr>
              <w:t>本项目生态环境准入清单符合性分析见下表。</w:t>
            </w:r>
          </w:p>
          <w:p>
            <w:pPr>
              <w:numPr>
                <w:ilvl w:val="0"/>
                <w:numId w:val="0"/>
              </w:numPr>
              <w:autoSpaceDE w:val="0"/>
              <w:autoSpaceDN w:val="0"/>
              <w:adjustRightInd w:val="0"/>
              <w:snapToGrid w:val="0"/>
              <w:spacing w:line="360" w:lineRule="auto"/>
              <w:ind w:firstLine="514" w:firstLineChars="200"/>
              <w:jc w:val="center"/>
              <w:rPr>
                <w:rFonts w:hint="default" w:ascii="Times New Roman" w:hAnsi="Times New Roman" w:eastAsia="宋体" w:cs="Times New Roman"/>
                <w:b/>
                <w:bCs/>
                <w:spacing w:val="8"/>
                <w:sz w:val="24"/>
                <w:szCs w:val="24"/>
                <w:lang w:val="en-US" w:eastAsia="zh-CN"/>
              </w:rPr>
            </w:pPr>
          </w:p>
          <w:p>
            <w:pPr>
              <w:numPr>
                <w:ilvl w:val="0"/>
                <w:numId w:val="0"/>
              </w:numPr>
              <w:autoSpaceDE w:val="0"/>
              <w:autoSpaceDN w:val="0"/>
              <w:adjustRightInd w:val="0"/>
              <w:snapToGrid w:val="0"/>
              <w:spacing w:line="360" w:lineRule="auto"/>
              <w:ind w:firstLine="514" w:firstLineChars="200"/>
              <w:jc w:val="center"/>
              <w:rPr>
                <w:rFonts w:hint="default" w:ascii="Times New Roman" w:hAnsi="Times New Roman" w:eastAsia="宋体" w:cs="Times New Roman"/>
                <w:b/>
                <w:bCs/>
                <w:spacing w:val="8"/>
                <w:sz w:val="24"/>
                <w:szCs w:val="24"/>
                <w:lang w:val="en-US" w:eastAsia="zh-CN"/>
              </w:rPr>
            </w:pPr>
          </w:p>
          <w:p>
            <w:pPr>
              <w:numPr>
                <w:ilvl w:val="0"/>
                <w:numId w:val="0"/>
              </w:numPr>
              <w:autoSpaceDE w:val="0"/>
              <w:autoSpaceDN w:val="0"/>
              <w:adjustRightInd w:val="0"/>
              <w:snapToGrid w:val="0"/>
              <w:spacing w:line="360" w:lineRule="auto"/>
              <w:ind w:firstLine="514" w:firstLineChars="200"/>
              <w:jc w:val="center"/>
              <w:rPr>
                <w:rFonts w:hint="default" w:ascii="Times New Roman" w:hAnsi="Times New Roman" w:eastAsia="宋体" w:cs="Times New Roman"/>
                <w:b/>
                <w:bCs/>
                <w:spacing w:val="8"/>
                <w:sz w:val="24"/>
                <w:szCs w:val="24"/>
                <w:lang w:val="en-US" w:eastAsia="zh-CN"/>
              </w:rPr>
            </w:pPr>
          </w:p>
          <w:p>
            <w:pPr>
              <w:numPr>
                <w:ilvl w:val="0"/>
                <w:numId w:val="0"/>
              </w:numPr>
              <w:autoSpaceDE w:val="0"/>
              <w:autoSpaceDN w:val="0"/>
              <w:adjustRightInd w:val="0"/>
              <w:snapToGrid w:val="0"/>
              <w:spacing w:line="360" w:lineRule="auto"/>
              <w:jc w:val="both"/>
              <w:rPr>
                <w:rFonts w:hint="default" w:ascii="Times New Roman" w:hAnsi="Times New Roman" w:eastAsia="宋体" w:cs="Times New Roman"/>
                <w:b/>
                <w:bCs/>
                <w:spacing w:val="8"/>
                <w:sz w:val="24"/>
                <w:szCs w:val="24"/>
                <w:lang w:val="en-US" w:eastAsia="zh-CN"/>
              </w:rPr>
            </w:pPr>
          </w:p>
        </w:tc>
      </w:tr>
    </w:tbl>
    <w:p>
      <w:pPr>
        <w:spacing w:line="360" w:lineRule="auto"/>
        <w:outlineLvl w:val="0"/>
        <w:rPr>
          <w:rFonts w:eastAsia="黑体"/>
          <w:sz w:val="30"/>
        </w:rPr>
        <w:sectPr>
          <w:pgSz w:w="11906" w:h="16838"/>
          <w:pgMar w:top="1701" w:right="1531" w:bottom="1701" w:left="1531" w:header="851" w:footer="1077" w:gutter="0"/>
          <w:pgNumType w:fmt="decimal" w:start="1"/>
          <w:cols w:space="720" w:num="1"/>
          <w:docGrid w:linePitch="312" w:charSpace="0"/>
        </w:sectPr>
      </w:pPr>
    </w:p>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0"/>
        <w:rPr>
          <w:rFonts w:hint="default" w:ascii="Times New Roman" w:hAnsi="Times New Roman" w:eastAsia="宋体" w:cs="Times New Roman"/>
          <w:b/>
          <w:bCs/>
          <w:snapToGrid w:val="0"/>
          <w:sz w:val="21"/>
          <w:szCs w:val="21"/>
          <w:lang w:val="en-US" w:eastAsia="zh-CN"/>
        </w:rPr>
      </w:pPr>
      <w:bookmarkStart w:id="5" w:name="_Toc24818"/>
      <w:r>
        <w:rPr>
          <w:rFonts w:hint="default" w:ascii="Times New Roman" w:hAnsi="Times New Roman" w:eastAsia="宋体" w:cs="Times New Roman"/>
          <w:b/>
          <w:bCs/>
          <w:snapToGrid w:val="0"/>
          <w:sz w:val="21"/>
          <w:szCs w:val="21"/>
          <w:lang w:val="en-US" w:eastAsia="zh-CN"/>
        </w:rPr>
        <w:t>表1-8</w:t>
      </w:r>
      <w:r>
        <w:rPr>
          <w:rFonts w:hint="eastAsia" w:ascii="Times New Roman" w:hAnsi="Times New Roman" w:eastAsia="宋体" w:cs="Times New Roman"/>
          <w:b/>
          <w:bCs/>
          <w:snapToGrid w:val="0"/>
          <w:sz w:val="21"/>
          <w:szCs w:val="21"/>
          <w:lang w:val="en-US" w:eastAsia="zh-CN"/>
        </w:rPr>
        <w:t xml:space="preserve">  </w:t>
      </w:r>
      <w:r>
        <w:rPr>
          <w:rFonts w:hint="default" w:ascii="Times New Roman" w:hAnsi="Times New Roman" w:eastAsia="宋体" w:cs="Times New Roman"/>
          <w:b/>
          <w:bCs/>
          <w:snapToGrid w:val="0"/>
          <w:sz w:val="21"/>
          <w:szCs w:val="21"/>
          <w:lang w:val="en-US" w:eastAsia="zh-CN"/>
        </w:rPr>
        <w:t>本项目生态环境准入清单符合性分析一览表</w:t>
      </w:r>
      <w:bookmarkEnd w:id="5"/>
    </w:p>
    <w:tbl>
      <w:tblPr>
        <w:tblStyle w:val="220"/>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175"/>
        <w:gridCol w:w="4224"/>
        <w:gridCol w:w="825"/>
        <w:gridCol w:w="4117"/>
        <w:gridCol w:w="178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71"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430"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1546" w:type="pct"/>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乐山市普适性清单</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管控类别</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单元特性管控要求</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5" w:hRule="atLeast"/>
          <w:jc w:val="center"/>
        </w:trPr>
        <w:tc>
          <w:tcPr>
            <w:tcW w:w="271"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YS5111022210004</w:t>
            </w:r>
          </w:p>
        </w:tc>
        <w:tc>
          <w:tcPr>
            <w:tcW w:w="430"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泥溪河-市中区-泥溪河口-控制单元</w:t>
            </w:r>
          </w:p>
        </w:tc>
        <w:tc>
          <w:tcPr>
            <w:tcW w:w="1546" w:type="pct"/>
            <w:vMerge w:val="restart"/>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禁止开发建设活动的要求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限制开发建设活动的要求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严控磷铵、黄磷等产业违规新增产能加快退出不符合产业政策和环保要求、不满足安全生产条件的涉磷企业</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允许开发建设活动的要求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不符合空间布局要求活动的退出要求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其他空间布局约束要求</w:t>
            </w:r>
          </w:p>
        </w:tc>
        <w:tc>
          <w:tcPr>
            <w:tcW w:w="6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其他方便食品制造，不涉及</w:t>
            </w:r>
            <w:r>
              <w:rPr>
                <w:rStyle w:val="43"/>
                <w:rFonts w:hint="default" w:ascii="Times New Roman" w:hAnsi="Times New Roman" w:eastAsia="宋体" w:cs="Times New Roman"/>
                <w:color w:val="auto"/>
                <w:kern w:val="2"/>
                <w:sz w:val="21"/>
                <w:szCs w:val="21"/>
                <w:lang w:val="en-US" w:eastAsia="zh-CN" w:bidi="ar-SA"/>
              </w:rPr>
              <w:t>磷铵、黄磷等产业，</w:t>
            </w:r>
            <w:r>
              <w:rPr>
                <w:rFonts w:hint="default" w:ascii="Times New Roman" w:hAnsi="Times New Roman" w:eastAsia="FZShuSong-Z01" w:cs="Times New Roman"/>
                <w:color w:val="auto"/>
                <w:kern w:val="0"/>
                <w:sz w:val="21"/>
                <w:szCs w:val="21"/>
                <w:lang w:val="en-US" w:eastAsia="zh-CN" w:bidi="ar"/>
              </w:rPr>
              <w:t>所在区域属于乐山市市中区规划的嘉州食品饮料产业园，符合区域产业定位。</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YS5111022210004</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泥溪河-市中区-泥溪河口-控制单元</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城镇污水污染控制措施要求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工业废水污染控制措施要求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第一批）》《优先控制化学品名录</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第二批）》《重点管控新污染物清单</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2023年版）》环境风险管控措施。</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农业面源水污染控制措施要求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船舶港口水污染控制措施要求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饮用水水源和其它特殊水体保护要求</w:t>
            </w:r>
          </w:p>
        </w:tc>
        <w:tc>
          <w:tcPr>
            <w:tcW w:w="6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pacing w:val="-1"/>
                <w:sz w:val="21"/>
                <w:szCs w:val="21"/>
                <w:vertAlign w:val="baseline"/>
                <w:lang w:val="en-US" w:eastAsia="zh-CN"/>
              </w:rPr>
              <w:t>园区工业污水处理厂建成之前，项目废水经厂区预处理后排入</w:t>
            </w:r>
            <w:r>
              <w:rPr>
                <w:rFonts w:hint="eastAsia" w:ascii="Times New Roman" w:hAnsi="Times New Roman" w:eastAsia="宋体" w:cs="Times New Roman"/>
                <w:b w:val="0"/>
                <w:bCs w:val="0"/>
                <w:spacing w:val="-1"/>
                <w:sz w:val="21"/>
                <w:szCs w:val="21"/>
                <w:vertAlign w:val="baseline"/>
                <w:lang w:val="en-US" w:eastAsia="zh-CN"/>
              </w:rPr>
              <w:t>全福镇污水处理厂</w:t>
            </w:r>
            <w:r>
              <w:rPr>
                <w:rFonts w:hint="default" w:ascii="Times New Roman" w:hAnsi="Times New Roman" w:eastAsia="宋体" w:cs="Times New Roman"/>
                <w:b w:val="0"/>
                <w:bCs w:val="0"/>
                <w:spacing w:val="-1"/>
                <w:sz w:val="21"/>
                <w:szCs w:val="21"/>
                <w:vertAlign w:val="baseline"/>
                <w:lang w:val="en-US" w:eastAsia="zh-CN"/>
              </w:rPr>
              <w:t>，园区污水处理厂建成之后，项目废水排入园区污水处理厂处理。</w:t>
            </w:r>
            <w:r>
              <w:rPr>
                <w:rFonts w:hint="default" w:ascii="Times New Roman" w:hAnsi="Times New Roman" w:eastAsia="宋体" w:cs="Times New Roman"/>
                <w:spacing w:val="23"/>
                <w:sz w:val="21"/>
                <w:szCs w:val="21"/>
              </w:rPr>
              <w:t>不新增排污口</w:t>
            </w:r>
            <w:r>
              <w:rPr>
                <w:rFonts w:hint="default" w:ascii="Times New Roman" w:hAnsi="Times New Roman" w:eastAsia="宋体" w:cs="Times New Roman"/>
                <w:spacing w:val="23"/>
                <w:sz w:val="21"/>
                <w:szCs w:val="21"/>
                <w:lang w:eastAsia="zh-CN"/>
              </w:rPr>
              <w:t>，</w:t>
            </w:r>
            <w:r>
              <w:rPr>
                <w:rFonts w:hint="default" w:ascii="Times New Roman" w:hAnsi="Times New Roman" w:eastAsia="宋体" w:cs="Times New Roman"/>
                <w:color w:val="000000"/>
                <w:kern w:val="0"/>
                <w:sz w:val="21"/>
                <w:szCs w:val="21"/>
                <w:lang w:val="en-US" w:eastAsia="zh-CN" w:bidi="ar"/>
              </w:rPr>
              <w:t>厂区内实现雨污分流。</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1"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YS5111022210004</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泥溪河-市中区-泥溪河口-控制单元</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FZShuSong-Z01" w:cs="Times New Roman"/>
                <w:color w:val="auto"/>
                <w:kern w:val="0"/>
                <w:sz w:val="21"/>
                <w:szCs w:val="21"/>
                <w:lang w:val="en-US" w:eastAsia="zh-CN" w:bidi="ar"/>
              </w:rPr>
              <w:t>所在区域属于乐山市市中区规划的嘉州食品饮料产业园，不涉及化工企业。</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YS5111022210004</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泥溪河-市中区-泥溪河口-控制单元</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加强高耗水行业用水定额管理，以水定产，严格控制高耗水新建、改建、扩建项目。</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w:t>
            </w:r>
            <w:r>
              <w:rPr>
                <w:rStyle w:val="43"/>
                <w:rFonts w:hint="default" w:ascii="Times New Roman" w:hAnsi="Times New Roman" w:eastAsia="宋体" w:cs="Times New Roman"/>
                <w:color w:val="auto"/>
                <w:kern w:val="2"/>
                <w:sz w:val="21"/>
                <w:szCs w:val="21"/>
                <w:lang w:val="en-US" w:eastAsia="zh-CN" w:bidi="ar-SA"/>
              </w:rPr>
              <w:t>不涉及高</w:t>
            </w:r>
            <w:r>
              <w:rPr>
                <w:rStyle w:val="43"/>
                <w:rFonts w:hint="eastAsia" w:ascii="Times New Roman" w:hAnsi="Times New Roman" w:eastAsia="宋体" w:cs="Times New Roman"/>
                <w:color w:val="auto"/>
                <w:kern w:val="2"/>
                <w:sz w:val="21"/>
                <w:szCs w:val="21"/>
                <w:lang w:val="en-US" w:eastAsia="zh-CN" w:bidi="ar-SA"/>
              </w:rPr>
              <w:t>耗</w:t>
            </w:r>
            <w:r>
              <w:rPr>
                <w:rStyle w:val="43"/>
                <w:rFonts w:hint="default" w:ascii="Times New Roman" w:hAnsi="Times New Roman" w:eastAsia="宋体" w:cs="Times New Roman"/>
                <w:color w:val="auto"/>
                <w:kern w:val="2"/>
                <w:sz w:val="21"/>
                <w:szCs w:val="21"/>
                <w:lang w:val="en-US" w:eastAsia="zh-CN" w:bidi="ar-SA"/>
              </w:rPr>
              <w:t>水项目。</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6" w:hRule="atLeast"/>
          <w:jc w:val="center"/>
        </w:trPr>
        <w:tc>
          <w:tcPr>
            <w:tcW w:w="271"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YS5111022310002</w:t>
            </w:r>
          </w:p>
        </w:tc>
        <w:tc>
          <w:tcPr>
            <w:tcW w:w="430"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限制开发建设活动的要求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允许开发建设活动的要求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不符合空间布局要求活动的退出要求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其他空间布局约束要求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YS5111022310002</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大气环境质量执行标准</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《环境空气质量标准》</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GB3095-2012）：二级</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区域大气污染物削减/替代要求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燃煤和其他能源大气污染控制要求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工业废气污染控制要求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2、加快推进火电、钢铁、铸造</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含烧结、球团、高炉工序）水泥、焦化行业燃煤锅炉和工业炉窑超低排放改造及深度治理。稳步实施陶瓷、玻璃、铁合金、有色、砖瓦等行业企业深度治理，推进工业炉窑煤改电</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气）和低氮燃烧改造。全面加强钢铁、建材、有色、焦化、铸造重点行业无组织排放治理。生物质锅炉采用专用锅炉，配套布袋等高效除尘设施，禁止掺烧煤炭、垃圾等其他物料。</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机动车船大气污染控制要求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扬尘污染控制要求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农业生产经营活动大气污染控制要求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重点行业企业专项治理要求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2、乐山市2023年12月前，推进中心城区国控站点周边10km砖瓦企业无组织排放、隧道窑烟超低排放改造，排放标准达到颗粒物≤10mg/m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、二氧化硫≤35mg/m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、氮氧化物≤50mg/m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。2024年12月底前，完成对南、西部“战区”域范围内峨胜水泥、德胜水泥、永祥新材料等8家水泥企业超低排放改造，排放标准达到颗粒物≤10mg/m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、二氧化硫≤35mg/m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、氮氧化物≤50mg/m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；完成市中区、沙湾区、井研县和峨眉山市42家铸造行业企业电炉烟气深度治理，排放标准达到颗粒物≤15mg/m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，重点整治无组织排放治理及炉窑烟气治理，实现煤粉、膨润土、硅砂等粉状物料应袋装或罐装，并储存于半封储库、堆棚及以上措施，易产生粉尘部位</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浇铸、打磨等工序</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必须安装二次除尘设施，做到应装尽装，并确保二次除尘设施正常运行。2024年8月前，推进年产能在150万平方米以上的陶瓷企业喷雾干燥工序使用天然气或完成深度治理，排放标准达到颗粒物≤l5mg/m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、二氧化硫≤30mg/m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、氮氧化物≤80mg/m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、氨逃逸≤8mg/Nm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的标准；推进东、北部“战区”年产能在150万平方米以上的重点陶瓷企业完成超低排放改造，轮道窑全部安装完成SCR脱硝设施，并稳定运行，排放标准达到颗粒物≤10mg/m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、二氧化硫≤30mg/m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、氮氧化物≤80mg/m</w:t>
            </w:r>
            <w:r>
              <w:rPr>
                <w:rStyle w:val="43"/>
                <w:rFonts w:hint="default" w:ascii="Times New Roman" w:hAnsi="Times New Roman" w:eastAsia="宋体" w:cs="Times New Roman"/>
                <w:kern w:val="2"/>
                <w:sz w:val="21"/>
                <w:szCs w:val="21"/>
                <w:vertAlign w:val="superscript"/>
                <w:lang w:val="en-US" w:eastAsia="zh-CN" w:bidi="ar-SA"/>
              </w:rPr>
              <w:t>3</w:t>
            </w: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其他大气污染物排放管控要求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FZShuSong-Z01" w:cs="Times New Roman"/>
                <w:color w:val="000000"/>
                <w:kern w:val="0"/>
                <w:sz w:val="21"/>
                <w:szCs w:val="21"/>
                <w:lang w:val="en-US" w:eastAsia="zh-CN" w:bidi="ar"/>
              </w:rPr>
              <w:t>项目</w:t>
            </w:r>
            <w:r>
              <w:rPr>
                <w:rFonts w:hint="default" w:ascii="Times New Roman" w:hAnsi="Times New Roman" w:eastAsia="FZShuSong-Z01" w:cs="Times New Roman"/>
                <w:color w:val="auto"/>
                <w:kern w:val="0"/>
                <w:sz w:val="21"/>
                <w:szCs w:val="21"/>
                <w:lang w:val="en-US" w:eastAsia="zh-CN" w:bidi="ar"/>
              </w:rPr>
              <w:t>区域环境空气执行</w:t>
            </w:r>
            <w:r>
              <w:rPr>
                <w:rFonts w:hint="eastAsia" w:eastAsia="FZShuSong-Z01" w:cs="Times New Roman"/>
                <w:color w:val="auto"/>
                <w:kern w:val="0"/>
                <w:sz w:val="21"/>
                <w:szCs w:val="21"/>
                <w:lang w:val="en-US" w:eastAsia="zh-CN" w:bidi="ar"/>
              </w:rPr>
              <w:t>《环境空气质量标准》（GB3095-2012）及其修改清单的二级标准。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FZShuSong-Z01" w:cs="Times New Roman"/>
                <w:color w:val="auto"/>
                <w:kern w:val="0"/>
                <w:sz w:val="21"/>
                <w:szCs w:val="21"/>
                <w:lang w:val="en-US" w:eastAsia="zh-CN" w:bidi="ar"/>
              </w:rPr>
            </w:pPr>
            <w:r>
              <w:rPr>
                <w:rFonts w:hint="default" w:ascii="Times New Roman" w:hAnsi="Times New Roman" w:eastAsia="FZShuSong-Z01" w:cs="Times New Roman"/>
                <w:color w:val="auto"/>
                <w:kern w:val="0"/>
                <w:sz w:val="21"/>
                <w:szCs w:val="21"/>
                <w:lang w:val="en-US" w:eastAsia="zh-CN" w:bidi="ar"/>
              </w:rPr>
              <w:t>项目锅炉使用天然气并采取低氮燃烧技术，满足《锅炉大气污染物排放标准》</w:t>
            </w:r>
            <w:r>
              <w:rPr>
                <w:rFonts w:hint="eastAsia" w:eastAsia="FZShuSong-Z01"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GB13271-2014</w:t>
            </w:r>
            <w:r>
              <w:rPr>
                <w:rFonts w:hint="default" w:ascii="Times New Roman" w:hAnsi="Times New Roman" w:eastAsia="FZShuSong-Z01" w:cs="Times New Roman"/>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FZShuSong-Z01" w:cs="Times New Roman"/>
                <w:color w:val="auto"/>
                <w:kern w:val="0"/>
                <w:sz w:val="21"/>
                <w:szCs w:val="21"/>
                <w:lang w:val="en-US" w:eastAsia="zh-CN" w:bidi="ar"/>
              </w:rPr>
              <w:t>大气污染特别排放限值。</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FZShuSong-Z01" w:cs="Times New Roman"/>
                <w:color w:val="000000"/>
                <w:kern w:val="0"/>
                <w:sz w:val="21"/>
                <w:szCs w:val="21"/>
                <w:lang w:val="en-US" w:eastAsia="zh-CN" w:bidi="ar"/>
              </w:rPr>
            </w:pPr>
            <w:r>
              <w:rPr>
                <w:rFonts w:hint="default" w:ascii="Times New Roman" w:hAnsi="Times New Roman" w:eastAsia="FZShuSong-Z01" w:cs="Times New Roman"/>
                <w:color w:val="auto"/>
                <w:kern w:val="0"/>
                <w:sz w:val="21"/>
                <w:szCs w:val="21"/>
                <w:lang w:val="en-US" w:eastAsia="zh-CN" w:bidi="ar"/>
              </w:rPr>
              <w:t>项目</w:t>
            </w:r>
            <w:r>
              <w:rPr>
                <w:rFonts w:hint="default" w:ascii="Times New Roman" w:hAnsi="Times New Roman" w:eastAsia="宋体" w:cs="Times New Roman"/>
                <w:bCs/>
                <w:color w:val="auto"/>
                <w:sz w:val="21"/>
                <w:szCs w:val="21"/>
                <w:lang w:eastAsia="zh-CN"/>
              </w:rPr>
              <w:t>为</w:t>
            </w:r>
            <w:r>
              <w:rPr>
                <w:rFonts w:hint="default" w:ascii="Times New Roman" w:hAnsi="Times New Roman" w:eastAsia="宋体" w:cs="Times New Roman"/>
                <w:bCs/>
                <w:color w:val="auto"/>
                <w:sz w:val="21"/>
                <w:szCs w:val="21"/>
                <w:lang w:val="en-US" w:eastAsia="zh-CN"/>
              </w:rPr>
              <w:t>其他方便食品制造不涉及重点行业企业。</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YS5111022310002</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1507" w:type="pct"/>
            <w:vMerge w:val="restar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YS5111022310002</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1507" w:type="pct"/>
            <w:vMerge w:val="continue"/>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jc w:val="center"/>
        </w:trPr>
        <w:tc>
          <w:tcPr>
            <w:tcW w:w="271"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YS5111022530001</w:t>
            </w:r>
          </w:p>
        </w:tc>
        <w:tc>
          <w:tcPr>
            <w:tcW w:w="430"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乐山市市中区城镇开发边界</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项目不涉及</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YS5111022530001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乐山市市中区城镇开发边界</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1507" w:type="pct"/>
            <w:vMerge w:val="restar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YS5111022530001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乐山市市中区城镇开发边界</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1507" w:type="pct"/>
            <w:vMerge w:val="continue"/>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YS5111022530001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乐山市市中区城镇开发边界</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土地资源开发效率要求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土地资源开发利用量不得超过土地资源利用上线控制性指标。</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能源资源开发效率要求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其他资源开发效率要求</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FZShuSong-Z01" w:cs="Times New Roman"/>
                <w:color w:val="auto"/>
                <w:kern w:val="0"/>
                <w:sz w:val="21"/>
                <w:szCs w:val="21"/>
                <w:lang w:val="en-US" w:eastAsia="zh-CN" w:bidi="ar"/>
              </w:rPr>
              <w:t>所在区域属于乐山市市中区规划的嘉州食品饮料产业园。</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71"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YS5111022550001</w:t>
            </w:r>
          </w:p>
        </w:tc>
        <w:tc>
          <w:tcPr>
            <w:tcW w:w="430"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市中区自然资源重点管控区</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1507" w:type="pct"/>
            <w:vMerge w:val="restar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YS5111022550001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市中区自然资源重点管控区</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1507" w:type="pct"/>
            <w:vMerge w:val="continue"/>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YS5111022550001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市中区自然资源重点管控区</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1507" w:type="pct"/>
            <w:vMerge w:val="continue"/>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YS5111022550001</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市中区自然资源重点管控区</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土地资源开发效率要求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能源资源开发效率要求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其他资源开发效率要求</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FZShuSong-Z01" w:cs="Times New Roman"/>
                <w:color w:val="auto"/>
                <w:kern w:val="0"/>
                <w:sz w:val="21"/>
                <w:szCs w:val="21"/>
                <w:lang w:val="en-US" w:eastAsia="zh-CN" w:bidi="ar"/>
              </w:rPr>
              <w:t>所在区域属于乐山市市中区规划的嘉州食品饮料产业园。</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71"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ZH51110220003</w:t>
            </w:r>
          </w:p>
        </w:tc>
        <w:tc>
          <w:tcPr>
            <w:tcW w:w="430" w:type="pct"/>
            <w:vMerge w:val="restar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restart"/>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1）禁止在长江干支流、重要湖泊岸线一公里范围内新建、扩建化工园区和化工项目；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2）禁止在长江干流岸线三公里范围内和重要支流岸线一公里范围内新建、改建、扩建尾矿库</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以提升安全、生态环境保护水平为目的的改建除外）；</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3）禁止在合规园区外新建、扩建钢铁、石化、化工、焦化、建材、有色、制浆造纸等高污染项目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4）禁止新建、扩建不符合国家石化、现代煤化工等产业布局规划的项目；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5）重点区域严禁新增钢铁、焦化、电解铝、铸造、水泥、平板玻璃等行业项目及产能。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6）未通过认定的化工园区，不得新建、改扩建化工项目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安全、环保、节能和智能化改造项目除外），按属地原则依法依规妥善做好未通过认定化工园区及园内企业的转型、关闭、处置及监管工作。</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1）继续化解过剩产能，严禁钢铁、水泥、电解铝、平板玻璃等行业新增产能，对确有必要新建的必须实施等量或减量置换；</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2）长江干流及重要支流岸线一公里范围内严控新建制革、有色金属、三磷项目。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1）上一年度水环境质量未完成目标的，新建排放水污染的建设项目按照总量管控要求进行倍量削减替代；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2）对新建排放二氧化硫、氮氧化物、工业烟粉尘和挥发性有机物的项目实施现役源2倍削减替代；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1）现有工业园区集中污水处理厂执行《四川省岷江、沱江流域水污染物排放标准》</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DB51/2311-2016），增加工业污水中水回用配套设施建设，鼓励园区和企业中水回用；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喷雾干燥塔）清洁能源改造工程，加快推进五通桥涉氨排放化工企业氨排放治理。</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2）大力推进低</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无）VOCs含量原辅材料替代；聚焦治污设施“三率”，提升综合治理效率。</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3）化工园区应按照分类收集，分质处理的要求，配备专业化工生产废水集中处理设施</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独立建设或依托骨干企业）及专管或明管输送的配套管网，化工生产废水纳管率达到100%。入河排污口设置应符合相关规定。</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1）涉及有毒有害、易燃易爆物质新建、改扩建项目，严控准入要求；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2）严格涉重金属企业和园区环境准入管理，新</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改、扩）建涉重金属重点行业建设项目实施“等量替代”或“减量替代”；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5）化工园区应具有安全风险监控体系、建立生态环境监测监控体系、建立必要的突发环境事件应急体系。</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1）严格控制煤炭消费总量。严格控制新建、改建、扩建耗煤项目，新增耗煤项目实行当年煤炭消耗减量倍量替代。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2）加快推进火电、钢铁、铸造</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含烧结、球团、高炉工序）水泥、焦化行业燃煤锅炉和工业炉窑超低排放改造及深度治理。稳步实施陶瓷、玻璃、铁合金、有色、砖瓦等行业企业深度治理，推进工业炉窑煤改电</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气）和低氮燃烧改造。全面加强钢铁、建材、有色、焦化、铸造重点行业无组织排放治理。生物质锅炉采用专用锅炉，配套布袋等高效除尘设施，禁止掺烧煤炭、垃圾等其他物料。</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3）禁燃区禁止审批</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核准、备案）、新建、扩建燃用高污染燃料的锅炉、炉窑等各类燃用高污染燃料的设施。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1、禁止引入精细化工、化学合成类、发酵类医药项目</w:t>
            </w:r>
            <w:r>
              <w:rPr>
                <w:rStyle w:val="43"/>
                <w:rFonts w:hint="eastAsia" w:ascii="Times New Roman" w:hAnsi="Times New Roman" w:eastAsia="宋体" w:cs="Times New Roman"/>
                <w:kern w:val="2"/>
                <w:sz w:val="21"/>
                <w:szCs w:val="21"/>
                <w:lang w:val="en-US" w:eastAsia="zh-CN" w:bidi="ar-SA"/>
              </w:rPr>
              <w:t>（</w:t>
            </w:r>
            <w:r>
              <w:rPr>
                <w:rStyle w:val="43"/>
                <w:rFonts w:hint="default" w:ascii="Times New Roman" w:hAnsi="Times New Roman" w:eastAsia="宋体" w:cs="Times New Roman"/>
                <w:kern w:val="2"/>
                <w:sz w:val="21"/>
                <w:szCs w:val="21"/>
                <w:lang w:val="en-US" w:eastAsia="zh-CN" w:bidi="ar-SA"/>
              </w:rPr>
              <w:t>退城入园的长征制药项目除外）、专业电镀及含炉窑焙烧工艺的项目；</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2、禁止引入与园区主导产业冲突或经环保论证与周边企业、规划用地等环境不相容的企业</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3、茅桥资源循环利用基地禁止引入危险废物集中处置项目，禁止引入涉及一类重金属污染物排放的危险废物综合利用项目，禁止引入废铅蓄电池处置、含铅废物综合利用处置</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4、土主园区禁止引入印染、化纤等高耗水行业产业</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5、其他执行乐山市工业重点管控单元普适性总体准入要求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限制开发建设活动的要求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1、严格限制向靠近水口镇、罗汉镇方向布局；</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2、其他执行乐山市工业重点管控单元普适性总体准入要求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允许开发建设活动的要求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不符合空间布局要求活动的退出要求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其他空间布局约束要求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FZShuSong-Z01" w:cs="Times New Roman"/>
                <w:color w:val="auto"/>
                <w:kern w:val="0"/>
                <w:sz w:val="21"/>
                <w:szCs w:val="21"/>
                <w:lang w:val="en-US" w:eastAsia="zh-CN" w:bidi="ar"/>
              </w:rPr>
            </w:pPr>
            <w:r>
              <w:rPr>
                <w:rFonts w:hint="default" w:ascii="Times New Roman" w:hAnsi="Times New Roman" w:eastAsia="宋体" w:cs="Times New Roman"/>
                <w:bCs/>
                <w:color w:val="auto"/>
                <w:sz w:val="21"/>
                <w:szCs w:val="21"/>
                <w:lang w:eastAsia="zh-CN"/>
              </w:rPr>
              <w:t>项目为</w:t>
            </w:r>
            <w:r>
              <w:rPr>
                <w:rFonts w:hint="default" w:ascii="Times New Roman" w:hAnsi="Times New Roman" w:eastAsia="宋体" w:cs="Times New Roman"/>
                <w:bCs/>
                <w:color w:val="auto"/>
                <w:sz w:val="21"/>
                <w:szCs w:val="21"/>
                <w:lang w:val="en-US" w:eastAsia="zh-CN"/>
              </w:rPr>
              <w:t>其他方便食品制造，</w:t>
            </w:r>
            <w:r>
              <w:rPr>
                <w:rFonts w:hint="default" w:ascii="Times New Roman" w:hAnsi="Times New Roman" w:eastAsia="FZShuSong-Z01" w:cs="Times New Roman"/>
                <w:color w:val="auto"/>
                <w:kern w:val="0"/>
                <w:sz w:val="21"/>
                <w:szCs w:val="21"/>
                <w:lang w:val="en-US" w:eastAsia="zh-CN" w:bidi="ar"/>
              </w:rPr>
              <w:t>所在区域属于乐山市市中区规划的嘉州食品饮料产业园，符合区域产业定位。</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FZShuSong-Z01" w:cs="Times New Roman"/>
                <w:color w:val="auto"/>
                <w:kern w:val="0"/>
                <w:sz w:val="21"/>
                <w:szCs w:val="21"/>
                <w:lang w:val="en-US" w:eastAsia="zh-CN" w:bidi="ar"/>
              </w:rPr>
            </w:pPr>
            <w:r>
              <w:rPr>
                <w:rStyle w:val="43"/>
                <w:rFonts w:hint="default" w:ascii="Times New Roman" w:hAnsi="Times New Roman" w:eastAsia="宋体" w:cs="Times New Roman"/>
                <w:color w:val="auto"/>
                <w:kern w:val="2"/>
                <w:sz w:val="21"/>
                <w:szCs w:val="21"/>
                <w:lang w:val="en-US" w:eastAsia="zh-CN" w:bidi="ar-SA"/>
              </w:rPr>
              <w:t>项目执行乐山市工业重点管控单元普适性总体准入要求</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ZH51110220003</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1）禁止在长江干支流、重要湖泊岸线一公里范围内新建、扩建化工园区和化工项目；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2）禁止在长江干流岸线三公里范围内和重要支流岸线一公里范围内新建、改建、扩建尾矿库</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以提升安全、生态环境保护水平为目的的改建除外）；</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3）禁止在合规园区外新建、扩建钢铁、石化、化工、焦化、建材、有色、制浆造纸等高污染项目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4）禁止新建、扩建不符合国家石化、现代煤化工等产业布局规划的项目；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5）重点区域严禁新增钢铁、焦化、电解铝、铸造、水泥、平板玻璃等行业项目及产能。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6）未通过认定的化工园区，不得新建、改扩建化工项目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安全、环保、节能和智能化改造项目除外），按属地原则依法依规妥善做好未通过认定化工园区及园内企业的转型、关闭、处置及监管工作。</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1）继续化解过剩产能，严禁钢铁、水泥、电解铝、平板玻璃等行业新增产能，对确有必要新建的必须实施等量或减量置换；</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2）长江干流及重要支流岸线一公里范围内严控新建制革、有色金属、三磷项目。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1）上一年度水环境质量未完成目标的，新建排放水污染的建设项目按照总量管控要求进行倍量削减替代；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2）对新建排放二氧化硫、氮氧化物、工业烟粉尘和挥发性有机物的项目实施现役源2倍削减替代；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1）现有工业园区集中污水处理厂执行《四川省岷江、沱江流域水污染物排放标准》</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DB51/2311-2016），增加工业污水中水回用配套设施建设，鼓励园区和企业中水回用；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喷雾干燥塔）清洁能源改造工程，加快推进五通桥涉氨排放化工企业氨排放治理。</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2）大力推进低</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无）VOCs含量原辅材料替代；聚焦治污设施“三率”，提升综合治理效率。</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3）化工园区应按照分类收集，分质处理的要求，配备专业化工生产废水集中处理设施</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独立建设或依托骨干企业）及专管或明管输送的配套管网，化工生产废水纳管率达到100%。入河排污口设置应符合相关规定。</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1）涉及有毒有害、易燃易爆物质新建、改扩建项目，严控准入要求；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2）严格涉重金属企业和园区环境准入管理，新</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改、扩）建涉重金属重点行业建设项目实施“等量替代”或“减量替代”；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5）化工园区应具有安全风险监控体系、建立生态环境监测监控体系、建立必要的突发环境事件应急体系。</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1）严格控制煤炭消费总量。严格控制新建、改建、扩建耗煤项目，新增耗煤项目实行当年煤炭消耗减量倍量替代。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2）加快推进火电、钢铁、铸造</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含烧结、球团、高炉工序）水泥、焦化行业燃煤锅炉和工业炉窑超低排放改造及深度治理。稳步实施陶瓷、玻璃、铁合金、有色、砖瓦等行业企业深度治理，推进工业炉窑煤改电</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气）和低氮燃烧改造。全面加强钢铁、建材、有色、焦化、铸造重点行业无组织排放治理。生物质锅炉采用专用锅炉，配套布袋等高效除尘设施，禁止掺烧煤炭、垃圾等其他物料。</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3）禁燃区禁止审批</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核准、备案）、新建、扩建燃用高污染燃料的锅炉、炉窑等各类燃用高污染燃料的设施。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现有源提标升级改造</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新增源等量或倍量替代</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新增源排放标准限值</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污染物排放绩效水平准入要求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其他污染物排放管控要求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1、含盐废水满足园区污水处理厂进水要求。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2、土主园区污水处理厂建成前，不得外排废水。</w:t>
            </w:r>
          </w:p>
        </w:tc>
        <w:tc>
          <w:tcPr>
            <w:tcW w:w="653"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项目主要废气为锅炉天然气废气和油烟，主要废气污染物为颗粒物、二氧化硫、氮氧化物排放，排气筒高度</w:t>
            </w:r>
            <w:r>
              <w:rPr>
                <w:rFonts w:hint="default" w:ascii="Times New Roman" w:hAnsi="Times New Roman" w:eastAsia="宋体" w:cs="Times New Roman"/>
                <w:color w:val="auto"/>
                <w:kern w:val="0"/>
                <w:sz w:val="21"/>
                <w:szCs w:val="21"/>
                <w:lang w:val="en-US" w:eastAsia="zh-CN" w:bidi="ar"/>
              </w:rPr>
              <w:t>为8</w:t>
            </w:r>
            <w:r>
              <w:rPr>
                <w:rFonts w:hint="default" w:ascii="Times New Roman" w:hAnsi="Times New Roman" w:eastAsia="宋体" w:cs="Times New Roman"/>
                <w:color w:val="000000"/>
                <w:kern w:val="0"/>
                <w:sz w:val="21"/>
                <w:szCs w:val="21"/>
                <w:lang w:val="en-US" w:eastAsia="zh-CN" w:bidi="ar"/>
              </w:rPr>
              <w:t>米，污染物</w:t>
            </w:r>
            <w:r>
              <w:rPr>
                <w:rStyle w:val="43"/>
                <w:rFonts w:hint="default" w:ascii="Times New Roman" w:hAnsi="Times New Roman" w:eastAsia="宋体" w:cs="Times New Roman"/>
                <w:color w:val="000000"/>
                <w:kern w:val="0"/>
                <w:sz w:val="21"/>
                <w:szCs w:val="21"/>
                <w:lang w:val="en-US" w:eastAsia="zh-CN" w:bidi="ar-SA"/>
              </w:rPr>
              <w:t>按照总量管控要求进行倍量削减替代</w:t>
            </w:r>
            <w:r>
              <w:rPr>
                <w:rFonts w:hint="default" w:ascii="Times New Roman" w:hAnsi="Times New Roman" w:eastAsia="宋体" w:cs="Times New Roman"/>
                <w:color w:val="000000"/>
                <w:kern w:val="0"/>
                <w:sz w:val="21"/>
                <w:szCs w:val="21"/>
                <w:lang w:val="en-US" w:eastAsia="zh-CN" w:bidi="ar"/>
              </w:rPr>
              <w:t>，总量控制指标由生态环境主管部门调剂。</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3"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ZH51110220003</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1）禁止在长江干支流、重要湖泊岸线一公里范围内新建、扩建化工园区和化工项目；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2）禁止在长江干流岸线三公里范围内和重要支流岸线一公里范围内新建、改建、扩建尾矿库</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以提升安全、生态环境保护水平为目的的改建除外）；</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3）禁止在合规园区外新建、扩建钢铁、石化、化工、焦化、建材、有色、制浆造纸等高污染项目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4）禁止新建、扩建不符合国家石化、现代煤化工等产业布局规划的项目；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5）重点区域严禁新增钢铁、焦化、电解铝、铸造、水泥、平板玻璃等行业项目及产能。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6）未通过认定的化工园区，不得新建、改扩建化工项目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安全、环保、节能和智能化改造项目除外），按属地原则依法依规妥善做好未通过认定化工园区及园内企业的转型、关闭、处置及监管工作。</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1）继续化解过剩产能，严禁钢铁、水泥、电解铝、平板玻璃等行业新增产能，对确有必要新建的必须实施等量或减量置换；</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2）长江干流及重要支流岸线一公里范围内严控新建制革、有色金属、三磷项目。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1）上一年度水环境质量未完成目标的，新建排放水污染的建设项目按照总量管控要求进行倍量削减替代；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2）对新建排放二氧化硫、氮氧化物、工业烟粉尘和挥发性有机物的项目实施现役源2倍削减替代；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1）现有工业园区集中污水处理厂执行《四川省岷江、沱江流域水污染物排放标准》</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DB51/2311-2016），增加工业污水中水回用配套设施建设，鼓励园区和企业中水回用；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喷雾干燥塔）清洁能源改造工程，加快推进五通桥涉氨排放化工企业氨排放治理。</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2）大力推进低</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无）VOCs含量原辅材料替代；聚焦治污设施“三率”，提升综合治理效率。</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3）化工园区应按照分类收集，分质处理的要求，配备专业化工生产废水集中处理设施</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独立建设或依托骨干企业）及专管或明管输送的配套管网，化工生产废水纳管率达到100%。入河排污口设置应符合相关规定。</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1）涉及有毒有害、易燃易爆物质新建、改扩建项目，严控准入要求；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2）严格涉重金属企业和园区环境准入管理，新</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改、扩）建涉重金属重点行业建设项目实施“等量替代”或“减量替代”；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5）化工园区应具有安全风险监控体系、建立生态环境监测监控体系、建立必要的突发环境事件应急体系。</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1）严格控制煤炭消费总量。严格控制新建、改建、扩建耗煤项目，新增耗煤项目实行当年煤炭消耗减量倍量替代。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2）加快推进火电、钢铁、铸造</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含烧结、球团、高炉工序）水泥、焦化行业燃煤锅炉和工业炉窑超低排放改造及深度治理。稳步实施陶瓷、玻璃、铁合金、有色、砖瓦等行业企业深度治理，推进工业炉窑煤改电</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气）和低氮燃烧改造。全面加强钢铁、建材、有色、焦化、铸造重点行业无组织排放治理。生物质锅炉采用专用锅炉，配套布袋等高效除尘设施，禁止掺烧煤炭、垃圾等其他物料。</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3）禁燃区禁止审批</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核准、备案）、新建、扩建燃用高污染燃料的锅炉、炉窑等各类燃用高污染燃料的设施。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严格管控类农用地管控要求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安全利用类农用地管控要求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污染地块管控要求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园区环境风险防控要求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1、为保护河流的水环境，河道两侧应设置一定宽度的绿化保护带；</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2、其他执行乐山市工业重点管控单元普适性总体准入要求。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企业环境风险防控要求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其他环境风险防控要求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执行乐山市工业重点管控单元普适性总体准入要求。</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val="0"/>
                <w:spacing w:val="-1"/>
                <w:sz w:val="21"/>
                <w:szCs w:val="21"/>
                <w:vertAlign w:val="baseline"/>
                <w:lang w:val="en-US" w:eastAsia="zh-CN"/>
              </w:rPr>
              <w:t>园区工业污水处理厂建成之前，项目废水经厂区预处理后排入</w:t>
            </w:r>
            <w:r>
              <w:rPr>
                <w:rFonts w:hint="eastAsia" w:ascii="Times New Roman" w:hAnsi="Times New Roman" w:eastAsia="宋体" w:cs="Times New Roman"/>
                <w:b w:val="0"/>
                <w:bCs w:val="0"/>
                <w:spacing w:val="-1"/>
                <w:sz w:val="21"/>
                <w:szCs w:val="21"/>
                <w:vertAlign w:val="baseline"/>
                <w:lang w:val="en-US" w:eastAsia="zh-CN"/>
              </w:rPr>
              <w:t>全福镇污水处理厂</w:t>
            </w:r>
            <w:r>
              <w:rPr>
                <w:rFonts w:hint="default" w:ascii="Times New Roman" w:hAnsi="Times New Roman" w:eastAsia="宋体" w:cs="Times New Roman"/>
                <w:b w:val="0"/>
                <w:bCs w:val="0"/>
                <w:spacing w:val="-1"/>
                <w:sz w:val="21"/>
                <w:szCs w:val="21"/>
                <w:vertAlign w:val="baseline"/>
                <w:lang w:val="en-US" w:eastAsia="zh-CN"/>
              </w:rPr>
              <w:t>，园区污水处理厂建成之后，项目废水排入园区污水处理厂处理。</w:t>
            </w:r>
            <w:r>
              <w:rPr>
                <w:rFonts w:hint="default" w:ascii="Times New Roman" w:hAnsi="Times New Roman" w:eastAsia="宋体" w:cs="Times New Roman"/>
                <w:spacing w:val="23"/>
                <w:sz w:val="21"/>
                <w:szCs w:val="21"/>
              </w:rPr>
              <w:t>不新增排污口</w:t>
            </w:r>
            <w:r>
              <w:rPr>
                <w:rFonts w:hint="default" w:ascii="Times New Roman" w:hAnsi="Times New Roman" w:eastAsia="宋体" w:cs="Times New Roman"/>
                <w:spacing w:val="23"/>
                <w:sz w:val="21"/>
                <w:szCs w:val="21"/>
                <w:lang w:eastAsia="zh-CN"/>
              </w:rPr>
              <w:t>，</w:t>
            </w:r>
            <w:r>
              <w:rPr>
                <w:rFonts w:hint="default" w:ascii="Times New Roman" w:hAnsi="Times New Roman" w:eastAsia="宋体" w:cs="Times New Roman"/>
                <w:color w:val="000000"/>
                <w:kern w:val="0"/>
                <w:sz w:val="21"/>
                <w:szCs w:val="21"/>
                <w:lang w:val="en-US" w:eastAsia="zh-CN" w:bidi="ar"/>
              </w:rPr>
              <w:t>厂区内实现雨污分流。</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pacing w:val="23"/>
                <w:sz w:val="21"/>
                <w:szCs w:val="21"/>
                <w:lang w:val="en-US" w:eastAsia="zh-CN"/>
              </w:rPr>
              <w:t>项目主要废气为天然气锅炉废气和油烟，主要废气污染物为颗粒物、二氧化硫、氮氧化物排放，排气筒高度为8米，污染物按照总量管控要求进行倍量削减替代，总量控制指标由生态环境主管部门调剂。</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71"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ZH51110220003</w:t>
            </w:r>
          </w:p>
        </w:tc>
        <w:tc>
          <w:tcPr>
            <w:tcW w:w="430" w:type="pct"/>
            <w:vMerge w:val="continue"/>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市中区新型工业园</w:t>
            </w:r>
          </w:p>
        </w:tc>
        <w:tc>
          <w:tcPr>
            <w:tcW w:w="1546" w:type="pct"/>
            <w:vMerge w:val="continue"/>
            <w:noWrap w:val="0"/>
            <w:vAlign w:val="center"/>
          </w:tcPr>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1）禁止在长江干支流、重要湖泊岸线一公里范围内新建、扩建化工园区和化工项目；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2）禁止在长江干流岸线三公里范围内和重要支流岸线一公里范围内新建、改建、扩建尾矿库</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以提升安全、生态环境保护水平为目的的改建除外）；</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3）禁止在合规园区外新建、扩建钢铁、石化、化工、焦化、建材、有色、制浆造纸等高污染项目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高污染项目严格按照《环境保护综合名录》“高污染”产品目录执行；合规园区指已列入《中国开发区审核公告目录》或由省级人民政府批准设立、审核认定的开发区或其他园区，新设立或认定园区须明确园区面积、四至范围、主导产业并经省级政府同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4）禁止新建、扩建不符合国家石化、现代煤化工等产业布局规划的项目；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5）重点区域严禁新增钢铁、焦化、电解铝、铸造、水泥、平板玻璃等行业项目及产能。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6）未通过认定的化工园区，不得新建、改扩建化工项目</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安全、环保、节能和智能化改造项目除外），按属地原则依法依规妥善做好未通过认定化工园区及园内企业的转型、关闭、处置及监管工作。</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1）继续化解过剩产能，严禁钢铁、水泥、电解铝、平板玻璃等行业新增产能，对确有必要新建的必须实施等量或减量置换；</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2）长江干流及重要支流岸线一公里范围内严控新建制革、有色金属、三磷项目。</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1）现有属于园区禁止引入产业门类的企业，原则上限制发展，污染物排放只降不增，允许以提升安全、生态环境保护水平为目的的改建，引导企业结合产业升级等适时搬迁；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2）加强沿江化工园区和重点企业的环境风险防范和污染治理，对限期未完成治理的化工企业实施关闭，逐步实施五通桥盐磷化工产业园、马边磷化特色产业园等沿江沿河化工园区和重点企业的搬迁。</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1）上一年度水环境质量未完成目标的，新建排放水污染的建设项目按照总量管控要求进行倍量削减替代；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2）对新建排放二氧化硫、氮氧化物、工业烟粉尘和挥发性有机物的项目实施现役源2倍削减替代；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1）现有工业园区集中污水处理厂执行《四川省岷江、沱江流域水污染物排放标准》</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DB51/2311-2016），增加工业污水中水回用配套设施建设，鼓励园区和企业中水回用；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2）推进高污染、高耗水行业清洁生产改造，确保单位产品基准排水量达到《四川省岷江、沱江流域水污染物排放标准》。加大钢铁、印染、造纸、化工、制革等高耗水企业废水深度处理回用；</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3）市中区、五通桥区、沙湾区、犍为县、井研县、峨眉山市、夹江县属大气污染重点区域，执行大气污染物排放特别限值和特别控制要求；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4）全市燃煤锅炉稳定达到超低排放限值要求，烟粉尘低于10毫克/立方米，二氧化硫低于35毫克/立方米，氮氧化物低于50毫克/立方米；</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5）持续推进水泥、陶瓷、砖瓦、铸造、铁合金、钢铁等行业大气污染深度治理，深入推进颗粒物、二氧化硫、氮氧化物和挥发性有机物治理，持续推进陶瓷行业</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喷雾干燥塔）清洁能源改造工程，加快推进五通桥涉氨排放化工企业氨排放治理。</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6）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1）工业废水集中处理设施实现稳定达《四川省岷江、沱江流域水污染物排放标准》相应标准限值排放。磷肥和含磷农药制造等企业，应当按照排污许可要求，采取有效措施控制总磷排放浓度和排放总量；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2）大力推进低</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无）VOCs含量原辅材料替代；聚焦治污设施“三率”，提升综合治理效率。</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3）化工园区应按照分类收集，分质处理的要求，配备专业化工生产废水集中处理设施</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独立建设或依托骨干企业）及专管或明管输送的配套管网，化工生产废水纳管率达到100%。入河排污口设置应符合相关规定。</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1）建立健全全过程、多层级环境风险防范体系。强化危化品泄漏应急处置措施，确保风险可控。针对化工园区建立有毒有害气体环境风险预警体系，建立区域、流域联动应急响应体系，实行联防联控。</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1）涉及有毒有害、易燃易爆物质新建、改扩建项目，严控准入要求；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2）严格涉重金属企业和园区环境准入管理，新</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改、扩）建涉重金属重点行业建设项目实施“等量替代”或“减量替代”；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4）对拟收回土地使用权的有色金属矿采选、有色金属冶炼、石油加工、化工、焦化、电镀、制革、铅蓄电池、农药、危废处置、电子拆解等行业企业用地，应按相关要求进行土壤环境状况调查评估，符合相应规划用地土壤环境质量要求的地块，方可进入用地程序。</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5）化工园区应具有安全风险监控体系、建立生态环境监测监控体系、建立必要的突发环境事件应急体系。</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鼓励引导新建、改建、扩建工业园区应当按照有关要求统筹建设工业废水集中处理和回用设施，适时推进企业间串联用水、分质用水、一水多用，实现水循环梯级优化利用和废水集中处理回用，创建节水型工业园区；</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1）严格控制煤炭消费总量。严格控制新建、改建、扩建耗煤项目，新增耗煤项目实行当年煤炭消耗减量倍量替代。</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2）加快推进火电、钢铁、铸造</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含烧结、球团、高炉工序）水泥、焦化行业燃煤锅炉和工业炉窑超低排放改造及深度治理。稳步实施陶瓷、玻璃、铁合金、有色、砖瓦等行业企业深度治理，推进工业炉窑煤改电</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气）和低氮燃烧改造。全面加强钢铁、建材、有色、焦化、铸造重点行业无组织排放治理。生物质锅炉采用专用锅炉，配套布袋等高效除尘设施，禁止掺烧煤炭、垃圾等其他物料。</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3）禁燃区禁止审批</w:t>
            </w:r>
            <w:r>
              <w:rPr>
                <w:rStyle w:val="43"/>
                <w:rFonts w:hint="eastAsia" w:ascii="Times New Roman" w:hAnsi="Times New Roman" w:eastAsia="宋体" w:cs="Times New Roman"/>
                <w:color w:val="000000"/>
                <w:kern w:val="0"/>
                <w:sz w:val="21"/>
                <w:szCs w:val="21"/>
                <w:lang w:val="en-US" w:eastAsia="zh-CN" w:bidi="ar-SA"/>
              </w:rPr>
              <w:t>（</w:t>
            </w:r>
            <w:r>
              <w:rPr>
                <w:rStyle w:val="43"/>
                <w:rFonts w:hint="default" w:ascii="Times New Roman" w:hAnsi="Times New Roman" w:eastAsia="宋体" w:cs="Times New Roman"/>
                <w:color w:val="000000"/>
                <w:kern w:val="0"/>
                <w:sz w:val="21"/>
                <w:szCs w:val="21"/>
                <w:lang w:val="en-US" w:eastAsia="zh-CN" w:bidi="ar-SA"/>
              </w:rPr>
              <w:t>核准、备案）、新建、扩建燃用高污染燃料的锅炉、炉窑等各类燃用高污染燃料的设施。</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1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w:t>
            </w:r>
          </w:p>
        </w:tc>
        <w:tc>
          <w:tcPr>
            <w:tcW w:w="302" w:type="pct"/>
            <w:noWrap w:val="0"/>
            <w:vAlign w:val="center"/>
          </w:tcPr>
          <w:p>
            <w:pPr>
              <w:pStyle w:val="219"/>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1507"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水资源利用效率要求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地下水开采要求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能源利用效率要求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执行乐山市工业重点管控单元普适性总体准入要求。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其他资源利用效率要求</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43"/>
                <w:rFonts w:hint="default" w:ascii="Times New Roman" w:hAnsi="Times New Roman" w:eastAsia="宋体" w:cs="Times New Roman"/>
                <w:color w:val="auto"/>
                <w:kern w:val="2"/>
                <w:sz w:val="21"/>
                <w:szCs w:val="21"/>
                <w:lang w:val="en-US" w:eastAsia="zh-CN" w:bidi="ar-SA"/>
              </w:rPr>
            </w:pPr>
            <w:r>
              <w:rPr>
                <w:rStyle w:val="43"/>
                <w:rFonts w:hint="default" w:ascii="Times New Roman" w:hAnsi="Times New Roman" w:eastAsia="宋体" w:cs="Times New Roman"/>
                <w:color w:val="auto"/>
                <w:kern w:val="2"/>
                <w:sz w:val="21"/>
                <w:szCs w:val="21"/>
                <w:lang w:val="en-US" w:eastAsia="zh-CN" w:bidi="ar-SA"/>
              </w:rPr>
              <w:t>/</w:t>
            </w:r>
          </w:p>
        </w:tc>
        <w:tc>
          <w:tcPr>
            <w:tcW w:w="653"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spacing w:val="-1"/>
                <w:sz w:val="21"/>
                <w:szCs w:val="21"/>
                <w:vertAlign w:val="baseline"/>
                <w:lang w:val="en-US" w:eastAsia="zh-CN"/>
              </w:rPr>
              <w:t>园区工业污水处理厂建成之前，项目废水经厂区预处理后排入</w:t>
            </w:r>
            <w:r>
              <w:rPr>
                <w:rFonts w:hint="eastAsia" w:ascii="Times New Roman" w:hAnsi="Times New Roman" w:eastAsia="宋体" w:cs="Times New Roman"/>
                <w:b w:val="0"/>
                <w:bCs w:val="0"/>
                <w:spacing w:val="-1"/>
                <w:sz w:val="21"/>
                <w:szCs w:val="21"/>
                <w:vertAlign w:val="baseline"/>
                <w:lang w:val="en-US" w:eastAsia="zh-CN"/>
              </w:rPr>
              <w:t>全福镇污水处理厂</w:t>
            </w:r>
            <w:r>
              <w:rPr>
                <w:rFonts w:hint="default" w:ascii="Times New Roman" w:hAnsi="Times New Roman" w:eastAsia="宋体" w:cs="Times New Roman"/>
                <w:b w:val="0"/>
                <w:bCs w:val="0"/>
                <w:spacing w:val="-1"/>
                <w:sz w:val="21"/>
                <w:szCs w:val="21"/>
                <w:vertAlign w:val="baseline"/>
                <w:lang w:val="en-US" w:eastAsia="zh-CN"/>
              </w:rPr>
              <w:t>，园区污水处理厂建成之后，项目废水排入园区污水处理厂处理。</w:t>
            </w:r>
            <w:r>
              <w:rPr>
                <w:rFonts w:hint="default" w:ascii="Times New Roman" w:hAnsi="Times New Roman" w:eastAsia="宋体" w:cs="Times New Roman"/>
                <w:spacing w:val="23"/>
                <w:sz w:val="21"/>
                <w:szCs w:val="21"/>
              </w:rPr>
              <w:t>不新增排污口</w:t>
            </w:r>
            <w:r>
              <w:rPr>
                <w:rFonts w:hint="default" w:ascii="Times New Roman" w:hAnsi="Times New Roman" w:eastAsia="宋体" w:cs="Times New Roman"/>
                <w:spacing w:val="23"/>
                <w:sz w:val="21"/>
                <w:szCs w:val="21"/>
                <w:lang w:eastAsia="zh-CN"/>
              </w:rPr>
              <w:t>，</w:t>
            </w:r>
            <w:r>
              <w:rPr>
                <w:rFonts w:hint="default" w:ascii="Times New Roman" w:hAnsi="Times New Roman" w:eastAsia="宋体" w:cs="Times New Roman"/>
                <w:color w:val="000000"/>
                <w:kern w:val="0"/>
                <w:sz w:val="21"/>
                <w:szCs w:val="21"/>
                <w:lang w:val="en-US" w:eastAsia="zh-CN" w:bidi="ar"/>
              </w:rPr>
              <w:t>厂区内实现雨污分流。</w:t>
            </w:r>
          </w:p>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3"/>
                <w:sz w:val="21"/>
                <w:szCs w:val="21"/>
                <w:lang w:val="en-US" w:eastAsia="zh-CN"/>
              </w:rPr>
              <w:t>项目主要废气为天然气锅炉废气和油烟，主要废气污染物为颗粒物、二氧化硫、氮氧化物排放，排气筒高度为8米，污染物按照总量管控要求进行倍量削减替代，总量控制指标由生态环境主管部门调剂。</w:t>
            </w:r>
          </w:p>
        </w:tc>
        <w:tc>
          <w:tcPr>
            <w:tcW w:w="288" w:type="pct"/>
            <w:noWrap w:val="0"/>
            <w:vAlign w:val="center"/>
          </w:tcPr>
          <w:p>
            <w:pPr>
              <w:pStyle w:val="21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w:t>
            </w:r>
          </w:p>
        </w:tc>
      </w:tr>
    </w:tbl>
    <w:p>
      <w:pPr>
        <w:pStyle w:val="37"/>
        <w:jc w:val="center"/>
        <w:outlineLvl w:val="0"/>
        <w:rPr>
          <w:rFonts w:hint="default" w:ascii="黑体" w:hAnsi="黑体" w:eastAsia="黑体"/>
          <w:snapToGrid w:val="0"/>
          <w:sz w:val="30"/>
          <w:szCs w:val="30"/>
          <w:lang w:val="en-US" w:eastAsia="zh-CN"/>
        </w:rPr>
        <w:sectPr>
          <w:footerReference r:id="rId7" w:type="default"/>
          <w:pgSz w:w="16838" w:h="11906" w:orient="landscape"/>
          <w:pgMar w:top="1531" w:right="1701" w:bottom="1531" w:left="1701" w:header="851" w:footer="851" w:gutter="0"/>
          <w:pgNumType w:fmt="decimal"/>
          <w:cols w:space="720" w:num="1"/>
          <w:docGrid w:linePitch="312" w:charSpace="0"/>
        </w:sectPr>
      </w:pPr>
    </w:p>
    <w:p>
      <w:pPr>
        <w:pStyle w:val="37"/>
        <w:jc w:val="center"/>
        <w:outlineLvl w:val="0"/>
        <w:rPr>
          <w:rFonts w:ascii="黑体" w:hAnsi="黑体" w:eastAsia="黑体"/>
          <w:snapToGrid w:val="0"/>
          <w:sz w:val="30"/>
          <w:szCs w:val="30"/>
        </w:rPr>
      </w:pPr>
      <w:bookmarkStart w:id="6" w:name="_Toc13057"/>
      <w:r>
        <w:rPr>
          <w:rFonts w:hint="eastAsia" w:ascii="黑体" w:hAnsi="黑体" w:eastAsia="黑体"/>
          <w:snapToGrid w:val="0"/>
          <w:sz w:val="30"/>
          <w:szCs w:val="30"/>
        </w:rPr>
        <w:t>二、建设项目工程分析</w:t>
      </w:r>
      <w:bookmarkEnd w:id="6"/>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2"/>
        <w:gridCol w:w="8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682" w:type="dxa"/>
            <w:noWrap w:val="0"/>
            <w:vAlign w:val="center"/>
          </w:tcPr>
          <w:p>
            <w:pPr>
              <w:pStyle w:val="3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378" w:type="dxa"/>
            <w:noWrap w:val="0"/>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cs="宋体"/>
                <w:b/>
                <w:bCs w:val="0"/>
                <w:color w:val="auto"/>
                <w:sz w:val="24"/>
                <w:szCs w:val="24"/>
                <w:lang w:val="en-US" w:eastAsia="zh-CN"/>
              </w:rPr>
            </w:pPr>
            <w:r>
              <w:rPr>
                <w:rFonts w:hint="eastAsia" w:ascii="宋体" w:hAnsi="宋体" w:cs="宋体"/>
                <w:b/>
                <w:bCs w:val="0"/>
                <w:color w:val="auto"/>
                <w:kern w:val="2"/>
                <w:sz w:val="24"/>
                <w:szCs w:val="24"/>
                <w:lang w:val="en-US" w:eastAsia="zh-CN" w:bidi="ar-SA"/>
              </w:rPr>
              <w:t>一、</w:t>
            </w:r>
            <w:r>
              <w:rPr>
                <w:rFonts w:hint="eastAsia" w:ascii="宋体" w:hAnsi="宋体" w:cs="宋体"/>
                <w:b/>
                <w:bCs w:val="0"/>
                <w:color w:val="auto"/>
                <w:sz w:val="24"/>
                <w:szCs w:val="24"/>
                <w:lang w:val="en-US" w:eastAsia="zh-CN"/>
              </w:rPr>
              <w:t>项目由来</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2023年以来，乐山市中区聚焦发展特色餐饮产业，以预制菜为突破口，全力打通乐山美食产业链、完善供给链、升级消费链、连接市场链、提升价值链，高标准打造</w:t>
            </w:r>
            <w:r>
              <w:rPr>
                <w:rFonts w:hint="default"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立足本地、辐射四川、面向全国、走向世界</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的首个</w:t>
            </w:r>
            <w:r>
              <w:rPr>
                <w:rStyle w:val="44"/>
                <w:rFonts w:hint="default" w:ascii="Times New Roman" w:hAnsi="Times New Roman" w:eastAsia="宋体" w:cs="Times New Roman"/>
                <w:b w:val="0"/>
                <w:bCs w:val="0"/>
                <w:i w:val="0"/>
                <w:iCs w:val="0"/>
                <w:caps w:val="0"/>
                <w:color w:val="auto"/>
                <w:spacing w:val="0"/>
                <w:sz w:val="24"/>
                <w:szCs w:val="24"/>
                <w:shd w:val="clear" w:color="auto" w:fill="FFFFFF"/>
              </w:rPr>
              <w:t>食品饮料产业</w:t>
            </w:r>
            <w:r>
              <w:rPr>
                <w:rFonts w:hint="default" w:ascii="Times New Roman" w:hAnsi="Times New Roman" w:eastAsia="宋体" w:cs="Times New Roman"/>
                <w:color w:val="auto"/>
                <w:kern w:val="0"/>
                <w:sz w:val="24"/>
                <w:szCs w:val="24"/>
                <w:lang w:val="en-US" w:eastAsia="zh-CN" w:bidi="ar"/>
              </w:rPr>
              <w:t>园区，</w:t>
            </w:r>
            <w:r>
              <w:rPr>
                <w:rStyle w:val="44"/>
                <w:rFonts w:hint="default" w:ascii="Times New Roman" w:hAnsi="Times New Roman" w:eastAsia="宋体" w:cs="Times New Roman"/>
                <w:b w:val="0"/>
                <w:bCs/>
                <w:i w:val="0"/>
                <w:iCs w:val="0"/>
                <w:caps w:val="0"/>
                <w:color w:val="auto"/>
                <w:spacing w:val="0"/>
                <w:sz w:val="24"/>
                <w:szCs w:val="24"/>
                <w:shd w:val="clear" w:color="auto" w:fill="FFFFFF"/>
              </w:rPr>
              <w:t>聚焦乐山特色美食工业化生产</w:t>
            </w:r>
            <w:r>
              <w:rPr>
                <w:rStyle w:val="44"/>
                <w:rFonts w:hint="default" w:ascii="Times New Roman" w:hAnsi="Times New Roman" w:eastAsia="宋体" w:cs="Times New Roman"/>
                <w:b w:val="0"/>
                <w:bCs/>
                <w:i w:val="0"/>
                <w:iCs w:val="0"/>
                <w:caps w:val="0"/>
                <w:color w:val="auto"/>
                <w:spacing w:val="0"/>
                <w:sz w:val="24"/>
                <w:szCs w:val="24"/>
                <w:shd w:val="clear" w:color="auto" w:fill="FFFFFF"/>
                <w:lang w:eastAsia="zh-CN"/>
              </w:rPr>
              <w:t>，</w:t>
            </w:r>
            <w:r>
              <w:rPr>
                <w:rStyle w:val="44"/>
                <w:rFonts w:hint="default" w:ascii="Times New Roman" w:hAnsi="Times New Roman" w:eastAsia="宋体" w:cs="Times New Roman"/>
                <w:b w:val="0"/>
                <w:bCs/>
                <w:i w:val="0"/>
                <w:iCs w:val="0"/>
                <w:caps w:val="0"/>
                <w:color w:val="auto"/>
                <w:spacing w:val="0"/>
                <w:sz w:val="24"/>
                <w:szCs w:val="24"/>
                <w:shd w:val="clear" w:color="auto" w:fill="FFFFFF"/>
              </w:rPr>
              <w:t>目标建成全省重要的食品饮料生产基地和</w:t>
            </w:r>
            <w:r>
              <w:rPr>
                <w:rFonts w:hint="default" w:ascii="宋体" w:hAnsi="宋体" w:eastAsia="宋体" w:cs="宋体"/>
                <w:color w:val="auto"/>
                <w:kern w:val="0"/>
                <w:sz w:val="24"/>
                <w:szCs w:val="24"/>
                <w:lang w:val="en-US" w:eastAsia="zh-CN" w:bidi="ar"/>
              </w:rPr>
              <w:t>“</w:t>
            </w:r>
            <w:r>
              <w:rPr>
                <w:rStyle w:val="44"/>
                <w:rFonts w:hint="default" w:ascii="Times New Roman" w:hAnsi="Times New Roman" w:eastAsia="宋体" w:cs="Times New Roman"/>
                <w:b w:val="0"/>
                <w:bCs/>
                <w:i w:val="0"/>
                <w:iCs w:val="0"/>
                <w:caps w:val="0"/>
                <w:color w:val="auto"/>
                <w:spacing w:val="0"/>
                <w:sz w:val="24"/>
                <w:szCs w:val="24"/>
                <w:shd w:val="clear" w:color="auto" w:fill="FFFFFF"/>
              </w:rPr>
              <w:t>世界美食之都</w:t>
            </w:r>
            <w:r>
              <w:rPr>
                <w:rFonts w:hint="default" w:ascii="宋体" w:hAnsi="宋体" w:eastAsia="宋体" w:cs="宋体"/>
                <w:color w:val="auto"/>
                <w:kern w:val="0"/>
                <w:sz w:val="24"/>
                <w:szCs w:val="24"/>
                <w:lang w:val="en-US" w:eastAsia="zh-CN" w:bidi="ar"/>
              </w:rPr>
              <w:t>”</w:t>
            </w:r>
            <w:r>
              <w:rPr>
                <w:rStyle w:val="44"/>
                <w:rFonts w:hint="default" w:ascii="Times New Roman" w:hAnsi="Times New Roman" w:eastAsia="宋体" w:cs="Times New Roman"/>
                <w:b w:val="0"/>
                <w:bCs/>
                <w:i w:val="0"/>
                <w:iCs w:val="0"/>
                <w:caps w:val="0"/>
                <w:color w:val="auto"/>
                <w:spacing w:val="0"/>
                <w:sz w:val="24"/>
                <w:szCs w:val="24"/>
                <w:shd w:val="clear" w:color="auto" w:fill="FFFFFF"/>
              </w:rPr>
              <w:t>核心载体</w:t>
            </w:r>
            <w:r>
              <w:rPr>
                <w:rFonts w:hint="default" w:ascii="Times New Roman" w:hAnsi="Times New Roman" w:eastAsia="宋体" w:cs="Times New Roman"/>
                <w:b w:val="0"/>
                <w:bCs/>
                <w:i w:val="0"/>
                <w:iCs w:val="0"/>
                <w:caps w:val="0"/>
                <w:color w:val="auto"/>
                <w:spacing w:val="0"/>
                <w:sz w:val="24"/>
                <w:szCs w:val="24"/>
                <w:shd w:val="clear" w:color="auto" w:fill="FFFFFF"/>
              </w:rPr>
              <w:t>‌</w:t>
            </w:r>
            <w:r>
              <w:rPr>
                <w:rFonts w:hint="default" w:ascii="Times New Roman" w:hAnsi="Times New Roman" w:eastAsia="宋体" w:cs="Times New Roman"/>
                <w:b w:val="0"/>
                <w:bCs/>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园区位于市中区全福街道石农村。园区规划占地3452亩，总投资109.5亿元，建筑面积85万平方米包括标准化厂房、冷链物流、仓储配送、电子商务等为一体。配套设置6万平方米的孵化中心和配套污水处理厂、道路、供排水管网等工程。</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kern w:val="0"/>
                <w:sz w:val="24"/>
                <w:szCs w:val="24"/>
                <w:lang w:val="en-US" w:eastAsia="zh-CN" w:bidi="ar"/>
              </w:rPr>
              <w:t>四川程锦自热方便食品生产基地项目经招商引资入驻</w:t>
            </w:r>
            <w:r>
              <w:rPr>
                <w:rFonts w:hint="default" w:ascii="Times New Roman" w:hAnsi="Times New Roman" w:eastAsia="宋体" w:cs="Times New Roman"/>
                <w:i w:val="0"/>
                <w:iCs w:val="0"/>
                <w:caps w:val="0"/>
                <w:color w:val="auto"/>
                <w:spacing w:val="0"/>
                <w:sz w:val="24"/>
                <w:szCs w:val="24"/>
                <w:shd w:val="clear" w:color="auto" w:fill="FFFFFF"/>
              </w:rPr>
              <w:t>乐山味道・食品饮料产业园</w:t>
            </w:r>
            <w:r>
              <w:rPr>
                <w:rFonts w:hint="default" w:ascii="Times New Roman" w:hAnsi="Times New Roman" w:eastAsia="宋体" w:cs="Times New Roman"/>
                <w:i w:val="0"/>
                <w:iCs w:val="0"/>
                <w:caps w:val="0"/>
                <w:color w:val="auto"/>
                <w:spacing w:val="0"/>
                <w:sz w:val="24"/>
                <w:szCs w:val="24"/>
                <w:shd w:val="clear" w:color="auto" w:fill="FFFFFF"/>
                <w:lang w:eastAsia="zh-CN"/>
              </w:rPr>
              <w:t>。</w:t>
            </w:r>
            <w:r>
              <w:rPr>
                <w:rFonts w:hint="default" w:ascii="Times New Roman" w:hAnsi="Times New Roman" w:eastAsia="宋体" w:cs="Times New Roman"/>
                <w:i w:val="0"/>
                <w:iCs w:val="0"/>
                <w:caps w:val="0"/>
                <w:color w:val="auto"/>
                <w:spacing w:val="0"/>
                <w:sz w:val="24"/>
                <w:szCs w:val="24"/>
                <w:shd w:val="clear" w:color="auto" w:fill="FFFFFF"/>
                <w:lang w:val="en-US" w:eastAsia="zh-CN"/>
              </w:rPr>
              <w:t>拟打造</w:t>
            </w:r>
            <w:r>
              <w:rPr>
                <w:rFonts w:hint="default" w:ascii="Times New Roman" w:hAnsi="Times New Roman" w:eastAsia="宋体" w:cs="Times New Roman"/>
                <w:color w:val="auto"/>
                <w:sz w:val="24"/>
                <w:szCs w:val="24"/>
                <w:u w:val="none"/>
                <w:lang w:val="en-US" w:eastAsia="zh-CN"/>
              </w:rPr>
              <w:t>四川程锦自热方便食品生产基地项目</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以下简称</w:t>
            </w:r>
            <w:r>
              <w:rPr>
                <w:rFonts w:hint="default"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sz w:val="24"/>
                <w:szCs w:val="24"/>
                <w:u w:val="none"/>
                <w:lang w:val="en-US" w:eastAsia="zh-CN"/>
              </w:rPr>
              <w:t>本项目</w:t>
            </w:r>
            <w:r>
              <w:rPr>
                <w:rFonts w:hint="default"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sz w:val="24"/>
                <w:szCs w:val="24"/>
                <w:u w:val="none"/>
                <w:lang w:val="en-US" w:eastAsia="zh-CN"/>
              </w:rPr>
              <w:t>），项目总投资5000万元</w:t>
            </w:r>
            <w:r>
              <w:rPr>
                <w:rFonts w:hint="eastAsia" w:ascii="Times New Roman" w:hAnsi="Times New Roman" w:eastAsia="宋体" w:cs="Times New Roman"/>
                <w:color w:val="auto"/>
                <w:sz w:val="24"/>
                <w:szCs w:val="24"/>
                <w:u w:val="none"/>
                <w:lang w:val="en-US" w:eastAsia="zh-CN"/>
              </w:rPr>
              <w:t>。租用乐山味道食品饮料产业园16000平方米标准厂房，购置安装破碎机、清洗机、搅拌机、立式夹锅、包装机等设备，建设年产半固态底料4000吨、酱卤肉制品1000吨、调味蔬菜40000吨、湿粉条11000吨、方便米饭4000吨自热方便食品生产基地项目。</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根据《中华人民共和国环境保护法》《中华人民共和国环境影响评价法》和《建设项目环境保护管理条例》中相关要求，一切新建、扩建、技改项目必须进行环境影响评价。</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u w:val="none"/>
                <w:lang w:val="en-US" w:eastAsia="zh-CN"/>
              </w:rPr>
              <w:t>本项目属于《建设项目环境影响评价分类管理名录</w:t>
            </w:r>
            <w:r>
              <w:rPr>
                <w:rFonts w:hint="eastAsia" w:cs="Times New Roman"/>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2021年版）》中</w:t>
            </w:r>
            <w:r>
              <w:rPr>
                <w:rFonts w:hint="default"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十一、食品制造业14—2</w:t>
            </w:r>
            <w:r>
              <w:rPr>
                <w:rFonts w:hint="eastAsia"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糖果、巧克力及蜜饯制造142*；方便食品制造143*；罐头食品制造145*</w:t>
            </w:r>
            <w:r>
              <w:rPr>
                <w:rFonts w:hint="eastAsia" w:cs="Times New Roman"/>
                <w:color w:val="auto"/>
                <w:sz w:val="24"/>
                <w:szCs w:val="24"/>
                <w:u w:val="none"/>
                <w:lang w:val="en-US" w:eastAsia="zh-CN"/>
              </w:rPr>
              <w:t>，除单纯分装外的</w:t>
            </w:r>
            <w:r>
              <w:rPr>
                <w:rFonts w:hint="eastAsia" w:ascii="宋体" w:hAnsi="宋体" w:eastAsia="宋体" w:cs="宋体"/>
                <w:color w:val="auto"/>
                <w:sz w:val="24"/>
                <w:szCs w:val="24"/>
                <w:u w:val="none"/>
                <w:lang w:val="en-US" w:eastAsia="zh-CN"/>
              </w:rPr>
              <w:t>”</w:t>
            </w:r>
            <w:r>
              <w:rPr>
                <w:rFonts w:hint="default" w:ascii="Times New Roman" w:hAnsi="Times New Roman" w:eastAsia="宋体" w:cs="Times New Roman"/>
                <w:color w:val="auto"/>
                <w:sz w:val="24"/>
                <w:szCs w:val="24"/>
                <w:u w:val="none"/>
                <w:lang w:val="en-US" w:eastAsia="zh-CN"/>
              </w:rPr>
              <w:t>应编制环境影响报告表。</w:t>
            </w:r>
            <w:r>
              <w:rPr>
                <w:rFonts w:hint="default" w:ascii="Times New Roman" w:hAnsi="Times New Roman" w:eastAsia="宋体" w:cs="Times New Roman"/>
                <w:color w:val="auto"/>
                <w:kern w:val="0"/>
                <w:sz w:val="24"/>
                <w:szCs w:val="24"/>
                <w:lang w:val="en-US" w:eastAsia="zh-CN" w:bidi="ar"/>
              </w:rPr>
              <w:t>为此，四川程锦食品有限公司委托</w:t>
            </w:r>
            <w:r>
              <w:rPr>
                <w:rFonts w:hint="eastAsia" w:ascii="Times New Roman" w:hAnsi="Times New Roman" w:eastAsia="宋体" w:cs="Times New Roman"/>
                <w:color w:val="auto"/>
                <w:kern w:val="0"/>
                <w:sz w:val="24"/>
                <w:szCs w:val="24"/>
                <w:lang w:val="en-US" w:eastAsia="zh-CN" w:bidi="ar"/>
              </w:rPr>
              <w:t>四川乐水清山环保技术咨询</w:t>
            </w:r>
            <w:r>
              <w:rPr>
                <w:rFonts w:hint="default" w:ascii="Times New Roman" w:hAnsi="Times New Roman" w:eastAsia="宋体" w:cs="Times New Roman"/>
                <w:color w:val="auto"/>
                <w:kern w:val="0"/>
                <w:sz w:val="24"/>
                <w:szCs w:val="24"/>
                <w:lang w:val="en-US" w:eastAsia="zh-CN" w:bidi="ar"/>
              </w:rPr>
              <w:t>有限公司承担本项目的环境影响评价工作。</w:t>
            </w:r>
            <w:r>
              <w:rPr>
                <w:rFonts w:hint="eastAsia" w:ascii="Times New Roman" w:hAnsi="Times New Roman" w:eastAsia="宋体" w:cs="Times New Roman"/>
                <w:color w:val="auto"/>
                <w:kern w:val="0"/>
                <w:sz w:val="24"/>
                <w:szCs w:val="24"/>
                <w:lang w:val="en-US" w:eastAsia="zh-CN" w:bidi="ar"/>
              </w:rPr>
              <w:t>四川乐水清山环保技术咨询</w:t>
            </w:r>
            <w:r>
              <w:rPr>
                <w:rFonts w:hint="default" w:ascii="Times New Roman" w:hAnsi="Times New Roman" w:eastAsia="宋体" w:cs="Times New Roman"/>
                <w:color w:val="auto"/>
                <w:kern w:val="0"/>
                <w:sz w:val="24"/>
                <w:szCs w:val="24"/>
                <w:lang w:val="en-US" w:eastAsia="zh-CN" w:bidi="ar"/>
              </w:rPr>
              <w:t>有限公司接受委托后，立即组织有关技术人员进行现场踏勘、资料收集，按照国家相关法律法规、环境影响评价技术导则和技术指南，编制完成了本项目环境影响报告表。</w:t>
            </w: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kern w:val="2"/>
                <w:sz w:val="24"/>
                <w:szCs w:val="24"/>
                <w:lang w:val="en-US" w:eastAsia="zh-CN" w:bidi="ar-SA"/>
              </w:rPr>
            </w:pP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二、</w:t>
            </w:r>
            <w:r>
              <w:rPr>
                <w:rFonts w:hint="eastAsia" w:ascii="Times New Roman" w:hAnsi="Times New Roman" w:eastAsia="宋体" w:cs="Times New Roman"/>
                <w:b/>
                <w:bCs/>
                <w:color w:val="auto"/>
                <w:sz w:val="24"/>
                <w:szCs w:val="24"/>
                <w:u w:val="none"/>
                <w:lang w:val="en-US" w:eastAsia="zh-CN"/>
              </w:rPr>
              <w:t>项目概况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Times New Roman" w:hAnsi="Times New Roman" w:eastAsia="宋体" w:cs="Times New Roman"/>
                <w:color w:val="auto"/>
                <w:sz w:val="24"/>
                <w:szCs w:val="24"/>
                <w:u w:val="none"/>
                <w:lang w:val="en-US" w:eastAsia="zh-CN"/>
              </w:rPr>
              <w:t>1、</w:t>
            </w:r>
            <w:r>
              <w:rPr>
                <w:rFonts w:ascii="FZShuSong-Z01" w:hAnsi="FZShuSong-Z01" w:eastAsia="FZShuSong-Z01" w:cs="FZShuSong-Z01"/>
                <w:b/>
                <w:bCs/>
                <w:color w:val="auto"/>
                <w:kern w:val="0"/>
                <w:sz w:val="24"/>
                <w:szCs w:val="24"/>
                <w:lang w:val="en-US" w:eastAsia="zh-CN" w:bidi="ar"/>
              </w:rPr>
              <w:t>项目名称、地点、建设性质及建设规模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（1）项目名称：四川程锦自热方便食品生产基地项目；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（2）建设地点：四川省乐山市市中区全福街道石农村（乐山味道食品饮料产业园）；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（3）建设单位：四川程锦食品有限公司（四川程锦食品有限公司隶属于成都程锦食品有限公司）；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（4）建设性质：新建；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（5）项目投资：总投资5000万元；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（6）劳动定员及工作制度：本项目建成后劳动定员300人，年生产工作日为300d，三班制24h，厂区不设置食宿。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2、主要建设内容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项目租用乐山味道食品饮料产业园16000平方米标准厂房，一楼设置调味蔬菜生产线、酱卤肉制品生产线、半固态底料生产线；二楼设置实验室、办公室、装箱车间；三楼湿粉条生产线、</w:t>
            </w:r>
            <w:r>
              <w:rPr>
                <w:rFonts w:hint="eastAsia" w:ascii="Times New Roman" w:hAnsi="Times New Roman" w:eastAsia="宋体" w:cs="Times New Roman"/>
                <w:b w:val="0"/>
                <w:bCs w:val="0"/>
                <w:color w:val="auto"/>
                <w:sz w:val="24"/>
                <w:szCs w:val="24"/>
                <w:highlight w:val="none"/>
                <w:u w:val="none"/>
                <w:lang w:val="en-US" w:eastAsia="zh-CN"/>
              </w:rPr>
              <w:t>自热米饭生产线、</w:t>
            </w:r>
            <w:r>
              <w:rPr>
                <w:rFonts w:hint="eastAsia" w:ascii="Times New Roman" w:hAnsi="Times New Roman" w:eastAsia="宋体" w:cs="Times New Roman"/>
                <w:b w:val="0"/>
                <w:bCs w:val="0"/>
                <w:color w:val="auto"/>
                <w:sz w:val="24"/>
                <w:szCs w:val="24"/>
                <w:u w:val="none"/>
                <w:lang w:val="en-US" w:eastAsia="zh-CN"/>
              </w:rPr>
              <w:t>冻库区，</w:t>
            </w:r>
            <w:r>
              <w:rPr>
                <w:rFonts w:hint="eastAsia" w:ascii="Times New Roman" w:hAnsi="Times New Roman" w:eastAsia="宋体" w:cs="Times New Roman"/>
                <w:color w:val="auto"/>
                <w:sz w:val="24"/>
                <w:szCs w:val="24"/>
                <w:u w:val="none"/>
                <w:lang w:val="en-US" w:eastAsia="zh-CN"/>
              </w:rPr>
              <w:t>购置安装破碎机、清洗机、搅拌机、包装机等设备，形成建设年产半固态底料4000吨、酱卤肉制品1000吨、调味蔬菜40000吨、湿粉条11000吨、方便米饭4000吨自热方便食品生产基地项目。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sz w:val="24"/>
                <w:szCs w:val="24"/>
                <w:u w:val="none"/>
                <w:lang w:val="en-US" w:eastAsia="zh-CN"/>
              </w:rPr>
              <w:t>产品方案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本项目产品为半固态底料、酱卤肉制品、调味蔬菜、湿粉条、方便米饭，产品方案详细见下表。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表2-1  主要产品方案一览表</w:t>
            </w:r>
          </w:p>
          <w:tbl>
            <w:tblPr>
              <w:tblStyle w:val="42"/>
              <w:tblW w:w="82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2064"/>
              <w:gridCol w:w="2064"/>
              <w:gridCol w:w="2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序号</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产品</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生产能力（t/a）</w:t>
                  </w:r>
                </w:p>
              </w:tc>
              <w:tc>
                <w:tcPr>
                  <w:tcW w:w="2065"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年运行时数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调味蔬菜</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40000</w:t>
                  </w:r>
                </w:p>
              </w:tc>
              <w:tc>
                <w:tcPr>
                  <w:tcW w:w="2065" w:type="dxa"/>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7200h（300*24h）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酱卤肉制品</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1000</w:t>
                  </w:r>
                </w:p>
              </w:tc>
              <w:tc>
                <w:tcPr>
                  <w:tcW w:w="2065" w:type="dxa"/>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半固态底料</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4000</w:t>
                  </w:r>
                </w:p>
              </w:tc>
              <w:tc>
                <w:tcPr>
                  <w:tcW w:w="2065" w:type="dxa"/>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湿粉条</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11000</w:t>
                  </w:r>
                </w:p>
              </w:tc>
              <w:tc>
                <w:tcPr>
                  <w:tcW w:w="2065" w:type="dxa"/>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自热方便米饭</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4000</w:t>
                  </w:r>
                </w:p>
              </w:tc>
              <w:tc>
                <w:tcPr>
                  <w:tcW w:w="2065" w:type="dxa"/>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128" w:type="dxa"/>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合计</w:t>
                  </w:r>
                </w:p>
              </w:tc>
              <w:tc>
                <w:tcPr>
                  <w:tcW w:w="2064"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60000</w:t>
                  </w:r>
                </w:p>
              </w:tc>
              <w:tc>
                <w:tcPr>
                  <w:tcW w:w="2065" w:type="dxa"/>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r>
          </w:tbl>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4、</w:t>
            </w:r>
            <w:r>
              <w:rPr>
                <w:rFonts w:hint="eastAsia" w:ascii="Times New Roman" w:hAnsi="Times New Roman" w:eastAsia="宋体" w:cs="Times New Roman"/>
                <w:b/>
                <w:bCs/>
                <w:color w:val="auto"/>
                <w:sz w:val="24"/>
                <w:szCs w:val="24"/>
                <w:u w:val="none"/>
                <w:lang w:val="en-US" w:eastAsia="zh-CN"/>
              </w:rPr>
              <w:t>项目组成及主要环境问题</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本项目租用乐山味道食品饮料产业园16000平方米标准厂房（共3楼）主要建设内容包括主体工程、公辅工程、办公生活设施、环保工程等。项目组成及主要环境问题表见下表。</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表2-2  项目组成表及主要环境问题</w:t>
            </w:r>
          </w:p>
          <w:tbl>
            <w:tblPr>
              <w:tblStyle w:val="42"/>
              <w:tblW w:w="819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976"/>
              <w:gridCol w:w="4465"/>
              <w:gridCol w:w="941"/>
              <w:gridCol w:w="11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名称</w:t>
                  </w:r>
                </w:p>
              </w:tc>
              <w:tc>
                <w:tcPr>
                  <w:tcW w:w="3318" w:type="pct"/>
                  <w:gridSpan w:val="2"/>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建设内容及规模</w:t>
                  </w:r>
                </w:p>
              </w:tc>
              <w:tc>
                <w:tcPr>
                  <w:tcW w:w="1269" w:type="pct"/>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主要环境问题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continue"/>
                  <w:noWrap w:val="0"/>
                  <w:vAlign w:val="center"/>
                </w:tcPr>
                <w:p>
                  <w:pPr>
                    <w:keepNext w:val="0"/>
                    <w:keepLines w:val="0"/>
                    <w:widowControl/>
                    <w:suppressLineNumbers w:val="0"/>
                    <w:spacing w:line="240" w:lineRule="auto"/>
                    <w:jc w:val="center"/>
                    <w:rPr>
                      <w:color w:val="auto"/>
                    </w:rPr>
                  </w:pPr>
                </w:p>
              </w:tc>
              <w:tc>
                <w:tcPr>
                  <w:tcW w:w="3318" w:type="pct"/>
                  <w:gridSpan w:val="2"/>
                  <w:vMerge w:val="continue"/>
                  <w:noWrap w:val="0"/>
                  <w:vAlign w:val="center"/>
                </w:tcPr>
                <w:p>
                  <w:pPr>
                    <w:keepNext w:val="0"/>
                    <w:keepLines w:val="0"/>
                    <w:widowControl/>
                    <w:suppressLineNumbers w:val="0"/>
                    <w:spacing w:line="240" w:lineRule="auto"/>
                    <w:jc w:val="center"/>
                    <w:rPr>
                      <w:color w:val="auto"/>
                      <w:sz w:val="21"/>
                      <w:szCs w:val="21"/>
                    </w:rPr>
                  </w:pPr>
                </w:p>
              </w:tc>
              <w:tc>
                <w:tcPr>
                  <w:tcW w:w="573" w:type="pct"/>
                  <w:noWrap w:val="0"/>
                  <w:vAlign w:val="center"/>
                </w:tcPr>
                <w:p>
                  <w:pPr>
                    <w:keepNext w:val="0"/>
                    <w:keepLines w:val="0"/>
                    <w:widowControl/>
                    <w:numPr>
                      <w:ilvl w:val="0"/>
                      <w:numId w:val="0"/>
                    </w:numPr>
                    <w:suppressLineNumbers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施工期</w:t>
                  </w:r>
                </w:p>
              </w:tc>
              <w:tc>
                <w:tcPr>
                  <w:tcW w:w="695" w:type="pct"/>
                  <w:noWrap w:val="0"/>
                  <w:vAlign w:val="center"/>
                </w:tcPr>
                <w:p>
                  <w:pPr>
                    <w:keepNext w:val="0"/>
                    <w:keepLines w:val="0"/>
                    <w:widowControl/>
                    <w:numPr>
                      <w:ilvl w:val="0"/>
                      <w:numId w:val="0"/>
                    </w:numPr>
                    <w:suppressLineNumbers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运营期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41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主体工程</w:t>
                  </w:r>
                </w:p>
              </w:tc>
              <w:tc>
                <w:tcPr>
                  <w:tcW w:w="595" w:type="pct"/>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生产车间</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lang w:val="en-US" w:eastAsia="zh-CN"/>
                    </w:rPr>
                    <w:t>调味蔬菜生产线（前处理车间352.81m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、热加工车间1077.93m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）位于F1、酱卤肉制品生产线（肉类加工车间120.52m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、解冻分切车间118.56m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）、半固态底料生产线(炼油房108.7m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自热米饭生产线位于F2，自热米饭原料全外购只需配套组装后装箱即可；</w:t>
                  </w:r>
                  <w:r>
                    <w:rPr>
                      <w:rFonts w:hint="eastAsia" w:ascii="Times New Roman" w:hAnsi="Times New Roman" w:eastAsia="宋体" w:cs="Times New Roman"/>
                      <w:b w:val="0"/>
                      <w:bCs w:val="0"/>
                      <w:color w:val="auto"/>
                      <w:sz w:val="21"/>
                      <w:szCs w:val="21"/>
                      <w:u w:val="none"/>
                      <w:lang w:val="en-US" w:eastAsia="zh-CN"/>
                    </w:rPr>
                    <w:t>湿粉条生产线（前处理车间1100.83m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w:t>
                  </w:r>
                  <w:r>
                    <w:rPr>
                      <w:rFonts w:hint="eastAsia" w:ascii="Times New Roman" w:hAnsi="Times New Roman" w:eastAsia="宋体" w:cs="Times New Roman"/>
                      <w:b w:val="0"/>
                      <w:bCs w:val="0"/>
                      <w:color w:val="auto"/>
                      <w:sz w:val="21"/>
                      <w:szCs w:val="21"/>
                      <w:highlight w:val="none"/>
                      <w:u w:val="none"/>
                      <w:lang w:val="en-US" w:eastAsia="zh-CN"/>
                    </w:rPr>
                    <w:t>位于F3；F3中间为</w:t>
                  </w:r>
                  <w:r>
                    <w:rPr>
                      <w:rFonts w:hint="eastAsia" w:ascii="Times New Roman" w:hAnsi="Times New Roman" w:eastAsia="宋体" w:cs="Times New Roman"/>
                      <w:b w:val="0"/>
                      <w:bCs w:val="0"/>
                      <w:color w:val="auto"/>
                      <w:sz w:val="21"/>
                      <w:szCs w:val="21"/>
                      <w:u w:val="none"/>
                      <w:lang w:val="en-US" w:eastAsia="zh-CN"/>
                    </w:rPr>
                    <w:t>冻库区(1235m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lang w:val="en-US" w:eastAsia="zh-CN"/>
                    </w:rPr>
                    <w:t>）和F3东北侧区域为后期规划</w:t>
                  </w:r>
                </w:p>
              </w:tc>
              <w:tc>
                <w:tcPr>
                  <w:tcW w:w="57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废水、噪声、固废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公辅工程</w:t>
                  </w: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给水</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园区自来水管网</w:t>
                  </w:r>
                </w:p>
              </w:tc>
              <w:tc>
                <w:tcPr>
                  <w:tcW w:w="573"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供电</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由市政电网供给</w:t>
                  </w:r>
                </w:p>
              </w:tc>
              <w:tc>
                <w:tcPr>
                  <w:tcW w:w="573"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排水</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生产车间内设置废水收集管渠，收集后园区工业污水处理厂建成之前，项目废水经厂区预处理后排入全福镇污水处理厂，园区污水处理厂建成之后，项目废水排入园区污水处理厂处理。</w:t>
                  </w:r>
                </w:p>
              </w:tc>
              <w:tc>
                <w:tcPr>
                  <w:tcW w:w="573"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天然气</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由园区燃气管网供给</w:t>
                  </w:r>
                </w:p>
              </w:tc>
              <w:tc>
                <w:tcPr>
                  <w:tcW w:w="573"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蒸汽</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设置三台天然气锅炉（单台锅炉2t/h）</w:t>
                  </w:r>
                </w:p>
              </w:tc>
              <w:tc>
                <w:tcPr>
                  <w:tcW w:w="573" w:type="pct"/>
                  <w:vMerge w:val="continue"/>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41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办公及生活设施</w:t>
                  </w: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办公室、会议室</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办公室（133.96m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）和会议室（63.39m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）位于F2。</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2"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仓储及其他</w:t>
                  </w: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原料库房</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3层兼设置原料库房，F1原料库房（176.47m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）；F2原料暂存区（1510.60m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）；F3（294.62m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实验室（包含微生物室、药品室、留样室）</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实验室设置于F2（实验室46.78m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；微生物室24.48m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；药品室10.51m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；留样室21.02m</w:t>
                  </w:r>
                  <w:r>
                    <w:rPr>
                      <w:rFonts w:hint="eastAsia" w:ascii="Times New Roman" w:hAnsi="Times New Roman" w:eastAsia="宋体" w:cs="Times New Roman"/>
                      <w:b w:val="0"/>
                      <w:bCs w:val="0"/>
                      <w:color w:val="auto"/>
                      <w:sz w:val="21"/>
                      <w:szCs w:val="21"/>
                      <w:u w:val="none"/>
                      <w:vertAlign w:val="superscript"/>
                      <w:lang w:val="en-US" w:eastAsia="zh-CN"/>
                    </w:rPr>
                    <w:t>2</w:t>
                  </w:r>
                  <w:r>
                    <w:rPr>
                      <w:rFonts w:hint="eastAsia" w:ascii="Times New Roman" w:hAnsi="Times New Roman" w:eastAsia="宋体" w:cs="Times New Roman"/>
                      <w:b w:val="0"/>
                      <w:bCs w:val="0"/>
                      <w:color w:val="auto"/>
                      <w:sz w:val="21"/>
                      <w:szCs w:val="21"/>
                      <w:u w:val="none"/>
                      <w:vertAlign w:val="baseline"/>
                      <w:lang w:val="en-US" w:eastAsia="zh-CN"/>
                    </w:rPr>
                    <w:t>）</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固废、废水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辅助用房</w:t>
                  </w:r>
                </w:p>
              </w:tc>
              <w:tc>
                <w:tcPr>
                  <w:tcW w:w="2722"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辅助用房包括：内包装车间、更衣室、生产办公室、组装车间、装箱车间等</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噪声、固废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412"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环保工程</w:t>
                  </w:r>
                </w:p>
              </w:tc>
              <w:tc>
                <w:tcPr>
                  <w:tcW w:w="595"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废水治理</w:t>
                  </w:r>
                </w:p>
              </w:tc>
              <w:tc>
                <w:tcPr>
                  <w:tcW w:w="2722" w:type="pct"/>
                  <w:noWrap w:val="0"/>
                  <w:vAlign w:val="center"/>
                </w:tcPr>
                <w:p>
                  <w:pPr>
                    <w:keepNext w:val="0"/>
                    <w:keepLines w:val="0"/>
                    <w:widowControl/>
                    <w:numPr>
                      <w:ilvl w:val="0"/>
                      <w:numId w:val="0"/>
                    </w:numPr>
                    <w:suppressLineNumbers w:val="0"/>
                    <w:spacing w:line="240" w:lineRule="auto"/>
                    <w:jc w:val="both"/>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u w:val="none"/>
                      <w:vertAlign w:val="baseline"/>
                      <w:lang w:val="en-US" w:eastAsia="zh-CN"/>
                    </w:rPr>
                    <w:t>生活污水：</w:t>
                  </w:r>
                  <w:r>
                    <w:rPr>
                      <w:rFonts w:hint="eastAsia" w:ascii="Times New Roman" w:hAnsi="Times New Roman" w:eastAsia="宋体" w:cs="Times New Roman"/>
                      <w:b w:val="0"/>
                      <w:bCs w:val="0"/>
                      <w:color w:val="auto"/>
                      <w:sz w:val="21"/>
                      <w:szCs w:val="21"/>
                      <w:u w:val="none"/>
                      <w:vertAlign w:val="baseline"/>
                      <w:lang w:val="en-US" w:eastAsia="zh-CN"/>
                    </w:rPr>
                    <w:t>园区工业污水处理厂建成之前，项目废水经厂区预处理后排入全福镇污水处理厂，园区污水处理厂建成之后，项目废水排入园区污水处理厂处理。</w:t>
                  </w:r>
                  <w:r>
                    <w:rPr>
                      <w:rFonts w:hint="default" w:ascii="Times New Roman" w:hAnsi="Times New Roman" w:eastAsia="宋体" w:cs="Times New Roman"/>
                      <w:b w:val="0"/>
                      <w:bCs w:val="0"/>
                      <w:color w:val="auto"/>
                      <w:sz w:val="21"/>
                      <w:szCs w:val="21"/>
                      <w:u w:val="none"/>
                      <w:vertAlign w:val="baseline"/>
                      <w:lang w:val="en-US" w:eastAsia="zh-CN"/>
                    </w:rPr>
                    <w:t>理厂</w:t>
                  </w:r>
                  <w:r>
                    <w:rPr>
                      <w:rFonts w:hint="eastAsia" w:ascii="Times New Roman" w:hAnsi="Times New Roman" w:eastAsia="宋体" w:cs="Times New Roman"/>
                      <w:b w:val="0"/>
                      <w:bCs w:val="0"/>
                      <w:color w:val="auto"/>
                      <w:sz w:val="21"/>
                      <w:szCs w:val="21"/>
                      <w:u w:val="none"/>
                      <w:vertAlign w:val="baseline"/>
                      <w:lang w:val="en-US" w:eastAsia="zh-CN"/>
                    </w:rPr>
                    <w:t>处理后进行达标排放。</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u w:val="none"/>
                      <w:vertAlign w:val="baseline"/>
                      <w:lang w:val="en-US" w:eastAsia="zh-CN"/>
                    </w:rPr>
                  </w:pPr>
                </w:p>
              </w:tc>
              <w:tc>
                <w:tcPr>
                  <w:tcW w:w="2722" w:type="pct"/>
                  <w:noWrap w:val="0"/>
                  <w:vAlign w:val="center"/>
                </w:tcPr>
                <w:p>
                  <w:pPr>
                    <w:keepNext w:val="0"/>
                    <w:keepLines w:val="0"/>
                    <w:widowControl/>
                    <w:numPr>
                      <w:ilvl w:val="0"/>
                      <w:numId w:val="0"/>
                    </w:numPr>
                    <w:suppressLineNumbers w:val="0"/>
                    <w:spacing w:line="240" w:lineRule="auto"/>
                    <w:jc w:val="both"/>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生产废水：</w:t>
                  </w:r>
                  <w:r>
                    <w:rPr>
                      <w:rFonts w:hint="eastAsia" w:ascii="Times New Roman" w:hAnsi="Times New Roman" w:eastAsia="宋体" w:cs="Times New Roman"/>
                      <w:b w:val="0"/>
                      <w:bCs w:val="0"/>
                      <w:color w:val="auto"/>
                      <w:sz w:val="21"/>
                      <w:szCs w:val="21"/>
                      <w:u w:val="none"/>
                      <w:vertAlign w:val="baseline"/>
                      <w:lang w:val="en-US" w:eastAsia="zh-CN"/>
                    </w:rPr>
                    <w:t>园区工业污水处理厂建成之前，项目废水经厂区预处理后排入全福镇污水处理厂，园区污水处理厂建成之后，项目废水排入园区污水处理厂处理。</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vMerge w:val="restar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废气</w:t>
                  </w:r>
                </w:p>
              </w:tc>
              <w:tc>
                <w:tcPr>
                  <w:tcW w:w="2722" w:type="pct"/>
                  <w:noWrap w:val="0"/>
                  <w:vAlign w:val="center"/>
                </w:tcPr>
                <w:p>
                  <w:pPr>
                    <w:keepNext w:val="0"/>
                    <w:keepLines w:val="0"/>
                    <w:widowControl/>
                    <w:numPr>
                      <w:ilvl w:val="0"/>
                      <w:numId w:val="0"/>
                    </w:numPr>
                    <w:suppressLineNumbers w:val="0"/>
                    <w:spacing w:line="240" w:lineRule="auto"/>
                    <w:jc w:val="both"/>
                    <w:rPr>
                      <w:rFonts w:hint="eastAsia"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天然气锅炉采用低氮燃烧装置，产生的天然气燃烧废气经管道引至屋顶高空排放，排气筒高度8米(DA001、DA002、DA003）。</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val="0"/>
                      <w:bCs w:val="0"/>
                      <w:color w:val="auto"/>
                      <w:sz w:val="21"/>
                      <w:szCs w:val="21"/>
                      <w:u w:val="none"/>
                      <w:vertAlign w:val="baseline"/>
                      <w:lang w:val="en-US" w:eastAsia="zh-CN"/>
                    </w:rPr>
                  </w:pPr>
                </w:p>
              </w:tc>
              <w:tc>
                <w:tcPr>
                  <w:tcW w:w="2722" w:type="pct"/>
                  <w:noWrap w:val="0"/>
                  <w:vAlign w:val="center"/>
                </w:tcPr>
                <w:p>
                  <w:pPr>
                    <w:keepNext w:val="0"/>
                    <w:keepLines w:val="0"/>
                    <w:widowControl/>
                    <w:numPr>
                      <w:ilvl w:val="0"/>
                      <w:numId w:val="0"/>
                    </w:numPr>
                    <w:suppressLineNumbers w:val="0"/>
                    <w:spacing w:line="240" w:lineRule="auto"/>
                    <w:jc w:val="both"/>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炒料油烟废气由油烟净化器处理后，通过油烟管道引至楼顶排放</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color w:val="auto"/>
                      <w:kern w:val="0"/>
                      <w:sz w:val="21"/>
                      <w:szCs w:val="21"/>
                      <w:lang w:val="en-US" w:eastAsia="zh-CN" w:bidi="ar"/>
                    </w:rPr>
                    <w:t>施工噪声、施工固废</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废气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噪声治理</w:t>
                  </w:r>
                </w:p>
              </w:tc>
              <w:tc>
                <w:tcPr>
                  <w:tcW w:w="2722" w:type="pct"/>
                  <w:noWrap w:val="0"/>
                  <w:vAlign w:val="center"/>
                </w:tcPr>
                <w:p>
                  <w:pPr>
                    <w:keepNext w:val="0"/>
                    <w:keepLines w:val="0"/>
                    <w:widowControl/>
                    <w:numPr>
                      <w:ilvl w:val="0"/>
                      <w:numId w:val="0"/>
                    </w:numPr>
                    <w:suppressLineNumbers w:val="0"/>
                    <w:spacing w:line="240" w:lineRule="auto"/>
                    <w:jc w:val="both"/>
                    <w:rPr>
                      <w:rFonts w:hint="eastAsia"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各生产设备采用低噪声设备、厂房封闭并隔声、合理布局，加强管理，确保厂界达标排放。</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固废处置</w:t>
                  </w:r>
                </w:p>
              </w:tc>
              <w:tc>
                <w:tcPr>
                  <w:tcW w:w="2722" w:type="pct"/>
                  <w:noWrap w:val="0"/>
                  <w:vAlign w:val="center"/>
                </w:tcPr>
                <w:p>
                  <w:pPr>
                    <w:keepNext w:val="0"/>
                    <w:keepLines w:val="0"/>
                    <w:widowControl/>
                    <w:numPr>
                      <w:ilvl w:val="0"/>
                      <w:numId w:val="0"/>
                    </w:numPr>
                    <w:suppressLineNumbers w:val="0"/>
                    <w:spacing w:line="240" w:lineRule="auto"/>
                    <w:jc w:val="both"/>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生活垃圾由环卫部门统一收集清运和处</w:t>
                  </w:r>
                  <w:r>
                    <w:rPr>
                      <w:rFonts w:hint="default" w:ascii="Times New Roman" w:hAnsi="Times New Roman" w:eastAsia="宋体" w:cs="Times New Roman"/>
                      <w:b w:val="0"/>
                      <w:bCs w:val="0"/>
                      <w:color w:val="auto"/>
                      <w:sz w:val="21"/>
                      <w:szCs w:val="21"/>
                      <w:u w:val="none"/>
                      <w:vertAlign w:val="baseline"/>
                      <w:lang w:val="en-US" w:eastAsia="zh-CN"/>
                    </w:rPr>
                    <w:t>理；废包装材料等集中收集</w:t>
                  </w:r>
                  <w:r>
                    <w:rPr>
                      <w:rFonts w:hint="eastAsia" w:ascii="Times New Roman" w:hAnsi="Times New Roman" w:eastAsia="宋体" w:cs="Times New Roman"/>
                      <w:b w:val="0"/>
                      <w:bCs w:val="0"/>
                      <w:color w:val="auto"/>
                      <w:sz w:val="21"/>
                      <w:szCs w:val="21"/>
                      <w:u w:val="none"/>
                      <w:vertAlign w:val="baseline"/>
                      <w:lang w:val="en-US" w:eastAsia="zh-CN"/>
                    </w:rPr>
                    <w:t>后交由环卫部门统一进行处理。</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412" w:type="pct"/>
                  <w:vMerge w:val="continue"/>
                  <w:noWrap w:val="0"/>
                  <w:vAlign w:val="center"/>
                </w:tcPr>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vertAlign w:val="baseline"/>
                      <w:lang w:val="en-US" w:eastAsia="zh-CN"/>
                    </w:rPr>
                  </w:pPr>
                </w:p>
              </w:tc>
              <w:tc>
                <w:tcPr>
                  <w:tcW w:w="5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危险固废</w:t>
                  </w:r>
                </w:p>
              </w:tc>
              <w:tc>
                <w:tcPr>
                  <w:tcW w:w="2722" w:type="pct"/>
                  <w:noWrap w:val="0"/>
                  <w:vAlign w:val="center"/>
                </w:tcPr>
                <w:p>
                  <w:pPr>
                    <w:keepNext w:val="0"/>
                    <w:keepLines w:val="0"/>
                    <w:widowControl/>
                    <w:numPr>
                      <w:ilvl w:val="0"/>
                      <w:numId w:val="0"/>
                    </w:numPr>
                    <w:suppressLineNumbers w:val="0"/>
                    <w:spacing w:line="240" w:lineRule="auto"/>
                    <w:jc w:val="both"/>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实验室检验废液、废机油、含油废棉纱手套。危险固废暂存于危废间，与资质单位签订危废处理协议，定期处理。</w:t>
                  </w:r>
                </w:p>
              </w:tc>
              <w:tc>
                <w:tcPr>
                  <w:tcW w:w="573"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p>
              </w:tc>
              <w:tc>
                <w:tcPr>
                  <w:tcW w:w="695"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危险固废</w:t>
                  </w:r>
                </w:p>
              </w:tc>
            </w:tr>
          </w:tbl>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5、</w:t>
            </w:r>
            <w:r>
              <w:rPr>
                <w:rFonts w:hint="eastAsia" w:ascii="Times New Roman" w:hAnsi="Times New Roman" w:eastAsia="宋体" w:cs="Times New Roman"/>
                <w:b/>
                <w:bCs/>
                <w:color w:val="auto"/>
                <w:sz w:val="24"/>
                <w:szCs w:val="24"/>
                <w:u w:val="none"/>
                <w:lang w:val="en-US" w:eastAsia="zh-CN"/>
              </w:rPr>
              <w:t>生产设备</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项目主要生产设备见下表。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表2-3  主要设备一览表</w:t>
            </w:r>
          </w:p>
          <w:tbl>
            <w:tblPr>
              <w:tblStyle w:val="41"/>
              <w:tblW w:w="819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84"/>
              <w:gridCol w:w="3513"/>
              <w:gridCol w:w="1505"/>
              <w:gridCol w:w="1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027" w:type="pct"/>
                  <w:tcBorders>
                    <w:top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序号</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设备名称</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需求数量</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 w:hRule="atLeast"/>
              </w:trPr>
              <w:tc>
                <w:tcPr>
                  <w:tcW w:w="5000" w:type="pct"/>
                  <w:gridSpan w:val="4"/>
                  <w:tcBorders>
                    <w:top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调味蔬菜生产线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027" w:type="pct"/>
                  <w:tcBorders>
                    <w:top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清洗</w:t>
                  </w:r>
                  <w:r>
                    <w:rPr>
                      <w:rFonts w:hint="eastAsia" w:ascii="Times New Roman" w:hAnsi="Times New Roman" w:eastAsia="宋体" w:cs="Times New Roman"/>
                      <w:i w:val="0"/>
                      <w:iCs w:val="0"/>
                      <w:color w:val="auto"/>
                      <w:kern w:val="0"/>
                      <w:sz w:val="21"/>
                      <w:szCs w:val="21"/>
                      <w:u w:val="none"/>
                      <w:lang w:val="en-US" w:eastAsia="zh-CN" w:bidi="ar"/>
                    </w:rPr>
                    <w:t>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1027" w:type="pct"/>
                  <w:tcBorders>
                    <w:top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eastAsia="zh-CN"/>
                    </w:rPr>
                  </w:pPr>
                  <w:r>
                    <w:rPr>
                      <w:rFonts w:hint="default" w:ascii="Times New Roman" w:hAnsi="Times New Roman" w:eastAsia="宋体" w:cs="Times New Roman"/>
                      <w:b w:val="0"/>
                      <w:bCs w:val="0"/>
                      <w:i w:val="0"/>
                      <w:iCs w:val="0"/>
                      <w:color w:val="auto"/>
                      <w:sz w:val="21"/>
                      <w:szCs w:val="21"/>
                      <w:u w:val="none"/>
                      <w:lang w:val="en-US" w:eastAsia="zh-CN"/>
                    </w:rPr>
                    <w:t>2</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none"/>
                      <w:lang w:val="en-US"/>
                    </w:rPr>
                  </w:pPr>
                  <w:r>
                    <w:rPr>
                      <w:rFonts w:hint="default" w:ascii="Times New Roman" w:hAnsi="Times New Roman" w:eastAsia="宋体" w:cs="Times New Roman"/>
                      <w:b w:val="0"/>
                      <w:bCs w:val="0"/>
                      <w:i w:val="0"/>
                      <w:iCs w:val="0"/>
                      <w:color w:val="auto"/>
                      <w:kern w:val="0"/>
                      <w:sz w:val="21"/>
                      <w:szCs w:val="21"/>
                      <w:u w:val="none"/>
                      <w:lang w:val="en-US" w:eastAsia="zh-CN" w:bidi="ar"/>
                    </w:rPr>
                    <w:t>盐泡机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3</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煮制机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4</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冷却机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分切</w:t>
                  </w:r>
                  <w:r>
                    <w:rPr>
                      <w:rFonts w:hint="eastAsia" w:ascii="Times New Roman" w:hAnsi="Times New Roman" w:eastAsia="宋体" w:cs="Times New Roman"/>
                      <w:i w:val="0"/>
                      <w:iCs w:val="0"/>
                      <w:color w:val="auto"/>
                      <w:kern w:val="0"/>
                      <w:sz w:val="21"/>
                      <w:szCs w:val="21"/>
                      <w:u w:val="none"/>
                      <w:lang w:val="en-US" w:eastAsia="zh-CN" w:bidi="ar"/>
                    </w:rPr>
                    <w:t>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1027" w:type="pct"/>
                  <w:tcBorders>
                    <w:top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提升机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7</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收料输送机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8</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巴氏杀菌机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w:t>
                  </w:r>
                </w:p>
              </w:tc>
              <w:tc>
                <w:tcPr>
                  <w:tcW w:w="912" w:type="pct"/>
                  <w:tcBorders>
                    <w:top w:val="single" w:color="000000" w:sz="4" w:space="0"/>
                    <w:left w:val="single" w:color="000000" w:sz="4" w:space="0"/>
                    <w:bottom w:val="single" w:color="000000" w:sz="4" w:space="0"/>
                  </w:tcBorders>
                  <w:noWrap/>
                  <w:vAlign w:val="center"/>
                </w:tcPr>
                <w:p>
                  <w:pPr>
                    <w:spacing w:line="240" w:lineRule="auto"/>
                    <w:jc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5000" w:type="pct"/>
                  <w:gridSpan w:val="4"/>
                  <w:tcBorders>
                    <w:top w:val="single" w:color="000000" w:sz="4" w:space="0"/>
                    <w:bottom w:val="single" w:color="auto"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半固态底料生产线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7" w:type="pct"/>
                  <w:tcBorders>
                    <w:top w:val="single" w:color="000000" w:sz="4" w:space="0"/>
                    <w:bottom w:val="single" w:color="auto"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w:t>
                  </w:r>
                </w:p>
              </w:tc>
              <w:tc>
                <w:tcPr>
                  <w:tcW w:w="2142"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电炒锅</w:t>
                  </w:r>
                </w:p>
              </w:tc>
              <w:tc>
                <w:tcPr>
                  <w:tcW w:w="917"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912" w:type="pct"/>
                  <w:tcBorders>
                    <w:top w:val="single" w:color="000000" w:sz="4" w:space="0"/>
                    <w:left w:val="single" w:color="000000" w:sz="4" w:space="0"/>
                    <w:bottom w:val="single" w:color="auto"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 w:hRule="atLeast"/>
              </w:trPr>
              <w:tc>
                <w:tcPr>
                  <w:tcW w:w="1027" w:type="pct"/>
                  <w:tcBorders>
                    <w:top w:val="single" w:color="000000" w:sz="4" w:space="0"/>
                    <w:bottom w:val="single" w:color="auto"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w:t>
                  </w:r>
                </w:p>
              </w:tc>
              <w:tc>
                <w:tcPr>
                  <w:tcW w:w="2142"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粉碎机</w:t>
                  </w:r>
                </w:p>
              </w:tc>
              <w:tc>
                <w:tcPr>
                  <w:tcW w:w="917" w:type="pct"/>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auto"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5000" w:type="pct"/>
                  <w:gridSpan w:val="4"/>
                  <w:tcBorders>
                    <w:top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酱卤肉制品生产线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解冻</w:t>
                  </w:r>
                  <w:r>
                    <w:rPr>
                      <w:rFonts w:hint="eastAsia" w:ascii="Times New Roman" w:hAnsi="Times New Roman" w:eastAsia="宋体" w:cs="Times New Roman"/>
                      <w:i w:val="0"/>
                      <w:iCs w:val="0"/>
                      <w:color w:val="auto"/>
                      <w:kern w:val="0"/>
                      <w:sz w:val="21"/>
                      <w:szCs w:val="21"/>
                      <w:u w:val="none"/>
                      <w:lang w:val="en-US" w:eastAsia="zh-CN" w:bidi="ar"/>
                    </w:rPr>
                    <w:t>台</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分切机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立式夹层锅（小型）</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4</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杀菌釜</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风冷机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trPr>
              <w:tc>
                <w:tcPr>
                  <w:tcW w:w="5000" w:type="pct"/>
                  <w:gridSpan w:val="4"/>
                  <w:tcBorders>
                    <w:top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湿粉条生产线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双缸搅拌机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2</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过滤机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煮芡锅</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4</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升降式熟化机（川粉熟化、圆饼粉熟化）</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5</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切粉机（功率1.5kw）</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螺旋挤压器</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7</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圆形米线塑型盘</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若干</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8</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分料输送机（0.75kw）</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b w:val="0"/>
                      <w:bCs w:val="0"/>
                      <w:i w:val="0"/>
                      <w:iCs w:val="0"/>
                      <w:color w:val="auto"/>
                      <w:sz w:val="21"/>
                      <w:szCs w:val="21"/>
                      <w:u w:val="none"/>
                      <w:lang w:val="en-US" w:eastAsia="zh-CN"/>
                    </w:rPr>
                  </w:pPr>
                  <w:r>
                    <w:rPr>
                      <w:rFonts w:hint="eastAsia" w:ascii="Times New Roman" w:hAnsi="Times New Roman" w:eastAsia="宋体" w:cs="Times New Roman"/>
                      <w:b w:val="0"/>
                      <w:bCs w:val="0"/>
                      <w:i w:val="0"/>
                      <w:iCs w:val="0"/>
                      <w:color w:val="auto"/>
                      <w:sz w:val="21"/>
                      <w:szCs w:val="21"/>
                      <w:u w:val="none"/>
                      <w:lang w:val="en-US" w:eastAsia="zh-CN"/>
                    </w:rPr>
                    <w:t>9</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称重装碗机（10kW）</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10</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巴氏杀菌机</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912" w:type="pct"/>
                  <w:tcBorders>
                    <w:top w:val="single" w:color="000000" w:sz="4" w:space="0"/>
                    <w:left w:val="single" w:color="000000" w:sz="4" w:space="0"/>
                    <w:bottom w:val="single" w:color="000000" w:sz="4" w:space="0"/>
                  </w:tcBorders>
                  <w:noWrap/>
                  <w:vAlign w:val="center"/>
                </w:tcPr>
                <w:p>
                  <w:pPr>
                    <w:spacing w:line="240" w:lineRule="auto"/>
                    <w:jc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 w:hRule="atLeast"/>
              </w:trPr>
              <w:tc>
                <w:tcPr>
                  <w:tcW w:w="5000" w:type="pct"/>
                  <w:gridSpan w:val="4"/>
                  <w:tcBorders>
                    <w:top w:val="single" w:color="000000" w:sz="4" w:space="0"/>
                    <w:bottom w:val="single" w:color="000000" w:sz="4" w:space="0"/>
                  </w:tcBorders>
                  <w:noWrap/>
                  <w:vAlign w:val="center"/>
                </w:tcPr>
                <w:p>
                  <w:pPr>
                    <w:spacing w:line="240" w:lineRule="auto"/>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
                      <w:bCs/>
                      <w:i w:val="0"/>
                      <w:iCs w:val="0"/>
                      <w:color w:val="auto"/>
                      <w:kern w:val="0"/>
                      <w:sz w:val="21"/>
                      <w:szCs w:val="21"/>
                      <w:u w:val="none"/>
                      <w:lang w:val="en-US" w:eastAsia="zh-CN" w:bidi="ar"/>
                    </w:rPr>
                    <w:t>共用设备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u w:val="none"/>
                      <w:lang w:val="en-US" w:eastAsia="zh-CN"/>
                    </w:rPr>
                    <w:t>1</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真空包装机（共用）</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2</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浸泡桶</w:t>
                  </w:r>
                  <w:r>
                    <w:rPr>
                      <w:rFonts w:hint="eastAsia" w:ascii="Times New Roman" w:hAnsi="Times New Roman" w:eastAsia="宋体" w:cs="Times New Roman"/>
                      <w:i w:val="0"/>
                      <w:iCs w:val="0"/>
                      <w:color w:val="auto"/>
                      <w:kern w:val="0"/>
                      <w:sz w:val="21"/>
                      <w:szCs w:val="21"/>
                      <w:u w:val="none"/>
                      <w:lang w:val="en-US" w:eastAsia="zh-CN" w:bidi="ar"/>
                    </w:rPr>
                    <w:t>（共用）</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 w:hRule="atLeast"/>
              </w:trPr>
              <w:tc>
                <w:tcPr>
                  <w:tcW w:w="1027" w:type="pct"/>
                  <w:tcBorders>
                    <w:top w:val="single" w:color="000000" w:sz="4" w:space="0"/>
                    <w:bottom w:val="single" w:color="000000" w:sz="4" w:space="0"/>
                    <w:right w:val="single" w:color="000000" w:sz="4" w:space="0"/>
                  </w:tcBorders>
                  <w:noWrap/>
                  <w:vAlign w:val="center"/>
                </w:tcPr>
                <w:p>
                  <w:pPr>
                    <w:spacing w:line="240" w:lineRule="auto"/>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3</w:t>
                  </w:r>
                </w:p>
              </w:tc>
              <w:tc>
                <w:tcPr>
                  <w:tcW w:w="214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冻库（共用）</w:t>
                  </w:r>
                </w:p>
              </w:tc>
              <w:tc>
                <w:tcPr>
                  <w:tcW w:w="91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w:t>
                  </w:r>
                </w:p>
              </w:tc>
              <w:tc>
                <w:tcPr>
                  <w:tcW w:w="912" w:type="pct"/>
                  <w:tcBorders>
                    <w:top w:val="single" w:color="000000" w:sz="4" w:space="0"/>
                    <w:left w:val="single" w:color="000000" w:sz="4" w:space="0"/>
                    <w:bottom w:val="single" w:color="000000" w:sz="4" w:space="0"/>
                  </w:tcBorders>
                  <w:noWrap/>
                  <w:vAlign w:val="center"/>
                </w:tcPr>
                <w:p>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台</w:t>
                  </w:r>
                </w:p>
              </w:tc>
            </w:tr>
          </w:tbl>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6、</w:t>
            </w:r>
            <w:r>
              <w:rPr>
                <w:rFonts w:hint="eastAsia" w:ascii="Times New Roman" w:hAnsi="Times New Roman" w:eastAsia="宋体" w:cs="Times New Roman"/>
                <w:b/>
                <w:bCs/>
                <w:color w:val="auto"/>
                <w:sz w:val="24"/>
                <w:szCs w:val="24"/>
                <w:u w:val="none"/>
                <w:lang w:val="en-US" w:eastAsia="zh-CN"/>
              </w:rPr>
              <w:t>工程原辅材料用量消耗情况</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项目原辅材料详细情况见下表。</w:t>
            </w:r>
          </w:p>
          <w:p>
            <w:pPr>
              <w:keepNext w:val="0"/>
              <w:keepLines w:val="0"/>
              <w:widowControl/>
              <w:numPr>
                <w:ilvl w:val="0"/>
                <w:numId w:val="0"/>
              </w:numPr>
              <w:suppressLineNumbers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表2-4  项目原辅材料一览表</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1433"/>
              <w:gridCol w:w="1480"/>
              <w:gridCol w:w="1902"/>
              <w:gridCol w:w="1112"/>
              <w:gridCol w:w="11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1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4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产品种类</w:t>
                  </w:r>
                </w:p>
              </w:tc>
              <w:tc>
                <w:tcPr>
                  <w:tcW w:w="14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生产规模t/a</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原辅料种类</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使用量t/a</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最大存量t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4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半固态底料</w:t>
                  </w:r>
                </w:p>
              </w:tc>
              <w:tc>
                <w:tcPr>
                  <w:tcW w:w="14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食用油</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牛油</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r>
                    <w:rPr>
                      <w:rFonts w:hint="eastAsia" w:ascii="Times New Roman" w:hAnsi="Times New Roman" w:cs="Times New Roman"/>
                      <w:color w:val="auto"/>
                      <w:sz w:val="21"/>
                      <w:szCs w:val="21"/>
                      <w:vertAlign w:val="baseline"/>
                      <w:lang w:val="en-US" w:eastAsia="zh-CN"/>
                    </w:rPr>
                    <w:t>100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辣椒</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豆瓣酱</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香料</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香葱</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姜</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蒜</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盐</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糖</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4040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4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酱卤肉制品</w:t>
                  </w:r>
                </w:p>
              </w:tc>
              <w:tc>
                <w:tcPr>
                  <w:tcW w:w="14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牛肉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猪肉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鸡肉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香料</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盐</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糖</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谷氨酸纳</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味精）</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合计</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r>
                    <w:rPr>
                      <w:rFonts w:hint="eastAsia" w:ascii="Times New Roman" w:hAnsi="Times New Roman" w:cs="Times New Roman"/>
                      <w:color w:val="auto"/>
                      <w:sz w:val="21"/>
                      <w:szCs w:val="21"/>
                      <w:highlight w:val="none"/>
                      <w:vertAlign w:val="baseline"/>
                      <w:lang w:val="en-US" w:eastAsia="zh-CN"/>
                    </w:rPr>
                    <w:t>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4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调味蔬菜</w:t>
                  </w:r>
                </w:p>
              </w:tc>
              <w:tc>
                <w:tcPr>
                  <w:tcW w:w="14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40000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土豆</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木耳</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干木耳）</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eastAsia" w:ascii="Times New Roman" w:hAnsi="Times New Roman" w:cs="Times New Roman"/>
                      <w:color w:val="auto"/>
                      <w:sz w:val="21"/>
                      <w:szCs w:val="21"/>
                      <w:highlight w:val="none"/>
                      <w:vertAlign w:val="baseline"/>
                      <w:lang w:val="en-US" w:eastAsia="zh-CN"/>
                    </w:rPr>
                    <w:t>500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海带</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干海带）</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eastAsia" w:ascii="Times New Roman" w:hAnsi="Times New Roman" w:cs="Times New Roman"/>
                      <w:color w:val="auto"/>
                      <w:sz w:val="21"/>
                      <w:szCs w:val="21"/>
                      <w:highlight w:val="none"/>
                      <w:vertAlign w:val="baseline"/>
                      <w:lang w:val="en-US" w:eastAsia="zh-CN"/>
                    </w:rPr>
                    <w:t>500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笋片</w:t>
                  </w:r>
                  <w:r>
                    <w:rPr>
                      <w:rFonts w:hint="eastAsia"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外购）</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杏鲍菇</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藕</w:t>
                  </w:r>
                  <w:r>
                    <w:rPr>
                      <w:rFonts w:hint="eastAsia"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外购）</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eastAsia" w:ascii="Times New Roman" w:hAnsi="Times New Roman" w:cs="Times New Roman"/>
                      <w:color w:val="auto"/>
                      <w:sz w:val="21"/>
                      <w:szCs w:val="21"/>
                      <w:highlight w:val="none"/>
                      <w:vertAlign w:val="baseline"/>
                      <w:lang w:val="en-US" w:eastAsia="zh-CN"/>
                    </w:rPr>
                    <w:t>7</w:t>
                  </w:r>
                  <w:r>
                    <w:rPr>
                      <w:rFonts w:hint="default" w:ascii="Times New Roman" w:hAnsi="Times New Roman" w:cs="Times New Roman"/>
                      <w:color w:val="auto"/>
                      <w:sz w:val="21"/>
                      <w:szCs w:val="21"/>
                      <w:highlight w:val="none"/>
                      <w:vertAlign w:val="baseline"/>
                      <w:lang w:val="en-US" w:eastAsia="zh-CN"/>
                    </w:rPr>
                    <w:t>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花生</w:t>
                  </w:r>
                  <w:r>
                    <w:rPr>
                      <w:rFonts w:hint="eastAsia"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干花生）</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r>
                    <w:rPr>
                      <w:rFonts w:hint="eastAsia" w:ascii="Times New Roman" w:hAnsi="Times New Roman" w:cs="Times New Roman"/>
                      <w:color w:val="auto"/>
                      <w:sz w:val="21"/>
                      <w:szCs w:val="21"/>
                      <w:highlight w:val="none"/>
                      <w:vertAlign w:val="baseline"/>
                      <w:lang w:val="en-US" w:eastAsia="zh-CN"/>
                    </w:rPr>
                    <w:t>7</w:t>
                  </w:r>
                  <w:r>
                    <w:rPr>
                      <w:rFonts w:hint="default" w:ascii="Times New Roman" w:hAnsi="Times New Roman" w:cs="Times New Roman"/>
                      <w:color w:val="auto"/>
                      <w:sz w:val="21"/>
                      <w:szCs w:val="21"/>
                      <w:highlight w:val="none"/>
                      <w:vertAlign w:val="baseline"/>
                      <w:lang w:val="en-US" w:eastAsia="zh-CN"/>
                    </w:rPr>
                    <w:t>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食盐</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食品</w:t>
                  </w:r>
                  <w:r>
                    <w:rPr>
                      <w:rFonts w:hint="default" w:ascii="Times New Roman" w:hAnsi="Times New Roman" w:cs="Times New Roman"/>
                      <w:color w:val="auto"/>
                      <w:kern w:val="0"/>
                      <w:sz w:val="21"/>
                      <w:szCs w:val="21"/>
                      <w:highlight w:val="none"/>
                      <w:lang w:val="en-US" w:eastAsia="zh-CN"/>
                    </w:rPr>
                    <w:t>调味品</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40400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4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湿粉条</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米粉制品）</w:t>
                  </w:r>
                </w:p>
              </w:tc>
              <w:tc>
                <w:tcPr>
                  <w:tcW w:w="14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r>
                    <w:rPr>
                      <w:rFonts w:hint="eastAsia" w:ascii="Times New Roman" w:hAnsi="Times New Roman" w:cs="Times New Roman"/>
                      <w:color w:val="auto"/>
                      <w:sz w:val="21"/>
                      <w:szCs w:val="21"/>
                      <w:vertAlign w:val="baseline"/>
                      <w:lang w:val="en-US" w:eastAsia="zh-CN"/>
                    </w:rPr>
                    <w:t>10</w:t>
                  </w:r>
                  <w:r>
                    <w:rPr>
                      <w:rFonts w:hint="default" w:ascii="Times New Roman" w:hAnsi="Times New Roman" w:cs="Times New Roman"/>
                      <w:color w:val="auto"/>
                      <w:sz w:val="21"/>
                      <w:szCs w:val="21"/>
                      <w:vertAlign w:val="baseline"/>
                      <w:lang w:val="en-US" w:eastAsia="zh-CN"/>
                    </w:rPr>
                    <w:t>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木薯淀粉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3</w:t>
                  </w:r>
                  <w:r>
                    <w:rPr>
                      <w:rFonts w:hint="default" w:ascii="Times New Roman" w:hAnsi="Times New Roman" w:cs="Times New Roman"/>
                      <w:color w:val="auto"/>
                      <w:sz w:val="21"/>
                      <w:szCs w:val="21"/>
                      <w:vertAlign w:val="baseline"/>
                      <w:lang w:val="en-US" w:eastAsia="zh-CN"/>
                    </w:rPr>
                    <w:t>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红薯淀粉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22</w:t>
                  </w:r>
                  <w:r>
                    <w:rPr>
                      <w:rFonts w:hint="eastAsia" w:ascii="Times New Roman" w:hAnsi="Times New Roman" w:cs="Times New Roman"/>
                      <w:color w:val="auto"/>
                      <w:sz w:val="21"/>
                      <w:szCs w:val="21"/>
                      <w:vertAlign w:val="baseline"/>
                      <w:lang w:val="en-US" w:eastAsia="zh-CN"/>
                    </w:rPr>
                    <w:t>55</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蕨根粉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r>
                    <w:rPr>
                      <w:rFonts w:hint="eastAsia" w:ascii="Times New Roman" w:hAnsi="Times New Roman" w:cs="Times New Roman"/>
                      <w:color w:val="auto"/>
                      <w:sz w:val="21"/>
                      <w:szCs w:val="21"/>
                      <w:vertAlign w:val="baseline"/>
                      <w:lang w:val="en-US" w:eastAsia="zh-CN"/>
                    </w:rPr>
                    <w:t>255</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玉米淀粉</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3300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11110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43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方便米饭</w:t>
                  </w:r>
                </w:p>
              </w:tc>
              <w:tc>
                <w:tcPr>
                  <w:tcW w:w="148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w:t>
                  </w:r>
                  <w:r>
                    <w:rPr>
                      <w:rFonts w:hint="default" w:ascii="Times New Roman" w:hAnsi="Times New Roman" w:cs="Times New Roman"/>
                      <w:color w:val="auto"/>
                      <w:sz w:val="21"/>
                      <w:szCs w:val="21"/>
                      <w:vertAlign w:val="baseline"/>
                      <w:lang w:val="en-US" w:eastAsia="zh-CN"/>
                    </w:rPr>
                    <w:t>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大米</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2040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调理肉包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发热包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1000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143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4040</w:t>
                  </w: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1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43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4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60000</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c>
                <w:tcPr>
                  <w:tcW w:w="11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257" w:type="dxa"/>
                  <w:gridSpan w:val="6"/>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注：香料</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八角，香桂，茴香等）</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食品调味品</w:t>
                  </w:r>
                  <w:r>
                    <w:rPr>
                      <w:rFonts w:hint="eastAsia"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红油、醋、生抽、</w:t>
                  </w:r>
                  <w:r>
                    <w:rPr>
                      <w:rFonts w:hint="eastAsia" w:ascii="Times New Roman" w:hAnsi="Times New Roman" w:cs="Times New Roman"/>
                      <w:color w:val="auto"/>
                      <w:sz w:val="21"/>
                      <w:szCs w:val="21"/>
                      <w:vertAlign w:val="baseline"/>
                      <w:lang w:val="en-US" w:eastAsia="zh-CN"/>
                    </w:rPr>
                    <w:t>藤椒</w:t>
                  </w:r>
                  <w:r>
                    <w:rPr>
                      <w:rFonts w:hint="default" w:ascii="Times New Roman" w:hAnsi="Times New Roman" w:cs="Times New Roman"/>
                      <w:color w:val="auto"/>
                      <w:sz w:val="21"/>
                      <w:szCs w:val="21"/>
                      <w:vertAlign w:val="baseline"/>
                      <w:lang w:val="en-US" w:eastAsia="zh-CN"/>
                    </w:rPr>
                    <w:t>油等）</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sz w:val="21"/>
                <w:szCs w:val="21"/>
                <w:u w:val="none"/>
                <w:lang w:val="en-US" w:eastAsia="zh-CN"/>
              </w:rPr>
              <w:t>2-5  项目能源一览表</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2064"/>
              <w:gridCol w:w="2066"/>
              <w:gridCol w:w="20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64"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类别</w:t>
                  </w:r>
                </w:p>
              </w:tc>
              <w:tc>
                <w:tcPr>
                  <w:tcW w:w="2064"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名称</w:t>
                  </w:r>
                </w:p>
              </w:tc>
              <w:tc>
                <w:tcPr>
                  <w:tcW w:w="206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年耗量</w:t>
                  </w:r>
                </w:p>
              </w:tc>
              <w:tc>
                <w:tcPr>
                  <w:tcW w:w="206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064" w:type="dxa"/>
                  <w:vMerge w:val="restart"/>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能源</w:t>
                  </w:r>
                </w:p>
              </w:tc>
              <w:tc>
                <w:tcPr>
                  <w:tcW w:w="2064"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电</w:t>
                  </w:r>
                </w:p>
              </w:tc>
              <w:tc>
                <w:tcPr>
                  <w:tcW w:w="206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50万</w:t>
                  </w:r>
                  <w:r>
                    <w:rPr>
                      <w:rFonts w:hint="default" w:ascii="Times New Roman" w:hAnsi="Times New Roman" w:eastAsia="宋体" w:cs="Times New Roman"/>
                      <w:b w:val="0"/>
                      <w:bCs w:val="0"/>
                      <w:color w:val="auto"/>
                      <w:sz w:val="21"/>
                      <w:szCs w:val="21"/>
                      <w:highlight w:val="none"/>
                      <w:lang w:val="en-US" w:eastAsia="zh-CN"/>
                    </w:rPr>
                    <w:t>kw·h/a</w:t>
                  </w:r>
                </w:p>
              </w:tc>
              <w:tc>
                <w:tcPr>
                  <w:tcW w:w="206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园区电网供给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064" w:type="dxa"/>
                  <w:vMerge w:val="continue"/>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064"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vertAlign w:val="baseline"/>
                      <w:lang w:val="en-US" w:eastAsia="zh-CN" w:bidi="ar-SA"/>
                    </w:rPr>
                    <w:t>水</w:t>
                  </w:r>
                </w:p>
              </w:tc>
              <w:tc>
                <w:tcPr>
                  <w:tcW w:w="206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kern w:val="2"/>
                      <w:sz w:val="21"/>
                      <w:szCs w:val="21"/>
                      <w:highlight w:val="none"/>
                      <w:vertAlign w:val="baseline"/>
                      <w:lang w:val="en-US" w:eastAsia="zh-CN" w:bidi="ar-SA"/>
                    </w:rPr>
                    <w:t>37134</w:t>
                  </w:r>
                  <w:r>
                    <w:rPr>
                      <w:rFonts w:hint="default" w:ascii="Times New Roman" w:hAnsi="Times New Roman" w:eastAsia="宋体" w:cs="Times New Roman"/>
                      <w:b w:val="0"/>
                      <w:bCs w:val="0"/>
                      <w:color w:val="auto"/>
                      <w:kern w:val="2"/>
                      <w:sz w:val="21"/>
                      <w:szCs w:val="21"/>
                      <w:highlight w:val="none"/>
                      <w:vertAlign w:val="baseline"/>
                      <w:lang w:val="en-US" w:eastAsia="zh-CN" w:bidi="ar-SA"/>
                    </w:rPr>
                    <w:t>m</w:t>
                  </w:r>
                  <w:r>
                    <w:rPr>
                      <w:rFonts w:hint="default" w:ascii="Times New Roman" w:hAnsi="Times New Roman" w:eastAsia="宋体" w:cs="Times New Roman"/>
                      <w:b w:val="0"/>
                      <w:bCs w:val="0"/>
                      <w:color w:val="auto"/>
                      <w:kern w:val="2"/>
                      <w:sz w:val="21"/>
                      <w:szCs w:val="21"/>
                      <w:highlight w:val="none"/>
                      <w:vertAlign w:val="superscript"/>
                      <w:lang w:val="en-US" w:eastAsia="zh-CN" w:bidi="ar-SA"/>
                    </w:rPr>
                    <w:t>3</w:t>
                  </w:r>
                  <w:r>
                    <w:rPr>
                      <w:rFonts w:hint="default" w:ascii="Times New Roman" w:hAnsi="Times New Roman" w:eastAsia="宋体" w:cs="Times New Roman"/>
                      <w:b w:val="0"/>
                      <w:bCs w:val="0"/>
                      <w:color w:val="auto"/>
                      <w:kern w:val="2"/>
                      <w:sz w:val="21"/>
                      <w:szCs w:val="21"/>
                      <w:highlight w:val="none"/>
                      <w:vertAlign w:val="baseline"/>
                      <w:lang w:val="en-US" w:eastAsia="zh-CN" w:bidi="ar-SA"/>
                    </w:rPr>
                    <w:t>/a</w:t>
                  </w:r>
                </w:p>
              </w:tc>
              <w:tc>
                <w:tcPr>
                  <w:tcW w:w="206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园区供水管网提供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064" w:type="dxa"/>
                  <w:vMerge w:val="continue"/>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2064"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天然气</w:t>
                  </w:r>
                </w:p>
              </w:tc>
              <w:tc>
                <w:tcPr>
                  <w:tcW w:w="2066"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highlight w:val="none"/>
                      <w:lang w:val="en-US" w:eastAsia="zh-CN"/>
                    </w:rPr>
                    <w:t>108</w:t>
                  </w:r>
                  <w:r>
                    <w:rPr>
                      <w:rFonts w:hint="default" w:ascii="Times New Roman" w:hAnsi="Times New Roman" w:eastAsia="宋体" w:cs="Times New Roman"/>
                      <w:b w:val="0"/>
                      <w:bCs w:val="0"/>
                      <w:color w:val="auto"/>
                      <w:kern w:val="0"/>
                      <w:sz w:val="21"/>
                      <w:szCs w:val="21"/>
                      <w:highlight w:val="none"/>
                      <w:lang w:val="en-US" w:eastAsia="zh-CN"/>
                    </w:rPr>
                    <w:t>万Nm</w:t>
                  </w:r>
                  <w:r>
                    <w:rPr>
                      <w:rFonts w:hint="default" w:ascii="Times New Roman" w:hAnsi="Times New Roman" w:eastAsia="宋体" w:cs="Times New Roman"/>
                      <w:b w:val="0"/>
                      <w:bCs w:val="0"/>
                      <w:color w:val="auto"/>
                      <w:kern w:val="0"/>
                      <w:sz w:val="21"/>
                      <w:szCs w:val="21"/>
                      <w:highlight w:val="none"/>
                      <w:vertAlign w:val="superscript"/>
                      <w:lang w:val="en-US" w:eastAsia="zh-CN"/>
                    </w:rPr>
                    <w:t>3</w:t>
                  </w:r>
                  <w:r>
                    <w:rPr>
                      <w:rFonts w:hint="default" w:ascii="Times New Roman" w:hAnsi="Times New Roman" w:eastAsia="宋体" w:cs="Times New Roman"/>
                      <w:b w:val="0"/>
                      <w:bCs w:val="0"/>
                      <w:color w:val="auto"/>
                      <w:kern w:val="0"/>
                      <w:sz w:val="21"/>
                      <w:szCs w:val="21"/>
                      <w:highlight w:val="none"/>
                      <w:lang w:val="en-US" w:eastAsia="zh-CN"/>
                    </w:rPr>
                    <w:t>/a</w:t>
                  </w:r>
                </w:p>
              </w:tc>
              <w:tc>
                <w:tcPr>
                  <w:tcW w:w="2065"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园区燃气供给</w:t>
                  </w:r>
                </w:p>
              </w:tc>
            </w:tr>
          </w:tbl>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7、</w:t>
            </w:r>
            <w:r>
              <w:rPr>
                <w:rFonts w:hint="eastAsia" w:ascii="Times New Roman" w:hAnsi="Times New Roman" w:eastAsia="宋体" w:cs="Times New Roman"/>
                <w:b/>
                <w:bCs/>
                <w:color w:val="auto"/>
                <w:sz w:val="24"/>
                <w:szCs w:val="24"/>
                <w:u w:val="none"/>
                <w:lang w:val="en-US" w:eastAsia="zh-CN"/>
              </w:rPr>
              <w:t>劳动定员和工作制度</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项目劳动定员300人，年生产工作日为300d，24小时/天，3班/天。</w:t>
            </w: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三、平衡分析</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1、物料平衡</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①半固态底料</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cs="Times New Roman"/>
                <w:bCs/>
                <w:color w:val="auto"/>
                <w:sz w:val="24"/>
                <w:szCs w:val="24"/>
                <w:highlight w:val="none"/>
                <w:lang w:val="en-US" w:eastAsia="zh-CN"/>
              </w:rPr>
              <w:t>其中</w:t>
            </w:r>
            <w:r>
              <w:rPr>
                <w:rFonts w:hint="eastAsia" w:ascii="Times New Roman" w:hAnsi="Times New Roman" w:cs="Times New Roman"/>
                <w:bCs/>
                <w:color w:val="auto"/>
                <w:sz w:val="24"/>
                <w:szCs w:val="24"/>
                <w:highlight w:val="none"/>
                <w:lang w:val="en-US" w:eastAsia="zh-CN"/>
              </w:rPr>
              <w:t>半固体底料在炒制</w:t>
            </w:r>
            <w:r>
              <w:rPr>
                <w:rFonts w:hint="default" w:ascii="Times New Roman" w:hAnsi="Times New Roman" w:cs="Times New Roman"/>
                <w:bCs/>
                <w:color w:val="auto"/>
                <w:sz w:val="24"/>
                <w:szCs w:val="24"/>
                <w:highlight w:val="none"/>
                <w:lang w:val="en-US" w:eastAsia="zh-CN"/>
              </w:rPr>
              <w:t>过程中会损耗部分</w:t>
            </w:r>
            <w:r>
              <w:rPr>
                <w:rFonts w:hint="eastAsia" w:ascii="Times New Roman" w:hAnsi="Times New Roman" w:cs="Times New Roman"/>
                <w:bCs/>
                <w:color w:val="auto"/>
                <w:sz w:val="24"/>
                <w:szCs w:val="24"/>
                <w:highlight w:val="none"/>
                <w:lang w:val="en-US" w:eastAsia="zh-CN"/>
              </w:rPr>
              <w:t>调料以及油品，香葱姜蒜</w:t>
            </w:r>
            <w:r>
              <w:rPr>
                <w:rFonts w:hint="default" w:ascii="Times New Roman" w:hAnsi="Times New Roman" w:cs="Times New Roman"/>
                <w:bCs/>
                <w:color w:val="auto"/>
                <w:sz w:val="24"/>
                <w:szCs w:val="24"/>
                <w:highlight w:val="none"/>
                <w:lang w:val="en-US" w:eastAsia="zh-CN"/>
              </w:rPr>
              <w:t>分选整理过程会产生部分边角料，</w:t>
            </w:r>
            <w:r>
              <w:rPr>
                <w:rFonts w:hint="eastAsia" w:ascii="Times New Roman" w:hAnsi="Times New Roman" w:cs="Times New Roman"/>
                <w:bCs/>
                <w:color w:val="auto"/>
                <w:sz w:val="24"/>
                <w:szCs w:val="24"/>
                <w:highlight w:val="none"/>
                <w:lang w:val="en-US" w:eastAsia="zh-CN"/>
              </w:rPr>
              <w:t>香葱姜蒜</w:t>
            </w:r>
            <w:r>
              <w:rPr>
                <w:rFonts w:hint="default" w:ascii="Times New Roman" w:hAnsi="Times New Roman" w:cs="Times New Roman"/>
                <w:bCs/>
                <w:color w:val="auto"/>
                <w:sz w:val="24"/>
                <w:szCs w:val="24"/>
                <w:highlight w:val="none"/>
                <w:lang w:val="en-US" w:eastAsia="zh-CN"/>
              </w:rPr>
              <w:t>边角料产生量约为原料的1%</w:t>
            </w:r>
            <w:r>
              <w:rPr>
                <w:rFonts w:hint="eastAsia" w:ascii="Times New Roman" w:hAnsi="Times New Roman" w:cs="Times New Roman"/>
                <w:bCs/>
                <w:color w:val="auto"/>
                <w:sz w:val="24"/>
                <w:szCs w:val="24"/>
                <w:highlight w:val="none"/>
                <w:lang w:val="en-US" w:eastAsia="zh-CN"/>
              </w:rPr>
              <w:t>，糖、盐、油在炒制过程中损耗为原料的1%</w:t>
            </w:r>
            <w:r>
              <w:rPr>
                <w:rFonts w:hint="default" w:ascii="Times New Roman" w:hAnsi="Times New Roman" w:cs="Times New Roman"/>
                <w:bCs/>
                <w:color w:val="auto"/>
                <w:sz w:val="24"/>
                <w:szCs w:val="24"/>
                <w:highlight w:val="none"/>
                <w:lang w:val="en-US" w:eastAsia="zh-CN"/>
              </w:rPr>
              <w:t>。</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eastAsia="宋体"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半固态底料物料一览表</w:t>
            </w:r>
          </w:p>
          <w:tbl>
            <w:tblPr>
              <w:tblStyle w:val="42"/>
              <w:tblW w:w="821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748"/>
              <w:gridCol w:w="2730"/>
              <w:gridCol w:w="16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2351" w:type="pct"/>
                  <w:gridSpan w:val="2"/>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进</w:t>
                  </w:r>
                  <w:r>
                    <w:rPr>
                      <w:rFonts w:hint="eastAsia" w:cs="Times New Roman"/>
                      <w:b/>
                      <w:bCs/>
                      <w:color w:val="auto"/>
                      <w:kern w:val="2"/>
                      <w:sz w:val="21"/>
                      <w:szCs w:val="21"/>
                      <w:vertAlign w:val="baseline"/>
                      <w:lang w:val="en-US" w:eastAsia="zh-CN" w:bidi="ar-SA"/>
                    </w:rPr>
                    <w:t>（</w:t>
                  </w:r>
                  <w:r>
                    <w:rPr>
                      <w:rFonts w:hint="eastAsia" w:ascii="Times New Roman" w:hAnsi="Times New Roman" w:eastAsia="宋体" w:cs="Times New Roman"/>
                      <w:b/>
                      <w:bCs/>
                      <w:color w:val="auto"/>
                      <w:kern w:val="2"/>
                      <w:sz w:val="21"/>
                      <w:szCs w:val="21"/>
                      <w:vertAlign w:val="baseline"/>
                      <w:lang w:val="en-US" w:eastAsia="zh-CN" w:bidi="ar-SA"/>
                    </w:rPr>
                    <w:t>t/a</w:t>
                  </w:r>
                  <w:r>
                    <w:rPr>
                      <w:rFonts w:hint="eastAsia" w:cs="Times New Roman"/>
                      <w:b/>
                      <w:bCs/>
                      <w:color w:val="auto"/>
                      <w:kern w:val="2"/>
                      <w:sz w:val="21"/>
                      <w:szCs w:val="21"/>
                      <w:vertAlign w:val="baseline"/>
                      <w:lang w:val="en-US" w:eastAsia="zh-CN" w:bidi="ar-SA"/>
                    </w:rPr>
                    <w:t>）</w:t>
                  </w:r>
                </w:p>
              </w:tc>
              <w:tc>
                <w:tcPr>
                  <w:tcW w:w="2648" w:type="pct"/>
                  <w:gridSpan w:val="2"/>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出</w:t>
                  </w:r>
                  <w:r>
                    <w:rPr>
                      <w:rFonts w:hint="eastAsia" w:cs="Times New Roman"/>
                      <w:b/>
                      <w:bCs/>
                      <w:color w:val="auto"/>
                      <w:kern w:val="2"/>
                      <w:sz w:val="21"/>
                      <w:szCs w:val="21"/>
                      <w:vertAlign w:val="baseline"/>
                      <w:lang w:val="en-US" w:eastAsia="zh-CN" w:bidi="ar-SA"/>
                    </w:rPr>
                    <w:t>（</w:t>
                  </w:r>
                  <w:r>
                    <w:rPr>
                      <w:rFonts w:hint="eastAsia" w:ascii="Times New Roman" w:hAnsi="Times New Roman" w:eastAsia="宋体" w:cs="Times New Roman"/>
                      <w:b/>
                      <w:bCs/>
                      <w:color w:val="auto"/>
                      <w:kern w:val="2"/>
                      <w:sz w:val="21"/>
                      <w:szCs w:val="21"/>
                      <w:vertAlign w:val="baseline"/>
                      <w:lang w:val="en-US" w:eastAsia="zh-CN" w:bidi="ar-SA"/>
                    </w:rPr>
                    <w:t>t/a</w:t>
                  </w:r>
                  <w:r>
                    <w:rPr>
                      <w:rFonts w:hint="eastAsia" w:cs="Times New Roman"/>
                      <w:b/>
                      <w:bCs/>
                      <w:color w:val="auto"/>
                      <w:kern w:val="2"/>
                      <w:sz w:val="21"/>
                      <w:szCs w:val="21"/>
                      <w:vertAlign w:val="baseline"/>
                      <w:lang w:val="en-US" w:eastAsia="zh-CN" w:bidi="ar-S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食用油</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1200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食用油</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1188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牛油</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w:t>
                  </w:r>
                  <w:r>
                    <w:rPr>
                      <w:rFonts w:hint="eastAsia" w:ascii="Times New Roman" w:hAnsi="Times New Roman" w:cs="Times New Roman"/>
                      <w:color w:val="auto"/>
                      <w:sz w:val="21"/>
                      <w:szCs w:val="21"/>
                      <w:vertAlign w:val="baseline"/>
                      <w:lang w:val="en-US" w:eastAsia="zh-CN"/>
                    </w:rPr>
                    <w:t>10</w:t>
                  </w:r>
                  <w:r>
                    <w:rPr>
                      <w:rFonts w:hint="default" w:ascii="Times New Roman" w:hAnsi="Times New Roman" w:cs="Times New Roman"/>
                      <w:color w:val="auto"/>
                      <w:sz w:val="21"/>
                      <w:szCs w:val="21"/>
                      <w:vertAlign w:val="baseline"/>
                      <w:lang w:val="en-US" w:eastAsia="zh-CN"/>
                    </w:rPr>
                    <w:t>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牛油</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辣椒</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700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辣椒</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豆瓣酱</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600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豆瓣酱</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594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香料</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香料</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香葱</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香葱</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姜</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姜</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蒜</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80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蒜</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79.2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盐</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盐</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糖</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70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糖</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69.3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660"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豆瓣酱</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辣椒</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香料</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盐</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糖</w:t>
                  </w:r>
                  <w:r>
                    <w:rPr>
                      <w:rFonts w:hint="eastAsia" w:ascii="Times New Roman" w:hAnsi="Times New Roman" w:cs="Times New Roman"/>
                      <w:color w:val="auto"/>
                      <w:sz w:val="21"/>
                      <w:szCs w:val="21"/>
                      <w:vertAlign w:val="baseline"/>
                      <w:lang w:val="en-US" w:eastAsia="zh-CN"/>
                    </w:rPr>
                    <w:t>损失</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660"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食用油</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牛油</w:t>
                  </w:r>
                  <w:r>
                    <w:rPr>
                      <w:rFonts w:hint="eastAsia" w:ascii="Times New Roman" w:hAnsi="Times New Roman" w:cs="Times New Roman"/>
                      <w:color w:val="auto"/>
                      <w:sz w:val="21"/>
                      <w:szCs w:val="21"/>
                      <w:vertAlign w:val="baseline"/>
                      <w:lang w:val="en-US" w:eastAsia="zh-CN"/>
                    </w:rPr>
                    <w:t>损失</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660"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香葱</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姜</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蒜</w:t>
                  </w:r>
                  <w:r>
                    <w:rPr>
                      <w:rFonts w:hint="eastAsia" w:ascii="Times New Roman" w:hAnsi="Times New Roman" w:cs="Times New Roman"/>
                      <w:color w:val="auto"/>
                      <w:sz w:val="21"/>
                      <w:szCs w:val="21"/>
                      <w:vertAlign w:val="baseline"/>
                      <w:lang w:val="en-US" w:eastAsia="zh-CN"/>
                    </w:rPr>
                    <w:t>分选损失</w:t>
                  </w:r>
                </w:p>
              </w:tc>
              <w:tc>
                <w:tcPr>
                  <w:tcW w:w="987" w:type="pct"/>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28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合计</w:t>
                  </w:r>
                </w:p>
              </w:tc>
              <w:tc>
                <w:tcPr>
                  <w:tcW w:w="106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4040</w:t>
                  </w:r>
                </w:p>
              </w:tc>
              <w:tc>
                <w:tcPr>
                  <w:tcW w:w="166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合计</w:t>
                  </w:r>
                </w:p>
              </w:tc>
              <w:tc>
                <w:tcPr>
                  <w:tcW w:w="98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4040</w:t>
                  </w:r>
                </w:p>
              </w:tc>
            </w:tr>
          </w:tbl>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②酱卤肉制品</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cs="Times New Roman"/>
                <w:bCs/>
                <w:color w:val="auto"/>
                <w:sz w:val="24"/>
                <w:szCs w:val="24"/>
                <w:highlight w:val="none"/>
                <w:lang w:val="en-US" w:eastAsia="zh-CN"/>
              </w:rPr>
              <w:t>其中</w:t>
            </w:r>
            <w:r>
              <w:rPr>
                <w:rFonts w:hint="eastAsia" w:ascii="Times New Roman" w:hAnsi="Times New Roman" w:cs="Times New Roman"/>
                <w:bCs/>
                <w:color w:val="auto"/>
                <w:sz w:val="24"/>
                <w:szCs w:val="24"/>
                <w:highlight w:val="none"/>
                <w:lang w:val="en-US" w:eastAsia="zh-CN"/>
              </w:rPr>
              <w:t>酱卤肉制品原料在分切过程中</w:t>
            </w:r>
            <w:r>
              <w:rPr>
                <w:rFonts w:hint="default" w:ascii="Times New Roman" w:hAnsi="Times New Roman" w:cs="Times New Roman"/>
                <w:bCs/>
                <w:color w:val="auto"/>
                <w:sz w:val="24"/>
                <w:szCs w:val="24"/>
                <w:highlight w:val="none"/>
                <w:lang w:val="en-US" w:eastAsia="zh-CN"/>
              </w:rPr>
              <w:t>会损耗部分</w:t>
            </w:r>
            <w:r>
              <w:rPr>
                <w:rFonts w:hint="eastAsia" w:ascii="Times New Roman" w:hAnsi="Times New Roman" w:cs="Times New Roman"/>
                <w:bCs/>
                <w:color w:val="auto"/>
                <w:sz w:val="24"/>
                <w:szCs w:val="24"/>
                <w:highlight w:val="none"/>
                <w:lang w:val="en-US" w:eastAsia="zh-CN"/>
              </w:rPr>
              <w:t>（牛肉、猪肉、鸡肉）原料，香料和调味料在调配过程中</w:t>
            </w:r>
            <w:r>
              <w:rPr>
                <w:rFonts w:hint="default" w:ascii="Times New Roman" w:hAnsi="Times New Roman" w:cs="Times New Roman"/>
                <w:bCs/>
                <w:color w:val="auto"/>
                <w:sz w:val="24"/>
                <w:szCs w:val="24"/>
                <w:highlight w:val="none"/>
                <w:lang w:val="en-US" w:eastAsia="zh-CN"/>
              </w:rPr>
              <w:t>会产生</w:t>
            </w:r>
            <w:r>
              <w:rPr>
                <w:rFonts w:hint="eastAsia" w:ascii="Times New Roman" w:hAnsi="Times New Roman" w:cs="Times New Roman"/>
                <w:bCs/>
                <w:color w:val="auto"/>
                <w:sz w:val="24"/>
                <w:szCs w:val="24"/>
                <w:highlight w:val="none"/>
                <w:lang w:val="en-US" w:eastAsia="zh-CN"/>
              </w:rPr>
              <w:t>损耗</w:t>
            </w:r>
            <w:r>
              <w:rPr>
                <w:rFonts w:hint="default" w:ascii="Times New Roman" w:hAnsi="Times New Roman"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val="en-US" w:eastAsia="zh-CN"/>
              </w:rPr>
              <w:t>原料（牛肉、猪肉、鸡肉）</w:t>
            </w:r>
            <w:r>
              <w:rPr>
                <w:rFonts w:hint="default" w:ascii="Times New Roman" w:hAnsi="Times New Roman" w:cs="Times New Roman"/>
                <w:bCs/>
                <w:color w:val="auto"/>
                <w:sz w:val="24"/>
                <w:szCs w:val="24"/>
                <w:highlight w:val="none"/>
                <w:lang w:val="en-US" w:eastAsia="zh-CN"/>
              </w:rPr>
              <w:t>边角料产生量约为原料的1%</w:t>
            </w:r>
            <w:r>
              <w:rPr>
                <w:rFonts w:hint="eastAsia" w:ascii="Times New Roman" w:hAnsi="Times New Roman" w:cs="Times New Roman"/>
                <w:bCs/>
                <w:color w:val="auto"/>
                <w:sz w:val="24"/>
                <w:szCs w:val="24"/>
                <w:highlight w:val="none"/>
                <w:lang w:val="en-US" w:eastAsia="zh-CN"/>
              </w:rPr>
              <w:t>，香料和调味料在调配过程中损耗为原料的1%</w:t>
            </w:r>
            <w:r>
              <w:rPr>
                <w:rFonts w:hint="default" w:ascii="Times New Roman" w:hAnsi="Times New Roman" w:cs="Times New Roman"/>
                <w:bCs/>
                <w:color w:val="auto"/>
                <w:sz w:val="24"/>
                <w:szCs w:val="24"/>
                <w:highlight w:val="none"/>
                <w:lang w:val="en-US" w:eastAsia="zh-CN"/>
              </w:rPr>
              <w:t>。</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eastAsia="宋体" w:cs="Times New Roman"/>
                <w:b/>
                <w:bCs/>
                <w:color w:val="auto"/>
                <w:kern w:val="2"/>
                <w:sz w:val="21"/>
                <w:szCs w:val="21"/>
                <w:lang w:val="en-US" w:eastAsia="zh-CN" w:bidi="ar-SA"/>
              </w:rPr>
              <w:t>7</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酱卤制品</w:t>
            </w:r>
            <w:r>
              <w:rPr>
                <w:rFonts w:hint="default" w:ascii="Times New Roman" w:hAnsi="Times New Roman" w:eastAsia="宋体" w:cs="Times New Roman"/>
                <w:b/>
                <w:bCs/>
                <w:color w:val="auto"/>
                <w:kern w:val="2"/>
                <w:sz w:val="21"/>
                <w:szCs w:val="21"/>
                <w:lang w:val="en-US" w:eastAsia="zh-CN" w:bidi="ar-SA"/>
              </w:rPr>
              <w:t>物料一览表</w:t>
            </w:r>
          </w:p>
          <w:tbl>
            <w:tblPr>
              <w:tblStyle w:val="42"/>
              <w:tblW w:w="825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2065"/>
              <w:gridCol w:w="2065"/>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2498" w:type="pct"/>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进（t/a）</w:t>
                  </w:r>
                </w:p>
              </w:tc>
              <w:tc>
                <w:tcPr>
                  <w:tcW w:w="2501" w:type="pct"/>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出（t/a）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牛肉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310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牛肉</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306.9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猪肉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330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猪肉</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鸡肉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310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鸡肉</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306.9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盐</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盐</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糖</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糖</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谷氨酸纳</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味精）</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谷氨酸纳</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味精）</w:t>
                  </w:r>
                </w:p>
              </w:tc>
              <w:tc>
                <w:tcPr>
                  <w:tcW w:w="125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牛肉</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猪肉</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鸡肉</w:t>
                  </w:r>
                </w:p>
              </w:tc>
              <w:tc>
                <w:tcPr>
                  <w:tcW w:w="1251"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香料</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盐</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糖</w:t>
                  </w:r>
                </w:p>
              </w:tc>
              <w:tc>
                <w:tcPr>
                  <w:tcW w:w="1251"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合计</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1010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合计</w:t>
                  </w:r>
                </w:p>
              </w:tc>
              <w:tc>
                <w:tcPr>
                  <w:tcW w:w="1251"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1010</w:t>
                  </w:r>
                </w:p>
              </w:tc>
            </w:tr>
          </w:tbl>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highlight w:val="none"/>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③调味蔬菜</w:t>
            </w:r>
          </w:p>
          <w:p>
            <w:pPr>
              <w:adjustRightInd w:val="0"/>
              <w:snapToGrid w:val="0"/>
              <w:spacing w:line="360" w:lineRule="auto"/>
              <w:ind w:firstLine="480" w:firstLineChars="20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val="0"/>
                <w:bCs w:val="0"/>
                <w:color w:val="auto"/>
                <w:kern w:val="2"/>
                <w:sz w:val="24"/>
                <w:szCs w:val="24"/>
                <w:highlight w:val="none"/>
                <w:lang w:val="en-US" w:eastAsia="zh-CN" w:bidi="ar-SA"/>
              </w:rPr>
              <w:t>调味蔬菜</w:t>
            </w:r>
            <w:r>
              <w:rPr>
                <w:rFonts w:hint="eastAsia" w:ascii="Times New Roman" w:hAnsi="Times New Roman" w:cs="Times New Roman"/>
                <w:color w:val="auto"/>
                <w:sz w:val="24"/>
                <w:szCs w:val="24"/>
                <w:highlight w:val="none"/>
                <w:lang w:val="en-US" w:eastAsia="zh-CN"/>
              </w:rPr>
              <w:t>原料（土豆、杏鲍菇）削皮产生的废边角料</w:t>
            </w:r>
            <w:r>
              <w:rPr>
                <w:rFonts w:hint="default" w:ascii="Times New Roman" w:hAnsi="Times New Roman" w:cs="Times New Roman"/>
                <w:bCs/>
                <w:color w:val="auto"/>
                <w:sz w:val="24"/>
                <w:szCs w:val="24"/>
                <w:highlight w:val="none"/>
                <w:lang w:val="en-US" w:eastAsia="zh-CN"/>
              </w:rPr>
              <w:t>约为原料的1%</w:t>
            </w:r>
            <w:r>
              <w:rPr>
                <w:rFonts w:hint="eastAsia" w:ascii="Times New Roman" w:hAnsi="Times New Roman" w:cs="Times New Roman"/>
                <w:color w:val="auto"/>
                <w:sz w:val="24"/>
                <w:szCs w:val="24"/>
                <w:highlight w:val="none"/>
                <w:lang w:val="en-US" w:eastAsia="zh-CN"/>
              </w:rPr>
              <w:t>；原料（木耳、海带、花生）泡发后按照产品规模进行分切产生量约为原料的1%；由于部分</w:t>
            </w:r>
            <w:r>
              <w:rPr>
                <w:rFonts w:hint="eastAsia" w:cs="Times New Roman"/>
                <w:color w:val="auto"/>
                <w:sz w:val="24"/>
                <w:szCs w:val="24"/>
                <w:highlight w:val="none"/>
                <w:lang w:val="en-US" w:eastAsia="zh-CN"/>
              </w:rPr>
              <w:t>原料</w:t>
            </w:r>
            <w:r>
              <w:rPr>
                <w:rFonts w:hint="eastAsia" w:ascii="Times New Roman" w:hAnsi="Times New Roman" w:cs="Times New Roman"/>
                <w:color w:val="auto"/>
                <w:sz w:val="24"/>
                <w:szCs w:val="24"/>
                <w:highlight w:val="none"/>
                <w:lang w:val="en-US" w:eastAsia="zh-CN"/>
              </w:rPr>
              <w:t>（笋子、藕）</w:t>
            </w:r>
            <w:r>
              <w:rPr>
                <w:rFonts w:hint="eastAsia" w:cs="Times New Roman"/>
                <w:color w:val="auto"/>
                <w:sz w:val="24"/>
                <w:szCs w:val="24"/>
                <w:highlight w:val="none"/>
                <w:lang w:val="en-US" w:eastAsia="zh-CN"/>
              </w:rPr>
              <w:t>外购，调味时产生废包装</w:t>
            </w:r>
            <w:r>
              <w:rPr>
                <w:rFonts w:hint="default" w:ascii="Times New Roman" w:hAnsi="Times New Roman" w:cs="Times New Roman"/>
                <w:bCs/>
                <w:color w:val="auto"/>
                <w:sz w:val="24"/>
                <w:szCs w:val="24"/>
                <w:highlight w:val="none"/>
                <w:lang w:val="en-US" w:eastAsia="zh-CN"/>
              </w:rPr>
              <w:t>约为原料的1%</w:t>
            </w:r>
            <w:r>
              <w:rPr>
                <w:rFonts w:hint="eastAsia" w:cs="Times New Roman"/>
                <w:color w:val="auto"/>
                <w:sz w:val="24"/>
                <w:szCs w:val="24"/>
                <w:highlight w:val="none"/>
                <w:lang w:val="en-US" w:eastAsia="zh-CN"/>
              </w:rPr>
              <w:t>，所有的蔬菜原料进入</w:t>
            </w:r>
            <w:r>
              <w:rPr>
                <w:rFonts w:hint="eastAsia" w:ascii="宋体" w:hAnsi="宋体" w:eastAsia="宋体" w:cs="宋体"/>
                <w:color w:val="auto"/>
                <w:kern w:val="0"/>
                <w:sz w:val="24"/>
                <w:szCs w:val="24"/>
                <w:highlight w:val="none"/>
                <w:lang w:val="en-US" w:eastAsia="zh-CN" w:bidi="ar"/>
              </w:rPr>
              <w:t>浸泡桶调味后</w:t>
            </w:r>
            <w:r>
              <w:rPr>
                <w:rFonts w:hint="eastAsia" w:ascii="宋体" w:hAnsi="宋体" w:cs="宋体"/>
                <w:color w:val="auto"/>
                <w:kern w:val="0"/>
                <w:sz w:val="24"/>
                <w:szCs w:val="24"/>
                <w:highlight w:val="none"/>
                <w:lang w:val="en-US" w:eastAsia="zh-CN" w:bidi="ar"/>
              </w:rPr>
              <w:t>直接装袋，包装。</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eastAsia="宋体" w:cs="Times New Roman"/>
                <w:b/>
                <w:bCs/>
                <w:color w:val="auto"/>
                <w:kern w:val="2"/>
                <w:sz w:val="21"/>
                <w:szCs w:val="21"/>
                <w:lang w:val="en-US" w:eastAsia="zh-CN" w:bidi="ar-SA"/>
              </w:rPr>
              <w:t>8</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调味蔬菜</w:t>
            </w:r>
            <w:r>
              <w:rPr>
                <w:rFonts w:hint="default" w:ascii="Times New Roman" w:hAnsi="Times New Roman" w:eastAsia="宋体" w:cs="Times New Roman"/>
                <w:b/>
                <w:bCs/>
                <w:color w:val="auto"/>
                <w:kern w:val="2"/>
                <w:sz w:val="21"/>
                <w:szCs w:val="21"/>
                <w:lang w:val="en-US" w:eastAsia="zh-CN" w:bidi="ar-SA"/>
              </w:rPr>
              <w:t>物料一览表</w:t>
            </w:r>
          </w:p>
          <w:tbl>
            <w:tblPr>
              <w:tblStyle w:val="4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1985"/>
              <w:gridCol w:w="2349"/>
              <w:gridCol w:w="18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047"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进</w:t>
                  </w:r>
                  <w:r>
                    <w:rPr>
                      <w:rFonts w:hint="eastAsia" w:cs="Times New Roman"/>
                      <w:b/>
                      <w:bCs w:val="0"/>
                      <w:color w:val="auto"/>
                      <w:sz w:val="21"/>
                      <w:szCs w:val="21"/>
                      <w:highlight w:val="none"/>
                      <w:vertAlign w:val="baseline"/>
                      <w:lang w:val="en-US" w:eastAsia="zh-CN"/>
                    </w:rPr>
                    <w:t>（</w:t>
                  </w:r>
                  <w:r>
                    <w:rPr>
                      <w:rFonts w:hint="default" w:ascii="Times New Roman" w:hAnsi="Times New Roman" w:eastAsia="宋体" w:cs="Times New Roman"/>
                      <w:b/>
                      <w:bCs w:val="0"/>
                      <w:color w:val="auto"/>
                      <w:sz w:val="21"/>
                      <w:szCs w:val="21"/>
                      <w:highlight w:val="none"/>
                      <w:vertAlign w:val="baseline"/>
                      <w:lang w:val="en-US" w:eastAsia="zh-CN"/>
                    </w:rPr>
                    <w:t>t/a</w:t>
                  </w:r>
                  <w:r>
                    <w:rPr>
                      <w:rFonts w:hint="eastAsia" w:cs="Times New Roman"/>
                      <w:b/>
                      <w:bCs w:val="0"/>
                      <w:color w:val="auto"/>
                      <w:sz w:val="21"/>
                      <w:szCs w:val="21"/>
                      <w:highlight w:val="none"/>
                      <w:vertAlign w:val="baseline"/>
                      <w:lang w:val="en-US" w:eastAsia="zh-CN"/>
                    </w:rPr>
                    <w:t>）</w:t>
                  </w:r>
                </w:p>
              </w:tc>
              <w:tc>
                <w:tcPr>
                  <w:tcW w:w="4212"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出</w:t>
                  </w:r>
                  <w:r>
                    <w:rPr>
                      <w:rFonts w:hint="eastAsia" w:cs="Times New Roman"/>
                      <w:b/>
                      <w:bCs w:val="0"/>
                      <w:color w:val="auto"/>
                      <w:sz w:val="21"/>
                      <w:szCs w:val="21"/>
                      <w:highlight w:val="none"/>
                      <w:vertAlign w:val="baseline"/>
                      <w:lang w:val="en-US" w:eastAsia="zh-CN"/>
                    </w:rPr>
                    <w:t>（</w:t>
                  </w:r>
                  <w:r>
                    <w:rPr>
                      <w:rFonts w:hint="default" w:ascii="Times New Roman" w:hAnsi="Times New Roman" w:eastAsia="宋体" w:cs="Times New Roman"/>
                      <w:b/>
                      <w:bCs w:val="0"/>
                      <w:color w:val="auto"/>
                      <w:sz w:val="21"/>
                      <w:szCs w:val="21"/>
                      <w:highlight w:val="none"/>
                      <w:vertAlign w:val="baseline"/>
                      <w:lang w:val="en-US" w:eastAsia="zh-CN"/>
                    </w:rPr>
                    <w:t>t/a</w:t>
                  </w:r>
                  <w:r>
                    <w:rPr>
                      <w:rFonts w:hint="eastAsia" w:cs="Times New Roman"/>
                      <w:b/>
                      <w:bCs w:val="0"/>
                      <w:color w:val="auto"/>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土豆</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15000</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土豆</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14</w:t>
                  </w:r>
                  <w:r>
                    <w:rPr>
                      <w:rFonts w:hint="eastAsia" w:ascii="Times New Roman" w:hAnsi="Times New Roman" w:eastAsia="宋体" w:cs="Times New Roman"/>
                      <w:bCs/>
                      <w:color w:val="auto"/>
                      <w:sz w:val="21"/>
                      <w:szCs w:val="21"/>
                      <w:highlight w:val="none"/>
                      <w:vertAlign w:val="baseline"/>
                      <w:lang w:val="en-US" w:eastAsia="zh-CN"/>
                    </w:rPr>
                    <w:t>8</w:t>
                  </w:r>
                  <w:r>
                    <w:rPr>
                      <w:rFonts w:hint="default" w:ascii="Times New Roman" w:hAnsi="Times New Roman" w:eastAsia="宋体" w:cs="Times New Roman"/>
                      <w:bCs/>
                      <w:color w:val="auto"/>
                      <w:sz w:val="21"/>
                      <w:szCs w:val="21"/>
                      <w:highlight w:val="none"/>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笋子</w:t>
                  </w:r>
                  <w:r>
                    <w:rPr>
                      <w:rFonts w:hint="eastAsia" w:cs="Times New Roman"/>
                      <w:bCs/>
                      <w:color w:val="auto"/>
                      <w:sz w:val="21"/>
                      <w:szCs w:val="21"/>
                      <w:highlight w:val="none"/>
                      <w:vertAlign w:val="baseline"/>
                      <w:lang w:val="en-US" w:eastAsia="zh-CN"/>
                    </w:rPr>
                    <w:t>（</w:t>
                  </w:r>
                  <w:r>
                    <w:rPr>
                      <w:rFonts w:hint="eastAsia" w:ascii="Times New Roman" w:hAnsi="Times New Roman" w:eastAsia="宋体" w:cs="Times New Roman"/>
                      <w:bCs/>
                      <w:color w:val="auto"/>
                      <w:sz w:val="21"/>
                      <w:szCs w:val="21"/>
                      <w:highlight w:val="none"/>
                      <w:vertAlign w:val="baseline"/>
                      <w:lang w:val="en-US" w:eastAsia="zh-CN"/>
                    </w:rPr>
                    <w:t>外购）</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5000</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笋子</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4950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藕</w:t>
                  </w:r>
                  <w:r>
                    <w:rPr>
                      <w:rFonts w:hint="eastAsia" w:cs="Times New Roman"/>
                      <w:bCs/>
                      <w:color w:val="auto"/>
                      <w:sz w:val="21"/>
                      <w:szCs w:val="21"/>
                      <w:highlight w:val="none"/>
                      <w:vertAlign w:val="baseline"/>
                      <w:lang w:val="en-US" w:eastAsia="zh-CN"/>
                    </w:rPr>
                    <w:t>（</w:t>
                  </w:r>
                  <w:r>
                    <w:rPr>
                      <w:rFonts w:hint="eastAsia" w:ascii="Times New Roman" w:hAnsi="Times New Roman" w:eastAsia="宋体" w:cs="Times New Roman"/>
                      <w:bCs/>
                      <w:color w:val="auto"/>
                      <w:sz w:val="21"/>
                      <w:szCs w:val="21"/>
                      <w:highlight w:val="none"/>
                      <w:vertAlign w:val="baseline"/>
                      <w:lang w:val="en-US" w:eastAsia="zh-CN"/>
                    </w:rPr>
                    <w:t>外购）</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3</w:t>
                  </w:r>
                  <w:r>
                    <w:rPr>
                      <w:rFonts w:hint="eastAsia" w:ascii="Times New Roman" w:hAnsi="Times New Roman" w:eastAsia="宋体" w:cs="Times New Roman"/>
                      <w:bCs/>
                      <w:color w:val="auto"/>
                      <w:sz w:val="21"/>
                      <w:szCs w:val="21"/>
                      <w:highlight w:val="none"/>
                      <w:vertAlign w:val="baseline"/>
                      <w:lang w:val="en-US" w:eastAsia="zh-CN"/>
                    </w:rPr>
                    <w:t>7</w:t>
                  </w:r>
                  <w:r>
                    <w:rPr>
                      <w:rFonts w:hint="default" w:ascii="Times New Roman" w:hAnsi="Times New Roman" w:eastAsia="宋体" w:cs="Times New Roman"/>
                      <w:bCs/>
                      <w:color w:val="auto"/>
                      <w:sz w:val="21"/>
                      <w:szCs w:val="21"/>
                      <w:highlight w:val="none"/>
                      <w:vertAlign w:val="baseline"/>
                      <w:lang w:val="en-US" w:eastAsia="zh-CN"/>
                    </w:rPr>
                    <w:t>00</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藕</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3</w:t>
                  </w:r>
                  <w:r>
                    <w:rPr>
                      <w:rFonts w:hint="eastAsia" w:ascii="Times New Roman" w:hAnsi="Times New Roman" w:eastAsia="宋体" w:cs="Times New Roman"/>
                      <w:bCs/>
                      <w:color w:val="auto"/>
                      <w:sz w:val="21"/>
                      <w:szCs w:val="21"/>
                      <w:highlight w:val="none"/>
                      <w:vertAlign w:val="baseline"/>
                      <w:lang w:val="en-US" w:eastAsia="zh-CN"/>
                    </w:rPr>
                    <w:t>663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杏鲍菇</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4000</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杏鲍菇</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3960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木耳</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干木耳）</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50</w:t>
                  </w:r>
                  <w:r>
                    <w:rPr>
                      <w:rFonts w:hint="default" w:ascii="Times New Roman" w:hAnsi="Times New Roman" w:cs="Times New Roman"/>
                      <w:color w:val="auto"/>
                      <w:sz w:val="21"/>
                      <w:szCs w:val="21"/>
                      <w:vertAlign w:val="baseline"/>
                      <w:lang w:val="en-US" w:eastAsia="zh-CN"/>
                    </w:rPr>
                    <w:t>0</w:t>
                  </w:r>
                </w:p>
              </w:tc>
              <w:tc>
                <w:tcPr>
                  <w:tcW w:w="2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木耳</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干木耳）</w:t>
                  </w:r>
                </w:p>
              </w:tc>
              <w:tc>
                <w:tcPr>
                  <w:tcW w:w="18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465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海带</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干海带）</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50</w:t>
                  </w:r>
                  <w:r>
                    <w:rPr>
                      <w:rFonts w:hint="default" w:ascii="Times New Roman" w:hAnsi="Times New Roman" w:cs="Times New Roman"/>
                      <w:color w:val="auto"/>
                      <w:sz w:val="21"/>
                      <w:szCs w:val="21"/>
                      <w:vertAlign w:val="baseline"/>
                      <w:lang w:val="en-US" w:eastAsia="zh-CN"/>
                    </w:rPr>
                    <w:t>0</w:t>
                  </w:r>
                </w:p>
              </w:tc>
              <w:tc>
                <w:tcPr>
                  <w:tcW w:w="2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海带</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干海带）</w:t>
                  </w:r>
                </w:p>
              </w:tc>
              <w:tc>
                <w:tcPr>
                  <w:tcW w:w="18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465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花生</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干花生）</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7</w:t>
                  </w:r>
                  <w:r>
                    <w:rPr>
                      <w:rFonts w:hint="default" w:ascii="Times New Roman" w:hAnsi="Times New Roman" w:cs="Times New Roman"/>
                      <w:color w:val="auto"/>
                      <w:sz w:val="21"/>
                      <w:szCs w:val="21"/>
                      <w:vertAlign w:val="baseline"/>
                      <w:lang w:val="en-US" w:eastAsia="zh-CN"/>
                    </w:rPr>
                    <w:t>00</w:t>
                  </w:r>
                </w:p>
              </w:tc>
              <w:tc>
                <w:tcPr>
                  <w:tcW w:w="2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花生</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干花生）</w:t>
                  </w:r>
                </w:p>
              </w:tc>
              <w:tc>
                <w:tcPr>
                  <w:tcW w:w="18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vertAlign w:val="baseline"/>
                      <w:lang w:val="en-US" w:eastAsia="zh-CN"/>
                    </w:rPr>
                    <w:t>36</w:t>
                  </w:r>
                  <w:r>
                    <w:rPr>
                      <w:rFonts w:hint="eastAsia" w:ascii="Times New Roman" w:hAnsi="Times New Roman" w:cs="Times New Roman"/>
                      <w:color w:val="auto"/>
                      <w:sz w:val="21"/>
                      <w:szCs w:val="21"/>
                      <w:vertAlign w:val="baseline"/>
                      <w:lang w:val="en-US" w:eastAsia="zh-CN"/>
                    </w:rPr>
                    <w:t>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食盐</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w:t>
                  </w:r>
                </w:p>
              </w:tc>
              <w:tc>
                <w:tcPr>
                  <w:tcW w:w="2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食盐</w:t>
                  </w:r>
                </w:p>
              </w:tc>
              <w:tc>
                <w:tcPr>
                  <w:tcW w:w="18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食品</w:t>
                  </w:r>
                  <w:r>
                    <w:rPr>
                      <w:rFonts w:hint="default" w:ascii="Times New Roman" w:hAnsi="Times New Roman" w:cs="Times New Roman"/>
                      <w:color w:val="auto"/>
                      <w:kern w:val="0"/>
                      <w:sz w:val="21"/>
                      <w:szCs w:val="21"/>
                      <w:highlight w:val="none"/>
                      <w:lang w:val="en-US" w:eastAsia="zh-CN"/>
                    </w:rPr>
                    <w:t>调味品</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vertAlign w:val="baseline"/>
                      <w:lang w:val="en-US" w:eastAsia="zh-CN"/>
                    </w:rPr>
                    <w:t>100</w:t>
                  </w:r>
                  <w:r>
                    <w:rPr>
                      <w:rFonts w:hint="default" w:ascii="Times New Roman" w:hAnsi="Times New Roman" w:cs="Times New Roman"/>
                      <w:color w:val="auto"/>
                      <w:sz w:val="21"/>
                      <w:szCs w:val="21"/>
                      <w:vertAlign w:val="baseline"/>
                      <w:lang w:val="en-US" w:eastAsia="zh-CN"/>
                    </w:rPr>
                    <w:t>0</w:t>
                  </w:r>
                </w:p>
              </w:tc>
              <w:tc>
                <w:tcPr>
                  <w:tcW w:w="23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rPr>
                    <w:t>食品</w:t>
                  </w:r>
                  <w:r>
                    <w:rPr>
                      <w:rFonts w:hint="default" w:ascii="Times New Roman" w:hAnsi="Times New Roman" w:cs="Times New Roman"/>
                      <w:color w:val="auto"/>
                      <w:kern w:val="0"/>
                      <w:sz w:val="21"/>
                      <w:szCs w:val="21"/>
                      <w:highlight w:val="none"/>
                      <w:lang w:val="en-US" w:eastAsia="zh-CN"/>
                    </w:rPr>
                    <w:t>调味品</w:t>
                  </w:r>
                </w:p>
              </w:tc>
              <w:tc>
                <w:tcPr>
                  <w:tcW w:w="18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cs="Times New Roman"/>
                      <w:color w:val="auto"/>
                      <w:sz w:val="21"/>
                      <w:szCs w:val="21"/>
                      <w:vertAlign w:val="baseline"/>
                      <w:lang w:val="en-US" w:eastAsia="zh-CN"/>
                    </w:rPr>
                    <w:t>990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土豆</w:t>
                  </w:r>
                  <w:r>
                    <w:rPr>
                      <w:rFonts w:hint="eastAsia" w:ascii="Times New Roman" w:hAnsi="Times New Roman" w:eastAsia="宋体" w:cs="Times New Roman"/>
                      <w:bCs/>
                      <w:color w:val="auto"/>
                      <w:sz w:val="21"/>
                      <w:szCs w:val="21"/>
                      <w:highlight w:val="none"/>
                      <w:vertAlign w:val="baseline"/>
                      <w:lang w:val="en-US" w:eastAsia="zh-CN"/>
                    </w:rPr>
                    <w:t>、杏鲍菇废</w:t>
                  </w:r>
                  <w:r>
                    <w:rPr>
                      <w:rFonts w:hint="default" w:ascii="Times New Roman" w:hAnsi="Times New Roman" w:eastAsia="宋体" w:cs="Times New Roman"/>
                      <w:bCs/>
                      <w:color w:val="auto"/>
                      <w:sz w:val="21"/>
                      <w:szCs w:val="21"/>
                      <w:highlight w:val="none"/>
                      <w:vertAlign w:val="baseline"/>
                      <w:lang w:val="en-US" w:eastAsia="zh-CN"/>
                    </w:rPr>
                    <w:t>边角料</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藕、笋废废包装袋</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木耳、海带、花生废</w:t>
                  </w:r>
                  <w:r>
                    <w:rPr>
                      <w:rFonts w:hint="default" w:ascii="Times New Roman" w:hAnsi="Times New Roman" w:eastAsia="宋体" w:cs="Times New Roman"/>
                      <w:bCs/>
                      <w:color w:val="auto"/>
                      <w:sz w:val="21"/>
                      <w:szCs w:val="21"/>
                      <w:highlight w:val="none"/>
                      <w:vertAlign w:val="baseline"/>
                      <w:lang w:val="en-US" w:eastAsia="zh-CN"/>
                    </w:rPr>
                    <w:t>边角料</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食盐</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rPr>
                    <w:t>食品</w:t>
                  </w:r>
                  <w:r>
                    <w:rPr>
                      <w:rFonts w:hint="default" w:ascii="Times New Roman" w:hAnsi="Times New Roman" w:cs="Times New Roman"/>
                      <w:color w:val="auto"/>
                      <w:kern w:val="0"/>
                      <w:sz w:val="21"/>
                      <w:szCs w:val="21"/>
                      <w:highlight w:val="none"/>
                      <w:lang w:val="en-US" w:eastAsia="zh-CN"/>
                    </w:rPr>
                    <w:t>调味品</w:t>
                  </w:r>
                  <w:r>
                    <w:rPr>
                      <w:rFonts w:hint="eastAsia" w:ascii="Times New Roman" w:hAnsi="Times New Roman" w:cs="Times New Roman"/>
                      <w:color w:val="auto"/>
                      <w:kern w:val="0"/>
                      <w:sz w:val="21"/>
                      <w:szCs w:val="21"/>
                      <w:highlight w:val="none"/>
                      <w:lang w:val="en-US" w:eastAsia="zh-CN"/>
                    </w:rPr>
                    <w:t>损失</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06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合计</w:t>
                  </w:r>
                </w:p>
              </w:tc>
              <w:tc>
                <w:tcPr>
                  <w:tcW w:w="19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40400</w:t>
                  </w:r>
                </w:p>
              </w:tc>
              <w:tc>
                <w:tcPr>
                  <w:tcW w:w="234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合计</w:t>
                  </w:r>
                </w:p>
              </w:tc>
              <w:tc>
                <w:tcPr>
                  <w:tcW w:w="186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eastAsia" w:ascii="Times New Roman" w:hAnsi="Times New Roman" w:eastAsia="宋体" w:cs="Times New Roman"/>
                      <w:bCs/>
                      <w:color w:val="auto"/>
                      <w:sz w:val="21"/>
                      <w:szCs w:val="21"/>
                      <w:highlight w:val="none"/>
                      <w:vertAlign w:val="baseline"/>
                      <w:lang w:val="en-US" w:eastAsia="zh-CN"/>
                    </w:rPr>
                    <w:t>40400</w:t>
                  </w:r>
                </w:p>
              </w:tc>
            </w:tr>
          </w:tbl>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④湿粉条</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淀粉原料外购于袋装淀粉，原料淀粉与水搅拌时产生外包装，包装袋占原料的1%。与水搅拌混合后进入煮锅，最后成形包装。</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eastAsia="宋体" w:cs="Times New Roman"/>
                <w:b/>
                <w:bCs/>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湿粉条</w:t>
            </w:r>
            <w:r>
              <w:rPr>
                <w:rFonts w:hint="default" w:ascii="Times New Roman" w:hAnsi="Times New Roman" w:eastAsia="宋体" w:cs="Times New Roman"/>
                <w:b/>
                <w:bCs/>
                <w:color w:val="auto"/>
                <w:kern w:val="2"/>
                <w:sz w:val="21"/>
                <w:szCs w:val="21"/>
                <w:lang w:val="en-US" w:eastAsia="zh-CN" w:bidi="ar-SA"/>
              </w:rPr>
              <w:t>物料一览表</w:t>
            </w:r>
          </w:p>
          <w:tbl>
            <w:tblPr>
              <w:tblStyle w:val="42"/>
              <w:tblW w:w="82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070"/>
              <w:gridCol w:w="2071"/>
              <w:gridCol w:w="20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498" w:type="pct"/>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进（t/a）</w:t>
                  </w:r>
                </w:p>
              </w:tc>
              <w:tc>
                <w:tcPr>
                  <w:tcW w:w="2501" w:type="pct"/>
                  <w:gridSpan w:val="2"/>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出（t/a）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木薯淀粉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w:t>
                  </w:r>
                  <w:r>
                    <w:rPr>
                      <w:rFonts w:hint="eastAsia" w:ascii="Times New Roman" w:hAnsi="Times New Roman" w:cs="Times New Roman"/>
                      <w:color w:val="auto"/>
                      <w:sz w:val="21"/>
                      <w:szCs w:val="21"/>
                      <w:vertAlign w:val="baseline"/>
                      <w:lang w:val="en-US" w:eastAsia="zh-CN"/>
                    </w:rPr>
                    <w:t>3</w:t>
                  </w:r>
                  <w:r>
                    <w:rPr>
                      <w:rFonts w:hint="default" w:ascii="Times New Roman" w:hAnsi="Times New Roman" w:cs="Times New Roman"/>
                      <w:color w:val="auto"/>
                      <w:sz w:val="21"/>
                      <w:szCs w:val="21"/>
                      <w:vertAlign w:val="baseline"/>
                      <w:lang w:val="en-US" w:eastAsia="zh-CN"/>
                    </w:rPr>
                    <w:t>00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木薯淀粉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3267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红薯淀粉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22</w:t>
                  </w:r>
                  <w:r>
                    <w:rPr>
                      <w:rFonts w:hint="eastAsia" w:ascii="Times New Roman" w:hAnsi="Times New Roman" w:cs="Times New Roman"/>
                      <w:color w:val="auto"/>
                      <w:sz w:val="21"/>
                      <w:szCs w:val="21"/>
                      <w:vertAlign w:val="baseline"/>
                      <w:lang w:val="en-US" w:eastAsia="zh-CN"/>
                    </w:rPr>
                    <w:t>55</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红薯淀粉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2232.5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蕨根粉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2</w:t>
                  </w:r>
                  <w:r>
                    <w:rPr>
                      <w:rFonts w:hint="eastAsia" w:ascii="Times New Roman" w:hAnsi="Times New Roman" w:cs="Times New Roman"/>
                      <w:color w:val="auto"/>
                      <w:sz w:val="21"/>
                      <w:szCs w:val="21"/>
                      <w:vertAlign w:val="baseline"/>
                      <w:lang w:val="en-US" w:eastAsia="zh-CN"/>
                    </w:rPr>
                    <w:t>255</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蕨根粉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2232.5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玉米淀粉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3300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玉米淀粉</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3267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包装壳损失</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合计</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11110</w:t>
                  </w:r>
                </w:p>
              </w:tc>
              <w:tc>
                <w:tcPr>
                  <w:tcW w:w="125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合计</w:t>
                  </w:r>
                </w:p>
              </w:tc>
              <w:tc>
                <w:tcPr>
                  <w:tcW w:w="1250" w:type="pct"/>
                  <w:noWrap w:val="0"/>
                  <w:vAlign w:val="center"/>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11110</w:t>
                  </w:r>
                </w:p>
              </w:tc>
            </w:tr>
          </w:tbl>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⑤方便米饭</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大米包、调理肉包、发热包全外购，包装时会产生废包装，包装袋占原料的1%。</w:t>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ascii="Times New Roman" w:hAnsi="Times New Roman" w:eastAsia="宋体" w:cs="Times New Roman"/>
                <w:b/>
                <w:bCs/>
                <w:color w:val="auto"/>
                <w:kern w:val="2"/>
                <w:sz w:val="21"/>
                <w:szCs w:val="21"/>
                <w:lang w:val="en-US" w:eastAsia="zh-CN" w:bidi="ar-SA"/>
              </w:rPr>
              <w:t>-10</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方便米饭物</w:t>
            </w:r>
            <w:r>
              <w:rPr>
                <w:rFonts w:hint="default" w:ascii="Times New Roman" w:hAnsi="Times New Roman" w:eastAsia="宋体" w:cs="Times New Roman"/>
                <w:b/>
                <w:bCs/>
                <w:color w:val="auto"/>
                <w:kern w:val="2"/>
                <w:sz w:val="21"/>
                <w:szCs w:val="21"/>
                <w:lang w:val="en-US" w:eastAsia="zh-CN" w:bidi="ar-SA"/>
              </w:rPr>
              <w:t>料一览表</w:t>
            </w:r>
          </w:p>
          <w:tbl>
            <w:tblPr>
              <w:tblStyle w:val="42"/>
              <w:tblW w:w="833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1972"/>
              <w:gridCol w:w="2307"/>
              <w:gridCol w:w="19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430" w:type="pct"/>
                  <w:gridSpan w:val="2"/>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进（t/a）</w:t>
                  </w:r>
                </w:p>
              </w:tc>
              <w:tc>
                <w:tcPr>
                  <w:tcW w:w="2569" w:type="pct"/>
                  <w:gridSpan w:val="2"/>
                  <w:noWrap w:val="0"/>
                  <w:vAlign w:val="top"/>
                </w:tcPr>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出（t/a）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大米</w:t>
                  </w:r>
                  <w:r>
                    <w:rPr>
                      <w:rFonts w:hint="eastAsia" w:ascii="Times New Roman" w:hAnsi="Times New Roman" w:cs="Times New Roman"/>
                      <w:color w:val="auto"/>
                      <w:sz w:val="21"/>
                      <w:szCs w:val="21"/>
                      <w:vertAlign w:val="baseline"/>
                      <w:lang w:val="en-US" w:eastAsia="zh-CN"/>
                    </w:rPr>
                    <w:t>（外购）</w:t>
                  </w:r>
                </w:p>
              </w:tc>
              <w:tc>
                <w:tcPr>
                  <w:tcW w:w="11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2040</w:t>
                  </w:r>
                </w:p>
              </w:tc>
              <w:tc>
                <w:tcPr>
                  <w:tcW w:w="13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大米</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2019.6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调理肉包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1000</w:t>
                  </w:r>
                </w:p>
              </w:tc>
              <w:tc>
                <w:tcPr>
                  <w:tcW w:w="13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调理肉包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990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发热包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1000</w:t>
                  </w:r>
                </w:p>
              </w:tc>
              <w:tc>
                <w:tcPr>
                  <w:tcW w:w="13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发热包</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vertAlign w:val="baseline"/>
                      <w:lang w:val="en-US" w:eastAsia="zh-CN"/>
                    </w:rPr>
                    <w:t>外购）</w:t>
                  </w:r>
                </w:p>
              </w:tc>
              <w:tc>
                <w:tcPr>
                  <w:tcW w:w="11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990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1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w:t>
                  </w:r>
                </w:p>
              </w:tc>
              <w:tc>
                <w:tcPr>
                  <w:tcW w:w="13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大米、调理肉包、发热包包装袋</w:t>
                  </w:r>
                </w:p>
              </w:tc>
              <w:tc>
                <w:tcPr>
                  <w:tcW w:w="11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40.4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2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8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4040</w:t>
                  </w:r>
                </w:p>
              </w:tc>
              <w:tc>
                <w:tcPr>
                  <w:tcW w:w="138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合计</w:t>
                  </w:r>
                </w:p>
              </w:tc>
              <w:tc>
                <w:tcPr>
                  <w:tcW w:w="11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4040</w:t>
                  </w:r>
                </w:p>
              </w:tc>
            </w:tr>
          </w:tbl>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2、项目水平衡分析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rPr>
              <w:t>本项目用水主要为生活用水和生产用水，生产用水主要包括</w:t>
            </w:r>
            <w:r>
              <w:rPr>
                <w:rFonts w:hint="eastAsia" w:ascii="Times New Roman" w:hAnsi="Times New Roman" w:eastAsia="宋体" w:cs="Times New Roman"/>
                <w:bCs/>
                <w:color w:val="auto"/>
                <w:sz w:val="24"/>
                <w:szCs w:val="24"/>
                <w:highlight w:val="none"/>
                <w:lang w:val="en-US" w:eastAsia="zh-CN"/>
              </w:rPr>
              <w:t>清洗用水、漂煮用水</w:t>
            </w:r>
            <w:r>
              <w:rPr>
                <w:rFonts w:hint="default" w:ascii="Times New Roman" w:hAnsi="Times New Roman" w:eastAsia="宋体" w:cs="Times New Roman"/>
                <w:bCs/>
                <w:color w:val="auto"/>
                <w:sz w:val="24"/>
                <w:szCs w:val="24"/>
                <w:highlight w:val="none"/>
                <w:lang w:val="en-US" w:eastAsia="zh-CN"/>
              </w:rPr>
              <w:t>、冷却用水</w:t>
            </w:r>
            <w:r>
              <w:rPr>
                <w:rFonts w:hint="default" w:ascii="Times New Roman" w:hAnsi="Times New Roman"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设备清洗水、地面清洗水和锅炉用水</w:t>
            </w:r>
            <w:r>
              <w:rPr>
                <w:rFonts w:hint="eastAsia" w:ascii="Times New Roman" w:hAnsi="Times New Roman" w:eastAsia="宋体" w:cs="Times New Roman"/>
                <w:bCs/>
                <w:color w:val="auto"/>
                <w:sz w:val="24"/>
                <w:szCs w:val="24"/>
                <w:highlight w:val="none"/>
                <w:lang w:val="en-US" w:eastAsia="zh-CN"/>
              </w:rPr>
              <w:t>、洗米用水、泡发用水、实验室用水</w:t>
            </w:r>
            <w:r>
              <w:rPr>
                <w:rFonts w:hint="default" w:ascii="Times New Roman" w:hAnsi="Times New Roman" w:eastAsia="宋体" w:cs="Times New Roman"/>
                <w:bCs/>
                <w:color w:val="auto"/>
                <w:sz w:val="24"/>
                <w:szCs w:val="24"/>
                <w:highlight w:val="none"/>
                <w:lang w:val="en-US" w:eastAsia="zh-CN"/>
              </w:rPr>
              <w:t>。</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（1）生活污水</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①产生源强</w:t>
            </w:r>
          </w:p>
          <w:p>
            <w:pPr>
              <w:keepNext w:val="0"/>
              <w:keepLines w:val="0"/>
              <w:widowControl/>
              <w:numPr>
                <w:ilvl w:val="0"/>
                <w:numId w:val="0"/>
              </w:numPr>
              <w:suppressLineNumbers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本项目劳动定员为300人，厂内不设食宿，生活用水来源于园区自来水管网供水。本项目生活用水参考</w:t>
            </w:r>
            <w:r>
              <w:rPr>
                <w:rFonts w:hint="default" w:ascii="Times New Roman" w:hAnsi="Times New Roman" w:eastAsia="宋体" w:cs="Times New Roman"/>
                <w:bCs/>
                <w:color w:val="auto"/>
                <w:sz w:val="24"/>
                <w:szCs w:val="24"/>
                <w:lang w:val="en-US" w:eastAsia="zh-CN"/>
              </w:rPr>
              <w:t>《四川省用水定额》</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川府函〔2021〕8号）</w:t>
            </w:r>
            <w:r>
              <w:rPr>
                <w:rFonts w:hint="default" w:ascii="Times New Roman" w:hAnsi="Times New Roman" w:eastAsia="宋体" w:cs="Times New Roman"/>
                <w:color w:val="auto"/>
                <w:sz w:val="24"/>
                <w:szCs w:val="24"/>
                <w:lang w:val="en-US" w:eastAsia="zh-CN"/>
              </w:rPr>
              <w:t>，用水量按50L/人·d计算</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按年工作 300 天计算则职工生活用水量为15m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/d(4500m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u w:val="none"/>
                <w:lang w:val="en-US" w:eastAsia="zh-CN"/>
              </w:rPr>
              <w:t>排污系数以90%计，则生活污水量为13.5m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/d(4050m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/a）</w:t>
            </w:r>
            <w:r>
              <w:rPr>
                <w:rFonts w:hint="eastAsia" w:ascii="Times New Roman" w:hAnsi="Times New Roman" w:eastAsia="宋体" w:cs="Times New Roman"/>
                <w:color w:val="auto"/>
                <w:sz w:val="24"/>
                <w:szCs w:val="24"/>
                <w:lang w:val="en-US" w:eastAsia="zh-CN"/>
              </w:rPr>
              <w:t>。污水中主要含BOD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、氨氮、SS、TP等污染物。</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②治理措施</w:t>
            </w:r>
          </w:p>
          <w:p>
            <w:pPr>
              <w:keepNext w:val="0"/>
              <w:keepLines w:val="0"/>
              <w:widowControl/>
              <w:numPr>
                <w:ilvl w:val="0"/>
                <w:numId w:val="0"/>
              </w:numPr>
              <w:suppressLineNumbers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园区工业污水处理厂建成之前，项目废水经厂区预处理达到《污水综合排放标准》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GB8978-1996）三级排放标准，再排入</w:t>
            </w:r>
            <w:r>
              <w:rPr>
                <w:rFonts w:hint="eastAsia" w:ascii="Times New Roman" w:hAnsi="Times New Roman" w:eastAsia="宋体" w:cs="Times New Roman"/>
                <w:color w:val="auto"/>
                <w:sz w:val="24"/>
                <w:szCs w:val="24"/>
                <w:lang w:val="en-US" w:eastAsia="zh-CN"/>
              </w:rPr>
              <w:t>全福镇污水处理厂</w:t>
            </w:r>
            <w:r>
              <w:rPr>
                <w:rFonts w:hint="default" w:ascii="Times New Roman" w:hAnsi="Times New Roman" w:eastAsia="宋体" w:cs="Times New Roman"/>
                <w:color w:val="auto"/>
                <w:sz w:val="24"/>
                <w:szCs w:val="24"/>
                <w:lang w:val="en-US" w:eastAsia="zh-CN"/>
              </w:rPr>
              <w:t>处理后达到《四川省岷江、沱江流域水污染物排放标准》(DB51/2311-2016）进行排放；园区污水处理厂建成之后，项目废水排入园区污水处理厂处理，园区污水处理厂设计规模为10000m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/d，执行《四川省岷江、沱江流域水污染物排放标准》(DB51/2311-2016）中相关污染物排放标准排放。</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（2）生产废水</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①产生源强</w:t>
            </w:r>
          </w:p>
          <w:p>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sz w:val="24"/>
                <w:szCs w:val="24"/>
                <w:lang w:val="en-US" w:eastAsia="zh-CN"/>
              </w:rPr>
              <w:t>锅炉用水</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项目有</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台锅炉，每台锅炉额定蒸发量为2000kg/h</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t/d，锅炉日工作时间24h）计算，约10%蒸汽在使用过程中损失，每天损耗水量为</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4320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/a。参考锅炉设计资料可知，锅炉排污系数为5%，锅炉排水量为</w:t>
            </w:r>
            <w:r>
              <w:rPr>
                <w:rFonts w:hint="eastAsia" w:ascii="Times New Roman" w:hAnsi="Times New Roman" w:eastAsia="宋体" w:cs="Times New Roman"/>
                <w:color w:val="auto"/>
                <w:sz w:val="24"/>
                <w:szCs w:val="24"/>
                <w:lang w:val="en-US" w:eastAsia="zh-CN"/>
              </w:rPr>
              <w:t>7.2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2160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/a，补充水量系数为15%，补充水量为</w:t>
            </w:r>
            <w:r>
              <w:rPr>
                <w:rFonts w:hint="eastAsia"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6480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锅炉采用离子交换树脂进行纯水制备，制取率以70%计，则锅炉纯水制备用水量为</w:t>
            </w:r>
            <w:r>
              <w:rPr>
                <w:rFonts w:hint="eastAsia" w:ascii="Times New Roman" w:hAnsi="Times New Roman" w:eastAsia="宋体" w:cs="Times New Roman"/>
                <w:bCs/>
                <w:color w:val="auto"/>
                <w:sz w:val="24"/>
                <w:szCs w:val="24"/>
                <w:highlight w:val="none"/>
                <w:lang w:val="en-US" w:eastAsia="zh-CN"/>
              </w:rPr>
              <w:t>30.86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（9258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/a），纯水制备过程中产生的废水</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9.26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（2778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原料</w:t>
            </w:r>
            <w:r>
              <w:rPr>
                <w:rFonts w:hint="default" w:ascii="Times New Roman" w:hAnsi="Times New Roman" w:eastAsia="宋体" w:cs="Times New Roman"/>
                <w:b w:val="0"/>
                <w:bCs w:val="0"/>
                <w:color w:val="auto"/>
                <w:sz w:val="24"/>
                <w:szCs w:val="24"/>
                <w:lang w:val="en-US" w:eastAsia="zh-CN"/>
              </w:rPr>
              <w:t>清洗用水</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原料进厂后需要进行清洗，根据业主提供资料，蔬菜原料</w:t>
            </w:r>
            <w:r>
              <w:rPr>
                <w:rFonts w:hint="eastAsia" w:ascii="Times New Roman" w:hAnsi="Times New Roman" w:eastAsia="宋体" w:cs="Times New Roman"/>
                <w:b w:val="0"/>
                <w:bCs w:val="0"/>
                <w:color w:val="auto"/>
                <w:sz w:val="24"/>
                <w:szCs w:val="24"/>
                <w:lang w:val="en-US" w:eastAsia="zh-CN"/>
              </w:rPr>
              <w:t>只需要清洗土豆和杏鲍菇，先清洗杏鲍菇，清洗后的水再用于清洗土豆，</w:t>
            </w:r>
            <w:r>
              <w:rPr>
                <w:rFonts w:hint="default" w:ascii="Times New Roman" w:hAnsi="Times New Roman" w:eastAsia="宋体" w:cs="Times New Roman"/>
                <w:b w:val="0"/>
                <w:bCs w:val="0"/>
                <w:color w:val="auto"/>
                <w:sz w:val="24"/>
                <w:szCs w:val="24"/>
                <w:lang w:val="en-US" w:eastAsia="zh-CN"/>
              </w:rPr>
              <w:t>清洗在清洗槽里</w:t>
            </w:r>
            <w:r>
              <w:rPr>
                <w:rFonts w:hint="eastAsia" w:ascii="Times New Roman" w:hAnsi="Times New Roman" w:eastAsia="宋体" w:cs="Times New Roman"/>
                <w:b w:val="0"/>
                <w:bCs w:val="0"/>
                <w:color w:val="auto"/>
                <w:sz w:val="24"/>
                <w:szCs w:val="24"/>
                <w:lang w:val="en-US" w:eastAsia="zh-CN"/>
              </w:rPr>
              <w:t>进行</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vertAlign w:val="baseline"/>
                <w:lang w:val="en-US" w:eastAsia="zh-CN"/>
              </w:rPr>
              <w:t>每清洗两次换一次水，日处理蔬菜</w:t>
            </w:r>
            <w:r>
              <w:rPr>
                <w:rFonts w:hint="eastAsia" w:ascii="Times New Roman" w:hAnsi="Times New Roman" w:eastAsia="宋体" w:cs="Times New Roman"/>
                <w:b w:val="0"/>
                <w:bCs w:val="0"/>
                <w:color w:val="auto"/>
                <w:sz w:val="24"/>
                <w:szCs w:val="24"/>
                <w:vertAlign w:val="baseline"/>
                <w:lang w:val="en-US" w:eastAsia="zh-CN"/>
              </w:rPr>
              <w:t>63</w:t>
            </w:r>
            <w:r>
              <w:rPr>
                <w:rFonts w:hint="default" w:ascii="Times New Roman" w:hAnsi="Times New Roman" w:eastAsia="宋体" w:cs="Times New Roman"/>
                <w:b w:val="0"/>
                <w:bCs w:val="0"/>
                <w:color w:val="auto"/>
                <w:sz w:val="24"/>
                <w:szCs w:val="24"/>
                <w:vertAlign w:val="baseline"/>
                <w:lang w:val="en-US" w:eastAsia="zh-CN"/>
              </w:rPr>
              <w:t>t，一天换5次水，该部分用水为</w:t>
            </w:r>
            <w:r>
              <w:rPr>
                <w:rFonts w:hint="eastAsia" w:ascii="Times New Roman" w:hAnsi="Times New Roman" w:eastAsia="宋体" w:cs="Times New Roman"/>
                <w:b w:val="0"/>
                <w:bCs w:val="0"/>
                <w:color w:val="auto"/>
                <w:sz w:val="24"/>
                <w:szCs w:val="24"/>
                <w:vertAlign w:val="baseline"/>
                <w:lang w:val="en-US" w:eastAsia="zh-CN"/>
              </w:rPr>
              <w:t>10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（3000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/a），排污系数以85%计，则清洗废水为</w:t>
            </w:r>
            <w:r>
              <w:rPr>
                <w:rFonts w:hint="eastAsia" w:ascii="Times New Roman" w:hAnsi="Times New Roman" w:eastAsia="宋体" w:cs="Times New Roman"/>
                <w:b w:val="0"/>
                <w:bCs w:val="0"/>
                <w:color w:val="auto"/>
                <w:sz w:val="24"/>
                <w:szCs w:val="24"/>
                <w:vertAlign w:val="baseline"/>
                <w:lang w:val="en-US" w:eastAsia="zh-CN"/>
              </w:rPr>
              <w:t>8.5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（2550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酱卤肉原料冲洗，根据业主提供的资料，日处理肉类原料3t，每吨产品冲洗用水为1m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/t，则肉类原料冲洗用水为3m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900m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冲洗废水全部排放，则酱肉排放废水为3m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900m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3、泡发用水</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原料（木耳、海带、花生）需要泡发，项目泡发用水循环使用不外排，部分水量随产品泡发带走，定期补水。根据资料调查，海带吸水量约为100%，木耳吸水量约125%，花生吸水量约为125%，项目使用木耳3500t/a，海带3500t/a，花生3700t/a，泡发补水量为41.68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/d，12504m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、漂烫用水</w:t>
            </w:r>
          </w:p>
          <w:p>
            <w:pPr>
              <w:numPr>
                <w:ilvl w:val="0"/>
                <w:numId w:val="0"/>
              </w:num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根据业主提供资料，</w:t>
            </w:r>
            <w:r>
              <w:rPr>
                <w:rFonts w:hint="eastAsia" w:ascii="Times New Roman" w:hAnsi="Times New Roman" w:eastAsia="宋体" w:cs="Times New Roman"/>
                <w:bCs/>
                <w:color w:val="auto"/>
                <w:sz w:val="24"/>
                <w:szCs w:val="24"/>
                <w:highlight w:val="none"/>
                <w:lang w:val="en-US" w:eastAsia="zh-CN"/>
              </w:rPr>
              <w:t>调味蔬菜每天煮两锅，</w:t>
            </w:r>
            <w:r>
              <w:rPr>
                <w:rFonts w:hint="default" w:ascii="Times New Roman" w:hAnsi="Times New Roman" w:eastAsia="宋体" w:cs="Times New Roman"/>
                <w:bCs/>
                <w:color w:val="auto"/>
                <w:sz w:val="24"/>
                <w:szCs w:val="24"/>
                <w:highlight w:val="none"/>
                <w:lang w:val="en-US" w:eastAsia="zh-CN"/>
              </w:rPr>
              <w:t>每</w:t>
            </w:r>
            <w:r>
              <w:rPr>
                <w:rFonts w:hint="eastAsia" w:ascii="Times New Roman" w:hAnsi="Times New Roman" w:eastAsia="宋体" w:cs="Times New Roman"/>
                <w:bCs/>
                <w:color w:val="auto"/>
                <w:sz w:val="24"/>
                <w:szCs w:val="24"/>
                <w:highlight w:val="none"/>
                <w:lang w:val="en-US" w:eastAsia="zh-CN"/>
              </w:rPr>
              <w:t>天</w:t>
            </w:r>
            <w:r>
              <w:rPr>
                <w:rFonts w:hint="default" w:ascii="Times New Roman" w:hAnsi="Times New Roman" w:eastAsia="宋体" w:cs="Times New Roman"/>
                <w:bCs/>
                <w:color w:val="auto"/>
                <w:sz w:val="24"/>
                <w:szCs w:val="24"/>
                <w:highlight w:val="none"/>
                <w:lang w:val="en-US" w:eastAsia="zh-CN"/>
              </w:rPr>
              <w:t>换</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次水，该部分用水为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，排污系数以85%计，则漂煮废水水量为</w:t>
            </w:r>
            <w:r>
              <w:rPr>
                <w:rFonts w:hint="eastAsia" w:ascii="Times New Roman" w:hAnsi="Times New Roman" w:eastAsia="宋体" w:cs="Times New Roman"/>
                <w:bCs/>
                <w:color w:val="auto"/>
                <w:sz w:val="24"/>
                <w:szCs w:val="24"/>
                <w:highlight w:val="none"/>
                <w:lang w:val="en-US" w:eastAsia="zh-CN"/>
              </w:rPr>
              <w:t>4.25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（1275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p>
          <w:p>
            <w:pPr>
              <w:numPr>
                <w:ilvl w:val="0"/>
                <w:numId w:val="0"/>
              </w:num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酱卤制品，每天煮1锅，</w:t>
            </w:r>
            <w:r>
              <w:rPr>
                <w:rFonts w:hint="default" w:ascii="Times New Roman" w:hAnsi="Times New Roman" w:eastAsia="宋体" w:cs="Times New Roman"/>
                <w:bCs/>
                <w:color w:val="auto"/>
                <w:sz w:val="24"/>
                <w:szCs w:val="24"/>
                <w:highlight w:val="none"/>
                <w:lang w:val="en-US" w:eastAsia="zh-CN"/>
              </w:rPr>
              <w:t>每</w:t>
            </w:r>
            <w:r>
              <w:rPr>
                <w:rFonts w:hint="eastAsia" w:ascii="Times New Roman" w:hAnsi="Times New Roman" w:eastAsia="宋体" w:cs="Times New Roman"/>
                <w:bCs/>
                <w:color w:val="auto"/>
                <w:sz w:val="24"/>
                <w:szCs w:val="24"/>
                <w:highlight w:val="none"/>
                <w:lang w:val="en-US" w:eastAsia="zh-CN"/>
              </w:rPr>
              <w:t>天</w:t>
            </w:r>
            <w:r>
              <w:rPr>
                <w:rFonts w:hint="default" w:ascii="Times New Roman" w:hAnsi="Times New Roman" w:eastAsia="宋体" w:cs="Times New Roman"/>
                <w:bCs/>
                <w:color w:val="auto"/>
                <w:sz w:val="24"/>
                <w:szCs w:val="24"/>
                <w:highlight w:val="none"/>
                <w:lang w:val="en-US" w:eastAsia="zh-CN"/>
              </w:rPr>
              <w:t>换</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次水，该部分用水为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，排污系数以85%计，则漂煮废水水量为</w:t>
            </w:r>
            <w:r>
              <w:rPr>
                <w:rFonts w:hint="eastAsia" w:ascii="Times New Roman" w:hAnsi="Times New Roman" w:eastAsia="宋体" w:cs="Times New Roman"/>
                <w:bCs/>
                <w:color w:val="auto"/>
                <w:sz w:val="24"/>
                <w:szCs w:val="24"/>
                <w:highlight w:val="none"/>
                <w:lang w:val="en-US" w:eastAsia="zh-CN"/>
              </w:rPr>
              <w:t>4.25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（1275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湿粉条，每天煮1锅（共2个煮芡锅），每天换1次水，</w:t>
            </w:r>
            <w:r>
              <w:rPr>
                <w:rFonts w:hint="default" w:ascii="Times New Roman" w:hAnsi="Times New Roman" w:eastAsia="宋体" w:cs="Times New Roman"/>
                <w:bCs/>
                <w:color w:val="auto"/>
                <w:sz w:val="24"/>
                <w:szCs w:val="24"/>
                <w:highlight w:val="none"/>
                <w:lang w:val="en-US" w:eastAsia="zh-CN"/>
              </w:rPr>
              <w:t>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），排污系数以80%计，则脱芡废水水量为4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p>
          <w:p>
            <w:pPr>
              <w:numPr>
                <w:ilvl w:val="0"/>
                <w:numId w:val="0"/>
              </w:numPr>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冷却用水</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项目设置冷却机，漂烫后的蔬菜放入冷却机</w:t>
            </w:r>
            <w:r>
              <w:rPr>
                <w:rFonts w:hint="eastAsia" w:ascii="Times New Roman" w:hAnsi="Times New Roman" w:eastAsia="宋体" w:cs="Times New Roman"/>
                <w:bCs/>
                <w:color w:val="auto"/>
                <w:sz w:val="24"/>
                <w:szCs w:val="24"/>
                <w:highlight w:val="none"/>
                <w:lang w:val="en-US" w:eastAsia="zh-CN"/>
              </w:rPr>
              <w:t>水浴</w:t>
            </w:r>
            <w:r>
              <w:rPr>
                <w:rFonts w:hint="default" w:ascii="Times New Roman" w:hAnsi="Times New Roman" w:eastAsia="宋体" w:cs="Times New Roman"/>
                <w:bCs/>
                <w:color w:val="auto"/>
                <w:sz w:val="24"/>
                <w:szCs w:val="24"/>
                <w:highlight w:val="none"/>
                <w:lang w:val="en-US" w:eastAsia="zh-CN"/>
              </w:rPr>
              <w:t>冷却。冷却水每天更换，根据业主提供的资料</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冷</w:t>
            </w:r>
            <w:r>
              <w:rPr>
                <w:rFonts w:hint="eastAsia" w:ascii="Times New Roman" w:hAnsi="Times New Roman" w:eastAsia="宋体" w:cs="Times New Roman"/>
                <w:bCs/>
                <w:color w:val="auto"/>
                <w:sz w:val="24"/>
                <w:szCs w:val="24"/>
                <w:highlight w:val="none"/>
                <w:lang w:val="en-US" w:eastAsia="zh-CN"/>
              </w:rPr>
              <w:t>却</w:t>
            </w:r>
            <w:r>
              <w:rPr>
                <w:rFonts w:hint="default" w:ascii="Times New Roman" w:hAnsi="Times New Roman" w:eastAsia="宋体" w:cs="Times New Roman"/>
                <w:bCs/>
                <w:color w:val="auto"/>
                <w:sz w:val="24"/>
                <w:szCs w:val="24"/>
                <w:highlight w:val="none"/>
                <w:lang w:val="en-US" w:eastAsia="zh-CN"/>
              </w:rPr>
              <w:t>水用量为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lang w:val="en-US" w:eastAsia="zh-CN"/>
              </w:rPr>
              <w:t>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，排污系数以80%计，则冷却水废水量为</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、设备清洗用水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本项目设备每天会进行清洗，</w:t>
            </w:r>
            <w:r>
              <w:rPr>
                <w:rFonts w:hint="default" w:ascii="Times New Roman" w:hAnsi="Times New Roman" w:eastAsia="宋体" w:cs="Times New Roman"/>
                <w:b w:val="0"/>
                <w:bCs/>
                <w:color w:val="auto"/>
                <w:sz w:val="24"/>
                <w:szCs w:val="24"/>
                <w:highlight w:val="none"/>
                <w:lang w:val="en-US" w:eastAsia="zh-CN"/>
              </w:rPr>
              <w:t>根据业主提供资料，</w:t>
            </w:r>
            <w:r>
              <w:rPr>
                <w:rFonts w:hint="default" w:ascii="Times New Roman" w:hAnsi="Times New Roman" w:eastAsia="宋体" w:cs="Times New Roman"/>
                <w:bCs/>
                <w:color w:val="auto"/>
                <w:sz w:val="24"/>
                <w:szCs w:val="24"/>
                <w:highlight w:val="none"/>
                <w:lang w:val="en-US" w:eastAsia="zh-CN"/>
              </w:rPr>
              <w:t>该部分用水量为10m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3000m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/a）。排污系数以85%计，则设备清洗废水为8.5m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2550m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7、地面冲洗用水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项目生产设备和车间工作地面在每天工作结束后，需进行冲洗，根据业主提供资料，冲洗用水约为2m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（600m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default" w:ascii="Times New Roman" w:hAnsi="Times New Roman" w:eastAsia="宋体" w:cs="Times New Roman"/>
                <w:bCs/>
                <w:color w:val="auto"/>
                <w:sz w:val="24"/>
                <w:szCs w:val="24"/>
                <w:highlight w:val="none"/>
                <w:lang w:val="en-US" w:eastAsia="zh-CN"/>
              </w:rPr>
              <w:t>，废水排放系数按</w:t>
            </w:r>
            <w:r>
              <w:rPr>
                <w:rFonts w:hint="eastAsia" w:ascii="Times New Roman" w:hAnsi="Times New Roman" w:eastAsia="宋体" w:cs="Times New Roman"/>
                <w:bCs/>
                <w:color w:val="auto"/>
                <w:sz w:val="24"/>
                <w:szCs w:val="24"/>
                <w:highlight w:val="none"/>
                <w:lang w:val="en-US" w:eastAsia="zh-CN"/>
              </w:rPr>
              <w:t>90%</w:t>
            </w:r>
            <w:r>
              <w:rPr>
                <w:rFonts w:hint="default" w:ascii="Times New Roman" w:hAnsi="Times New Roman" w:eastAsia="宋体" w:cs="Times New Roman"/>
                <w:bCs/>
                <w:color w:val="auto"/>
                <w:sz w:val="24"/>
                <w:szCs w:val="24"/>
                <w:highlight w:val="none"/>
                <w:lang w:val="en-US" w:eastAsia="zh-CN"/>
              </w:rPr>
              <w:t>计算，则每天的废水产生量为1.8m</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（540m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kern w:val="2"/>
                <w:sz w:val="24"/>
                <w:szCs w:val="24"/>
                <w:lang w:val="en-US" w:eastAsia="zh-CN" w:bidi="ar-SA"/>
              </w:rPr>
              <w:t>8、</w:t>
            </w:r>
            <w:r>
              <w:rPr>
                <w:rFonts w:hint="eastAsia" w:ascii="Times New Roman" w:hAnsi="Times New Roman" w:eastAsia="宋体" w:cs="Times New Roman"/>
                <w:bCs/>
                <w:color w:val="auto"/>
                <w:sz w:val="24"/>
                <w:szCs w:val="24"/>
                <w:highlight w:val="none"/>
                <w:lang w:val="en-US" w:eastAsia="zh-CN"/>
              </w:rPr>
              <w:t>实验室用水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Cs/>
                <w:color w:val="auto"/>
                <w:sz w:val="24"/>
                <w:szCs w:val="24"/>
                <w:highlight w:val="none"/>
                <w:lang w:val="en-US" w:eastAsia="zh-CN"/>
              </w:rPr>
              <w:t>本项目需对产品进行食品安全检测，检测完成后需对检测试剂容器进行清洗。前三次清洗废液属于危废，用水量为0.05m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/a），废水产生量为0.05m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/a）；后续清洗废水为化验室容器后续清洗废水，后续清洗用水量为0.5m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/a），清洗废水产生量按用量的90%计，则废水产生量为0.45m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135m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/a）。化验室容器后续清洗废水进入厂区污水处理站处理。</w:t>
            </w:r>
          </w:p>
          <w:p>
            <w:pPr>
              <w:keepNext w:val="0"/>
              <w:keepLines w:val="0"/>
              <w:widowControl/>
              <w:numPr>
                <w:ilvl w:val="0"/>
                <w:numId w:val="0"/>
              </w:numPr>
              <w:suppressLineNumbers w:val="0"/>
              <w:spacing w:line="240" w:lineRule="auto"/>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表2-11  项目新鲜水用水量平衡  单位：m</w:t>
            </w:r>
            <w:r>
              <w:rPr>
                <w:rFonts w:hint="eastAsia" w:ascii="Times New Roman" w:hAnsi="Times New Roman" w:eastAsia="宋体" w:cs="Times New Roman"/>
                <w:b/>
                <w:bCs/>
                <w:color w:val="auto"/>
                <w:sz w:val="21"/>
                <w:szCs w:val="21"/>
                <w:u w:val="none"/>
                <w:vertAlign w:val="superscript"/>
                <w:lang w:val="en-US" w:eastAsia="zh-CN"/>
              </w:rPr>
              <w:t>3</w:t>
            </w:r>
            <w:r>
              <w:rPr>
                <w:rFonts w:hint="eastAsia" w:ascii="Times New Roman" w:hAnsi="Times New Roman" w:eastAsia="宋体" w:cs="Times New Roman"/>
                <w:b/>
                <w:bCs/>
                <w:color w:val="auto"/>
                <w:sz w:val="21"/>
                <w:szCs w:val="21"/>
                <w:u w:val="none"/>
                <w:lang w:val="en-US" w:eastAsia="zh-CN"/>
              </w:rPr>
              <w:t>/a</w:t>
            </w:r>
          </w:p>
          <w:tbl>
            <w:tblPr>
              <w:tblStyle w:val="4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21"/>
              <w:gridCol w:w="1109"/>
              <w:gridCol w:w="998"/>
              <w:gridCol w:w="873"/>
              <w:gridCol w:w="972"/>
              <w:gridCol w:w="235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66"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1221"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用水类别</w:t>
                  </w:r>
                </w:p>
              </w:tc>
              <w:tc>
                <w:tcPr>
                  <w:tcW w:w="1109"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用水规模</w:t>
                  </w:r>
                </w:p>
              </w:tc>
              <w:tc>
                <w:tcPr>
                  <w:tcW w:w="998"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用水量</w:t>
                  </w:r>
                </w:p>
              </w:tc>
              <w:tc>
                <w:tcPr>
                  <w:tcW w:w="873"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损耗量</w:t>
                  </w:r>
                </w:p>
              </w:tc>
              <w:tc>
                <w:tcPr>
                  <w:tcW w:w="972"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排放</w:t>
                  </w:r>
                  <w:r>
                    <w:rPr>
                      <w:rFonts w:hint="default" w:ascii="Times New Roman" w:hAnsi="Times New Roman" w:eastAsia="宋体" w:cs="Times New Roman"/>
                      <w:b/>
                      <w:bCs/>
                      <w:color w:val="auto"/>
                      <w:kern w:val="0"/>
                      <w:sz w:val="21"/>
                      <w:szCs w:val="21"/>
                      <w:highlight w:val="none"/>
                    </w:rPr>
                    <w:t>量</w:t>
                  </w:r>
                </w:p>
              </w:tc>
              <w:tc>
                <w:tcPr>
                  <w:tcW w:w="2357"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生活用水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w:t>
                  </w:r>
                  <w:r>
                    <w:rPr>
                      <w:rFonts w:hint="default" w:ascii="Times New Roman" w:hAnsi="Times New Roman" w:eastAsia="宋体" w:cs="Times New Roman"/>
                      <w:color w:val="auto"/>
                      <w:kern w:val="0"/>
                      <w:sz w:val="21"/>
                      <w:szCs w:val="21"/>
                      <w:highlight w:val="none"/>
                      <w:lang w:val="en-US" w:eastAsia="zh-CN"/>
                    </w:rPr>
                    <w:t>人</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4050</w:t>
                  </w:r>
                </w:p>
              </w:tc>
              <w:tc>
                <w:tcPr>
                  <w:tcW w:w="2357" w:type="dxa"/>
                  <w:vMerge w:val="restart"/>
                  <w:noWrap w:val="0"/>
                  <w:vAlign w:val="center"/>
                </w:tcPr>
                <w:p>
                  <w:pPr>
                    <w:widowControl/>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lang w:val="en-US" w:eastAsia="zh-CN"/>
                    </w:rPr>
                    <w:t>园区工业污水处理厂建成之前，项目废水经厂区预处理</w:t>
                  </w:r>
                  <w:r>
                    <w:rPr>
                      <w:rFonts w:hint="eastAsia" w:ascii="Times New Roman" w:hAnsi="Times New Roman" w:eastAsia="宋体" w:cs="Times New Roman"/>
                      <w:color w:val="auto"/>
                      <w:sz w:val="21"/>
                      <w:szCs w:val="21"/>
                      <w:lang w:val="en-US" w:eastAsia="zh-CN"/>
                    </w:rPr>
                    <w:t>达到《污水综合排放标准》（GB8978-1996）三级标准</w:t>
                  </w:r>
                  <w:r>
                    <w:rPr>
                      <w:rFonts w:hint="default" w:ascii="Times New Roman" w:hAnsi="Times New Roman" w:eastAsia="宋体" w:cs="Times New Roman"/>
                      <w:color w:val="auto"/>
                      <w:sz w:val="21"/>
                      <w:szCs w:val="21"/>
                      <w:lang w:val="en-US" w:eastAsia="zh-CN"/>
                    </w:rPr>
                    <w:t>后排入</w:t>
                  </w:r>
                  <w:r>
                    <w:rPr>
                      <w:rFonts w:hint="eastAsia" w:ascii="Times New Roman" w:hAnsi="Times New Roman" w:eastAsia="宋体" w:cs="Times New Roman"/>
                      <w:color w:val="auto"/>
                      <w:sz w:val="21"/>
                      <w:szCs w:val="21"/>
                      <w:lang w:val="en-US" w:eastAsia="zh-CN"/>
                    </w:rPr>
                    <w:t>全福镇污水处理厂</w:t>
                  </w:r>
                  <w:r>
                    <w:rPr>
                      <w:rFonts w:hint="default" w:ascii="Times New Roman" w:hAnsi="Times New Roman" w:eastAsia="宋体" w:cs="Times New Roman"/>
                      <w:color w:val="auto"/>
                      <w:sz w:val="21"/>
                      <w:szCs w:val="21"/>
                      <w:lang w:val="en-US" w:eastAsia="zh-CN"/>
                    </w:rPr>
                    <w:t>，园区污水处理厂建成之后，项目废水排入园区污水处理厂处理。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25" w:hRule="atLeast"/>
                <w:jc w:val="center"/>
              </w:trPr>
              <w:tc>
                <w:tcPr>
                  <w:tcW w:w="766" w:type="dxa"/>
                  <w:noWrap w:val="0"/>
                  <w:vAlign w:val="center"/>
                </w:tcPr>
                <w:p>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锅炉</w:t>
                  </w:r>
                  <w:r>
                    <w:rPr>
                      <w:rFonts w:hint="default" w:ascii="Times New Roman" w:hAnsi="Times New Roman" w:eastAsia="宋体" w:cs="Times New Roman"/>
                      <w:color w:val="auto"/>
                      <w:kern w:val="0"/>
                      <w:sz w:val="21"/>
                      <w:szCs w:val="21"/>
                      <w:highlight w:val="none"/>
                      <w:lang w:val="en-US" w:eastAsia="zh-CN"/>
                    </w:rPr>
                    <w:t>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6480（</w:t>
                  </w:r>
                  <w:r>
                    <w:rPr>
                      <w:rFonts w:hint="default" w:ascii="Times New Roman" w:hAnsi="Times New Roman" w:eastAsia="宋体" w:cs="Times New Roman"/>
                      <w:color w:val="auto"/>
                      <w:kern w:val="0"/>
                      <w:sz w:val="21"/>
                      <w:szCs w:val="21"/>
                      <w:highlight w:val="none"/>
                      <w:lang w:val="en-US" w:eastAsia="zh-CN"/>
                    </w:rPr>
                    <w:t>制取率70%）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4320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rPr>
                  </w:pPr>
                  <w:r>
                    <w:rPr>
                      <w:rFonts w:hint="eastAsia" w:ascii="Times New Roman" w:hAnsi="Times New Roman" w:eastAsia="宋体" w:cs="Times New Roman"/>
                      <w:color w:val="auto"/>
                      <w:kern w:val="0"/>
                      <w:sz w:val="21"/>
                      <w:szCs w:val="21"/>
                      <w:highlight w:val="none"/>
                      <w:lang w:val="en-US" w:eastAsia="zh-CN"/>
                    </w:rPr>
                    <w:t>2160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220"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原料清洗用水（含酱卤制品原料冲洗水）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3900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3450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泡发用水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12504</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12504</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漂烫水（含酱卤肉制品、湿粉条）</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750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3750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冷却用水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1200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设备清洗用水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2550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地面冲洗用水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60</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540</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66"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w:t>
                  </w:r>
                </w:p>
              </w:tc>
              <w:tc>
                <w:tcPr>
                  <w:tcW w:w="1221"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实验室废水</w:t>
                  </w:r>
                </w:p>
              </w:tc>
              <w:tc>
                <w:tcPr>
                  <w:tcW w:w="1109"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150</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135</w:t>
                  </w:r>
                </w:p>
              </w:tc>
              <w:tc>
                <w:tcPr>
                  <w:tcW w:w="2357" w:type="dxa"/>
                  <w:vMerge w:val="continue"/>
                  <w:noWrap w:val="0"/>
                  <w:vAlign w:val="center"/>
                </w:tcPr>
                <w:p>
                  <w:pPr>
                    <w:widowControl/>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096" w:type="dxa"/>
                  <w:gridSpan w:val="3"/>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合计</w:t>
                  </w:r>
                </w:p>
              </w:tc>
              <w:tc>
                <w:tcPr>
                  <w:tcW w:w="998"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37134</w:t>
                  </w:r>
                </w:p>
              </w:tc>
              <w:tc>
                <w:tcPr>
                  <w:tcW w:w="873"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19299</w:t>
                  </w:r>
                </w:p>
              </w:tc>
              <w:tc>
                <w:tcPr>
                  <w:tcW w:w="972"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17835</w:t>
                  </w:r>
                </w:p>
              </w:tc>
              <w:tc>
                <w:tcPr>
                  <w:tcW w:w="2357"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bl>
          <w:p>
            <w:pPr>
              <w:keepNext w:val="0"/>
              <w:keepLines w:val="0"/>
              <w:widowControl/>
              <w:numPr>
                <w:ilvl w:val="0"/>
                <w:numId w:val="0"/>
              </w:numPr>
              <w:suppressLineNumbers w:val="0"/>
              <w:spacing w:line="360" w:lineRule="auto"/>
              <w:jc w:val="center"/>
              <w:rPr>
                <w:rFonts w:hint="default" w:ascii="Times New Roman" w:hAnsi="Times New Roman" w:eastAsia="宋体" w:cs="Times New Roman"/>
                <w:bCs/>
                <w:color w:val="auto"/>
                <w:sz w:val="24"/>
                <w:szCs w:val="24"/>
                <w:highlight w:val="none"/>
                <w:lang w:val="en-US" w:eastAsia="zh-CN"/>
              </w:rPr>
            </w:pPr>
          </w:p>
          <w:p>
            <w:pPr>
              <w:keepNext w:val="0"/>
              <w:keepLines w:val="0"/>
              <w:widowControl/>
              <w:numPr>
                <w:ilvl w:val="0"/>
                <w:numId w:val="0"/>
              </w:numPr>
              <w:suppressLineNumbers w:val="0"/>
              <w:spacing w:line="360" w:lineRule="auto"/>
              <w:jc w:val="center"/>
              <w:rPr>
                <w:rFonts w:hint="default" w:ascii="Times New Roman" w:hAnsi="Times New Roman" w:eastAsia="宋体" w:cs="Times New Roman"/>
                <w:bCs/>
                <w:color w:val="auto"/>
                <w:sz w:val="24"/>
                <w:szCs w:val="24"/>
                <w:highlight w:val="none"/>
                <w:lang w:val="en-US" w:eastAsia="zh-CN"/>
              </w:rPr>
            </w:pPr>
          </w:p>
          <w:p>
            <w:pPr>
              <w:keepNext w:val="0"/>
              <w:keepLines w:val="0"/>
              <w:widowControl/>
              <w:numPr>
                <w:ilvl w:val="0"/>
                <w:numId w:val="0"/>
              </w:numPr>
              <w:suppressLineNumbers w:val="0"/>
              <w:spacing w:line="360" w:lineRule="auto"/>
              <w:jc w:val="center"/>
              <w:rPr>
                <w:rFonts w:hint="default" w:ascii="Times New Roman" w:hAnsi="Times New Roman" w:eastAsia="宋体" w:cs="Times New Roman"/>
                <w:bCs/>
                <w:color w:val="auto"/>
                <w:sz w:val="24"/>
                <w:szCs w:val="24"/>
                <w:highlight w:val="none"/>
                <w:lang w:val="en-US" w:eastAsia="zh-CN"/>
              </w:rPr>
            </w:pPr>
          </w:p>
          <w:p>
            <w:pPr>
              <w:keepNext w:val="0"/>
              <w:keepLines w:val="0"/>
              <w:widowControl/>
              <w:numPr>
                <w:ilvl w:val="0"/>
                <w:numId w:val="0"/>
              </w:numPr>
              <w:suppressLineNumbers w:val="0"/>
              <w:spacing w:line="360" w:lineRule="auto"/>
              <w:jc w:val="both"/>
              <w:rPr>
                <w:rFonts w:hint="default" w:ascii="Times New Roman" w:hAnsi="Times New Roman" w:eastAsia="宋体" w:cs="Times New Roman"/>
                <w:bCs/>
                <w:color w:val="auto"/>
                <w:sz w:val="24"/>
                <w:szCs w:val="24"/>
                <w:highlight w:val="none"/>
                <w:lang w:val="en-US" w:eastAsia="zh-CN"/>
              </w:rPr>
            </w:pPr>
          </w:p>
          <w:p>
            <w:pPr>
              <w:keepNext w:val="0"/>
              <w:keepLines w:val="0"/>
              <w:widowControl/>
              <w:numPr>
                <w:ilvl w:val="0"/>
                <w:numId w:val="0"/>
              </w:numPr>
              <w:suppressLineNumbers w:val="0"/>
              <w:spacing w:line="360" w:lineRule="auto"/>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drawing>
                <wp:inline distT="0" distB="0" distL="114300" distR="114300">
                  <wp:extent cx="4672330" cy="5579745"/>
                  <wp:effectExtent l="0" t="0" r="0" b="0"/>
                  <wp:docPr id="14" name="图片 5" descr="C:/Users/Administrator/AppData/Local/Temp/wps.rGnQM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AppData/Local/Temp/wps.rGnQMxwps"/>
                          <pic:cNvPicPr>
                            <a:picLocks noChangeAspect="1"/>
                          </pic:cNvPicPr>
                        </pic:nvPicPr>
                        <pic:blipFill>
                          <a:blip r:embed="rId14"/>
                          <a:stretch>
                            <a:fillRect/>
                          </a:stretch>
                        </pic:blipFill>
                        <pic:spPr>
                          <a:xfrm>
                            <a:off x="0" y="0"/>
                            <a:ext cx="4672330" cy="5579745"/>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bCs w:val="0"/>
                <w:color w:val="auto"/>
                <w:kern w:val="2"/>
                <w:sz w:val="21"/>
                <w:szCs w:val="21"/>
                <w:lang w:val="en-US" w:eastAsia="zh-CN" w:bidi="ar-SA"/>
              </w:rPr>
            </w:pPr>
            <w:r>
              <w:rPr>
                <w:rFonts w:hint="default" w:ascii="Times New Roman" w:hAnsi="Times New Roman" w:eastAsia="宋体" w:cs="Times New Roman"/>
                <w:b/>
                <w:color w:val="auto"/>
                <w:sz w:val="21"/>
                <w:szCs w:val="21"/>
                <w:highlight w:val="none"/>
              </w:rPr>
              <w:t>图2-</w:t>
            </w:r>
            <w:r>
              <w:rPr>
                <w:rFonts w:hint="default" w:ascii="Times New Roman" w:hAnsi="Times New Roman" w:eastAsia="宋体"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本</w:t>
            </w:r>
            <w:r>
              <w:rPr>
                <w:rFonts w:hint="default" w:ascii="Times New Roman" w:hAnsi="Times New Roman" w:eastAsia="宋体" w:cs="Times New Roman"/>
                <w:b/>
                <w:color w:val="auto"/>
                <w:sz w:val="21"/>
                <w:szCs w:val="21"/>
                <w:highlight w:val="none"/>
              </w:rPr>
              <w:t>项目水平衡图</w:t>
            </w:r>
            <w:r>
              <w:rPr>
                <w:rFonts w:hint="eastAsia"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m</w:t>
            </w:r>
            <w:r>
              <w:rPr>
                <w:rFonts w:hint="default" w:ascii="Times New Roman" w:hAnsi="Times New Roman" w:eastAsia="宋体" w:cs="Times New Roman"/>
                <w:b/>
                <w:color w:val="auto"/>
                <w:sz w:val="21"/>
                <w:szCs w:val="21"/>
                <w:highlight w:val="none"/>
                <w:vertAlign w:val="superscript"/>
              </w:rPr>
              <w:t>3</w:t>
            </w:r>
            <w:r>
              <w:rPr>
                <w:rFonts w:hint="default" w:ascii="Times New Roman" w:hAnsi="Times New Roman" w:eastAsia="宋体" w:cs="Times New Roman"/>
                <w:b/>
                <w:color w:val="auto"/>
                <w:sz w:val="21"/>
                <w:szCs w:val="21"/>
                <w:highlight w:val="none"/>
              </w:rPr>
              <w:t>/a）</w:t>
            </w: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kern w:val="2"/>
                <w:sz w:val="24"/>
                <w:szCs w:val="24"/>
                <w:lang w:val="en-US" w:eastAsia="zh-CN" w:bidi="ar-SA"/>
              </w:rPr>
              <w:t>四、</w:t>
            </w:r>
            <w:r>
              <w:rPr>
                <w:rFonts w:hint="eastAsia" w:ascii="Times New Roman" w:hAnsi="Times New Roman" w:eastAsia="宋体" w:cs="Times New Roman"/>
                <w:b/>
                <w:bCs w:val="0"/>
                <w:color w:val="auto"/>
                <w:sz w:val="24"/>
                <w:szCs w:val="24"/>
                <w:highlight w:val="none"/>
                <w:lang w:val="en-US" w:eastAsia="zh-CN"/>
              </w:rPr>
              <w:t>公用工程</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1、供水</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园区电网供给</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2、供电</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园区供水管网提供</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3、天然气</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园区燃气供给</w:t>
            </w: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val="0"/>
                <w:color w:val="auto"/>
                <w:kern w:val="2"/>
                <w:sz w:val="24"/>
                <w:szCs w:val="24"/>
                <w:lang w:val="en-US" w:eastAsia="zh-CN" w:bidi="ar-SA"/>
              </w:rPr>
            </w:pP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val="0"/>
                <w:color w:val="auto"/>
                <w:kern w:val="2"/>
                <w:sz w:val="24"/>
                <w:szCs w:val="24"/>
                <w:lang w:val="en-US" w:eastAsia="zh-CN" w:bidi="ar-SA"/>
              </w:rPr>
            </w:pP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kern w:val="2"/>
                <w:sz w:val="24"/>
                <w:szCs w:val="24"/>
                <w:lang w:val="en-US" w:eastAsia="zh-CN" w:bidi="ar-SA"/>
              </w:rPr>
              <w:t>五、</w:t>
            </w:r>
            <w:r>
              <w:rPr>
                <w:rFonts w:hint="eastAsia" w:ascii="Times New Roman" w:hAnsi="Times New Roman" w:eastAsia="宋体" w:cs="Times New Roman"/>
                <w:b/>
                <w:bCs w:val="0"/>
                <w:color w:val="auto"/>
                <w:sz w:val="24"/>
                <w:szCs w:val="24"/>
                <w:highlight w:val="none"/>
                <w:lang w:val="en-US" w:eastAsia="zh-CN"/>
              </w:rPr>
              <w:t>厂区平面布置</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本项目租用乐山味道食品饮料产业园16000平方米标准厂房（共3楼），根据生产车间内“分区合理、工艺流畅、物流短捷；突出环保与安全”的原则，结合场地的用地条件及生产工艺，综合考虑环保、消防、劳动卫生等要求，对总平面进行了统筹安排，主要包括办公生活区和生产区。项目厂区平面布置见附图。</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项目不涉及食堂和宿舍，办公生活区布置在F2层，紧靠实验室和会议室，三层楼都配备更衣间和卫生间等辅助房间。</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生产区：生产区主要位于F1和F3，F1生产区主要包括：调味蔬菜生产线、半固态底料生产线、酱卤肉制品，以及内包装生产线、原料库房；F3生产区本次暂留一半车间为二期做计划，西南侧为湿粉条生产线，中间预留冻库位置，原料车间紧靠包装生产线。</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方便食品生产线直接位于F2装箱区，方便食品原料全由外购，买回后直接组装后包装配套即可。</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u w:val="none"/>
                <w:lang w:val="en-US" w:eastAsia="zh-CN"/>
              </w:rPr>
              <w:t>乐山味道食品饮料产业园，</w:t>
            </w:r>
            <w:r>
              <w:rPr>
                <w:rFonts w:hint="default" w:ascii="Times New Roman" w:hAnsi="Times New Roman" w:eastAsia="宋体" w:cs="Times New Roman"/>
                <w:color w:val="auto"/>
                <w:kern w:val="0"/>
                <w:sz w:val="24"/>
                <w:szCs w:val="24"/>
                <w:lang w:val="en-US" w:eastAsia="zh-CN" w:bidi="ar"/>
              </w:rPr>
              <w:t>厂区总体布局考虑厂区雨污分流，园区工业污水处理厂建成之前，项目</w:t>
            </w:r>
            <w:r>
              <w:rPr>
                <w:rFonts w:hint="eastAsia" w:ascii="Times New Roman" w:hAnsi="Times New Roman" w:eastAsia="宋体" w:cs="Times New Roman"/>
                <w:color w:val="auto"/>
                <w:kern w:val="0"/>
                <w:sz w:val="24"/>
                <w:szCs w:val="24"/>
                <w:lang w:val="en-US" w:eastAsia="zh-CN" w:bidi="ar"/>
              </w:rPr>
              <w:t>废水</w:t>
            </w:r>
            <w:r>
              <w:rPr>
                <w:rFonts w:hint="default" w:ascii="Times New Roman" w:hAnsi="Times New Roman" w:eastAsia="宋体" w:cs="Times New Roman"/>
                <w:color w:val="auto"/>
                <w:kern w:val="0"/>
                <w:sz w:val="24"/>
                <w:szCs w:val="24"/>
                <w:lang w:val="en-US" w:eastAsia="zh-CN" w:bidi="ar"/>
              </w:rPr>
              <w:t>经厂区预处理后排入</w:t>
            </w:r>
            <w:r>
              <w:rPr>
                <w:rFonts w:hint="eastAsia" w:cs="Times New Roman"/>
                <w:color w:val="auto"/>
                <w:kern w:val="0"/>
                <w:sz w:val="24"/>
                <w:szCs w:val="24"/>
                <w:lang w:val="en-US" w:eastAsia="zh-CN" w:bidi="ar"/>
              </w:rPr>
              <w:t>全福镇污水处理厂</w:t>
            </w:r>
            <w:r>
              <w:rPr>
                <w:rFonts w:hint="default" w:ascii="Times New Roman" w:hAnsi="Times New Roman" w:eastAsia="宋体" w:cs="Times New Roman"/>
                <w:color w:val="auto"/>
                <w:kern w:val="0"/>
                <w:sz w:val="24"/>
                <w:szCs w:val="24"/>
                <w:lang w:val="en-US" w:eastAsia="zh-CN" w:bidi="ar"/>
              </w:rPr>
              <w:t>，园区污水处理厂建成之后，项目废水排入园区污水处理厂处理，对区域环境影响较小，雨水收集后进入雨水管道。</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平面布局基本按照工艺流程布设，提高了产品的生产效率和降低运输成本。生产区和办公区域分区明确，互不干扰项目内主要生产车间及辅助公用设施布置紧凑，有利于生产组织。总体看来，项目内各生产车间布设便于生产的开展，各区间交通运输组织合理，减轻了对周边环境的影响。</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综上所述，评价认为厂区平面布局符合项目生产线项目对平面布置的要求，从环境角度分析认为合理。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82" w:type="dxa"/>
            <w:noWrap w:val="0"/>
            <w:vAlign w:val="center"/>
          </w:tcPr>
          <w:p>
            <w:pPr>
              <w:pStyle w:val="3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378" w:type="dxa"/>
            <w:noWrap w:val="0"/>
            <w:vAlign w:val="top"/>
          </w:tcPr>
          <w:p>
            <w:pPr>
              <w:keepNext w:val="0"/>
              <w:keepLines w:val="0"/>
              <w:widowControl/>
              <w:suppressLineNumbers w:val="0"/>
              <w:spacing w:line="360" w:lineRule="auto"/>
              <w:ind w:firstLine="482" w:firstLineChars="200"/>
              <w:jc w:val="left"/>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一、施工期工艺流程及产污位置分析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施工期工艺流程及产污位置分析</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租用乐山味道食品饮料产业园标准厂房进行生产活动，不涉及土建施工。项目施工期为厂房改造、设备安装及环保工程建设，施工期主要污染物为施工人员生活废水、设备安装噪声、施工人员的生活垃圾等，施工期影响较小，本次对施工期进行简要分析。</w:t>
            </w:r>
          </w:p>
          <w:p>
            <w:pPr>
              <w:keepNext w:val="0"/>
              <w:keepLines w:val="0"/>
              <w:widowControl/>
              <w:numPr>
                <w:ilvl w:val="0"/>
                <w:numId w:val="0"/>
              </w:numPr>
              <w:suppressLineNumbers w:val="0"/>
              <w:spacing w:line="360" w:lineRule="auto"/>
              <w:ind w:firstLine="482" w:firstLineChars="200"/>
              <w:jc w:val="left"/>
              <w:rPr>
                <w:rFonts w:hint="eastAsia" w:ascii="宋体" w:hAnsi="宋体"/>
                <w:b/>
                <w:bCs w:val="0"/>
                <w:color w:val="auto"/>
                <w:sz w:val="24"/>
                <w:szCs w:val="24"/>
                <w:lang w:val="en-US" w:eastAsia="zh-CN"/>
              </w:rPr>
            </w:pPr>
            <w:r>
              <w:rPr>
                <w:rFonts w:hint="eastAsia" w:ascii="宋体" w:hAnsi="宋体"/>
                <w:b/>
                <w:bCs w:val="0"/>
                <w:color w:val="auto"/>
                <w:kern w:val="2"/>
                <w:sz w:val="24"/>
                <w:szCs w:val="24"/>
                <w:lang w:val="en-US" w:eastAsia="zh-CN" w:bidi="ar-SA"/>
              </w:rPr>
              <w:t>二、</w:t>
            </w:r>
            <w:r>
              <w:rPr>
                <w:rFonts w:hint="eastAsia" w:ascii="宋体" w:hAnsi="宋体"/>
                <w:b/>
                <w:bCs w:val="0"/>
                <w:color w:val="auto"/>
                <w:sz w:val="24"/>
                <w:szCs w:val="24"/>
                <w:lang w:val="en-US" w:eastAsia="zh-CN"/>
              </w:rPr>
              <w:t>运营期</w:t>
            </w:r>
          </w:p>
          <w:p>
            <w:pPr>
              <w:keepNext w:val="0"/>
              <w:keepLines w:val="0"/>
              <w:widowControl/>
              <w:numPr>
                <w:ilvl w:val="0"/>
                <w:numId w:val="0"/>
              </w:numPr>
              <w:suppressLineNumbers w:val="0"/>
              <w:spacing w:line="360" w:lineRule="auto"/>
              <w:ind w:firstLine="480" w:firstLineChars="200"/>
              <w:jc w:val="left"/>
              <w:rPr>
                <w:rFonts w:hint="default" w:ascii="宋体" w:hAnsi="宋体"/>
                <w:b w:val="0"/>
                <w:bCs/>
                <w:color w:val="auto"/>
                <w:sz w:val="24"/>
                <w:szCs w:val="24"/>
                <w:lang w:val="en-US" w:eastAsia="zh-CN"/>
              </w:rPr>
            </w:pPr>
            <w:r>
              <w:rPr>
                <w:rFonts w:hint="eastAsia" w:ascii="宋体" w:hAnsi="宋体"/>
                <w:b w:val="0"/>
                <w:bCs/>
                <w:color w:val="auto"/>
                <w:sz w:val="24"/>
                <w:szCs w:val="24"/>
                <w:lang w:val="en-US" w:eastAsia="zh-CN"/>
              </w:rPr>
              <w:t>（1）运营期工艺流程及产污</w:t>
            </w:r>
          </w:p>
          <w:p>
            <w:pPr>
              <w:keepNext w:val="0"/>
              <w:keepLines w:val="0"/>
              <w:widowControl/>
              <w:numPr>
                <w:ilvl w:val="0"/>
                <w:numId w:val="0"/>
              </w:numPr>
              <w:suppressLineNumbers w:val="0"/>
              <w:spacing w:line="360" w:lineRule="auto"/>
              <w:ind w:firstLine="482" w:firstLineChars="200"/>
              <w:jc w:val="left"/>
              <w:rPr>
                <w:rFonts w:hint="eastAsia" w:ascii="宋体" w:hAnsi="宋体"/>
                <w:b/>
                <w:bCs w:val="0"/>
                <w:color w:val="auto"/>
                <w:sz w:val="24"/>
                <w:szCs w:val="24"/>
                <w:lang w:val="en-US" w:eastAsia="zh-CN"/>
              </w:rPr>
            </w:pPr>
            <w:r>
              <w:rPr>
                <w:rFonts w:hint="eastAsia" w:ascii="宋体" w:hAnsi="宋体"/>
                <w:b/>
                <w:bCs w:val="0"/>
                <w:color w:val="auto"/>
                <w:sz w:val="24"/>
                <w:szCs w:val="24"/>
                <w:lang w:val="en-US" w:eastAsia="zh-CN"/>
              </w:rPr>
              <w:t>①半固态底料</w:t>
            </w:r>
          </w:p>
          <w:p>
            <w:pPr>
              <w:keepNext w:val="0"/>
              <w:keepLines w:val="0"/>
              <w:widowControl/>
              <w:numPr>
                <w:ilvl w:val="0"/>
                <w:numId w:val="0"/>
              </w:numPr>
              <w:suppressLineNumbers w:val="0"/>
              <w:spacing w:line="240" w:lineRule="auto"/>
              <w:ind w:firstLine="560" w:firstLineChars="200"/>
              <w:jc w:val="left"/>
              <w:rPr>
                <w:rFonts w:hint="eastAsia" w:ascii="Calibri" w:hAnsi="Calibri" w:eastAsia="宋体" w:cs="Times New Roman"/>
                <w:color w:val="auto"/>
                <w:kern w:val="2"/>
                <w:sz w:val="28"/>
                <w:szCs w:val="28"/>
                <w:lang w:val="en-US" w:eastAsia="zh-CN" w:bidi="ar-SA"/>
              </w:rPr>
            </w:pPr>
            <w:r>
              <w:rPr>
                <w:rFonts w:hint="eastAsia" w:ascii="Calibri" w:hAnsi="Calibri" w:eastAsia="宋体" w:cs="Times New Roman"/>
                <w:color w:val="auto"/>
                <w:kern w:val="2"/>
                <w:sz w:val="28"/>
                <w:szCs w:val="28"/>
                <w:lang w:val="en-US" w:eastAsia="zh-CN" w:bidi="ar-SA"/>
              </w:rPr>
              <w:drawing>
                <wp:inline distT="0" distB="0" distL="114300" distR="114300">
                  <wp:extent cx="4704080" cy="4751070"/>
                  <wp:effectExtent l="0" t="0" r="0" b="0"/>
                  <wp:docPr id="16" name="图片 6" descr="C:/Users/Administrator/AppData/Local/Temp/wps.WXSQV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C:/Users/Administrator/AppData/Local/Temp/wps.WXSQVCwps"/>
                          <pic:cNvPicPr>
                            <a:picLocks noChangeAspect="1"/>
                          </pic:cNvPicPr>
                        </pic:nvPicPr>
                        <pic:blipFill>
                          <a:blip r:embed="rId15"/>
                          <a:stretch>
                            <a:fillRect/>
                          </a:stretch>
                        </pic:blipFill>
                        <pic:spPr>
                          <a:xfrm>
                            <a:off x="0" y="0"/>
                            <a:ext cx="4704080" cy="4751070"/>
                          </a:xfrm>
                          <a:prstGeom prst="rect">
                            <a:avLst/>
                          </a:prstGeom>
                          <a:noFill/>
                          <a:ln>
                            <a:noFill/>
                          </a:ln>
                        </pic:spPr>
                      </pic:pic>
                    </a:graphicData>
                  </a:graphic>
                </wp:inline>
              </w:drawing>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图2-3  半固态底料工艺流程图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1.预处理：外购香辛料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辣椒、花椒等）使用粉碎机粉碎，该工序产生的污染物主要为噪声、清洗废水。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配料炒制：按照配方要求进行配料，姜、蒜、葱清洗后经切段，配好后使用电炒锅开始炒制。炒锅内加入食用油、牛油，油温180℃放入豆瓣酱，炒制2-3分钟，然后放入牛油或大豆油、花椒、姜、葱蒜等炒制5分钟，放入处理好的香辛料炒制20分钟，关火，加入调味粉(主要为食盐、鸡精、味精等调味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搅拌均匀即可。该工序产生的污染物主要为噪声、清洗废水、炒制油烟。</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3.冷却：将炒制好的底料倒入304不锈钢大桶，进行自然冷却，冷却至70-80度即可装袋。</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包装：冷却后的产品进行装袋封口，按照产品种类不同进行包装。该工序产生的污染物主要为噪声、废气，但由于包装袋密封压缩时间较短，物料内部挥发性物质析出速率受限，单位时间内废气生成量显著降低，最终废气含量处于可忽略的较低水平，所以该废气忽略不计。</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5.装箱入库：包装后的产品利用封箱机进行成箱</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外购包装箱）包装后进入成品库。该工序产生的污染物主要为噪声。</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②酱卤肉制品</w:t>
            </w:r>
          </w:p>
          <w:p>
            <w:pPr>
              <w:keepNext w:val="0"/>
              <w:keepLines w:val="0"/>
              <w:widowControl/>
              <w:numPr>
                <w:ilvl w:val="0"/>
                <w:numId w:val="0"/>
              </w:numPr>
              <w:suppressLineNumbers w:val="0"/>
              <w:spacing w:line="360" w:lineRule="auto"/>
              <w:ind w:firstLine="560" w:firstLineChars="200"/>
              <w:jc w:val="center"/>
              <w:rPr>
                <w:rFonts w:hint="default" w:ascii="Calibri" w:hAnsi="Calibri" w:eastAsia="宋体" w:cs="Times New Roman"/>
                <w:color w:val="auto"/>
                <w:kern w:val="2"/>
                <w:sz w:val="28"/>
                <w:szCs w:val="28"/>
                <w:lang w:val="en-US" w:eastAsia="zh-CN" w:bidi="ar-SA"/>
              </w:rPr>
            </w:pPr>
            <w:r>
              <w:rPr>
                <w:rFonts w:hint="default" w:ascii="Calibri" w:hAnsi="Calibri" w:eastAsia="宋体" w:cs="Times New Roman"/>
                <w:color w:val="auto"/>
                <w:kern w:val="2"/>
                <w:sz w:val="28"/>
                <w:szCs w:val="28"/>
                <w:lang w:val="en-US" w:eastAsia="zh-CN" w:bidi="ar-SA"/>
              </w:rPr>
              <w:drawing>
                <wp:inline distT="0" distB="0" distL="114300" distR="114300">
                  <wp:extent cx="4164965" cy="5435600"/>
                  <wp:effectExtent l="0" t="0" r="0" b="0"/>
                  <wp:docPr id="15" name="图片 7" descr="C:/Users/Administrator/AppData/Local/Temp/wps.OwHBn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C:/Users/Administrator/AppData/Local/Temp/wps.OwHBnqwps"/>
                          <pic:cNvPicPr>
                            <a:picLocks noChangeAspect="1"/>
                          </pic:cNvPicPr>
                        </pic:nvPicPr>
                        <pic:blipFill>
                          <a:blip r:embed="rId16"/>
                          <a:stretch>
                            <a:fillRect/>
                          </a:stretch>
                        </pic:blipFill>
                        <pic:spPr>
                          <a:xfrm>
                            <a:off x="0" y="0"/>
                            <a:ext cx="4164965" cy="5435600"/>
                          </a:xfrm>
                          <a:prstGeom prst="rect">
                            <a:avLst/>
                          </a:prstGeom>
                          <a:noFill/>
                          <a:ln>
                            <a:noFill/>
                          </a:ln>
                        </pic:spPr>
                      </pic:pic>
                    </a:graphicData>
                  </a:graphic>
                </wp:inline>
              </w:drawing>
            </w:r>
          </w:p>
          <w:p>
            <w:pPr>
              <w:keepNext w:val="0"/>
              <w:keepLines w:val="0"/>
              <w:widowControl/>
              <w:numPr>
                <w:ilvl w:val="0"/>
                <w:numId w:val="0"/>
              </w:numPr>
              <w:suppressLineNumbers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eastAsia="宋体"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酱卤肉制品</w:t>
            </w:r>
            <w:r>
              <w:rPr>
                <w:rFonts w:hint="default" w:ascii="Times New Roman" w:hAnsi="Times New Roman" w:eastAsia="宋体" w:cs="Times New Roman"/>
                <w:b/>
                <w:bCs/>
                <w:color w:val="auto"/>
                <w:kern w:val="2"/>
                <w:sz w:val="21"/>
                <w:szCs w:val="21"/>
                <w:lang w:val="en-US" w:eastAsia="zh-CN" w:bidi="ar-SA"/>
              </w:rPr>
              <w:t>工艺流程图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1.原料验收：原料进场需要验收肉类，有无检疫合格证明，无腐败、淤血、病变。冷冻原料温度≤-18℃，是否处于保质期内。对于腐烂变质的原料将其返还供应商。</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2.入冻库：合格的原料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猪肉、牛肉、鸡肉）放进冻库。</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3.原料解冻：用于生产的原料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猪肉、鸡肉、牛肉）从冻库转移至解冻室，4℃冷藏解冻，解冻时间为10-20小时。此工序产生的污染物主要为解冻废水。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4.清洗、切型：原肉解冻后，经人工对原辅料进行冲洗，放入切分机根据产品的规格进行分切。此工序产生的污染物主要为清洗废水、原料边角料。</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w:t>
            </w:r>
            <w:r>
              <w:rPr>
                <w:rFonts w:hint="eastAsia" w:ascii="Times New Roman" w:hAnsi="Times New Roman" w:eastAsia="宋体" w:cs="Times New Roman"/>
                <w:color w:val="auto"/>
                <w:kern w:val="0"/>
                <w:sz w:val="24"/>
                <w:szCs w:val="24"/>
                <w:lang w:val="en-US" w:eastAsia="zh-CN" w:bidi="ar"/>
              </w:rPr>
              <w:t>水煮</w:t>
            </w:r>
            <w:r>
              <w:rPr>
                <w:rFonts w:hint="default" w:ascii="Times New Roman" w:hAnsi="Times New Roman" w:eastAsia="宋体" w:cs="Times New Roman"/>
                <w:color w:val="auto"/>
                <w:kern w:val="0"/>
                <w:sz w:val="24"/>
                <w:szCs w:val="24"/>
                <w:lang w:val="en-US" w:eastAsia="zh-CN" w:bidi="ar"/>
              </w:rPr>
              <w:t>：使用立式夹层锅，向内注入清水，锅内水温度升至100℃时倒入预处理后的原料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猪肉、鸡肉、牛肉），保持90℃左右的温度熬煮30~60分钟后将肉制品捞出，</w:t>
            </w:r>
            <w:r>
              <w:rPr>
                <w:rFonts w:hint="eastAsia" w:ascii="Times New Roman" w:hAnsi="Times New Roman" w:eastAsia="宋体" w:cs="Times New Roman"/>
                <w:color w:val="auto"/>
                <w:kern w:val="0"/>
                <w:sz w:val="24"/>
                <w:szCs w:val="24"/>
                <w:lang w:val="en-US" w:eastAsia="zh-CN" w:bidi="ar"/>
              </w:rPr>
              <w:t>锅内清水每天更换一次，</w:t>
            </w:r>
            <w:r>
              <w:rPr>
                <w:rFonts w:hint="default" w:ascii="Times New Roman" w:hAnsi="Times New Roman" w:eastAsia="宋体" w:cs="Times New Roman"/>
                <w:color w:val="auto"/>
                <w:kern w:val="0"/>
                <w:sz w:val="24"/>
                <w:szCs w:val="24"/>
                <w:lang w:val="en-US" w:eastAsia="zh-CN" w:bidi="ar"/>
              </w:rPr>
              <w:t>此工序产生的污染物主要为</w:t>
            </w:r>
            <w:r>
              <w:rPr>
                <w:rFonts w:hint="eastAsia" w:ascii="Times New Roman" w:hAnsi="Times New Roman" w:eastAsia="宋体" w:cs="Times New Roman"/>
                <w:color w:val="auto"/>
                <w:kern w:val="0"/>
                <w:sz w:val="24"/>
                <w:szCs w:val="24"/>
                <w:lang w:val="en-US" w:eastAsia="zh-CN" w:bidi="ar"/>
              </w:rPr>
              <w:t>煮制</w:t>
            </w:r>
            <w:r>
              <w:rPr>
                <w:rFonts w:hint="default" w:ascii="Times New Roman" w:hAnsi="Times New Roman" w:eastAsia="宋体" w:cs="Times New Roman"/>
                <w:color w:val="auto"/>
                <w:kern w:val="0"/>
                <w:sz w:val="24"/>
                <w:szCs w:val="24"/>
                <w:lang w:val="en-US" w:eastAsia="zh-CN" w:bidi="ar"/>
              </w:rPr>
              <w:t>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锅炉燃烧供热给立式夹层锅从而达到煮</w:t>
            </w:r>
            <w:r>
              <w:rPr>
                <w:rFonts w:hint="eastAsia" w:ascii="Times New Roman" w:hAnsi="Times New Roman" w:eastAsia="宋体" w:cs="Times New Roman"/>
                <w:color w:val="auto"/>
                <w:kern w:val="0"/>
                <w:sz w:val="24"/>
                <w:szCs w:val="24"/>
                <w:lang w:val="en-US" w:eastAsia="zh-CN" w:bidi="ar"/>
              </w:rPr>
              <w:t>熟</w:t>
            </w:r>
            <w:r>
              <w:rPr>
                <w:rFonts w:hint="default" w:ascii="Times New Roman" w:hAnsi="Times New Roman" w:eastAsia="宋体" w:cs="Times New Roman"/>
                <w:color w:val="auto"/>
                <w:kern w:val="0"/>
                <w:sz w:val="24"/>
                <w:szCs w:val="24"/>
                <w:lang w:val="en-US" w:eastAsia="zh-CN" w:bidi="ar"/>
              </w:rPr>
              <w:t>目的，锅炉纯水制取过程中产生的废水排入园区污水一体化装置进行预处理，预处理后进入</w:t>
            </w:r>
            <w:r>
              <w:rPr>
                <w:rFonts w:hint="eastAsia" w:ascii="Times New Roman" w:hAnsi="Times New Roman" w:eastAsia="宋体" w:cs="Times New Roman"/>
                <w:color w:val="auto"/>
                <w:kern w:val="0"/>
                <w:sz w:val="24"/>
                <w:szCs w:val="24"/>
                <w:lang w:val="en-US" w:eastAsia="zh-CN" w:bidi="ar"/>
              </w:rPr>
              <w:t>全福镇污水处理厂</w:t>
            </w:r>
            <w:r>
              <w:rPr>
                <w:rFonts w:hint="default" w:ascii="Times New Roman" w:hAnsi="Times New Roman" w:eastAsia="宋体" w:cs="Times New Roman"/>
                <w:color w:val="auto"/>
                <w:kern w:val="0"/>
                <w:sz w:val="24"/>
                <w:szCs w:val="24"/>
                <w:lang w:val="en-US" w:eastAsia="zh-CN" w:bidi="ar"/>
              </w:rPr>
              <w:t>处理达标后排放。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冷却：将</w:t>
            </w:r>
            <w:r>
              <w:rPr>
                <w:rFonts w:hint="eastAsia" w:ascii="Times New Roman" w:hAnsi="Times New Roman" w:eastAsia="宋体" w:cs="Times New Roman"/>
                <w:color w:val="auto"/>
                <w:kern w:val="0"/>
                <w:sz w:val="24"/>
                <w:szCs w:val="24"/>
                <w:lang w:val="en-US" w:eastAsia="zh-CN" w:bidi="ar"/>
              </w:rPr>
              <w:t>水煮</w:t>
            </w:r>
            <w:r>
              <w:rPr>
                <w:rFonts w:hint="default" w:ascii="Times New Roman" w:hAnsi="Times New Roman" w:eastAsia="宋体" w:cs="Times New Roman"/>
                <w:color w:val="auto"/>
                <w:kern w:val="0"/>
                <w:sz w:val="24"/>
                <w:szCs w:val="24"/>
                <w:lang w:val="en-US" w:eastAsia="zh-CN" w:bidi="ar"/>
              </w:rPr>
              <w:t>好的</w:t>
            </w:r>
            <w:r>
              <w:rPr>
                <w:rFonts w:hint="eastAsia" w:ascii="Times New Roman" w:hAnsi="Times New Roman" w:eastAsia="宋体" w:cs="Times New Roman"/>
                <w:color w:val="auto"/>
                <w:kern w:val="0"/>
                <w:sz w:val="24"/>
                <w:szCs w:val="24"/>
                <w:lang w:val="en-US" w:eastAsia="zh-CN" w:bidi="ar"/>
              </w:rPr>
              <w:t>原料</w:t>
            </w:r>
            <w:r>
              <w:rPr>
                <w:rFonts w:hint="default" w:ascii="Times New Roman" w:hAnsi="Times New Roman" w:eastAsia="宋体" w:cs="Times New Roman"/>
                <w:color w:val="auto"/>
                <w:kern w:val="0"/>
                <w:sz w:val="24"/>
                <w:szCs w:val="24"/>
                <w:lang w:val="en-US" w:eastAsia="zh-CN" w:bidi="ar"/>
              </w:rPr>
              <w:t>捞出放置</w:t>
            </w:r>
            <w:r>
              <w:rPr>
                <w:rFonts w:hint="eastAsia" w:ascii="Times New Roman" w:hAnsi="Times New Roman" w:eastAsia="宋体" w:cs="Times New Roman"/>
                <w:color w:val="auto"/>
                <w:kern w:val="0"/>
                <w:sz w:val="24"/>
                <w:szCs w:val="24"/>
                <w:lang w:val="en-US" w:eastAsia="zh-CN" w:bidi="ar"/>
              </w:rPr>
              <w:t>风冷机</w:t>
            </w:r>
            <w:r>
              <w:rPr>
                <w:rFonts w:hint="default" w:ascii="Times New Roman" w:hAnsi="Times New Roman" w:eastAsia="宋体" w:cs="Times New Roman"/>
                <w:color w:val="auto"/>
                <w:kern w:val="0"/>
                <w:sz w:val="24"/>
                <w:szCs w:val="24"/>
                <w:lang w:val="en-US" w:eastAsia="zh-CN" w:bidi="ar"/>
              </w:rPr>
              <w:t>里冷却至30℃左右。</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调味：将冷却好的原料放置浸泡桶里，</w:t>
            </w:r>
            <w:r>
              <w:rPr>
                <w:rFonts w:hint="default" w:ascii="Times New Roman" w:hAnsi="Times New Roman" w:eastAsia="宋体" w:cs="Times New Roman"/>
                <w:color w:val="auto"/>
                <w:kern w:val="0"/>
                <w:sz w:val="24"/>
                <w:szCs w:val="24"/>
                <w:lang w:val="en-US" w:eastAsia="zh-CN" w:bidi="ar"/>
              </w:rPr>
              <w:t>加入食品添加剂和调味</w:t>
            </w:r>
            <w:r>
              <w:rPr>
                <w:rFonts w:hint="eastAsia" w:ascii="Times New Roman" w:hAnsi="Times New Roman" w:eastAsia="宋体" w:cs="Times New Roman"/>
                <w:color w:val="auto"/>
                <w:kern w:val="0"/>
                <w:sz w:val="24"/>
                <w:szCs w:val="24"/>
                <w:lang w:val="en-US" w:eastAsia="zh-CN" w:bidi="ar"/>
              </w:rPr>
              <w:t>卤</w:t>
            </w:r>
            <w:r>
              <w:rPr>
                <w:rFonts w:hint="default" w:ascii="Times New Roman" w:hAnsi="Times New Roman" w:eastAsia="宋体" w:cs="Times New Roman"/>
                <w:color w:val="auto"/>
                <w:kern w:val="0"/>
                <w:sz w:val="24"/>
                <w:szCs w:val="24"/>
                <w:lang w:val="en-US" w:eastAsia="zh-CN" w:bidi="ar"/>
              </w:rPr>
              <w:t>料</w:t>
            </w:r>
            <w:r>
              <w:rPr>
                <w:rFonts w:hint="eastAsia" w:ascii="Times New Roman" w:hAnsi="Times New Roman" w:eastAsia="宋体" w:cs="Times New Roman"/>
                <w:color w:val="auto"/>
                <w:kern w:val="0"/>
                <w:sz w:val="24"/>
                <w:szCs w:val="24"/>
                <w:lang w:val="en-US" w:eastAsia="zh-CN" w:bidi="ar"/>
              </w:rPr>
              <w:t>进行</w:t>
            </w:r>
            <w:r>
              <w:rPr>
                <w:rFonts w:hint="default" w:ascii="Times New Roman" w:hAnsi="Times New Roman" w:eastAsia="宋体" w:cs="Times New Roman"/>
                <w:color w:val="auto"/>
                <w:kern w:val="0"/>
                <w:sz w:val="24"/>
                <w:szCs w:val="24"/>
                <w:lang w:val="en-US" w:eastAsia="zh-CN" w:bidi="ar"/>
              </w:rPr>
              <w:t>入味及保鲜目的；调味</w:t>
            </w:r>
            <w:r>
              <w:rPr>
                <w:rFonts w:hint="eastAsia" w:ascii="Times New Roman" w:hAnsi="Times New Roman" w:eastAsia="宋体" w:cs="Times New Roman"/>
                <w:color w:val="auto"/>
                <w:kern w:val="0"/>
                <w:sz w:val="24"/>
                <w:szCs w:val="24"/>
                <w:lang w:val="en-US" w:eastAsia="zh-CN" w:bidi="ar"/>
              </w:rPr>
              <w:t>卤</w:t>
            </w:r>
            <w:r>
              <w:rPr>
                <w:rFonts w:hint="default" w:ascii="Times New Roman" w:hAnsi="Times New Roman" w:eastAsia="宋体" w:cs="Times New Roman"/>
                <w:color w:val="auto"/>
                <w:kern w:val="0"/>
                <w:sz w:val="24"/>
                <w:szCs w:val="24"/>
                <w:lang w:val="en-US" w:eastAsia="zh-CN" w:bidi="ar"/>
              </w:rPr>
              <w:t>料和添加剂随原料一起进入包装。食品添加剂严格按照GB2760的要求添加。</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.定量包装：</w:t>
            </w:r>
            <w:r>
              <w:rPr>
                <w:rFonts w:hint="eastAsia" w:ascii="Times New Roman" w:hAnsi="Times New Roman" w:eastAsia="宋体" w:cs="Times New Roman"/>
                <w:color w:val="auto"/>
                <w:kern w:val="0"/>
                <w:sz w:val="24"/>
                <w:szCs w:val="24"/>
                <w:lang w:val="en-US" w:eastAsia="zh-CN" w:bidi="ar"/>
              </w:rPr>
              <w:t>调味好的原料</w:t>
            </w:r>
            <w:r>
              <w:rPr>
                <w:rFonts w:hint="default" w:ascii="Times New Roman" w:hAnsi="Times New Roman" w:eastAsia="宋体" w:cs="Times New Roman"/>
                <w:color w:val="auto"/>
                <w:kern w:val="0"/>
                <w:sz w:val="24"/>
                <w:szCs w:val="24"/>
                <w:lang w:val="en-US" w:eastAsia="zh-CN" w:bidi="ar"/>
              </w:rPr>
              <w:t>利用真空包装机按照产品种类不同进行包装。此工序产生的污染物主要为噪声。</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.装箱入库：包装好的产品进行成箱包装后进入成品库。该工序产生的污染物主要为噪声。</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2" w:firstLineChars="200"/>
              <w:jc w:val="left"/>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③调味蔬菜</w:t>
            </w:r>
          </w:p>
          <w:p>
            <w:pPr>
              <w:keepNext w:val="0"/>
              <w:keepLines w:val="0"/>
              <w:widowControl/>
              <w:suppressLineNumbers w:val="0"/>
              <w:spacing w:line="360" w:lineRule="auto"/>
              <w:ind w:firstLine="562" w:firstLineChars="20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sz w:val="28"/>
                <w:szCs w:val="28"/>
                <w:lang w:val="en-US" w:eastAsia="zh-CN"/>
              </w:rPr>
              <w:drawing>
                <wp:inline distT="0" distB="0" distL="114300" distR="114300">
                  <wp:extent cx="4443095" cy="5755005"/>
                  <wp:effectExtent l="0" t="0" r="0" b="0"/>
                  <wp:docPr id="18" name="图片 8" descr="C:/Users/Administrator/AppData/Local/Temp/wps.nFkqX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C:/Users/Administrator/AppData/Local/Temp/wps.nFkqXvwps"/>
                          <pic:cNvPicPr>
                            <a:picLocks noChangeAspect="1"/>
                          </pic:cNvPicPr>
                        </pic:nvPicPr>
                        <pic:blipFill>
                          <a:blip r:embed="rId17"/>
                          <a:stretch>
                            <a:fillRect/>
                          </a:stretch>
                        </pic:blipFill>
                        <pic:spPr>
                          <a:xfrm>
                            <a:off x="0" y="0"/>
                            <a:ext cx="4443095" cy="5755005"/>
                          </a:xfrm>
                          <a:prstGeom prst="rect">
                            <a:avLst/>
                          </a:prstGeom>
                          <a:noFill/>
                          <a:ln>
                            <a:noFill/>
                          </a:ln>
                        </pic:spPr>
                      </pic:pic>
                    </a:graphicData>
                  </a:graphic>
                </wp:inline>
              </w:drawing>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eastAsia="宋体" w:cs="Times New Roman"/>
                <w:b/>
                <w:bCs/>
                <w:color w:val="auto"/>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调味蔬菜</w:t>
            </w:r>
            <w:r>
              <w:rPr>
                <w:rFonts w:hint="default" w:ascii="Times New Roman" w:hAnsi="Times New Roman" w:eastAsia="宋体" w:cs="Times New Roman"/>
                <w:b/>
                <w:bCs/>
                <w:color w:val="auto"/>
                <w:kern w:val="2"/>
                <w:sz w:val="21"/>
                <w:szCs w:val="21"/>
                <w:lang w:val="en-US" w:eastAsia="zh-CN" w:bidi="ar-SA"/>
              </w:rPr>
              <w:t>工艺流程图</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1.原料筛选：原料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土豆、杏鲍菇）筛选去除破损原料等，对于腐烂变质、破损的原料将其返还供应商；原料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木耳、海带、花生）进行泡发</w:t>
            </w:r>
            <w:r>
              <w:rPr>
                <w:rFonts w:hint="eastAsia" w:ascii="Times New Roman" w:hAnsi="Times New Roman" w:eastAsia="宋体" w:cs="Times New Roman"/>
                <w:color w:val="auto"/>
                <w:kern w:val="0"/>
                <w:sz w:val="24"/>
                <w:szCs w:val="24"/>
                <w:lang w:val="en-US" w:eastAsia="zh-CN" w:bidi="ar"/>
              </w:rPr>
              <w:t>，泡发用水循环使用不外排，部分水量随产品泡发带走，进行定期补水；原料（笋子、藕）外购，去除包装后直接进行浸泡调味。</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2.削皮：筛选完的部分原料</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土豆）进行削皮，该工艺产生废物为原料固废</w:t>
            </w:r>
            <w:r>
              <w:rPr>
                <w:rFonts w:hint="eastAsia" w:ascii="Times New Roman" w:hAnsi="Times New Roman" w:eastAsia="宋体" w:cs="Times New Roman"/>
                <w:color w:val="auto"/>
                <w:kern w:val="0"/>
                <w:sz w:val="24"/>
                <w:szCs w:val="24"/>
                <w:lang w:val="en-US" w:eastAsia="zh-CN" w:bidi="ar"/>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3.清洗：削完皮的原料放入清洗机水泡清洗，该工序产生清洗废水。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4.分切：机器分切按照不同产品要求进行分切，该工序产生的污染物主要为分切产生部分边角料</w:t>
            </w:r>
            <w:r>
              <w:rPr>
                <w:rFonts w:hint="eastAsia" w:ascii="Times New Roman" w:hAnsi="Times New Roman" w:eastAsia="宋体" w:cs="Times New Roman"/>
                <w:color w:val="auto"/>
                <w:kern w:val="0"/>
                <w:sz w:val="24"/>
                <w:szCs w:val="24"/>
                <w:lang w:val="en-US" w:eastAsia="zh-CN" w:bidi="ar"/>
              </w:rPr>
              <w:t>。土豆原料为保证口感问题进行漂煮时，在盐泡机里需要撒上一层薄盐再进行漂煮</w:t>
            </w:r>
            <w:r>
              <w:rPr>
                <w:rFonts w:hint="default" w:ascii="Times New Roman" w:hAnsi="Times New Roman" w:eastAsia="宋体" w:cs="Times New Roman"/>
                <w:color w:val="auto"/>
                <w:kern w:val="0"/>
                <w:sz w:val="24"/>
                <w:szCs w:val="24"/>
                <w:lang w:val="en-US" w:eastAsia="zh-CN" w:bidi="ar"/>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.漂煮：</w:t>
            </w:r>
            <w:r>
              <w:rPr>
                <w:rFonts w:hint="eastAsia" w:ascii="Times New Roman" w:hAnsi="Times New Roman" w:eastAsia="宋体" w:cs="Times New Roman"/>
                <w:color w:val="auto"/>
                <w:sz w:val="24"/>
                <w:szCs w:val="24"/>
                <w:lang w:val="en-US" w:eastAsia="zh-CN"/>
              </w:rPr>
              <w:t>分切</w:t>
            </w:r>
            <w:r>
              <w:rPr>
                <w:rFonts w:hint="default" w:ascii="Times New Roman" w:hAnsi="Times New Roman" w:eastAsia="宋体" w:cs="Times New Roman"/>
                <w:color w:val="auto"/>
                <w:sz w:val="24"/>
                <w:szCs w:val="24"/>
                <w:lang w:val="en-US" w:eastAsia="zh-CN"/>
              </w:rPr>
              <w:t>后的原料，</w:t>
            </w:r>
            <w:r>
              <w:rPr>
                <w:rFonts w:hint="eastAsia" w:ascii="Times New Roman" w:hAnsi="Times New Roman" w:eastAsia="宋体" w:cs="Times New Roman"/>
                <w:color w:val="auto"/>
                <w:sz w:val="24"/>
                <w:szCs w:val="24"/>
                <w:lang w:val="en-US" w:eastAsia="zh-CN"/>
              </w:rPr>
              <w:t>放</w:t>
            </w:r>
            <w:r>
              <w:rPr>
                <w:rFonts w:hint="default" w:ascii="Times New Roman" w:hAnsi="Times New Roman" w:eastAsia="宋体" w:cs="Times New Roman"/>
                <w:color w:val="auto"/>
                <w:sz w:val="24"/>
                <w:szCs w:val="24"/>
                <w:lang w:val="en-US" w:eastAsia="zh-CN"/>
              </w:rPr>
              <w:t>至</w:t>
            </w:r>
            <w:r>
              <w:rPr>
                <w:rFonts w:hint="default" w:ascii="Times New Roman" w:hAnsi="Times New Roman" w:eastAsia="宋体" w:cs="Times New Roman"/>
                <w:color w:val="auto"/>
                <w:sz w:val="24"/>
                <w:szCs w:val="24"/>
                <w:highlight w:val="none"/>
                <w:lang w:val="en-US" w:eastAsia="zh-CN"/>
              </w:rPr>
              <w:t>煮制机进行漂烫，锅炉燃烧供热给煮制机从而达到漂煮的目的，该工序产生的污染物为漂烫废水以及锅炉纯水制取过程中产生的废水排入园区污水一体化装置进行预处理，预处理后</w:t>
            </w:r>
            <w:r>
              <w:rPr>
                <w:rFonts w:hint="default" w:ascii="Times New Roman" w:hAnsi="Times New Roman" w:eastAsia="宋体" w:cs="Times New Roman"/>
                <w:color w:val="auto"/>
                <w:spacing w:val="23"/>
                <w:sz w:val="24"/>
                <w:szCs w:val="24"/>
              </w:rPr>
              <w:t>进入新建</w:t>
            </w:r>
            <w:r>
              <w:rPr>
                <w:rFonts w:hint="eastAsia" w:ascii="Times New Roman" w:hAnsi="Times New Roman" w:eastAsia="宋体" w:cs="Times New Roman"/>
                <w:color w:val="auto"/>
                <w:spacing w:val="23"/>
                <w:sz w:val="24"/>
                <w:szCs w:val="24"/>
                <w:lang w:eastAsia="zh-CN"/>
              </w:rPr>
              <w:t>全福镇污水处理厂</w:t>
            </w:r>
            <w:r>
              <w:rPr>
                <w:rFonts w:hint="default" w:ascii="Times New Roman" w:hAnsi="Times New Roman" w:eastAsia="宋体" w:cs="Times New Roman"/>
                <w:color w:val="auto"/>
                <w:spacing w:val="23"/>
                <w:sz w:val="24"/>
                <w:szCs w:val="24"/>
              </w:rPr>
              <w:t>处理达标后排放</w:t>
            </w:r>
            <w:r>
              <w:rPr>
                <w:rFonts w:hint="default" w:ascii="Times New Roman" w:hAnsi="Times New Roman" w:eastAsia="宋体" w:cs="Times New Roman"/>
                <w:color w:val="auto"/>
                <w:sz w:val="24"/>
                <w:szCs w:val="24"/>
                <w:highlight w:val="none"/>
                <w:lang w:val="en-US" w:eastAsia="zh-CN"/>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.冷却：漂煮后的原料，转移至冷却机里冷却10分钟，该工序产生的废物主要为冷却废水。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lang w:val="en-US" w:eastAsia="zh-CN" w:bidi="ar"/>
              </w:rPr>
              <w:t>.浸泡</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配料入味）：将冷却后的原料沥干放入浸泡桶，加入食品添加剂和调味料达到入味及保鲜目的；调味料和添加剂随原料一起进入包装。食品添加剂严格按照GB2760的要求添加。</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val="en-US" w:eastAsia="zh-CN" w:bidi="ar"/>
              </w:rPr>
              <w:t>.包装：利用真空包装机，将浸泡好后的原料按照不同产品的规格进行装袋。该工序产生的污染物主要为噪声。</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val="en-US" w:eastAsia="zh-CN" w:bidi="ar"/>
              </w:rPr>
              <w:t>.装箱入库：成品进行成箱包装后进入成品库。该工序产生的污染物主要为噪声。</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szCs w:val="24"/>
                <w:lang w:val="en-US" w:eastAsia="zh-CN" w:bidi="ar"/>
              </w:rPr>
            </w:pPr>
          </w:p>
          <w:p>
            <w:pPr>
              <w:keepNext w:val="0"/>
              <w:keepLines w:val="0"/>
              <w:widowControl/>
              <w:suppressLineNumbers w:val="0"/>
              <w:spacing w:line="360" w:lineRule="auto"/>
              <w:ind w:firstLine="482" w:firstLineChars="200"/>
              <w:jc w:val="left"/>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④湿粉条</w:t>
            </w:r>
          </w:p>
          <w:p>
            <w:pPr>
              <w:keepNext w:val="0"/>
              <w:keepLines w:val="0"/>
              <w:widowControl/>
              <w:suppressLineNumbers w:val="0"/>
              <w:spacing w:line="360" w:lineRule="auto"/>
              <w:ind w:firstLine="562" w:firstLineChars="20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sz w:val="28"/>
                <w:szCs w:val="28"/>
                <w:lang w:val="en-US" w:eastAsia="zh-CN"/>
              </w:rPr>
              <w:drawing>
                <wp:inline distT="0" distB="0" distL="114300" distR="114300">
                  <wp:extent cx="4457065" cy="5707380"/>
                  <wp:effectExtent l="0" t="0" r="0" b="0"/>
                  <wp:docPr id="17" name="图片 9" descr="C:/Users/Administrator/AppData/Local/Temp/wps.JCQpk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C:/Users/Administrator/AppData/Local/Temp/wps.JCQpkzwps"/>
                          <pic:cNvPicPr>
                            <a:picLocks noChangeAspect="1"/>
                          </pic:cNvPicPr>
                        </pic:nvPicPr>
                        <pic:blipFill>
                          <a:blip r:embed="rId18"/>
                          <a:stretch>
                            <a:fillRect/>
                          </a:stretch>
                        </pic:blipFill>
                        <pic:spPr>
                          <a:xfrm>
                            <a:off x="0" y="0"/>
                            <a:ext cx="4457065" cy="5707380"/>
                          </a:xfrm>
                          <a:prstGeom prst="rect">
                            <a:avLst/>
                          </a:prstGeom>
                          <a:noFill/>
                          <a:ln>
                            <a:noFill/>
                          </a:ln>
                        </pic:spPr>
                      </pic:pic>
                    </a:graphicData>
                  </a:graphic>
                </wp:inline>
              </w:drawing>
            </w:r>
          </w:p>
          <w:p>
            <w:pPr>
              <w:keepNext w:val="0"/>
              <w:keepLines w:val="0"/>
              <w:widowControl/>
              <w:numPr>
                <w:ilvl w:val="0"/>
                <w:numId w:val="0"/>
              </w:numPr>
              <w:suppressLineNumbers w:val="0"/>
              <w:spacing w:line="24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eastAsia="宋体"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湿粉条</w:t>
            </w:r>
            <w:r>
              <w:rPr>
                <w:rFonts w:hint="default" w:ascii="Times New Roman" w:hAnsi="Times New Roman" w:eastAsia="宋体" w:cs="Times New Roman"/>
                <w:b/>
                <w:bCs/>
                <w:color w:val="auto"/>
                <w:kern w:val="2"/>
                <w:sz w:val="21"/>
                <w:szCs w:val="21"/>
                <w:lang w:val="en-US" w:eastAsia="zh-CN" w:bidi="ar-SA"/>
              </w:rPr>
              <w:t>工艺流程图</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1.原料：外购玉米淀粉、红薯淀粉、木薯淀粉、蕨根粉。</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2.调浆：将购买的原料</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玉米淀粉、红薯淀粉、木薯淀粉、蕨根粉）分别根据产品</w:t>
            </w:r>
            <w:r>
              <w:rPr>
                <w:rFonts w:hint="eastAsia" w:ascii="Times New Roman" w:hAnsi="Times New Roman" w:eastAsia="宋体" w:cs="Times New Roman"/>
                <w:bCs/>
                <w:color w:val="auto"/>
                <w:sz w:val="24"/>
                <w:szCs w:val="24"/>
                <w:lang w:val="en-US" w:eastAsia="zh-CN"/>
              </w:rPr>
              <w:t>的种类</w:t>
            </w:r>
            <w:r>
              <w:rPr>
                <w:rFonts w:hint="default" w:ascii="Times New Roman" w:hAnsi="Times New Roman" w:eastAsia="宋体" w:cs="Times New Roman"/>
                <w:bCs/>
                <w:color w:val="auto"/>
                <w:sz w:val="24"/>
                <w:szCs w:val="24"/>
                <w:lang w:val="en-US" w:eastAsia="zh-CN"/>
              </w:rPr>
              <w:t>加入</w:t>
            </w:r>
            <w:r>
              <w:rPr>
                <w:rFonts w:hint="eastAsia" w:ascii="Times New Roman" w:hAnsi="Times New Roman" w:eastAsia="宋体" w:cs="Times New Roman"/>
                <w:bCs/>
                <w:color w:val="auto"/>
                <w:sz w:val="24"/>
                <w:szCs w:val="24"/>
                <w:lang w:val="en-US" w:eastAsia="zh-CN"/>
              </w:rPr>
              <w:t>不同的淀粉和</w:t>
            </w:r>
            <w:r>
              <w:rPr>
                <w:rFonts w:hint="default" w:ascii="Times New Roman" w:hAnsi="Times New Roman" w:eastAsia="宋体" w:cs="Times New Roman"/>
                <w:bCs/>
                <w:color w:val="auto"/>
                <w:sz w:val="24"/>
                <w:szCs w:val="24"/>
                <w:lang w:val="en-US" w:eastAsia="zh-CN"/>
              </w:rPr>
              <w:t>水，按比例1：0.35的比例投入搅拌机里搅拌混合。</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3.过滤成型：将调好的淀粉原料倒入过滤机，大块淀粉杂质继续进行过滤，保证淀粉糊细腻度。将淀粉糊泵入螺旋挤压器通过多孔模具，形成长条状或厚薄均匀的米粉条。该过程会产生噪声。</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4.蒸煮：成型后的产品放进煮锅里进行水煮脱芡。</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lang w:val="en-US" w:eastAsia="zh-CN"/>
              </w:rPr>
              <w:t>.熟化：将</w:t>
            </w:r>
            <w:r>
              <w:rPr>
                <w:rFonts w:hint="eastAsia" w:ascii="Times New Roman" w:hAnsi="Times New Roman" w:eastAsia="宋体" w:cs="Times New Roman"/>
                <w:bCs/>
                <w:color w:val="auto"/>
                <w:sz w:val="24"/>
                <w:szCs w:val="24"/>
                <w:lang w:val="en-US" w:eastAsia="zh-CN"/>
              </w:rPr>
              <w:t>脱芡后</w:t>
            </w:r>
            <w:r>
              <w:rPr>
                <w:rFonts w:hint="default" w:ascii="Times New Roman" w:hAnsi="Times New Roman" w:eastAsia="宋体" w:cs="Times New Roman"/>
                <w:bCs/>
                <w:color w:val="auto"/>
                <w:sz w:val="24"/>
                <w:szCs w:val="24"/>
                <w:lang w:val="en-US" w:eastAsia="zh-CN"/>
              </w:rPr>
              <w:t>的</w:t>
            </w:r>
            <w:r>
              <w:rPr>
                <w:rFonts w:hint="eastAsia" w:ascii="Times New Roman" w:hAnsi="Times New Roman" w:eastAsia="宋体" w:cs="Times New Roman"/>
                <w:bCs/>
                <w:color w:val="auto"/>
                <w:sz w:val="24"/>
                <w:szCs w:val="24"/>
                <w:lang w:val="en-US" w:eastAsia="zh-CN"/>
              </w:rPr>
              <w:t>湿粉条</w:t>
            </w:r>
            <w:r>
              <w:rPr>
                <w:rFonts w:hint="default" w:ascii="Times New Roman" w:hAnsi="Times New Roman" w:eastAsia="宋体" w:cs="Times New Roman"/>
                <w:bCs/>
                <w:color w:val="auto"/>
                <w:sz w:val="24"/>
                <w:szCs w:val="24"/>
                <w:lang w:val="en-US" w:eastAsia="zh-CN"/>
              </w:rPr>
              <w:t>放入米粉熟化机进行加工，直接熟化成熟食米粉</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米粉熟化机具备蒸粉、冷却一体化功能</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lang w:val="en-US" w:eastAsia="zh-CN"/>
              </w:rPr>
              <w:t>.切分：将熟化后的原料进行均匀切分，根据产品的不同，需要塑型的进入塑型，不需要塑型的直接进入包装。该过程中产生边角料。</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7</w:t>
            </w:r>
            <w:r>
              <w:rPr>
                <w:rFonts w:hint="default" w:ascii="Times New Roman" w:hAnsi="Times New Roman" w:eastAsia="宋体" w:cs="Times New Roman"/>
                <w:bCs/>
                <w:color w:val="auto"/>
                <w:sz w:val="24"/>
                <w:szCs w:val="24"/>
                <w:lang w:val="en-US" w:eastAsia="zh-CN"/>
              </w:rPr>
              <w:t>.塑型：将切分好后的米粉条装进圆形塑型盘里塑型形成圈状米线。</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8</w:t>
            </w:r>
            <w:r>
              <w:rPr>
                <w:rFonts w:hint="default" w:ascii="Times New Roman" w:hAnsi="Times New Roman" w:eastAsia="宋体" w:cs="Times New Roman"/>
                <w:bCs/>
                <w:color w:val="auto"/>
                <w:sz w:val="24"/>
                <w:szCs w:val="24"/>
                <w:lang w:val="en-US" w:eastAsia="zh-CN"/>
              </w:rPr>
              <w:t>.包装：塑型好的圈状米粉再加入外购的调料包进行装袋密封，该工序产生的污染物主要为噪声、废气，但由于包装袋密封压缩时间较短，物料内部挥发性物质析出速率受限，单位时间内废气生成量显著降低，最终废气含量处于可忽略的较低水平，所以该废气忽略不计。</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9</w:t>
            </w:r>
            <w:r>
              <w:rPr>
                <w:rFonts w:hint="default" w:ascii="Times New Roman" w:hAnsi="Times New Roman" w:eastAsia="宋体" w:cs="Times New Roman"/>
                <w:bCs/>
                <w:color w:val="auto"/>
                <w:sz w:val="24"/>
                <w:szCs w:val="24"/>
                <w:lang w:val="en-US" w:eastAsia="zh-CN"/>
              </w:rPr>
              <w:t>.装箱入库</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成品进行成箱包装后进入成品库。该工序产生的污染物主要为噪声。</w:t>
            </w:r>
          </w:p>
          <w:p>
            <w:pPr>
              <w:adjustRightInd w:val="0"/>
              <w:snapToGrid w:val="0"/>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⑤方便米饭</w:t>
            </w:r>
          </w:p>
          <w:p>
            <w:pPr>
              <w:keepNext w:val="0"/>
              <w:keepLines w:val="0"/>
              <w:widowControl/>
              <w:numPr>
                <w:ilvl w:val="0"/>
                <w:numId w:val="0"/>
              </w:numPr>
              <w:suppressLineNumbers w:val="0"/>
              <w:spacing w:line="360" w:lineRule="auto"/>
              <w:ind w:firstLine="562" w:firstLineChars="200"/>
              <w:jc w:val="center"/>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drawing>
                <wp:inline distT="0" distB="0" distL="114300" distR="114300">
                  <wp:extent cx="4309745" cy="4095750"/>
                  <wp:effectExtent l="0" t="0" r="0" b="0"/>
                  <wp:docPr id="20" name="图片 10" descr="C:/Users/Administrator/AppData/Local/Temp/wps.ArjPA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C:/Users/Administrator/AppData/Local/Temp/wps.ArjPAfwps"/>
                          <pic:cNvPicPr>
                            <a:picLocks noChangeAspect="1"/>
                          </pic:cNvPicPr>
                        </pic:nvPicPr>
                        <pic:blipFill>
                          <a:blip r:embed="rId19"/>
                          <a:stretch>
                            <a:fillRect/>
                          </a:stretch>
                        </pic:blipFill>
                        <pic:spPr>
                          <a:xfrm>
                            <a:off x="0" y="0"/>
                            <a:ext cx="4309745" cy="4095750"/>
                          </a:xfrm>
                          <a:prstGeom prst="rect">
                            <a:avLst/>
                          </a:prstGeom>
                          <a:noFill/>
                          <a:ln>
                            <a:noFill/>
                          </a:ln>
                        </pic:spPr>
                      </pic:pic>
                    </a:graphicData>
                  </a:graphic>
                </wp:inline>
              </w:drawing>
            </w:r>
          </w:p>
          <w:p>
            <w:pPr>
              <w:keepNext w:val="0"/>
              <w:keepLines w:val="0"/>
              <w:widowControl/>
              <w:numPr>
                <w:ilvl w:val="0"/>
                <w:numId w:val="0"/>
              </w:numPr>
              <w:suppressLineNumbers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图2-</w:t>
            </w:r>
            <w:r>
              <w:rPr>
                <w:rFonts w:hint="eastAsia" w:ascii="Times New Roman" w:hAnsi="Times New Roman" w:eastAsia="宋体" w:cs="Times New Roman"/>
                <w:b/>
                <w:bCs/>
                <w:color w:val="auto"/>
                <w:kern w:val="2"/>
                <w:sz w:val="21"/>
                <w:szCs w:val="21"/>
                <w:lang w:val="en-US" w:eastAsia="zh-CN" w:bidi="ar-SA"/>
              </w:rPr>
              <w:t>7</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方便米饭</w:t>
            </w:r>
            <w:r>
              <w:rPr>
                <w:rFonts w:hint="default" w:ascii="Times New Roman" w:hAnsi="Times New Roman" w:eastAsia="宋体" w:cs="Times New Roman"/>
                <w:b/>
                <w:bCs/>
                <w:color w:val="auto"/>
                <w:kern w:val="2"/>
                <w:sz w:val="21"/>
                <w:szCs w:val="21"/>
                <w:lang w:val="en-US" w:eastAsia="zh-CN" w:bidi="ar-SA"/>
              </w:rPr>
              <w:t>工艺流程图</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方便米饭原料由于全部外购，生产线直接位于F2装箱区，该产品直接组装配套后，装箱。</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val="en-US" w:eastAsia="zh-CN"/>
              </w:rPr>
              <w:t>.组合包装：将大米包</w:t>
            </w:r>
            <w:r>
              <w:rPr>
                <w:rFonts w:hint="eastAsia" w:ascii="Times New Roman" w:hAnsi="Times New Roman" w:eastAsia="宋体" w:cs="Times New Roman"/>
                <w:bCs/>
                <w:color w:val="auto"/>
                <w:sz w:val="24"/>
                <w:szCs w:val="24"/>
                <w:lang w:val="en-US" w:eastAsia="zh-CN"/>
              </w:rPr>
              <w:t>（外购）</w:t>
            </w:r>
            <w:r>
              <w:rPr>
                <w:rFonts w:hint="default" w:ascii="Times New Roman" w:hAnsi="Times New Roman" w:eastAsia="宋体" w:cs="Times New Roman"/>
                <w:bCs/>
                <w:color w:val="auto"/>
                <w:sz w:val="24"/>
                <w:szCs w:val="24"/>
                <w:lang w:val="en-US" w:eastAsia="zh-CN"/>
              </w:rPr>
              <w:t>、调理肉包</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外购）、发热包</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外购）装进包装盒</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外购）采用自动封膜机包装，包装下部采用塑料盒，上部采用塑料膜但由于包装袋密封压缩时间较短，物料内部挥发性物质析出速率受限，单位时间内废气生成量显著降低，最终废气含量处于可忽略的较低水平，所以该废气忽略不计。该工序产生的污染物主要为废气、噪声。</w:t>
            </w:r>
          </w:p>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.装箱入库</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成品进行成箱包装后进入成品库。该工序产生的污染物主要为噪声。</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3）主要污染工序</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本项目运营期的主要产污环节见下表。</w:t>
            </w:r>
          </w:p>
          <w:p>
            <w:pPr>
              <w:keepNext w:val="0"/>
              <w:keepLines w:val="0"/>
              <w:widowControl/>
              <w:numPr>
                <w:ilvl w:val="0"/>
                <w:numId w:val="0"/>
              </w:numPr>
              <w:suppressLineNumbers w:val="0"/>
              <w:spacing w:line="240" w:lineRule="auto"/>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表2-12  运营期主要污染物分析一览表</w:t>
            </w:r>
          </w:p>
          <w:tbl>
            <w:tblPr>
              <w:tblStyle w:val="41"/>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405"/>
              <w:gridCol w:w="2495"/>
              <w:gridCol w:w="36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81"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40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产污环节</w:t>
                  </w:r>
                </w:p>
              </w:tc>
              <w:tc>
                <w:tcPr>
                  <w:tcW w:w="249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污染物</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措施</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81"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40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天然气锅炉</w:t>
                  </w:r>
                </w:p>
              </w:tc>
              <w:tc>
                <w:tcPr>
                  <w:tcW w:w="249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烟尘、SO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x</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低氮燃烧，8米高排气筒排放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炼油房</w:t>
                  </w:r>
                </w:p>
              </w:tc>
              <w:tc>
                <w:tcPr>
                  <w:tcW w:w="249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油烟</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油烟净化器处</w:t>
                  </w:r>
                  <w:r>
                    <w:rPr>
                      <w:rFonts w:hint="eastAsia" w:ascii="Times New Roman" w:hAnsi="Times New Roman" w:eastAsia="宋体" w:cs="Times New Roman"/>
                      <w:color w:val="auto"/>
                      <w:sz w:val="21"/>
                      <w:szCs w:val="21"/>
                      <w:lang w:val="en-US" w:eastAsia="zh-CN"/>
                    </w:rPr>
                    <w:t>理</w:t>
                  </w:r>
                  <w:r>
                    <w:rPr>
                      <w:rFonts w:hint="default" w:ascii="Times New Roman" w:hAnsi="Times New Roman" w:eastAsia="宋体" w:cs="Times New Roman"/>
                      <w:color w:val="auto"/>
                      <w:sz w:val="21"/>
                      <w:szCs w:val="21"/>
                    </w:rPr>
                    <w:t>后</w:t>
                  </w:r>
                  <w:r>
                    <w:rPr>
                      <w:rFonts w:hint="eastAsia" w:ascii="Times New Roman" w:hAnsi="Times New Roman" w:eastAsia="宋体" w:cs="Times New Roman"/>
                      <w:color w:val="auto"/>
                      <w:sz w:val="21"/>
                      <w:szCs w:val="21"/>
                      <w:lang w:val="en-US" w:eastAsia="zh-CN"/>
                    </w:rPr>
                    <w:t>引至楼顶排放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681"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140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生活污水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园区工业污水处理厂建成之前，项目废水经厂区预处理后排入</w:t>
                  </w:r>
                  <w:r>
                    <w:rPr>
                      <w:rFonts w:hint="eastAsia" w:cs="Times New Roman"/>
                      <w:color w:val="auto"/>
                      <w:sz w:val="21"/>
                      <w:szCs w:val="21"/>
                      <w:lang w:eastAsia="zh-CN"/>
                    </w:rPr>
                    <w:t>全福镇污水处理厂</w:t>
                  </w:r>
                  <w:r>
                    <w:rPr>
                      <w:rFonts w:hint="default" w:ascii="Times New Roman" w:hAnsi="Times New Roman" w:eastAsia="宋体" w:cs="Times New Roman"/>
                      <w:color w:val="auto"/>
                      <w:sz w:val="21"/>
                      <w:szCs w:val="21"/>
                    </w:rPr>
                    <w:t>，园区污水处理厂建成之后，项目废水排入园区污水处理厂处理。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蒸煮废水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动植物油</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酱卤肉原料冲洗</w:t>
                  </w:r>
                  <w:r>
                    <w:rPr>
                      <w:rFonts w:hint="default" w:ascii="Times New Roman" w:hAnsi="Times New Roman" w:eastAsia="宋体" w:cs="Times New Roman"/>
                      <w:color w:val="auto"/>
                      <w:kern w:val="0"/>
                      <w:sz w:val="21"/>
                      <w:szCs w:val="21"/>
                      <w:lang w:val="en-US" w:eastAsia="zh-CN" w:bidi="ar"/>
                    </w:rPr>
                    <w:t>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动植物油</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清洗</w:t>
                  </w:r>
                  <w:r>
                    <w:rPr>
                      <w:rFonts w:hint="default" w:ascii="Times New Roman" w:hAnsi="Times New Roman" w:eastAsia="宋体" w:cs="Times New Roman"/>
                      <w:color w:val="auto"/>
                      <w:kern w:val="0"/>
                      <w:sz w:val="21"/>
                      <w:szCs w:val="21"/>
                      <w:lang w:val="en-US" w:eastAsia="zh-CN" w:bidi="ar"/>
                    </w:rPr>
                    <w:t>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泡发废水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冷却</w:t>
                  </w:r>
                  <w:r>
                    <w:rPr>
                      <w:rFonts w:hint="default" w:ascii="Times New Roman" w:hAnsi="Times New Roman" w:eastAsia="宋体" w:cs="Times New Roman"/>
                      <w:color w:val="auto"/>
                      <w:kern w:val="0"/>
                      <w:sz w:val="21"/>
                      <w:szCs w:val="21"/>
                      <w:lang w:val="en-US" w:eastAsia="zh-CN" w:bidi="ar"/>
                    </w:rPr>
                    <w:t>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漂烫废水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0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设备清洗</w:t>
                  </w:r>
                  <w:r>
                    <w:rPr>
                      <w:rFonts w:hint="default" w:ascii="Times New Roman" w:hAnsi="Times New Roman" w:eastAsia="宋体" w:cs="Times New Roman"/>
                      <w:color w:val="auto"/>
                      <w:kern w:val="0"/>
                      <w:sz w:val="21"/>
                      <w:szCs w:val="21"/>
                      <w:lang w:val="en-US" w:eastAsia="zh-CN" w:bidi="ar"/>
                    </w:rPr>
                    <w:t>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地坪清洗废水</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c>
                <w:tcPr>
                  <w:tcW w:w="3677"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实验室检验废液</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暂存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委托处置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交由具有相应处理资质的单位处置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81"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噪声</w:t>
                  </w: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厂界噪声</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设备噪声</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选用低噪声设备、基座减震，设备位于生产车间内，利用建筑隔声，加强管理，夜间禁止生产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1"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办公生活</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交由环卫部门清运处理</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包装</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废包装材料</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收集后外售资源化利用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废离子交换树脂</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厂家定期进行更换回收</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81"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p>
              </w:tc>
              <w:tc>
                <w:tcPr>
                  <w:tcW w:w="140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设备维修</w:t>
                  </w:r>
                </w:p>
              </w:tc>
              <w:tc>
                <w:tcPr>
                  <w:tcW w:w="2495"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废润滑油、废油桶等危险废物</w:t>
                  </w:r>
                </w:p>
              </w:tc>
              <w:tc>
                <w:tcPr>
                  <w:tcW w:w="3677"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暂存危废暂存间</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）后交由有资质单位合理处置。</w:t>
                  </w:r>
                </w:p>
              </w:tc>
            </w:tr>
          </w:tbl>
          <w:p>
            <w:pPr>
              <w:keepNext w:val="0"/>
              <w:keepLines w:val="0"/>
              <w:widowControl/>
              <w:numPr>
                <w:ilvl w:val="0"/>
                <w:numId w:val="0"/>
              </w:numPr>
              <w:suppressLineNumbers w:val="0"/>
              <w:spacing w:line="360" w:lineRule="auto"/>
              <w:jc w:val="both"/>
              <w:rPr>
                <w:rFonts w:hint="default" w:ascii="Calibri" w:hAnsi="Calibri" w:eastAsia="宋体" w:cs="Times New Roman"/>
                <w:color w:val="auto"/>
                <w:kern w:val="2"/>
                <w:sz w:val="28"/>
                <w:szCs w:val="28"/>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82" w:type="dxa"/>
            <w:noWrap w:val="0"/>
            <w:vAlign w:val="center"/>
          </w:tcPr>
          <w:p>
            <w:pPr>
              <w:pStyle w:val="37"/>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378" w:type="dxa"/>
            <w:noWrap w:val="0"/>
            <w:vAlign w:val="top"/>
          </w:tcPr>
          <w:p>
            <w:pPr>
              <w:adjustRightInd w:val="0"/>
              <w:snapToGrid w:val="0"/>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本项目为新建项目</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 w:val="0"/>
                <w:bCs w:val="0"/>
                <w:color w:val="auto"/>
                <w:sz w:val="24"/>
                <w:szCs w:val="24"/>
                <w:u w:val="none"/>
                <w:lang w:val="en-US" w:eastAsia="zh-CN"/>
              </w:rPr>
              <w:t>租用乐山味道食品饮料产业园16000平方米标准厂房</w:t>
            </w:r>
            <w:r>
              <w:rPr>
                <w:rFonts w:hint="eastAsia"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共3楼）</w:t>
            </w:r>
            <w:r>
              <w:rPr>
                <w:rFonts w:hint="default" w:ascii="Times New Roman" w:hAnsi="Times New Roman" w:eastAsia="宋体" w:cs="Times New Roman"/>
                <w:bCs/>
                <w:color w:val="auto"/>
                <w:sz w:val="24"/>
                <w:szCs w:val="24"/>
                <w:lang w:val="en-US" w:eastAsia="zh-CN"/>
              </w:rPr>
              <w:t>，经项目现场踏勘，项目所在地无遗留环境问题，无原有污染情况及主要环境问题。</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4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adjustRightInd w:val="0"/>
                    <w:snapToGrid w:val="0"/>
                    <w:spacing w:line="360" w:lineRule="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drawing>
                      <wp:inline distT="0" distB="0" distL="114300" distR="114300">
                        <wp:extent cx="2482850" cy="1862455"/>
                        <wp:effectExtent l="0" t="0" r="12700" b="4445"/>
                        <wp:docPr id="19" name="图片 11" descr="IMG_20250603_11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0250603_113702"/>
                                <pic:cNvPicPr>
                                  <a:picLocks noChangeAspect="1"/>
                                </pic:cNvPicPr>
                              </pic:nvPicPr>
                              <pic:blipFill>
                                <a:blip r:embed="rId20"/>
                                <a:stretch>
                                  <a:fillRect/>
                                </a:stretch>
                              </pic:blipFill>
                              <pic:spPr>
                                <a:xfrm>
                                  <a:off x="0" y="0"/>
                                  <a:ext cx="2482850" cy="1862455"/>
                                </a:xfrm>
                                <a:prstGeom prst="rect">
                                  <a:avLst/>
                                </a:prstGeom>
                                <a:noFill/>
                                <a:ln>
                                  <a:noFill/>
                                </a:ln>
                              </pic:spPr>
                            </pic:pic>
                          </a:graphicData>
                        </a:graphic>
                      </wp:inline>
                    </w:drawing>
                  </w:r>
                </w:p>
              </w:tc>
              <w:tc>
                <w:tcPr>
                  <w:tcW w:w="4209" w:type="dxa"/>
                  <w:noWrap w:val="0"/>
                  <w:vAlign w:val="top"/>
                </w:tcPr>
                <w:p>
                  <w:pPr>
                    <w:adjustRightInd w:val="0"/>
                    <w:snapToGrid w:val="0"/>
                    <w:spacing w:line="360" w:lineRule="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drawing>
                      <wp:inline distT="0" distB="0" distL="114300" distR="114300">
                        <wp:extent cx="2496820" cy="1872615"/>
                        <wp:effectExtent l="0" t="0" r="17780" b="13335"/>
                        <wp:docPr id="22" name="图片 12" descr="IMG_20250603_11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0250603_114047"/>
                                <pic:cNvPicPr>
                                  <a:picLocks noChangeAspect="1"/>
                                </pic:cNvPicPr>
                              </pic:nvPicPr>
                              <pic:blipFill>
                                <a:blip r:embed="rId21"/>
                                <a:stretch>
                                  <a:fillRect/>
                                </a:stretch>
                              </pic:blipFill>
                              <pic:spPr>
                                <a:xfrm>
                                  <a:off x="0" y="0"/>
                                  <a:ext cx="2496820" cy="18726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adjustRightInd w:val="0"/>
                    <w:snapToGrid w:val="0"/>
                    <w:spacing w:line="36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项目厂房现状</w:t>
                  </w:r>
                </w:p>
              </w:tc>
              <w:tc>
                <w:tcPr>
                  <w:tcW w:w="4209" w:type="dxa"/>
                  <w:noWrap w:val="0"/>
                  <w:vAlign w:val="top"/>
                </w:tcPr>
                <w:p>
                  <w:pPr>
                    <w:adjustRightInd w:val="0"/>
                    <w:snapToGrid w:val="0"/>
                    <w:spacing w:line="36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项目北侧现状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adjustRightInd w:val="0"/>
                    <w:snapToGrid w:val="0"/>
                    <w:spacing w:line="360" w:lineRule="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drawing>
                      <wp:inline distT="0" distB="0" distL="114300" distR="114300">
                        <wp:extent cx="2496820" cy="1849755"/>
                        <wp:effectExtent l="0" t="0" r="17780" b="17145"/>
                        <wp:docPr id="21" name="图片 13" descr="IMG_20250603_11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0250603_114901"/>
                                <pic:cNvPicPr>
                                  <a:picLocks noChangeAspect="1"/>
                                </pic:cNvPicPr>
                              </pic:nvPicPr>
                              <pic:blipFill>
                                <a:blip r:embed="rId22"/>
                                <a:stretch>
                                  <a:fillRect/>
                                </a:stretch>
                              </pic:blipFill>
                              <pic:spPr>
                                <a:xfrm>
                                  <a:off x="0" y="0"/>
                                  <a:ext cx="2496820" cy="1849755"/>
                                </a:xfrm>
                                <a:prstGeom prst="rect">
                                  <a:avLst/>
                                </a:prstGeom>
                                <a:noFill/>
                                <a:ln>
                                  <a:noFill/>
                                </a:ln>
                              </pic:spPr>
                            </pic:pic>
                          </a:graphicData>
                        </a:graphic>
                      </wp:inline>
                    </w:drawing>
                  </w:r>
                </w:p>
              </w:tc>
              <w:tc>
                <w:tcPr>
                  <w:tcW w:w="4209" w:type="dxa"/>
                  <w:noWrap w:val="0"/>
                  <w:vAlign w:val="top"/>
                </w:tcPr>
                <w:p>
                  <w:pPr>
                    <w:adjustRightInd w:val="0"/>
                    <w:snapToGrid w:val="0"/>
                    <w:spacing w:line="360" w:lineRule="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drawing>
                      <wp:inline distT="0" distB="0" distL="114300" distR="114300">
                        <wp:extent cx="2482850" cy="1862455"/>
                        <wp:effectExtent l="0" t="0" r="12700" b="4445"/>
                        <wp:docPr id="3" name="图片 14" descr="IMG_20250603_11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0250603_114155"/>
                                <pic:cNvPicPr>
                                  <a:picLocks noChangeAspect="1"/>
                                </pic:cNvPicPr>
                              </pic:nvPicPr>
                              <pic:blipFill>
                                <a:blip r:embed="rId23"/>
                                <a:stretch>
                                  <a:fillRect/>
                                </a:stretch>
                              </pic:blipFill>
                              <pic:spPr>
                                <a:xfrm>
                                  <a:off x="0" y="0"/>
                                  <a:ext cx="2482850" cy="18624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9" w:type="dxa"/>
                  <w:noWrap w:val="0"/>
                  <w:vAlign w:val="top"/>
                </w:tcPr>
                <w:p>
                  <w:pPr>
                    <w:adjustRightInd w:val="0"/>
                    <w:snapToGrid w:val="0"/>
                    <w:spacing w:line="36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项目所在工业园区雨水沟渠</w:t>
                  </w:r>
                </w:p>
              </w:tc>
              <w:tc>
                <w:tcPr>
                  <w:tcW w:w="4209" w:type="dxa"/>
                  <w:noWrap w:val="0"/>
                  <w:vAlign w:val="top"/>
                </w:tcPr>
                <w:p>
                  <w:pPr>
                    <w:adjustRightInd w:val="0"/>
                    <w:snapToGrid w:val="0"/>
                    <w:spacing w:line="360" w:lineRule="auto"/>
                    <w:jc w:val="center"/>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项目西侧企业现状</w:t>
                  </w:r>
                </w:p>
              </w:tc>
            </w:tr>
          </w:tbl>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p>
            <w:pPr>
              <w:adjustRightInd w:val="0"/>
              <w:snapToGrid w:val="0"/>
              <w:spacing w:line="360" w:lineRule="auto"/>
              <w:rPr>
                <w:rFonts w:hint="eastAsia" w:ascii="Times New Roman" w:hAnsi="Times New Roman" w:eastAsia="宋体" w:cs="Times New Roman"/>
                <w:bCs/>
                <w:color w:val="auto"/>
                <w:szCs w:val="21"/>
                <w:lang w:val="en-US" w:eastAsia="zh-CN"/>
              </w:rPr>
            </w:pPr>
          </w:p>
        </w:tc>
      </w:tr>
    </w:tbl>
    <w:p>
      <w:pPr>
        <w:pStyle w:val="37"/>
        <w:jc w:val="center"/>
        <w:rPr>
          <w:rFonts w:ascii="黑体" w:hAnsi="黑体" w:eastAsia="黑体"/>
          <w:snapToGrid w:val="0"/>
          <w:sz w:val="36"/>
          <w:szCs w:val="36"/>
        </w:rPr>
        <w:sectPr>
          <w:pgSz w:w="11906" w:h="16838"/>
          <w:pgMar w:top="1701" w:right="1531" w:bottom="1701" w:left="1531" w:header="851" w:footer="851" w:gutter="0"/>
          <w:pgNumType w:fmt="decimal"/>
          <w:cols w:space="720" w:num="1"/>
          <w:docGrid w:linePitch="312" w:charSpace="0"/>
        </w:sectPr>
      </w:pPr>
    </w:p>
    <w:p>
      <w:pPr>
        <w:pStyle w:val="37"/>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37"/>
        <w:jc w:val="center"/>
        <w:outlineLvl w:val="0"/>
        <w:rPr>
          <w:rFonts w:ascii="黑体" w:hAnsi="黑体" w:eastAsia="黑体"/>
          <w:snapToGrid w:val="0"/>
          <w:sz w:val="30"/>
          <w:szCs w:val="30"/>
        </w:rPr>
      </w:pPr>
      <w:bookmarkStart w:id="7" w:name="_Toc26958"/>
      <w:r>
        <w:rPr>
          <w:rFonts w:hint="eastAsia" w:ascii="黑体" w:hAnsi="黑体" w:eastAsia="黑体"/>
          <w:snapToGrid w:val="0"/>
          <w:sz w:val="30"/>
          <w:szCs w:val="30"/>
        </w:rPr>
        <w:t>三、区域环境质量现状、环境保护目标及评价标准</w:t>
      </w:r>
      <w:bookmarkEnd w:id="7"/>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53"/>
        <w:gridCol w:w="84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5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区域</w:t>
            </w:r>
          </w:p>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408" w:type="dxa"/>
            <w:noWrap w:val="0"/>
            <w:vAlign w:val="center"/>
          </w:tcPr>
          <w:p>
            <w:pPr>
              <w:numPr>
                <w:ilvl w:val="0"/>
                <w:numId w:val="0"/>
              </w:numPr>
              <w:adjustRightInd w:val="0"/>
              <w:snapToGrid w:val="0"/>
              <w:spacing w:line="360" w:lineRule="auto"/>
              <w:ind w:firstLine="482" w:firstLineChars="200"/>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bidi="ar-SA"/>
              </w:rPr>
              <w:t>一、</w:t>
            </w:r>
            <w:r>
              <w:rPr>
                <w:rFonts w:hint="eastAsia" w:ascii="宋体" w:hAnsi="宋体" w:cs="宋体"/>
                <w:b/>
                <w:bCs/>
                <w:kern w:val="0"/>
                <w:sz w:val="24"/>
                <w:szCs w:val="24"/>
                <w:lang w:val="en-US" w:eastAsia="zh-CN"/>
              </w:rPr>
              <w:t>大气环境</w:t>
            </w:r>
          </w:p>
          <w:p>
            <w:pPr>
              <w:numPr>
                <w:ilvl w:val="0"/>
                <w:numId w:val="0"/>
              </w:numPr>
              <w:adjustRightInd w:val="0"/>
              <w:snapToGrid w:val="0"/>
              <w:spacing w:line="360" w:lineRule="auto"/>
              <w:ind w:firstLine="480" w:firstLineChars="200"/>
              <w:jc w:val="left"/>
              <w:rPr>
                <w:rFonts w:hint="eastAsia" w:ascii="宋体" w:hAnsi="宋体" w:cs="宋体"/>
                <w:kern w:val="0"/>
                <w:sz w:val="24"/>
                <w:szCs w:val="24"/>
                <w:lang w:val="en-US" w:eastAsia="zh-CN"/>
              </w:rPr>
            </w:pPr>
            <w:r>
              <w:rPr>
                <w:rFonts w:hint="eastAsia" w:ascii="宋体" w:hAnsi="宋体" w:cs="宋体"/>
                <w:kern w:val="0"/>
                <w:sz w:val="24"/>
                <w:szCs w:val="24"/>
                <w:lang w:val="en-US" w:eastAsia="zh-CN"/>
              </w:rPr>
              <w:t>1、区域环境质量达标状况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yellow"/>
                <w:lang w:val="en-US" w:eastAsia="zh-CN"/>
              </w:rPr>
            </w:pPr>
            <w:r>
              <w:rPr>
                <w:rFonts w:hint="eastAsia" w:ascii="宋体" w:hAnsi="宋体" w:eastAsia="宋体" w:cs="宋体"/>
                <w:kern w:val="0"/>
                <w:sz w:val="24"/>
                <w:szCs w:val="24"/>
                <w:lang w:val="en-US" w:eastAsia="zh-CN"/>
              </w:rPr>
              <w:t>本项目位于乐山市市中区，根</w:t>
            </w:r>
            <w:r>
              <w:rPr>
                <w:rFonts w:hint="default" w:ascii="Times New Roman" w:hAnsi="Times New Roman" w:eastAsia="宋体" w:cs="Times New Roman"/>
                <w:kern w:val="0"/>
                <w:sz w:val="24"/>
                <w:szCs w:val="24"/>
                <w:lang w:val="en-US" w:eastAsia="zh-CN"/>
              </w:rPr>
              <w:t>据2025年1月</w:t>
            </w:r>
            <w:r>
              <w:rPr>
                <w:rFonts w:hint="default" w:ascii="Times New Roman" w:hAnsi="Times New Roman" w:eastAsia="宋体" w:cs="Times New Roman"/>
                <w:b w:val="0"/>
                <w:bCs w:val="0"/>
                <w:color w:val="auto"/>
                <w:kern w:val="0"/>
                <w:sz w:val="24"/>
                <w:szCs w:val="24"/>
                <w:highlight w:val="none"/>
                <w:lang w:val="en-US" w:eastAsia="zh-CN"/>
              </w:rPr>
              <w:t>乐山</w:t>
            </w:r>
            <w:r>
              <w:rPr>
                <w:rFonts w:hint="eastAsia" w:ascii="宋体" w:hAnsi="宋体" w:eastAsia="宋体" w:cs="宋体"/>
                <w:b w:val="0"/>
                <w:bCs w:val="0"/>
                <w:color w:val="auto"/>
                <w:kern w:val="0"/>
                <w:sz w:val="24"/>
                <w:szCs w:val="24"/>
                <w:highlight w:val="none"/>
                <w:lang w:val="en-US" w:eastAsia="zh-CN"/>
              </w:rPr>
              <w:t>市生态环境保护委员会办公室发布的</w:t>
            </w:r>
            <w:r>
              <w:rPr>
                <w:rFonts w:hint="default" w:ascii="Times New Roman" w:hAnsi="Times New Roman" w:eastAsia="宋体" w:cs="Times New Roman"/>
                <w:b w:val="0"/>
                <w:bCs w:val="0"/>
                <w:color w:val="auto"/>
                <w:kern w:val="0"/>
                <w:sz w:val="24"/>
                <w:szCs w:val="24"/>
                <w:highlight w:val="none"/>
                <w:lang w:val="en-US" w:eastAsia="zh-CN"/>
              </w:rPr>
              <w:t>《202</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rPr>
              <w:t>年</w:t>
            </w:r>
            <w:r>
              <w:rPr>
                <w:rFonts w:hint="eastAsia" w:ascii="Times New Roman" w:hAnsi="Times New Roman" w:eastAsia="宋体" w:cs="Times New Roman"/>
                <w:b w:val="0"/>
                <w:bCs w:val="0"/>
                <w:color w:val="auto"/>
                <w:kern w:val="0"/>
                <w:sz w:val="24"/>
                <w:szCs w:val="24"/>
                <w:highlight w:val="none"/>
                <w:lang w:val="en-US" w:eastAsia="zh-CN"/>
              </w:rPr>
              <w:t>第四季度</w:t>
            </w:r>
            <w:r>
              <w:rPr>
                <w:rFonts w:hint="default" w:ascii="Times New Roman" w:hAnsi="Times New Roman" w:eastAsia="宋体" w:cs="Times New Roman"/>
                <w:b w:val="0"/>
                <w:bCs w:val="0"/>
                <w:color w:val="auto"/>
                <w:kern w:val="0"/>
                <w:sz w:val="24"/>
                <w:szCs w:val="24"/>
                <w:highlight w:val="none"/>
                <w:lang w:val="en-US" w:eastAsia="zh-CN"/>
              </w:rPr>
              <w:t>及全年环境空气质量</w:t>
            </w:r>
            <w:r>
              <w:rPr>
                <w:rFonts w:hint="eastAsia" w:ascii="Times New Roman" w:hAnsi="Times New Roman" w:eastAsia="宋体" w:cs="Times New Roman"/>
                <w:b w:val="0"/>
                <w:bCs w:val="0"/>
                <w:color w:val="auto"/>
                <w:kern w:val="0"/>
                <w:sz w:val="24"/>
                <w:szCs w:val="24"/>
                <w:highlight w:val="none"/>
                <w:lang w:val="en-US" w:eastAsia="zh-CN"/>
              </w:rPr>
              <w:t>、水环境质量</w:t>
            </w:r>
            <w:r>
              <w:rPr>
                <w:rFonts w:hint="default" w:ascii="Times New Roman" w:hAnsi="Times New Roman" w:eastAsia="宋体" w:cs="Times New Roman"/>
                <w:b w:val="0"/>
                <w:bCs w:val="0"/>
                <w:color w:val="auto"/>
                <w:kern w:val="0"/>
                <w:sz w:val="24"/>
                <w:szCs w:val="24"/>
                <w:highlight w:val="none"/>
                <w:lang w:val="en-US" w:eastAsia="zh-CN"/>
              </w:rPr>
              <w:t>情况的通报》中</w:t>
            </w:r>
            <w:r>
              <w:rPr>
                <w:rFonts w:hint="eastAsia" w:ascii="Times New Roman" w:hAnsi="Times New Roman" w:eastAsia="宋体" w:cs="Times New Roman"/>
                <w:b w:val="0"/>
                <w:bCs w:val="0"/>
                <w:color w:val="auto"/>
                <w:kern w:val="0"/>
                <w:sz w:val="24"/>
                <w:szCs w:val="24"/>
                <w:highlight w:val="none"/>
                <w:lang w:val="en-US" w:eastAsia="zh-CN"/>
              </w:rPr>
              <w:t>市中区</w:t>
            </w:r>
            <w:r>
              <w:rPr>
                <w:rFonts w:hint="default" w:ascii="Times New Roman" w:hAnsi="Times New Roman" w:eastAsia="宋体" w:cs="Times New Roman"/>
                <w:b w:val="0"/>
                <w:bCs w:val="0"/>
                <w:color w:val="auto"/>
                <w:kern w:val="0"/>
                <w:sz w:val="24"/>
                <w:szCs w:val="24"/>
                <w:highlight w:val="none"/>
                <w:lang w:val="en-US" w:eastAsia="zh-CN"/>
              </w:rPr>
              <w:t>202</w:t>
            </w:r>
            <w:r>
              <w:rPr>
                <w:rFonts w:hint="eastAsia" w:ascii="Times New Roman" w:hAnsi="Times New Roman" w:eastAsia="宋体" w:cs="Times New Roman"/>
                <w:b w:val="0"/>
                <w:bCs w:val="0"/>
                <w:color w:val="auto"/>
                <w:kern w:val="0"/>
                <w:sz w:val="24"/>
                <w:szCs w:val="24"/>
                <w:highlight w:val="none"/>
                <w:lang w:val="en-US" w:eastAsia="zh-CN"/>
              </w:rPr>
              <w:t>4</w:t>
            </w:r>
            <w:r>
              <w:rPr>
                <w:rFonts w:hint="default" w:ascii="Times New Roman" w:hAnsi="Times New Roman" w:eastAsia="宋体" w:cs="Times New Roman"/>
                <w:b w:val="0"/>
                <w:bCs w:val="0"/>
                <w:color w:val="auto"/>
                <w:kern w:val="0"/>
                <w:sz w:val="24"/>
                <w:szCs w:val="24"/>
                <w:highlight w:val="none"/>
                <w:lang w:val="en-US" w:eastAsia="zh-CN"/>
              </w:rPr>
              <w:t>年空气质量数据，</w:t>
            </w:r>
            <w:r>
              <w:rPr>
                <w:rFonts w:hint="default" w:ascii="Times New Roman" w:hAnsi="Times New Roman" w:cs="Times New Roman"/>
                <w:color w:val="auto"/>
                <w:kern w:val="0"/>
                <w:sz w:val="24"/>
                <w:szCs w:val="24"/>
              </w:rPr>
              <w:t>项目</w:t>
            </w:r>
            <w:r>
              <w:rPr>
                <w:rFonts w:hint="default" w:ascii="Times New Roman" w:hAnsi="Times New Roman" w:cs="Times New Roman"/>
                <w:color w:val="auto"/>
                <w:kern w:val="0"/>
                <w:sz w:val="24"/>
                <w:szCs w:val="24"/>
                <w:lang w:val="en-US" w:eastAsia="zh-CN"/>
              </w:rPr>
              <w:t>区域</w:t>
            </w:r>
            <w:r>
              <w:rPr>
                <w:rFonts w:hint="default" w:ascii="Times New Roman" w:hAnsi="Times New Roman" w:cs="Times New Roman"/>
                <w:color w:val="auto"/>
                <w:kern w:val="0"/>
                <w:sz w:val="24"/>
                <w:szCs w:val="24"/>
              </w:rPr>
              <w:t>环境空气质量达标性见下表。</w:t>
            </w:r>
          </w:p>
          <w:p>
            <w:pPr>
              <w:numPr>
                <w:ilvl w:val="0"/>
                <w:numId w:val="0"/>
              </w:numPr>
              <w:adjustRightInd w:val="0"/>
              <w:snapToGrid w:val="0"/>
              <w:spacing w:line="240" w:lineRule="auto"/>
              <w:jc w:val="center"/>
              <w:rPr>
                <w:rFonts w:hint="default"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表3-1</w:t>
            </w:r>
            <w:r>
              <w:rPr>
                <w:rFonts w:hint="eastAsia" w:ascii="Times New Roman" w:hAnsi="Times New Roman" w:cs="Times New Roman"/>
                <w:b/>
                <w:bCs/>
                <w:kern w:val="0"/>
                <w:sz w:val="21"/>
                <w:szCs w:val="21"/>
                <w:lang w:val="en-US" w:eastAsia="zh-CN"/>
              </w:rPr>
              <w:t xml:space="preserve">  </w:t>
            </w:r>
            <w:r>
              <w:rPr>
                <w:rFonts w:hint="default" w:ascii="Times New Roman" w:hAnsi="Times New Roman" w:cs="Times New Roman"/>
                <w:b/>
                <w:bCs/>
                <w:kern w:val="0"/>
                <w:sz w:val="21"/>
                <w:szCs w:val="21"/>
                <w:lang w:val="en-US" w:eastAsia="zh-CN"/>
              </w:rPr>
              <w:t>区域空气质量现状</w:t>
            </w:r>
          </w:p>
          <w:tbl>
            <w:tblPr>
              <w:tblStyle w:val="41"/>
              <w:tblW w:w="82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788"/>
              <w:gridCol w:w="1682"/>
              <w:gridCol w:w="1512"/>
              <w:gridCol w:w="1292"/>
              <w:gridCol w:w="10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11" w:hRule="atLeast"/>
                <w:jc w:val="center"/>
              </w:trPr>
              <w:tc>
                <w:tcPr>
                  <w:tcW w:w="914"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788"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年评价指标</w:t>
                  </w:r>
                </w:p>
              </w:tc>
              <w:tc>
                <w:tcPr>
                  <w:tcW w:w="1682" w:type="dxa"/>
                  <w:noWrap w:val="0"/>
                  <w:vAlign w:val="center"/>
                </w:tcPr>
                <w:p>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现状浓度μg/m</w:t>
                  </w:r>
                  <w:r>
                    <w:rPr>
                      <w:rFonts w:hint="default" w:ascii="Times New Roman" w:hAnsi="Times New Roman" w:cs="Times New Roman"/>
                      <w:b/>
                      <w:bCs/>
                      <w:color w:val="auto"/>
                      <w:sz w:val="21"/>
                      <w:szCs w:val="21"/>
                      <w:highlight w:val="none"/>
                      <w:vertAlign w:val="superscript"/>
                      <w:lang w:val="en-US" w:eastAsia="zh-CN"/>
                    </w:rPr>
                    <w:t>3</w:t>
                  </w:r>
                </w:p>
              </w:tc>
              <w:tc>
                <w:tcPr>
                  <w:tcW w:w="1512"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标准值μg/m</w:t>
                  </w:r>
                  <w:r>
                    <w:rPr>
                      <w:rFonts w:hint="default" w:ascii="Times New Roman" w:hAnsi="Times New Roman" w:cs="Times New Roman"/>
                      <w:b/>
                      <w:bCs/>
                      <w:color w:val="auto"/>
                      <w:sz w:val="21"/>
                      <w:szCs w:val="21"/>
                      <w:highlight w:val="none"/>
                      <w:vertAlign w:val="superscript"/>
                      <w:lang w:val="en-US" w:eastAsia="zh-CN"/>
                    </w:rPr>
                    <w:t>3</w:t>
                  </w:r>
                </w:p>
              </w:tc>
              <w:tc>
                <w:tcPr>
                  <w:tcW w:w="1292"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占标率%</w:t>
                  </w:r>
                </w:p>
              </w:tc>
              <w:tc>
                <w:tcPr>
                  <w:tcW w:w="1088" w:type="dxa"/>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17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w:t>
                  </w:r>
                </w:p>
              </w:tc>
              <w:tc>
                <w:tcPr>
                  <w:tcW w:w="151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29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0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17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22.7</w:t>
                  </w:r>
                </w:p>
              </w:tc>
              <w:tc>
                <w:tcPr>
                  <w:tcW w:w="151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292"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56.7</w:t>
                  </w:r>
                </w:p>
              </w:tc>
              <w:tc>
                <w:tcPr>
                  <w:tcW w:w="10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1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17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第95百分位数日均质量浓度</w:t>
                  </w:r>
                </w:p>
              </w:tc>
              <w:tc>
                <w:tcPr>
                  <w:tcW w:w="1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151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4000</w:t>
                  </w:r>
                </w:p>
              </w:tc>
              <w:tc>
                <w:tcPr>
                  <w:tcW w:w="1292"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25</w:t>
                  </w:r>
                </w:p>
              </w:tc>
              <w:tc>
                <w:tcPr>
                  <w:tcW w:w="10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11" w:hRule="atLeast"/>
                <w:jc w:val="center"/>
              </w:trPr>
              <w:tc>
                <w:tcPr>
                  <w:tcW w:w="91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17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最大</w:t>
                  </w:r>
                  <w:r>
                    <w:rPr>
                      <w:rFonts w:hint="default" w:ascii="Times New Roman" w:hAnsi="Times New Roman" w:cs="Times New Roman"/>
                      <w:color w:val="auto"/>
                      <w:sz w:val="21"/>
                      <w:szCs w:val="21"/>
                      <w:highlight w:val="none"/>
                    </w:rPr>
                    <w:t>8h平均质量浓度</w:t>
                  </w:r>
                </w:p>
              </w:tc>
              <w:tc>
                <w:tcPr>
                  <w:tcW w:w="1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159</w:t>
                  </w:r>
                </w:p>
              </w:tc>
              <w:tc>
                <w:tcPr>
                  <w:tcW w:w="151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1292"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99.3</w:t>
                  </w:r>
                </w:p>
              </w:tc>
              <w:tc>
                <w:tcPr>
                  <w:tcW w:w="108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14"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1788"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年平均质量浓度</w:t>
                  </w:r>
                </w:p>
              </w:tc>
              <w:tc>
                <w:tcPr>
                  <w:tcW w:w="168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37.1</w:t>
                  </w:r>
                </w:p>
              </w:tc>
              <w:tc>
                <w:tcPr>
                  <w:tcW w:w="1512"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35</w:t>
                  </w:r>
                </w:p>
              </w:tc>
              <w:tc>
                <w:tcPr>
                  <w:tcW w:w="1292"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106</w:t>
                  </w:r>
                </w:p>
              </w:tc>
              <w:tc>
                <w:tcPr>
                  <w:tcW w:w="1088"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不</w:t>
                  </w:r>
                  <w:r>
                    <w:rPr>
                      <w:rFonts w:hint="default" w:ascii="Times New Roman" w:hAnsi="Times New Roman" w:cs="Times New Roman"/>
                      <w:color w:val="auto"/>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914"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1788"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年平均质量浓度</w:t>
                  </w:r>
                </w:p>
              </w:tc>
              <w:tc>
                <w:tcPr>
                  <w:tcW w:w="1682" w:type="dxa"/>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50.1</w:t>
                  </w:r>
                </w:p>
              </w:tc>
              <w:tc>
                <w:tcPr>
                  <w:tcW w:w="1512"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70</w:t>
                  </w:r>
                </w:p>
              </w:tc>
              <w:tc>
                <w:tcPr>
                  <w:tcW w:w="1292"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7</w:t>
                  </w:r>
                  <w:r>
                    <w:rPr>
                      <w:rFonts w:hint="eastAsia" w:ascii="Times New Roman" w:hAnsi="Times New Roman" w:eastAsia="宋体" w:cs="Times New Roman"/>
                      <w:b w:val="0"/>
                      <w:bCs w:val="0"/>
                      <w:color w:val="auto"/>
                      <w:sz w:val="21"/>
                      <w:szCs w:val="21"/>
                      <w:highlight w:val="none"/>
                      <w:lang w:val="en-US" w:eastAsia="zh-CN"/>
                    </w:rPr>
                    <w:t>1.5</w:t>
                  </w:r>
                </w:p>
              </w:tc>
              <w:tc>
                <w:tcPr>
                  <w:tcW w:w="1088" w:type="dxa"/>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s="Times New Roman"/>
                <w:bCs/>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rPr>
              <w:t>由上表可知，</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年平均浓度、CO、O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百分位浓度</w:t>
            </w:r>
            <w:r>
              <w:rPr>
                <w:rFonts w:hint="default" w:ascii="Times New Roman" w:hAnsi="Times New Roman" w:eastAsia="宋体" w:cs="Times New Roman"/>
                <w:bCs/>
                <w:color w:val="auto"/>
                <w:sz w:val="24"/>
                <w:szCs w:val="24"/>
                <w:lang w:val="en-US" w:eastAsia="zh-CN"/>
              </w:rPr>
              <w:t>均</w:t>
            </w:r>
            <w:r>
              <w:rPr>
                <w:rFonts w:hint="default" w:ascii="Times New Roman" w:hAnsi="Times New Roman" w:eastAsia="宋体" w:cs="Times New Roman"/>
                <w:bCs/>
                <w:color w:val="auto"/>
                <w:sz w:val="24"/>
                <w:szCs w:val="24"/>
              </w:rPr>
              <w:t>满足《环境空气质量标准》</w:t>
            </w:r>
            <w:r>
              <w:rPr>
                <w:rFonts w:hint="eastAsia" w:cs="Times New Roman"/>
                <w:bCs/>
                <w:color w:val="auto"/>
                <w:sz w:val="24"/>
                <w:szCs w:val="24"/>
                <w:lang w:eastAsia="zh-CN"/>
              </w:rPr>
              <w:t>（</w:t>
            </w:r>
            <w:r>
              <w:rPr>
                <w:rFonts w:hint="default" w:ascii="Times New Roman" w:hAnsi="Times New Roman" w:eastAsia="宋体" w:cs="Times New Roman"/>
                <w:bCs/>
                <w:color w:val="auto"/>
                <w:sz w:val="24"/>
                <w:szCs w:val="24"/>
              </w:rPr>
              <w:t>GB3095-2012）</w:t>
            </w:r>
            <w:r>
              <w:rPr>
                <w:rFonts w:hint="default" w:ascii="Times New Roman" w:hAnsi="Times New Roman" w:eastAsia="宋体" w:cs="Times New Roman"/>
                <w:bCs/>
                <w:color w:val="auto"/>
                <w:sz w:val="24"/>
                <w:szCs w:val="24"/>
                <w:lang w:val="en-US" w:eastAsia="zh-CN"/>
              </w:rPr>
              <w:t>及其修改清单</w:t>
            </w:r>
            <w:r>
              <w:rPr>
                <w:rFonts w:hint="default" w:ascii="Times New Roman" w:hAnsi="Times New Roman" w:eastAsia="宋体" w:cs="Times New Roman"/>
                <w:bCs/>
                <w:color w:val="auto"/>
                <w:sz w:val="24"/>
                <w:szCs w:val="24"/>
              </w:rPr>
              <w:t>的二级标准浓度限值要求</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PM</w:t>
            </w:r>
            <w:r>
              <w:rPr>
                <w:rFonts w:hint="default" w:ascii="Times New Roman" w:hAnsi="Times New Roman" w:eastAsia="宋体" w:cs="Times New Roman"/>
                <w:bCs/>
                <w:color w:val="auto"/>
                <w:sz w:val="24"/>
                <w:szCs w:val="24"/>
                <w:vertAlign w:val="subscript"/>
                <w:lang w:val="en-US" w:eastAsia="zh-CN"/>
              </w:rPr>
              <w:t>2.5</w:t>
            </w:r>
            <w:r>
              <w:rPr>
                <w:rFonts w:hint="default" w:ascii="Times New Roman" w:hAnsi="Times New Roman" w:eastAsia="宋体" w:cs="Times New Roman"/>
                <w:bCs/>
                <w:color w:val="auto"/>
                <w:sz w:val="24"/>
                <w:szCs w:val="24"/>
                <w:lang w:val="en-US" w:eastAsia="zh-CN"/>
              </w:rPr>
              <w:t>不满足</w:t>
            </w:r>
            <w:r>
              <w:rPr>
                <w:rFonts w:hint="eastAsia" w:cs="Times New Roman"/>
                <w:bCs/>
                <w:color w:val="auto"/>
                <w:sz w:val="24"/>
                <w:szCs w:val="24"/>
                <w:lang w:val="en-US" w:eastAsia="zh-CN"/>
              </w:rPr>
              <w:t>《环境空气质量标准》（GB3095-2012）及其修改清单的二级标准。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故</w:t>
            </w:r>
            <w:r>
              <w:rPr>
                <w:rFonts w:hint="default" w:ascii="Times New Roman" w:hAnsi="Times New Roman" w:eastAsia="宋体" w:cs="Times New Roman"/>
                <w:b/>
                <w:bCs w:val="0"/>
                <w:color w:val="auto"/>
                <w:sz w:val="24"/>
                <w:szCs w:val="24"/>
              </w:rPr>
              <w:t>项目所在区域属于</w:t>
            </w:r>
            <w:r>
              <w:rPr>
                <w:rFonts w:hint="default" w:ascii="Times New Roman" w:hAnsi="Times New Roman" w:eastAsia="宋体" w:cs="Times New Roman"/>
                <w:b/>
                <w:bCs w:val="0"/>
                <w:color w:val="auto"/>
                <w:sz w:val="24"/>
                <w:szCs w:val="24"/>
                <w:lang w:val="en-US" w:eastAsia="zh-CN"/>
              </w:rPr>
              <w:t>不</w:t>
            </w:r>
            <w:r>
              <w:rPr>
                <w:rFonts w:hint="default" w:ascii="Times New Roman" w:hAnsi="Times New Roman" w:eastAsia="宋体" w:cs="Times New Roman"/>
                <w:b/>
                <w:bCs w:val="0"/>
                <w:color w:val="auto"/>
                <w:sz w:val="24"/>
                <w:szCs w:val="24"/>
              </w:rPr>
              <w:t>达标区。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val="0"/>
                <w:color w:val="auto"/>
                <w:sz w:val="24"/>
                <w:szCs w:val="24"/>
                <w:lang w:val="en-US" w:eastAsia="zh-CN"/>
              </w:rPr>
              <w:t>区域大气污染达标方案：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根据《乐山市市中区空气质量限期达标规划</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2017-2025）》，市中区近期采取产业和能源结构调整措施、大气污染治理的措施等一系列措施后，在2025年底前实现空气质量6项主要污染物</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二氧化硫、二氧化氮、可吸入颗粒物、细颗粒物、一氧化碳、臭氧）全面达标。本项目所在区域不达标指标PM</w:t>
            </w:r>
            <w:r>
              <w:rPr>
                <w:rFonts w:hint="default" w:ascii="Times New Roman" w:hAnsi="Times New Roman" w:eastAsia="宋体" w:cs="Times New Roman"/>
                <w:b w:val="0"/>
                <w:bCs/>
                <w:color w:val="auto"/>
                <w:sz w:val="24"/>
                <w:szCs w:val="24"/>
                <w:vertAlign w:val="subscript"/>
                <w:lang w:val="en-US" w:eastAsia="zh-CN"/>
              </w:rPr>
              <w:t>2.5</w:t>
            </w:r>
            <w:r>
              <w:rPr>
                <w:rFonts w:hint="default" w:ascii="Times New Roman" w:hAnsi="Times New Roman" w:eastAsia="宋体" w:cs="Times New Roman"/>
                <w:b w:val="0"/>
                <w:bCs/>
                <w:color w:val="auto"/>
                <w:sz w:val="24"/>
                <w:szCs w:val="24"/>
                <w:lang w:val="en-US" w:eastAsia="zh-CN"/>
              </w:rPr>
              <w:t>年平均质量浓度预期可达到小于35µg/m³的要求，满足《环境空气质量标准》</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GB3095-2012）及其修改单中二级标准的要求</w:t>
            </w:r>
            <w:r>
              <w:rPr>
                <w:rFonts w:hint="eastAsia" w:ascii="Times New Roman" w:hAnsi="Times New Roman" w:eastAsia="宋体" w:cs="Times New Roman"/>
                <w:b w:val="0"/>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auto"/>
                <w:sz w:val="24"/>
                <w:szCs w:val="24"/>
                <w:lang w:val="en-US" w:eastAsia="zh-CN"/>
              </w:rPr>
              <w:t>综上，本项目运营期内，大气污染源</w:t>
            </w:r>
            <w:r>
              <w:rPr>
                <w:rFonts w:hint="default" w:ascii="Times New Roman" w:hAnsi="Times New Roman" w:eastAsia="宋体" w:cs="Times New Roman"/>
                <w:color w:val="000000"/>
                <w:kern w:val="0"/>
                <w:sz w:val="24"/>
                <w:szCs w:val="24"/>
                <w:lang w:val="en-US" w:eastAsia="zh-CN" w:bidi="ar"/>
              </w:rPr>
              <w:t>为锅炉天然气废气和油烟，天然气锅炉采用低氮燃</w:t>
            </w:r>
            <w:r>
              <w:rPr>
                <w:rFonts w:hint="default" w:ascii="Times New Roman" w:hAnsi="Times New Roman" w:eastAsia="宋体" w:cs="Times New Roman"/>
                <w:color w:val="auto"/>
                <w:kern w:val="0"/>
                <w:sz w:val="24"/>
                <w:szCs w:val="24"/>
                <w:lang w:val="en-US" w:eastAsia="zh-CN" w:bidi="ar"/>
              </w:rPr>
              <w:t>烧装置，产生的天然气燃烧废气</w:t>
            </w:r>
            <w:r>
              <w:rPr>
                <w:rFonts w:hint="eastAsia" w:ascii="Times New Roman" w:hAnsi="Times New Roman" w:eastAsia="宋体" w:cs="Times New Roman"/>
                <w:color w:val="auto"/>
                <w:kern w:val="0"/>
                <w:sz w:val="24"/>
                <w:szCs w:val="24"/>
                <w:lang w:val="en-US" w:eastAsia="zh-CN" w:bidi="ar"/>
              </w:rPr>
              <w:t>分别由</w:t>
            </w:r>
            <w:r>
              <w:rPr>
                <w:rFonts w:hint="default" w:ascii="Times New Roman" w:hAnsi="Times New Roman" w:eastAsia="宋体" w:cs="Times New Roman"/>
                <w:color w:val="auto"/>
                <w:kern w:val="0"/>
                <w:sz w:val="24"/>
                <w:szCs w:val="24"/>
                <w:lang w:val="en-US" w:eastAsia="zh-CN" w:bidi="ar"/>
              </w:rPr>
              <w:t>高度8米排气筒</w:t>
            </w:r>
            <w:r>
              <w:rPr>
                <w:rFonts w:hint="eastAsia" w:ascii="Times New Roman" w:hAnsi="Times New Roman" w:eastAsia="宋体" w:cs="Times New Roman"/>
                <w:color w:val="auto"/>
                <w:kern w:val="0"/>
                <w:sz w:val="24"/>
                <w:szCs w:val="24"/>
                <w:lang w:val="en-US" w:eastAsia="zh-CN" w:bidi="ar"/>
              </w:rPr>
              <w:t>排放（</w:t>
            </w:r>
            <w:r>
              <w:rPr>
                <w:rFonts w:hint="default" w:ascii="Times New Roman" w:hAnsi="Times New Roman" w:eastAsia="宋体" w:cs="Times New Roman"/>
                <w:color w:val="auto"/>
                <w:kern w:val="0"/>
                <w:sz w:val="24"/>
                <w:szCs w:val="24"/>
                <w:lang w:val="en-US" w:eastAsia="zh-CN" w:bidi="ar"/>
              </w:rPr>
              <w:t>DA001、DA002</w:t>
            </w:r>
            <w:r>
              <w:rPr>
                <w:rFonts w:hint="eastAsia" w:ascii="Times New Roman" w:hAnsi="Times New Roman" w:eastAsia="宋体" w:cs="Times New Roman"/>
                <w:color w:val="auto"/>
                <w:kern w:val="0"/>
                <w:sz w:val="24"/>
                <w:szCs w:val="24"/>
                <w:lang w:val="en-US" w:eastAsia="zh-CN" w:bidi="ar"/>
              </w:rPr>
              <w:t>、DA003）；油烟废气由油烟净化器处理后，通过油烟管道引至楼顶排放，对项目所在地环境空气的影响较小。</w:t>
            </w:r>
          </w:p>
          <w:p>
            <w:pPr>
              <w:numPr>
                <w:ilvl w:val="0"/>
                <w:numId w:val="0"/>
              </w:numPr>
              <w:adjustRightInd w:val="0"/>
              <w:snapToGrid w:val="0"/>
              <w:spacing w:line="360" w:lineRule="auto"/>
              <w:ind w:firstLine="482" w:firstLineChars="200"/>
              <w:jc w:val="left"/>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二</w:t>
            </w:r>
            <w:r>
              <w:rPr>
                <w:rFonts w:hint="default" w:ascii="Times New Roman" w:hAnsi="Times New Roman" w:cs="Times New Roman"/>
                <w:b/>
                <w:bCs/>
                <w:kern w:val="0"/>
                <w:sz w:val="24"/>
                <w:szCs w:val="24"/>
                <w:lang w:val="en-US" w:eastAsia="zh-CN" w:bidi="ar-SA"/>
              </w:rPr>
              <w:t>、</w:t>
            </w:r>
            <w:r>
              <w:rPr>
                <w:rFonts w:hint="default" w:ascii="Times New Roman" w:hAnsi="Times New Roman" w:cs="Times New Roman"/>
                <w:b/>
                <w:bCs/>
                <w:kern w:val="0"/>
                <w:sz w:val="24"/>
                <w:szCs w:val="24"/>
                <w:lang w:val="en-US" w:eastAsia="zh-CN"/>
              </w:rPr>
              <w:t>地表水环境</w:t>
            </w:r>
          </w:p>
          <w:p>
            <w:pPr>
              <w:numPr>
                <w:ilvl w:val="0"/>
                <w:numId w:val="0"/>
              </w:numPr>
              <w:adjustRightInd w:val="0"/>
              <w:snapToGrid w:val="0"/>
              <w:spacing w:line="360" w:lineRule="auto"/>
              <w:ind w:firstLine="480" w:firstLineChars="200"/>
              <w:jc w:val="left"/>
              <w:rPr>
                <w:rFonts w:hint="default" w:ascii="Times New Roman" w:hAnsi="Times New Roman" w:cs="Times New Roman"/>
                <w:b/>
                <w:bCs/>
                <w:kern w:val="0"/>
                <w:sz w:val="24"/>
                <w:szCs w:val="24"/>
                <w:lang w:val="en-US" w:eastAsia="zh-CN"/>
              </w:rPr>
            </w:pPr>
            <w:r>
              <w:rPr>
                <w:rFonts w:hint="default" w:ascii="Times New Roman" w:hAnsi="Times New Roman" w:eastAsia="宋体" w:cs="Times New Roman"/>
                <w:sz w:val="24"/>
                <w:szCs w:val="24"/>
              </w:rPr>
              <w:t>本次水环境质量引用《乐山市生态环境保护委员会办公室关于2024年第四季度及全年环境空气质量、水环境质量情况的通报》中的统计数据进行评价。本项目位于乐山市</w:t>
            </w:r>
            <w:r>
              <w:rPr>
                <w:rFonts w:hint="eastAsia" w:ascii="Times New Roman" w:hAnsi="Times New Roman" w:eastAsia="宋体" w:cs="Times New Roman"/>
                <w:sz w:val="24"/>
                <w:szCs w:val="24"/>
                <w:lang w:val="en-US" w:eastAsia="zh-CN"/>
              </w:rPr>
              <w:t>市中心全福镇</w:t>
            </w:r>
            <w:r>
              <w:rPr>
                <w:rFonts w:hint="default" w:ascii="Times New Roman" w:hAnsi="Times New Roman" w:eastAsia="宋体" w:cs="Times New Roman"/>
                <w:sz w:val="24"/>
                <w:szCs w:val="24"/>
              </w:rPr>
              <w:t>，所在区域地表水体主要为岷江，乐山市岷江干流及主要支流共设置国考断面6个、省考断面8个，统计数据表明，2024年，全市6个国考断面均达到或优于地表水II类水质标准，水质优断面占比100%。全市8个省考断面均达或优于地表水III类水质标准，优良断面占比100%。因此，本项目区域水环境质量现状良好</w:t>
            </w:r>
          </w:p>
          <w:p>
            <w:pPr>
              <w:numPr>
                <w:ilvl w:val="0"/>
                <w:numId w:val="0"/>
              </w:numPr>
              <w:adjustRightInd w:val="0"/>
              <w:snapToGrid w:val="0"/>
              <w:spacing w:line="240" w:lineRule="auto"/>
              <w:jc w:val="left"/>
              <w:rPr>
                <w:rFonts w:hint="default" w:ascii="Times New Roman" w:hAnsi="Times New Roman" w:cs="Times New Roman"/>
                <w:b/>
                <w:bCs/>
                <w:kern w:val="0"/>
                <w:sz w:val="24"/>
                <w:szCs w:val="24"/>
                <w:lang w:val="en-US" w:eastAsia="zh-CN"/>
              </w:rPr>
            </w:pPr>
            <w:r>
              <w:rPr>
                <w:sz w:val="24"/>
                <w:szCs w:val="24"/>
              </w:rPr>
              <w:drawing>
                <wp:inline distT="0" distB="0" distL="114300" distR="114300">
                  <wp:extent cx="5167630" cy="2854325"/>
                  <wp:effectExtent l="0" t="0" r="13970" b="3175"/>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24"/>
                          <a:stretch>
                            <a:fillRect/>
                          </a:stretch>
                        </pic:blipFill>
                        <pic:spPr>
                          <a:xfrm>
                            <a:off x="0" y="0"/>
                            <a:ext cx="5167630" cy="2854325"/>
                          </a:xfrm>
                          <a:prstGeom prst="rect">
                            <a:avLst/>
                          </a:prstGeom>
                          <a:noFill/>
                          <a:ln>
                            <a:noFill/>
                          </a:ln>
                        </pic:spPr>
                      </pic:pic>
                    </a:graphicData>
                  </a:graphic>
                </wp:inline>
              </w:drawing>
            </w:r>
          </w:p>
          <w:p>
            <w:pPr>
              <w:numPr>
                <w:ilvl w:val="0"/>
                <w:numId w:val="0"/>
              </w:numPr>
              <w:adjustRightInd w:val="0"/>
              <w:snapToGrid w:val="0"/>
              <w:spacing w:line="360" w:lineRule="auto"/>
              <w:jc w:val="center"/>
              <w:rPr>
                <w:rFonts w:hint="eastAsia" w:ascii="Times New Roman" w:hAnsi="Times New Roman" w:cs="Times New Roman"/>
                <w:b/>
                <w:bCs/>
                <w:kern w:val="0"/>
                <w:sz w:val="21"/>
                <w:szCs w:val="21"/>
                <w:lang w:val="en-US" w:eastAsia="zh-CN"/>
              </w:rPr>
            </w:pPr>
            <w:r>
              <w:rPr>
                <w:rFonts w:hint="default" w:ascii="Times New Roman" w:hAnsi="Times New Roman" w:cs="Times New Roman"/>
                <w:b/>
                <w:bCs/>
                <w:kern w:val="0"/>
                <w:sz w:val="21"/>
                <w:szCs w:val="21"/>
                <w:lang w:val="en-US" w:eastAsia="zh-CN"/>
              </w:rPr>
              <w:t>图3-1  2024年第四季度及全年乐山市水质断面考核</w:t>
            </w:r>
            <w:r>
              <w:rPr>
                <w:rFonts w:hint="eastAsia" w:ascii="Times New Roman" w:hAnsi="Times New Roman" w:cs="Times New Roman"/>
                <w:b/>
                <w:bCs/>
                <w:kern w:val="0"/>
                <w:sz w:val="21"/>
                <w:szCs w:val="21"/>
                <w:lang w:val="en-US" w:eastAsia="zh-CN"/>
              </w:rPr>
              <w:t>情况</w:t>
            </w:r>
          </w:p>
          <w:p>
            <w:pPr>
              <w:numPr>
                <w:ilvl w:val="0"/>
                <w:numId w:val="0"/>
              </w:num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三、</w:t>
            </w:r>
            <w:r>
              <w:rPr>
                <w:rFonts w:hint="eastAsia" w:ascii="Times New Roman" w:hAnsi="Times New Roman" w:cs="Times New Roman"/>
                <w:b/>
                <w:bCs/>
                <w:kern w:val="0"/>
                <w:sz w:val="24"/>
                <w:szCs w:val="24"/>
                <w:lang w:val="en-US" w:eastAsia="zh-CN"/>
              </w:rPr>
              <w:t>声环境</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根据《建设项目环境影响报告表编制技术指南</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污染影响类）</w:t>
            </w:r>
            <w:r>
              <w:rPr>
                <w:rFonts w:hint="eastAsia" w:cs="Times New Roman"/>
                <w:b w:val="0"/>
                <w:bCs w:val="0"/>
                <w:kern w:val="0"/>
                <w:sz w:val="24"/>
                <w:szCs w:val="24"/>
                <w:lang w:val="en-US" w:eastAsia="zh-CN"/>
              </w:rPr>
              <w:t>（</w:t>
            </w:r>
            <w:r>
              <w:rPr>
                <w:rFonts w:hint="eastAsia" w:ascii="Times New Roman" w:hAnsi="Times New Roman" w:cs="Times New Roman"/>
                <w:b w:val="0"/>
                <w:bCs w:val="0"/>
                <w:kern w:val="0"/>
                <w:sz w:val="24"/>
                <w:szCs w:val="24"/>
                <w:lang w:val="en-US" w:eastAsia="zh-CN"/>
              </w:rPr>
              <w:t>试行）》</w:t>
            </w:r>
            <w:r>
              <w:rPr>
                <w:rFonts w:hint="default" w:ascii="宋体" w:hAnsi="宋体" w:eastAsia="宋体" w:cs="宋体"/>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厂界外周边50米范围内存在声环境保护目标的建设项目，应监测保护目标声环境质量现状并评价达标情况</w:t>
            </w:r>
            <w:r>
              <w:rPr>
                <w:rFonts w:hint="eastAsia" w:ascii="宋体" w:hAnsi="宋体" w:eastAsia="宋体" w:cs="宋体"/>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，本项目位于乐山市市中区全福街道石农村</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嘉州食品饮料产业园），项目周边50m范围内无声环境敏感目标。因此，本项目未进行声环境质量现状监测。</w:t>
            </w:r>
          </w:p>
          <w:p>
            <w:pPr>
              <w:numPr>
                <w:ilvl w:val="0"/>
                <w:numId w:val="0"/>
              </w:num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bidi="ar-SA"/>
              </w:rPr>
            </w:pPr>
          </w:p>
          <w:p>
            <w:pPr>
              <w:numPr>
                <w:ilvl w:val="0"/>
                <w:numId w:val="0"/>
              </w:num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四、</w:t>
            </w:r>
            <w:r>
              <w:rPr>
                <w:rFonts w:hint="eastAsia" w:ascii="Times New Roman" w:hAnsi="Times New Roman" w:cs="Times New Roman"/>
                <w:b/>
                <w:bCs/>
                <w:kern w:val="0"/>
                <w:sz w:val="24"/>
                <w:szCs w:val="24"/>
                <w:lang w:val="en-US" w:eastAsia="zh-CN"/>
              </w:rPr>
              <w:t>生态环境</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本项目位于乐山市市中区全福街道石农村</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嘉州食品饮料产业园）工业园区内，项目周边自然植被少，人类活动频繁。项目占地范围内无重要物种、生态敏感区以及其他需要保护的物种、种群、生物群落及生态空间等生态环境保护目标。</w:t>
            </w:r>
          </w:p>
          <w:p>
            <w:pPr>
              <w:numPr>
                <w:ilvl w:val="0"/>
                <w:numId w:val="0"/>
              </w:num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五、</w:t>
            </w:r>
            <w:r>
              <w:rPr>
                <w:rFonts w:hint="eastAsia" w:ascii="Times New Roman" w:hAnsi="Times New Roman" w:cs="Times New Roman"/>
                <w:b/>
                <w:bCs/>
                <w:kern w:val="0"/>
                <w:sz w:val="24"/>
                <w:szCs w:val="24"/>
                <w:lang w:val="en-US" w:eastAsia="zh-CN"/>
              </w:rPr>
              <w:t>电磁辐射</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eastAsia" w:ascii="Times New Roman" w:hAnsi="Times New Roman" w:cs="Times New Roman"/>
                <w:b w:val="0"/>
                <w:bCs w:val="0"/>
                <w:kern w:val="0"/>
                <w:sz w:val="24"/>
                <w:szCs w:val="24"/>
                <w:lang w:val="en-US" w:eastAsia="zh-CN"/>
              </w:rPr>
              <w:t>本项目不属于电磁辐射类项目，本次不进行电磁辐射现状调查及评价。</w:t>
            </w:r>
          </w:p>
          <w:p>
            <w:pPr>
              <w:numPr>
                <w:ilvl w:val="0"/>
                <w:numId w:val="0"/>
              </w:numPr>
              <w:adjustRightInd w:val="0"/>
              <w:snapToGrid w:val="0"/>
              <w:spacing w:line="360" w:lineRule="auto"/>
              <w:ind w:firstLine="482" w:firstLineChars="200"/>
              <w:jc w:val="left"/>
              <w:rPr>
                <w:rFonts w:hint="eastAsia"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bidi="ar-SA"/>
              </w:rPr>
              <w:t>六、</w:t>
            </w:r>
            <w:r>
              <w:rPr>
                <w:rFonts w:hint="eastAsia" w:ascii="Times New Roman" w:hAnsi="Times New Roman" w:cs="Times New Roman"/>
                <w:b/>
                <w:bCs/>
                <w:kern w:val="0"/>
                <w:sz w:val="24"/>
                <w:szCs w:val="24"/>
                <w:lang w:val="en-US" w:eastAsia="zh-CN"/>
              </w:rPr>
              <w:t>地下水、土壤环境</w:t>
            </w:r>
          </w:p>
          <w:p>
            <w:pPr>
              <w:numPr>
                <w:ilvl w:val="0"/>
                <w:numId w:val="0"/>
              </w:numPr>
              <w:adjustRightInd w:val="0"/>
              <w:snapToGrid w:val="0"/>
              <w:spacing w:line="360" w:lineRule="auto"/>
              <w:ind w:firstLine="480" w:firstLineChars="200"/>
              <w:jc w:val="left"/>
              <w:rPr>
                <w:rFonts w:hint="default" w:ascii="Times New Roman" w:hAnsi="Times New Roman" w:cs="Times New Roman"/>
                <w:b/>
                <w:bCs/>
                <w:kern w:val="0"/>
                <w:sz w:val="24"/>
                <w:szCs w:val="24"/>
                <w:lang w:val="en-US" w:eastAsia="zh-CN"/>
              </w:rPr>
            </w:pPr>
            <w:r>
              <w:rPr>
                <w:rFonts w:hint="default" w:ascii="Times New Roman" w:hAnsi="Times New Roman" w:cs="Times New Roman"/>
                <w:b w:val="0"/>
                <w:bCs w:val="0"/>
                <w:kern w:val="0"/>
                <w:sz w:val="24"/>
                <w:szCs w:val="24"/>
                <w:lang w:val="en-US" w:eastAsia="zh-CN"/>
              </w:rPr>
              <w:t>根据《建设项目环境影响报告表编制技术指南</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污染影响类）</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试行）》：</w:t>
            </w:r>
            <w:r>
              <w:rPr>
                <w:rFonts w:hint="default" w:ascii="宋体" w:hAnsi="宋体" w:eastAsia="宋体" w:cs="宋体"/>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原则上不开展环境质量现状调查。建设项目存在土壤、地下水环境污染途径的，应结合污染源、保护目标分布情况开展现状调查以留作背景值。</w:t>
            </w:r>
            <w:r>
              <w:rPr>
                <w:rFonts w:hint="eastAsia" w:ascii="宋体" w:hAnsi="宋体" w:eastAsia="宋体" w:cs="宋体"/>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根据现场调查厂区均为混凝土硬化地面，项目生产车间</w:t>
            </w:r>
            <w:r>
              <w:rPr>
                <w:rFonts w:hint="eastAsia" w:ascii="Times New Roman" w:hAnsi="Times New Roman" w:cs="Times New Roman"/>
                <w:b w:val="0"/>
                <w:bCs w:val="0"/>
                <w:kern w:val="0"/>
                <w:sz w:val="24"/>
                <w:szCs w:val="24"/>
                <w:lang w:val="en-US" w:eastAsia="zh-CN"/>
              </w:rPr>
              <w:t>已</w:t>
            </w:r>
            <w:r>
              <w:rPr>
                <w:rFonts w:hint="default" w:ascii="Times New Roman" w:hAnsi="Times New Roman" w:cs="Times New Roman"/>
                <w:b w:val="0"/>
                <w:bCs w:val="0"/>
                <w:kern w:val="0"/>
                <w:sz w:val="24"/>
                <w:szCs w:val="24"/>
                <w:lang w:val="en-US" w:eastAsia="zh-CN"/>
              </w:rPr>
              <w:t>进行防渗处理，项目位于乐山市市中区全福街道石农村</w:t>
            </w: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乐山味道食品饮料产业园）周边主要为工业建设用地，无地下水集中式饮用水源和分散式取水点。因此，本次评价未开展地下水、土壤现状调查</w:t>
            </w:r>
            <w:r>
              <w:rPr>
                <w:rFonts w:hint="eastAsia" w:ascii="Times New Roman" w:hAnsi="Times New Roman" w:cs="Times New Roman"/>
                <w:b w:val="0"/>
                <w:bCs w:val="0"/>
                <w:kern w:val="0"/>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653" w:type="dxa"/>
            <w:noWrap w:val="0"/>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环境</w:t>
            </w:r>
          </w:p>
          <w:p>
            <w:pPr>
              <w:adjustRightInd w:val="0"/>
              <w:snapToGrid w:val="0"/>
              <w:jc w:val="center"/>
              <w:rPr>
                <w:rFonts w:hint="eastAsia" w:ascii="宋体" w:hAnsi="宋体" w:cs="宋体"/>
                <w:kern w:val="0"/>
                <w:szCs w:val="21"/>
              </w:rPr>
            </w:pPr>
            <w:r>
              <w:rPr>
                <w:rFonts w:hint="eastAsia" w:ascii="宋体" w:hAnsi="宋体" w:cs="宋体"/>
                <w:kern w:val="0"/>
                <w:szCs w:val="21"/>
              </w:rPr>
              <w:t>保护</w:t>
            </w:r>
          </w:p>
          <w:p>
            <w:pPr>
              <w:adjustRightInd w:val="0"/>
              <w:snapToGrid w:val="0"/>
              <w:jc w:val="center"/>
              <w:rPr>
                <w:rFonts w:hint="eastAsia" w:ascii="宋体" w:hAnsi="宋体" w:cs="宋体"/>
                <w:kern w:val="0"/>
                <w:szCs w:val="21"/>
              </w:rPr>
            </w:pPr>
            <w:r>
              <w:rPr>
                <w:rFonts w:hint="eastAsia" w:ascii="宋体" w:hAnsi="宋体" w:cs="宋体"/>
                <w:kern w:val="0"/>
                <w:szCs w:val="21"/>
              </w:rPr>
              <w:t>目标</w:t>
            </w:r>
          </w:p>
        </w:tc>
        <w:tc>
          <w:tcPr>
            <w:tcW w:w="8408" w:type="dxa"/>
            <w:noWrap w:val="0"/>
            <w:vAlign w:val="center"/>
          </w:tcPr>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大气环境：项目评价区内的环境保护目标的环境空气质量，应达到国家《环境空气质量标准》</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GB3095-2012）</w:t>
            </w:r>
            <w:r>
              <w:rPr>
                <w:rFonts w:hint="eastAsia" w:ascii="Times New Roman" w:hAnsi="Times New Roman" w:cs="Times New Roman"/>
                <w:b w:val="0"/>
                <w:bCs w:val="0"/>
                <w:kern w:val="0"/>
                <w:sz w:val="24"/>
                <w:szCs w:val="24"/>
                <w:lang w:val="en-US" w:eastAsia="zh-CN"/>
              </w:rPr>
              <w:t>及其修改清单中</w:t>
            </w:r>
            <w:r>
              <w:rPr>
                <w:rFonts w:hint="default" w:ascii="Times New Roman" w:hAnsi="Times New Roman" w:cs="Times New Roman"/>
                <w:b w:val="0"/>
                <w:bCs w:val="0"/>
                <w:kern w:val="0"/>
                <w:sz w:val="24"/>
                <w:szCs w:val="24"/>
                <w:lang w:val="en-US" w:eastAsia="zh-CN"/>
              </w:rPr>
              <w:t>二级标准要求。项目500米大气环境敏感点的环境敏感点主要为周边农户。</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声环境：声环境保护目标以项目为中心50m范围内的噪声敏感区，根据乐山市生态环境局关于</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乐山市中心城区声环境功能区划分方案</w:t>
            </w:r>
            <w:r>
              <w:rPr>
                <w:rFonts w:hint="eastAsia" w:ascii="Times New Roman" w:hAnsi="Times New Roman" w:cs="Times New Roman"/>
                <w:b w:val="0"/>
                <w:bCs w:val="0"/>
                <w:kern w:val="0"/>
                <w:sz w:val="24"/>
                <w:szCs w:val="24"/>
                <w:lang w:val="en-US" w:eastAsia="zh-CN"/>
              </w:rPr>
              <w:t>（征求意见稿）》</w:t>
            </w:r>
            <w:r>
              <w:rPr>
                <w:rFonts w:hint="default" w:ascii="Times New Roman" w:hAnsi="Times New Roman" w:cs="Times New Roman"/>
                <w:b w:val="0"/>
                <w:bCs w:val="0"/>
                <w:kern w:val="0"/>
                <w:sz w:val="24"/>
                <w:szCs w:val="24"/>
                <w:lang w:val="en-US" w:eastAsia="zh-CN"/>
              </w:rPr>
              <w:t>的解释说明，本项目所在地属于</w:t>
            </w:r>
            <w:r>
              <w:rPr>
                <w:rFonts w:hint="eastAsia" w:ascii="Times New Roman" w:hAnsi="Times New Roman" w:cs="Times New Roman"/>
                <w:b w:val="0"/>
                <w:bCs w:val="0"/>
                <w:kern w:val="0"/>
                <w:sz w:val="24"/>
                <w:szCs w:val="24"/>
                <w:lang w:val="en-US" w:eastAsia="zh-CN"/>
              </w:rPr>
              <w:t>乐山味道食品饮料产业园，工业园区</w:t>
            </w:r>
            <w:r>
              <w:rPr>
                <w:rFonts w:hint="default" w:ascii="Times New Roman" w:hAnsi="Times New Roman" w:cs="Times New Roman"/>
                <w:b w:val="0"/>
                <w:bCs w:val="0"/>
                <w:kern w:val="0"/>
                <w:sz w:val="24"/>
                <w:szCs w:val="24"/>
                <w:lang w:val="en-US" w:eastAsia="zh-CN"/>
              </w:rPr>
              <w:t>应达到《声环境质量标准》</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GB3096-2008）</w:t>
            </w:r>
            <w:r>
              <w:rPr>
                <w:rFonts w:hint="eastAsia" w:ascii="Times New Roman" w:hAnsi="Times New Roman" w:cs="Times New Roman"/>
                <w:b w:val="0"/>
                <w:bCs w:val="0"/>
                <w:kern w:val="0"/>
                <w:sz w:val="24"/>
                <w:szCs w:val="24"/>
                <w:lang w:val="en-US" w:eastAsia="zh-CN"/>
              </w:rPr>
              <w:t>3</w:t>
            </w:r>
            <w:r>
              <w:rPr>
                <w:rFonts w:hint="default" w:ascii="Times New Roman" w:hAnsi="Times New Roman" w:cs="Times New Roman"/>
                <w:b w:val="0"/>
                <w:bCs w:val="0"/>
                <w:kern w:val="0"/>
                <w:sz w:val="24"/>
                <w:szCs w:val="24"/>
                <w:lang w:val="en-US" w:eastAsia="zh-CN"/>
              </w:rPr>
              <w:t>类标准。项目50m范围内不存在声环境保护目标。</w:t>
            </w:r>
          </w:p>
          <w:p>
            <w:pPr>
              <w:numPr>
                <w:ilvl w:val="0"/>
                <w:numId w:val="0"/>
              </w:numPr>
              <w:adjustRightInd w:val="0"/>
              <w:snapToGrid w:val="0"/>
              <w:spacing w:line="360" w:lineRule="auto"/>
              <w:ind w:firstLine="480" w:firstLineChars="200"/>
              <w:jc w:val="left"/>
              <w:rPr>
                <w:rFonts w:hint="eastAsia"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地下水环境：厂界外500m范围内无地下水集中式饮用水水源和热水、矿泉水、温泉等特殊地下水资源</w:t>
            </w:r>
            <w:r>
              <w:rPr>
                <w:rFonts w:hint="eastAsia" w:ascii="Times New Roman" w:hAnsi="Times New Roman" w:cs="Times New Roman"/>
                <w:b w:val="0"/>
                <w:bCs w:val="0"/>
                <w:kern w:val="0"/>
                <w:sz w:val="24"/>
                <w:szCs w:val="24"/>
                <w:lang w:val="en-US" w:eastAsia="zh-CN"/>
              </w:rPr>
              <w:t>。</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地表水环境：项目评价区内的环境保护目标的地表水环境质量，应达到国家《地表水环境质量标准》</w:t>
            </w:r>
            <w:r>
              <w:rPr>
                <w:rFonts w:hint="eastAsia" w:ascii="Times New Roman" w:hAnsi="Times New Roman"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GB3838-2002）中规定的III类标准要求。</w:t>
            </w:r>
          </w:p>
          <w:p>
            <w:pPr>
              <w:numPr>
                <w:ilvl w:val="0"/>
                <w:numId w:val="0"/>
              </w:numPr>
              <w:adjustRightInd w:val="0"/>
              <w:snapToGrid w:val="0"/>
              <w:spacing w:line="360" w:lineRule="auto"/>
              <w:ind w:firstLine="480" w:firstLineChars="200"/>
              <w:jc w:val="left"/>
              <w:rPr>
                <w:rFonts w:hint="default" w:ascii="Times New Roman" w:hAnsi="Times New Roman" w:cs="Times New Roman"/>
                <w:b w:val="0"/>
                <w:bCs w:val="0"/>
                <w:kern w:val="0"/>
                <w:sz w:val="24"/>
                <w:szCs w:val="24"/>
                <w:lang w:val="en-US" w:eastAsia="zh-CN"/>
              </w:rPr>
            </w:pPr>
            <w:r>
              <w:rPr>
                <w:rFonts w:hint="default" w:ascii="Times New Roman" w:hAnsi="Times New Roman" w:cs="Times New Roman"/>
                <w:b w:val="0"/>
                <w:bCs w:val="0"/>
                <w:kern w:val="0"/>
                <w:sz w:val="24"/>
                <w:szCs w:val="24"/>
                <w:lang w:val="en-US" w:eastAsia="zh-CN"/>
              </w:rPr>
              <w:t>生态环境：项目位于工业园区内，周边200m范围无生态环境保护目标。本项目具体主要环境保护目标见下表，项目外环境及敏感点分布见附图2。</w:t>
            </w:r>
          </w:p>
          <w:p>
            <w:pPr>
              <w:numPr>
                <w:ilvl w:val="0"/>
                <w:numId w:val="0"/>
              </w:numPr>
              <w:adjustRightInd w:val="0"/>
              <w:snapToGrid w:val="0"/>
              <w:spacing w:line="240" w:lineRule="auto"/>
              <w:ind w:firstLine="422" w:firstLineChars="200"/>
              <w:jc w:val="center"/>
              <w:rPr>
                <w:rFonts w:hint="eastAsia"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表3-2  主要环境保护目标一览表</w:t>
            </w:r>
          </w:p>
          <w:tbl>
            <w:tblPr>
              <w:tblStyle w:val="42"/>
              <w:tblW w:w="825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1358"/>
              <w:gridCol w:w="1209"/>
              <w:gridCol w:w="1209"/>
              <w:gridCol w:w="1440"/>
              <w:gridCol w:w="1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1"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类别</w:t>
                  </w:r>
                </w:p>
              </w:tc>
              <w:tc>
                <w:tcPr>
                  <w:tcW w:w="822"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保护目标</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规模</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方位</w:t>
                  </w:r>
                </w:p>
              </w:tc>
              <w:tc>
                <w:tcPr>
                  <w:tcW w:w="872"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距离</w:t>
                  </w:r>
                </w:p>
              </w:tc>
              <w:tc>
                <w:tcPr>
                  <w:tcW w:w="1199"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bCs/>
                      <w:kern w:val="0"/>
                      <w:sz w:val="21"/>
                      <w:szCs w:val="21"/>
                      <w:vertAlign w:val="baseline"/>
                      <w:lang w:val="en-US" w:eastAsia="zh-CN"/>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41"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大气环境</w:t>
                  </w:r>
                </w:p>
              </w:tc>
              <w:tc>
                <w:tcPr>
                  <w:tcW w:w="82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农户</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10户，30人</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北</w:t>
                  </w:r>
                </w:p>
              </w:tc>
              <w:tc>
                <w:tcPr>
                  <w:tcW w:w="87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330m-498m</w:t>
                  </w:r>
                </w:p>
              </w:tc>
              <w:tc>
                <w:tcPr>
                  <w:tcW w:w="1199"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《环境空气质量标准》（GB3095-2012）及其修改清单（2018年7月通过）二级标准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1"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p>
              </w:tc>
              <w:tc>
                <w:tcPr>
                  <w:tcW w:w="82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农户</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8户，24人</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东</w:t>
                  </w:r>
                </w:p>
              </w:tc>
              <w:tc>
                <w:tcPr>
                  <w:tcW w:w="87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402m-475m</w:t>
                  </w:r>
                </w:p>
              </w:tc>
              <w:tc>
                <w:tcPr>
                  <w:tcW w:w="119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41"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p>
              </w:tc>
              <w:tc>
                <w:tcPr>
                  <w:tcW w:w="82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农户</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2户，6人</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东南</w:t>
                  </w:r>
                </w:p>
              </w:tc>
              <w:tc>
                <w:tcPr>
                  <w:tcW w:w="87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469m</w:t>
                  </w:r>
                </w:p>
              </w:tc>
              <w:tc>
                <w:tcPr>
                  <w:tcW w:w="119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3" w:hRule="atLeast"/>
              </w:trPr>
              <w:tc>
                <w:tcPr>
                  <w:tcW w:w="641"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p>
              </w:tc>
              <w:tc>
                <w:tcPr>
                  <w:tcW w:w="82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祝勇汽修厂</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5人</w:t>
                  </w:r>
                </w:p>
              </w:tc>
              <w:tc>
                <w:tcPr>
                  <w:tcW w:w="73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西</w:t>
                  </w:r>
                </w:p>
              </w:tc>
              <w:tc>
                <w:tcPr>
                  <w:tcW w:w="872" w:type="pct"/>
                  <w:noWrap w:val="0"/>
                  <w:vAlign w:val="center"/>
                </w:tcPr>
                <w:p>
                  <w:pPr>
                    <w:numPr>
                      <w:ilvl w:val="0"/>
                      <w:numId w:val="0"/>
                    </w:numPr>
                    <w:adjustRightInd w:val="0"/>
                    <w:snapToGrid w:val="0"/>
                    <w:spacing w:line="240" w:lineRule="auto"/>
                    <w:jc w:val="center"/>
                    <w:rPr>
                      <w:rFonts w:hint="default" w:ascii="Times New Roman" w:hAnsi="Times New Roman" w:cs="Times New Roman"/>
                      <w:b w:val="0"/>
                      <w:bCs w:val="0"/>
                      <w:kern w:val="0"/>
                      <w:sz w:val="21"/>
                      <w:szCs w:val="21"/>
                      <w:vertAlign w:val="baseline"/>
                      <w:lang w:val="en-US" w:eastAsia="zh-CN"/>
                    </w:rPr>
                  </w:pPr>
                  <w:r>
                    <w:rPr>
                      <w:rFonts w:hint="eastAsia" w:ascii="Times New Roman" w:hAnsi="Times New Roman" w:cs="Times New Roman"/>
                      <w:b w:val="0"/>
                      <w:bCs w:val="0"/>
                      <w:kern w:val="0"/>
                      <w:sz w:val="21"/>
                      <w:szCs w:val="21"/>
                      <w:vertAlign w:val="baseline"/>
                      <w:lang w:val="en-US" w:eastAsia="zh-CN"/>
                    </w:rPr>
                    <w:t>297m</w:t>
                  </w:r>
                </w:p>
              </w:tc>
              <w:tc>
                <w:tcPr>
                  <w:tcW w:w="119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
                      <w:bCs/>
                      <w:kern w:val="0"/>
                      <w:sz w:val="21"/>
                      <w:szCs w:val="21"/>
                      <w:vertAlign w:val="baseline"/>
                      <w:lang w:val="en-US" w:eastAsia="zh-CN"/>
                    </w:rPr>
                  </w:pPr>
                </w:p>
              </w:tc>
            </w:tr>
          </w:tbl>
          <w:p>
            <w:pPr>
              <w:adjustRightInd w:val="0"/>
              <w:snapToGrid w:val="0"/>
              <w:spacing w:line="360" w:lineRule="auto"/>
              <w:ind w:firstLine="480" w:firstLineChars="20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rPr>
              <w:t>地表水环境：项目评价区内的环境保护目标的地表水环境质量，应达到国家《地表水环境质量标准》</w:t>
            </w:r>
            <w:r>
              <w:rPr>
                <w:rFonts w:hint="eastAsia" w:cs="Times New Roman"/>
                <w:kern w:val="0"/>
                <w:sz w:val="24"/>
                <w:szCs w:val="24"/>
                <w:lang w:val="en-US" w:eastAsia="zh-CN"/>
              </w:rPr>
              <w:t>（</w:t>
            </w:r>
            <w:r>
              <w:rPr>
                <w:rFonts w:hint="default" w:ascii="Times New Roman" w:hAnsi="Times New Roman" w:cs="Times New Roman"/>
                <w:kern w:val="0"/>
                <w:sz w:val="24"/>
                <w:szCs w:val="24"/>
                <w:lang w:val="en-US" w:eastAsia="zh-CN"/>
              </w:rPr>
              <w:t>GB3838-2002）中规定的Ⅲ类标准要求。</w:t>
            </w:r>
          </w:p>
          <w:p>
            <w:pPr>
              <w:adjustRightInd w:val="0"/>
              <w:snapToGrid w:val="0"/>
              <w:ind w:firstLine="422" w:firstLineChars="200"/>
              <w:jc w:val="center"/>
              <w:rPr>
                <w:rFonts w:hint="default" w:ascii="Times New Roman" w:hAnsi="Times New Roman" w:cs="Times New Roman"/>
                <w:b/>
                <w:bCs/>
                <w:kern w:val="0"/>
                <w:sz w:val="21"/>
                <w:szCs w:val="21"/>
                <w:lang w:val="en-US" w:eastAsia="zh-CN"/>
              </w:rPr>
            </w:pPr>
            <w:r>
              <w:rPr>
                <w:rFonts w:hint="eastAsia" w:ascii="Times New Roman" w:hAnsi="Times New Roman" w:cs="Times New Roman"/>
                <w:b/>
                <w:bCs/>
                <w:kern w:val="0"/>
                <w:sz w:val="21"/>
                <w:szCs w:val="21"/>
                <w:lang w:val="en-US" w:eastAsia="zh-CN"/>
              </w:rPr>
              <w:t>表3-3  地表水保护目标</w:t>
            </w:r>
          </w:p>
          <w:tbl>
            <w:tblPr>
              <w:tblStyle w:val="42"/>
              <w:tblW w:w="82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8"/>
              <w:gridCol w:w="1588"/>
              <w:gridCol w:w="1588"/>
              <w:gridCol w:w="19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61" w:type="pct"/>
                  <w:noWrap w:val="0"/>
                  <w:vAlign w:val="center"/>
                </w:tcPr>
                <w:p>
                  <w:pPr>
                    <w:adjustRightInd w:val="0"/>
                    <w:snapToGrid w:val="0"/>
                    <w:jc w:val="center"/>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环境要素</w:t>
                  </w:r>
                </w:p>
              </w:tc>
              <w:tc>
                <w:tcPr>
                  <w:tcW w:w="961" w:type="pct"/>
                  <w:noWrap w:val="0"/>
                  <w:vAlign w:val="center"/>
                </w:tcPr>
                <w:p>
                  <w:pPr>
                    <w:adjustRightInd w:val="0"/>
                    <w:snapToGrid w:val="0"/>
                    <w:jc w:val="center"/>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保护目标</w:t>
                  </w:r>
                </w:p>
              </w:tc>
              <w:tc>
                <w:tcPr>
                  <w:tcW w:w="961" w:type="pct"/>
                  <w:noWrap w:val="0"/>
                  <w:vAlign w:val="center"/>
                </w:tcPr>
                <w:p>
                  <w:pPr>
                    <w:adjustRightInd w:val="0"/>
                    <w:snapToGrid w:val="0"/>
                    <w:jc w:val="center"/>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方位</w:t>
                  </w:r>
                </w:p>
              </w:tc>
              <w:tc>
                <w:tcPr>
                  <w:tcW w:w="961" w:type="pct"/>
                  <w:noWrap w:val="0"/>
                  <w:vAlign w:val="center"/>
                </w:tcPr>
                <w:p>
                  <w:pPr>
                    <w:adjustRightInd w:val="0"/>
                    <w:snapToGrid w:val="0"/>
                    <w:jc w:val="center"/>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距离</w:t>
                  </w:r>
                </w:p>
              </w:tc>
              <w:tc>
                <w:tcPr>
                  <w:tcW w:w="1154" w:type="pct"/>
                  <w:noWrap w:val="0"/>
                  <w:vAlign w:val="center"/>
                </w:tcPr>
                <w:p>
                  <w:pPr>
                    <w:adjustRightInd w:val="0"/>
                    <w:snapToGrid w:val="0"/>
                    <w:jc w:val="center"/>
                    <w:rPr>
                      <w:rFonts w:hint="default" w:ascii="Times New Roman" w:hAnsi="Times New Roman" w:eastAsia="宋体" w:cs="Times New Roman"/>
                      <w:b/>
                      <w:bCs/>
                      <w:kern w:val="0"/>
                      <w:sz w:val="21"/>
                      <w:szCs w:val="21"/>
                      <w:vertAlign w:val="baseline"/>
                      <w:lang w:val="en-US" w:eastAsia="zh-CN"/>
                    </w:rPr>
                  </w:pPr>
                  <w:r>
                    <w:rPr>
                      <w:rFonts w:hint="default" w:ascii="Times New Roman" w:hAnsi="Times New Roman" w:cs="Times New Roman"/>
                      <w:b/>
                      <w:bCs/>
                      <w:kern w:val="0"/>
                      <w:sz w:val="21"/>
                      <w:szCs w:val="21"/>
                      <w:vertAlign w:val="baseline"/>
                      <w:lang w:val="en-US" w:eastAsia="zh-CN"/>
                    </w:rPr>
                    <w:t>保护级别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61" w:type="pct"/>
                  <w:vMerge w:val="restar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eastAsia" w:ascii="Times New Roman" w:hAnsi="Times New Roman" w:cs="Times New Roman"/>
                      <w:kern w:val="0"/>
                      <w:sz w:val="21"/>
                      <w:szCs w:val="21"/>
                      <w:vertAlign w:val="baseline"/>
                      <w:lang w:val="en-US" w:eastAsia="zh-CN"/>
                    </w:rPr>
                    <w:t>地表水环境</w:t>
                  </w: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岷江</w:t>
                  </w: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西</w:t>
                  </w: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6000m</w:t>
                  </w:r>
                </w:p>
              </w:tc>
              <w:tc>
                <w:tcPr>
                  <w:tcW w:w="1154" w:type="pct"/>
                  <w:vMerge w:val="restart"/>
                  <w:noWrap w:val="0"/>
                  <w:vAlign w:val="center"/>
                </w:tcPr>
                <w:p>
                  <w:pPr>
                    <w:adjustRightInd w:val="0"/>
                    <w:snapToGrid w:val="0"/>
                    <w:jc w:val="center"/>
                    <w:rPr>
                      <w:rFonts w:hint="default" w:ascii="Times New Roman" w:hAnsi="Times New Roman" w:cs="Times New Roman"/>
                      <w:kern w:val="0"/>
                      <w:sz w:val="21"/>
                      <w:szCs w:val="21"/>
                      <w:vertAlign w:val="baseline"/>
                    </w:rPr>
                  </w:pPr>
                  <w:r>
                    <w:rPr>
                      <w:rFonts w:hint="default" w:ascii="Times New Roman" w:hAnsi="Times New Roman" w:cs="Times New Roman"/>
                      <w:b w:val="0"/>
                      <w:bCs w:val="0"/>
                      <w:kern w:val="0"/>
                      <w:sz w:val="21"/>
                      <w:szCs w:val="21"/>
                      <w:lang w:val="en-US" w:eastAsia="zh-CN"/>
                    </w:rPr>
                    <w:t>《地表水环境质量标准》</w:t>
                  </w:r>
                  <w:r>
                    <w:rPr>
                      <w:rFonts w:hint="eastAsia" w:ascii="Times New Roman" w:hAnsi="Times New Roman" w:cs="Times New Roman"/>
                      <w:b w:val="0"/>
                      <w:bCs w:val="0"/>
                      <w:kern w:val="0"/>
                      <w:sz w:val="21"/>
                      <w:szCs w:val="21"/>
                      <w:lang w:val="en-US" w:eastAsia="zh-CN"/>
                    </w:rPr>
                    <w:t>（</w:t>
                  </w:r>
                  <w:r>
                    <w:rPr>
                      <w:rFonts w:hint="default" w:ascii="Times New Roman" w:hAnsi="Times New Roman" w:cs="Times New Roman"/>
                      <w:b w:val="0"/>
                      <w:bCs w:val="0"/>
                      <w:kern w:val="0"/>
                      <w:sz w:val="21"/>
                      <w:szCs w:val="21"/>
                      <w:lang w:val="en-US" w:eastAsia="zh-CN"/>
                    </w:rPr>
                    <w:t>GB3838-2002）Ⅲ类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961" w:type="pct"/>
                  <w:vMerge w:val="continue"/>
                  <w:noWrap w:val="0"/>
                  <w:vAlign w:val="center"/>
                </w:tcPr>
                <w:p>
                  <w:pPr>
                    <w:adjustRightInd w:val="0"/>
                    <w:snapToGrid w:val="0"/>
                    <w:jc w:val="center"/>
                    <w:rPr>
                      <w:rFonts w:hint="default" w:ascii="Times New Roman" w:hAnsi="Times New Roman" w:cs="Times New Roman"/>
                      <w:kern w:val="0"/>
                      <w:sz w:val="21"/>
                      <w:szCs w:val="21"/>
                      <w:vertAlign w:val="baseline"/>
                    </w:rPr>
                  </w:pP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泥溪河</w:t>
                  </w: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东南</w:t>
                  </w:r>
                </w:p>
              </w:tc>
              <w:tc>
                <w:tcPr>
                  <w:tcW w:w="961" w:type="pct"/>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cs="Times New Roman"/>
                      <w:kern w:val="0"/>
                      <w:sz w:val="21"/>
                      <w:szCs w:val="21"/>
                      <w:vertAlign w:val="baseline"/>
                      <w:lang w:val="en-US" w:eastAsia="zh-CN"/>
                    </w:rPr>
                    <w:t>2900m</w:t>
                  </w:r>
                </w:p>
              </w:tc>
              <w:tc>
                <w:tcPr>
                  <w:tcW w:w="1154" w:type="pct"/>
                  <w:vMerge w:val="continue"/>
                  <w:noWrap w:val="0"/>
                  <w:vAlign w:val="center"/>
                </w:tcPr>
                <w:p>
                  <w:pPr>
                    <w:adjustRightInd w:val="0"/>
                    <w:snapToGrid w:val="0"/>
                    <w:jc w:val="center"/>
                    <w:rPr>
                      <w:rFonts w:hint="default" w:ascii="Times New Roman" w:hAnsi="Times New Roman" w:cs="Times New Roman"/>
                      <w:kern w:val="0"/>
                      <w:sz w:val="21"/>
                      <w:szCs w:val="21"/>
                      <w:vertAlign w:val="baseline"/>
                    </w:rPr>
                  </w:pPr>
                </w:p>
              </w:tc>
            </w:tr>
          </w:tbl>
          <w:p>
            <w:pPr>
              <w:adjustRightInd w:val="0"/>
              <w:snapToGrid w:val="0"/>
              <w:jc w:val="left"/>
              <w:rPr>
                <w:rFonts w:hint="default" w:ascii="宋体" w:hAnsi="宋体" w:eastAsia="宋体" w:cs="宋体"/>
                <w:kern w:val="0"/>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653" w:type="dxa"/>
            <w:noWrap w:val="0"/>
            <w:tcMar>
              <w:left w:w="28" w:type="dxa"/>
              <w:right w:w="28"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污染</w:t>
            </w:r>
          </w:p>
          <w:p>
            <w:pPr>
              <w:adjustRightInd w:val="0"/>
              <w:snapToGrid w:val="0"/>
              <w:jc w:val="center"/>
              <w:rPr>
                <w:rFonts w:hint="eastAsia" w:ascii="宋体" w:hAnsi="宋体" w:cs="宋体"/>
                <w:kern w:val="0"/>
                <w:szCs w:val="21"/>
              </w:rPr>
            </w:pPr>
            <w:r>
              <w:rPr>
                <w:rFonts w:hint="eastAsia" w:ascii="宋体" w:hAnsi="宋体" w:cs="宋体"/>
                <w:kern w:val="0"/>
                <w:szCs w:val="21"/>
              </w:rPr>
              <w:t>物排</w:t>
            </w:r>
          </w:p>
          <w:p>
            <w:pPr>
              <w:adjustRightInd w:val="0"/>
              <w:snapToGrid w:val="0"/>
              <w:jc w:val="center"/>
              <w:rPr>
                <w:rFonts w:hint="eastAsia" w:ascii="宋体" w:hAnsi="宋体" w:cs="宋体"/>
                <w:kern w:val="0"/>
                <w:szCs w:val="21"/>
              </w:rPr>
            </w:pPr>
            <w:r>
              <w:rPr>
                <w:rFonts w:hint="eastAsia" w:ascii="宋体" w:hAnsi="宋体" w:cs="宋体"/>
                <w:kern w:val="0"/>
                <w:szCs w:val="21"/>
              </w:rPr>
              <w:t>放控</w:t>
            </w:r>
          </w:p>
          <w:p>
            <w:pPr>
              <w:adjustRightInd w:val="0"/>
              <w:snapToGrid w:val="0"/>
              <w:jc w:val="center"/>
              <w:rPr>
                <w:rFonts w:hint="eastAsia"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408" w:type="dxa"/>
            <w:noWrap w:val="0"/>
            <w:vAlign w:val="center"/>
          </w:tcPr>
          <w:p>
            <w:pPr>
              <w:numPr>
                <w:ilvl w:val="0"/>
                <w:numId w:val="0"/>
              </w:numPr>
              <w:adjustRightInd w:val="0"/>
              <w:snapToGrid w:val="0"/>
              <w:ind w:firstLine="482" w:firstLineChars="200"/>
              <w:jc w:val="left"/>
              <w:rPr>
                <w:rFonts w:hint="eastAsia" w:ascii="宋体" w:hAnsi="宋体" w:cs="宋体"/>
                <w:b/>
                <w:bCs/>
                <w:kern w:val="0"/>
                <w:sz w:val="24"/>
                <w:szCs w:val="24"/>
                <w:lang w:val="en-US" w:eastAsia="zh-CN"/>
              </w:rPr>
            </w:pPr>
            <w:r>
              <w:rPr>
                <w:rFonts w:hint="eastAsia" w:ascii="宋体" w:hAnsi="宋体" w:cs="宋体"/>
                <w:b/>
                <w:bCs/>
                <w:kern w:val="0"/>
                <w:sz w:val="24"/>
                <w:szCs w:val="24"/>
                <w:lang w:val="en-US" w:eastAsia="zh-CN" w:bidi="ar-SA"/>
              </w:rPr>
              <w:t>1、</w:t>
            </w:r>
            <w:r>
              <w:rPr>
                <w:rFonts w:hint="eastAsia" w:ascii="宋体" w:hAnsi="宋体" w:cs="宋体"/>
                <w:b/>
                <w:bCs/>
                <w:kern w:val="0"/>
                <w:sz w:val="24"/>
                <w:szCs w:val="24"/>
                <w:lang w:val="en-US" w:eastAsia="zh-CN"/>
              </w:rPr>
              <w:t>废气排放标准</w:t>
            </w:r>
          </w:p>
          <w:p>
            <w:pPr>
              <w:numPr>
                <w:ilvl w:val="0"/>
                <w:numId w:val="0"/>
              </w:numPr>
              <w:adjustRightInd w:val="0"/>
              <w:snapToGrid w:val="0"/>
              <w:ind w:firstLine="480" w:firstLineChars="200"/>
              <w:jc w:val="left"/>
              <w:rPr>
                <w:rFonts w:hint="default" w:ascii="宋体" w:hAnsi="宋体" w:cs="宋体"/>
                <w:b w:val="0"/>
                <w:bCs w:val="0"/>
                <w:kern w:val="0"/>
                <w:sz w:val="24"/>
                <w:szCs w:val="24"/>
                <w:lang w:val="en-US" w:eastAsia="zh-CN"/>
              </w:rPr>
            </w:pPr>
            <w:r>
              <w:rPr>
                <w:rFonts w:hint="eastAsia" w:cs="Times New Roman"/>
                <w:b w:val="0"/>
                <w:bCs w:val="0"/>
                <w:kern w:val="0"/>
                <w:sz w:val="24"/>
                <w:szCs w:val="24"/>
                <w:lang w:val="en-US" w:eastAsia="zh-CN"/>
              </w:rPr>
              <w:t>（</w:t>
            </w:r>
            <w:r>
              <w:rPr>
                <w:rFonts w:hint="default" w:ascii="Times New Roman" w:hAnsi="Times New Roman" w:cs="Times New Roman"/>
                <w:b w:val="0"/>
                <w:bCs w:val="0"/>
                <w:kern w:val="0"/>
                <w:sz w:val="24"/>
                <w:szCs w:val="24"/>
                <w:lang w:val="en-US" w:eastAsia="zh-CN"/>
              </w:rPr>
              <w:t>1）施</w:t>
            </w:r>
            <w:r>
              <w:rPr>
                <w:rFonts w:hint="eastAsia" w:ascii="宋体" w:hAnsi="宋体" w:cs="宋体"/>
                <w:b w:val="0"/>
                <w:bCs w:val="0"/>
                <w:kern w:val="0"/>
                <w:sz w:val="24"/>
                <w:szCs w:val="24"/>
                <w:lang w:val="en-US" w:eastAsia="zh-CN"/>
              </w:rPr>
              <w:t>工期</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color w:val="FF0000"/>
                <w:kern w:val="0"/>
                <w:sz w:val="24"/>
                <w:szCs w:val="24"/>
                <w:lang w:val="en-US" w:eastAsia="zh-CN" w:bidi="ar"/>
              </w:rPr>
            </w:pPr>
            <w:r>
              <w:rPr>
                <w:rFonts w:hint="eastAsia" w:ascii="宋体" w:hAnsi="宋体" w:cs="宋体"/>
                <w:kern w:val="0"/>
                <w:sz w:val="24"/>
                <w:szCs w:val="24"/>
                <w:lang w:val="en-US" w:eastAsia="zh-CN"/>
              </w:rPr>
              <w:t>施工期：</w:t>
            </w:r>
            <w:r>
              <w:rPr>
                <w:rFonts w:hint="eastAsia" w:ascii="Times New Roman" w:hAnsi="Times New Roman" w:eastAsia="宋体" w:cs="Times New Roman"/>
                <w:b w:val="0"/>
                <w:bCs w:val="0"/>
                <w:color w:val="auto"/>
                <w:sz w:val="24"/>
                <w:szCs w:val="24"/>
                <w:u w:val="none"/>
                <w:lang w:val="en-US" w:eastAsia="zh-CN"/>
              </w:rPr>
              <w:t>项目租用乐山味道食品饮料产业园16000平方米标准厂房，施工期废气为室内装修和购置安装生产设备机器所产生的无组织废气，</w:t>
            </w:r>
            <w:r>
              <w:rPr>
                <w:rFonts w:hint="eastAsia" w:ascii="Times New Roman" w:hAnsi="Times New Roman" w:eastAsia="宋体" w:cs="Times New Roman"/>
                <w:color w:val="auto"/>
                <w:kern w:val="0"/>
                <w:sz w:val="24"/>
                <w:szCs w:val="24"/>
                <w:lang w:val="en-US" w:eastAsia="zh-CN" w:bidi="ar"/>
              </w:rPr>
              <w:t>对项目所在地环境空气的影响较小。</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（2）运营期</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运营期：</w:t>
            </w:r>
            <w:r>
              <w:rPr>
                <w:rFonts w:hint="default" w:ascii="Times New Roman" w:hAnsi="Times New Roman" w:eastAsia="宋体" w:cs="Times New Roman"/>
                <w:b w:val="0"/>
                <w:bCs w:val="0"/>
                <w:color w:val="auto"/>
                <w:sz w:val="24"/>
                <w:szCs w:val="24"/>
                <w:u w:val="none"/>
                <w:lang w:val="en-US" w:eastAsia="zh-CN"/>
              </w:rPr>
              <w:t>天然气燃烧废气执行《锅炉大气污染物排放标准》</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GB13271-2014）表3大气污染特别排放限值中燃气锅炉排放限值要求；具体标准值见下表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表3-4  《锅炉大气污染物排放标准》（GB13271-2014）</w:t>
            </w:r>
          </w:p>
          <w:tbl>
            <w:tblPr>
              <w:tblStyle w:val="42"/>
              <w:tblW w:w="826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30"/>
              <w:gridCol w:w="41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污染物</w:t>
                  </w:r>
                </w:p>
              </w:tc>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superscript"/>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最高允许排放浓度（mg/m</w:t>
                  </w:r>
                  <w:r>
                    <w:rPr>
                      <w:rFonts w:hint="eastAsia" w:ascii="Times New Roman" w:hAnsi="Times New Roman" w:eastAsia="宋体" w:cs="Times New Roman"/>
                      <w:b w:val="0"/>
                      <w:bCs w:val="0"/>
                      <w:color w:val="auto"/>
                      <w:sz w:val="21"/>
                      <w:szCs w:val="21"/>
                      <w:u w:val="none"/>
                      <w:vertAlign w:val="superscript"/>
                      <w:lang w:val="en-US" w:eastAsia="zh-CN"/>
                    </w:rPr>
                    <w:t>3</w:t>
                  </w:r>
                  <w:r>
                    <w:rPr>
                      <w:rFonts w:hint="eastAsia" w:ascii="Times New Roman" w:hAnsi="Times New Roman" w:eastAsia="宋体" w:cs="Times New Roman"/>
                      <w:b w:val="0"/>
                      <w:bCs w:val="0"/>
                      <w:color w:val="auto"/>
                      <w:sz w:val="21"/>
                      <w:szCs w:val="21"/>
                      <w:u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颗粒物</w:t>
                  </w:r>
                </w:p>
              </w:tc>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二氧化硫</w:t>
                  </w:r>
                </w:p>
              </w:tc>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氮氧化物</w:t>
                  </w:r>
                </w:p>
              </w:tc>
              <w:tc>
                <w:tcPr>
                  <w:tcW w:w="4130" w:type="dxa"/>
                  <w:noWrap w:val="0"/>
                  <w:vAlign w:val="top"/>
                </w:tcPr>
                <w:p>
                  <w:pPr>
                    <w:numPr>
                      <w:ilvl w:val="0"/>
                      <w:numId w:val="0"/>
                    </w:numPr>
                    <w:adjustRightInd w:val="0"/>
                    <w:snapToGrid w:val="0"/>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150</w:t>
                  </w:r>
                </w:p>
              </w:tc>
            </w:tr>
          </w:tbl>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油烟执行《饮食业油烟排放标准》（GB18483-2001）表2饮食业的油烟最高允许排放浓度和油烟净化设置最低去除效率要求限值。具体标准值见下表。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表3-5  《饮食业油烟排放标准》（GB18483-2001）</w:t>
            </w:r>
          </w:p>
          <w:tbl>
            <w:tblPr>
              <w:tblStyle w:val="42"/>
              <w:tblW w:w="8218" w:type="dxa"/>
              <w:tblInd w:w="1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1671"/>
              <w:gridCol w:w="1603"/>
              <w:gridCol w:w="16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307" w:type="dxa"/>
                  <w:tcBorders>
                    <w:tl2br w:val="nil"/>
                  </w:tcBorders>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规模</w:t>
                  </w:r>
                </w:p>
              </w:tc>
              <w:tc>
                <w:tcPr>
                  <w:tcW w:w="1671"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小型</w:t>
                  </w:r>
                </w:p>
              </w:tc>
              <w:tc>
                <w:tcPr>
                  <w:tcW w:w="1603"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中型</w:t>
                  </w:r>
                </w:p>
              </w:tc>
              <w:tc>
                <w:tcPr>
                  <w:tcW w:w="1637" w:type="dxa"/>
                  <w:noWrap w:val="0"/>
                  <w:vAlign w:val="center"/>
                </w:tcPr>
                <w:p>
                  <w:pPr>
                    <w:adjustRightInd w:val="0"/>
                    <w:snapToGrid w:val="0"/>
                    <w:spacing w:line="240" w:lineRule="auto"/>
                    <w:jc w:val="center"/>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zh-CN" w:eastAsia="zh-CN"/>
                    </w:rPr>
                    <w:t>大型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30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zh-CN" w:eastAsia="zh-CN"/>
                    </w:rPr>
                  </w:pPr>
                  <w:r>
                    <w:rPr>
                      <w:rFonts w:hint="default" w:ascii="Times New Roman" w:hAnsi="Times New Roman" w:eastAsia="宋体" w:cs="Times New Roman"/>
                      <w:b w:val="0"/>
                      <w:color w:val="auto"/>
                      <w:sz w:val="21"/>
                      <w:szCs w:val="21"/>
                      <w:highlight w:val="none"/>
                      <w:lang w:val="zh-CN" w:eastAsia="zh-CN"/>
                    </w:rPr>
                    <w:t>基准灶头</w:t>
                  </w:r>
                </w:p>
              </w:tc>
              <w:tc>
                <w:tcPr>
                  <w:tcW w:w="1671"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1，＜3</w:t>
                  </w:r>
                </w:p>
              </w:tc>
              <w:tc>
                <w:tcPr>
                  <w:tcW w:w="1603"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zh-CN"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3，＜6</w:t>
                  </w:r>
                </w:p>
              </w:tc>
              <w:tc>
                <w:tcPr>
                  <w:tcW w:w="163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zh-CN"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30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zh-CN" w:eastAsia="zh-CN"/>
                    </w:rPr>
                  </w:pPr>
                  <w:r>
                    <w:rPr>
                      <w:rFonts w:hint="default" w:ascii="Times New Roman" w:hAnsi="Times New Roman" w:eastAsia="宋体" w:cs="Times New Roman"/>
                      <w:b w:val="0"/>
                      <w:color w:val="auto"/>
                      <w:sz w:val="21"/>
                      <w:szCs w:val="21"/>
                      <w:highlight w:val="none"/>
                      <w:lang w:val="zh-CN" w:eastAsia="zh-CN"/>
                    </w:rPr>
                    <w:t>对应灶头总功率</w:t>
                  </w:r>
                  <w:r>
                    <w:rPr>
                      <w:rFonts w:hint="eastAsia"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10</w:t>
                  </w:r>
                  <w:r>
                    <w:rPr>
                      <w:rFonts w:hint="default" w:ascii="Times New Roman" w:hAnsi="Times New Roman" w:eastAsia="宋体" w:cs="Times New Roman"/>
                      <w:b w:val="0"/>
                      <w:color w:val="auto"/>
                      <w:sz w:val="21"/>
                      <w:szCs w:val="21"/>
                      <w:highlight w:val="none"/>
                      <w:vertAlign w:val="superscript"/>
                      <w:lang w:val="en-US" w:eastAsia="zh-CN"/>
                    </w:rPr>
                    <w:t>8</w:t>
                  </w:r>
                  <w:r>
                    <w:rPr>
                      <w:rFonts w:hint="default" w:ascii="Times New Roman" w:hAnsi="Times New Roman" w:eastAsia="宋体" w:cs="Times New Roman"/>
                      <w:b w:val="0"/>
                      <w:color w:val="auto"/>
                      <w:sz w:val="21"/>
                      <w:szCs w:val="21"/>
                      <w:highlight w:val="none"/>
                      <w:lang w:val="en-US" w:eastAsia="zh-CN"/>
                    </w:rPr>
                    <w:t>J/h</w:t>
                  </w:r>
                  <w:r>
                    <w:rPr>
                      <w:rFonts w:hint="default" w:ascii="Times New Roman" w:hAnsi="Times New Roman" w:eastAsia="宋体" w:cs="Times New Roman"/>
                      <w:b w:val="0"/>
                      <w:color w:val="auto"/>
                      <w:sz w:val="21"/>
                      <w:szCs w:val="21"/>
                      <w:highlight w:val="none"/>
                      <w:lang w:val="zh-CN" w:eastAsia="zh-CN"/>
                    </w:rPr>
                    <w:t>）</w:t>
                  </w:r>
                </w:p>
              </w:tc>
              <w:tc>
                <w:tcPr>
                  <w:tcW w:w="1671"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1.67，＜5.00</w:t>
                  </w:r>
                </w:p>
              </w:tc>
              <w:tc>
                <w:tcPr>
                  <w:tcW w:w="1603"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5.00，＜10</w:t>
                  </w:r>
                </w:p>
              </w:tc>
              <w:tc>
                <w:tcPr>
                  <w:tcW w:w="163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30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zh-CN" w:eastAsia="zh-CN"/>
                    </w:rPr>
                  </w:pPr>
                  <w:r>
                    <w:rPr>
                      <w:rFonts w:hint="default" w:ascii="Times New Roman" w:hAnsi="Times New Roman" w:eastAsia="宋体" w:cs="Times New Roman"/>
                      <w:b w:val="0"/>
                      <w:color w:val="auto"/>
                      <w:sz w:val="21"/>
                      <w:szCs w:val="21"/>
                      <w:highlight w:val="none"/>
                      <w:lang w:val="zh-CN" w:eastAsia="zh-CN"/>
                    </w:rPr>
                    <w:t>对应排气罩灶面总投影面积</w:t>
                  </w:r>
                  <w:r>
                    <w:rPr>
                      <w:rFonts w:hint="eastAsia"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m</w:t>
                  </w:r>
                  <w:r>
                    <w:rPr>
                      <w:rFonts w:hint="default" w:ascii="Times New Roman" w:hAnsi="Times New Roman" w:eastAsia="宋体" w:cs="Times New Roman"/>
                      <w:b w:val="0"/>
                      <w:color w:val="auto"/>
                      <w:sz w:val="21"/>
                      <w:szCs w:val="21"/>
                      <w:highlight w:val="none"/>
                      <w:vertAlign w:val="superscript"/>
                      <w:lang w:val="en-US" w:eastAsia="zh-CN"/>
                    </w:rPr>
                    <w:t>2</w:t>
                  </w:r>
                  <w:r>
                    <w:rPr>
                      <w:rFonts w:hint="default" w:ascii="Times New Roman" w:hAnsi="Times New Roman" w:eastAsia="宋体" w:cs="Times New Roman"/>
                      <w:b w:val="0"/>
                      <w:color w:val="auto"/>
                      <w:sz w:val="21"/>
                      <w:szCs w:val="21"/>
                      <w:highlight w:val="none"/>
                      <w:lang w:val="zh-CN" w:eastAsia="zh-CN"/>
                    </w:rPr>
                    <w:t>）</w:t>
                  </w:r>
                </w:p>
              </w:tc>
              <w:tc>
                <w:tcPr>
                  <w:tcW w:w="1671"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1.1，＜3.3</w:t>
                  </w:r>
                </w:p>
              </w:tc>
              <w:tc>
                <w:tcPr>
                  <w:tcW w:w="1603"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3.3，＜6.6</w:t>
                  </w:r>
                </w:p>
              </w:tc>
              <w:tc>
                <w:tcPr>
                  <w:tcW w:w="163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30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最高允许排放浓度</w:t>
                  </w:r>
                  <w:r>
                    <w:rPr>
                      <w:rFonts w:hint="eastAsia"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b w:val="0"/>
                      <w:color w:val="auto"/>
                      <w:sz w:val="21"/>
                      <w:szCs w:val="21"/>
                      <w:highlight w:val="none"/>
                      <w:lang w:val="en-US" w:eastAsia="zh-CN"/>
                    </w:rPr>
                    <w:t>mg/m</w:t>
                  </w:r>
                  <w:r>
                    <w:rPr>
                      <w:rFonts w:hint="default" w:ascii="Times New Roman" w:hAnsi="Times New Roman" w:eastAsia="宋体" w:cs="Times New Roman"/>
                      <w:b w:val="0"/>
                      <w:color w:val="auto"/>
                      <w:sz w:val="21"/>
                      <w:szCs w:val="21"/>
                      <w:highlight w:val="none"/>
                      <w:vertAlign w:val="superscript"/>
                      <w:lang w:val="en-US" w:eastAsia="zh-CN"/>
                    </w:rPr>
                    <w:t>3</w:t>
                  </w:r>
                  <w:r>
                    <w:rPr>
                      <w:rFonts w:hint="default" w:ascii="Times New Roman" w:hAnsi="Times New Roman" w:eastAsia="宋体" w:cs="Times New Roman"/>
                      <w:b w:val="0"/>
                      <w:color w:val="auto"/>
                      <w:sz w:val="21"/>
                      <w:szCs w:val="21"/>
                      <w:highlight w:val="none"/>
                      <w:lang w:val="en-US" w:eastAsia="zh-CN"/>
                    </w:rPr>
                    <w:t>）</w:t>
                  </w:r>
                </w:p>
              </w:tc>
              <w:tc>
                <w:tcPr>
                  <w:tcW w:w="4911" w:type="dxa"/>
                  <w:gridSpan w:val="3"/>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330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zh-CN" w:eastAsia="zh-CN"/>
                    </w:rPr>
                    <w:t>净化设施最低去除效率</w:t>
                  </w:r>
                  <w:r>
                    <w:rPr>
                      <w:rFonts w:hint="eastAsia" w:ascii="Times New Roman" w:hAnsi="Times New Roman" w:eastAsia="宋体" w:cs="Times New Roman"/>
                      <w:b w:val="0"/>
                      <w:color w:val="auto"/>
                      <w:sz w:val="21"/>
                      <w:szCs w:val="21"/>
                      <w:highlight w:val="none"/>
                      <w:lang w:val="zh-CN" w:eastAsia="zh-CN"/>
                    </w:rPr>
                    <w:t>（</w:t>
                  </w:r>
                  <w:r>
                    <w:rPr>
                      <w:rFonts w:hint="default" w:ascii="Times New Roman" w:hAnsi="Times New Roman" w:eastAsia="宋体" w:cs="Times New Roman"/>
                      <w:b w:val="0"/>
                      <w:color w:val="auto"/>
                      <w:sz w:val="21"/>
                      <w:szCs w:val="21"/>
                      <w:highlight w:val="none"/>
                      <w:lang w:val="en-US" w:eastAsia="zh-CN"/>
                    </w:rPr>
                    <w:t>%</w:t>
                  </w:r>
                  <w:r>
                    <w:rPr>
                      <w:rFonts w:hint="default" w:ascii="Times New Roman" w:hAnsi="Times New Roman" w:eastAsia="宋体" w:cs="Times New Roman"/>
                      <w:b w:val="0"/>
                      <w:color w:val="auto"/>
                      <w:sz w:val="21"/>
                      <w:szCs w:val="21"/>
                      <w:highlight w:val="none"/>
                      <w:lang w:val="zh-CN" w:eastAsia="zh-CN"/>
                    </w:rPr>
                    <w:t>）</w:t>
                  </w:r>
                </w:p>
              </w:tc>
              <w:tc>
                <w:tcPr>
                  <w:tcW w:w="1671"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60</w:t>
                  </w:r>
                </w:p>
              </w:tc>
              <w:tc>
                <w:tcPr>
                  <w:tcW w:w="1603"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75</w:t>
                  </w:r>
                </w:p>
              </w:tc>
              <w:tc>
                <w:tcPr>
                  <w:tcW w:w="1637" w:type="dxa"/>
                  <w:noWrap w:val="0"/>
                  <w:vAlign w:val="center"/>
                </w:tcPr>
                <w:p>
                  <w:pPr>
                    <w:adjustRightInd w:val="0"/>
                    <w:snapToGrid w:val="0"/>
                    <w:spacing w:line="240" w:lineRule="auto"/>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85</w:t>
                  </w:r>
                </w:p>
              </w:tc>
            </w:tr>
          </w:tbl>
          <w:p>
            <w:pPr>
              <w:numPr>
                <w:ilvl w:val="0"/>
                <w:numId w:val="0"/>
              </w:numPr>
              <w:adjustRightInd w:val="0"/>
              <w:snapToGrid w:val="0"/>
              <w:spacing w:line="360" w:lineRule="auto"/>
              <w:ind w:firstLine="482" w:firstLineChars="200"/>
              <w:jc w:val="left"/>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sz w:val="24"/>
                <w:szCs w:val="24"/>
                <w:u w:val="none"/>
                <w:lang w:val="en-US" w:eastAsia="zh-CN"/>
              </w:rPr>
              <w:t>2、污水排放标准</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园区工业污水处理厂建成之前</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项目废水依托现有园内设置一体化处理装置</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200m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/d）</w:t>
            </w:r>
            <w:r>
              <w:rPr>
                <w:rFonts w:hint="eastAsia" w:ascii="Times New Roman" w:hAnsi="Times New Roman" w:eastAsia="宋体" w:cs="Times New Roman"/>
                <w:b w:val="0"/>
                <w:bCs w:val="0"/>
                <w:color w:val="auto"/>
                <w:sz w:val="24"/>
                <w:szCs w:val="24"/>
                <w:u w:val="none"/>
                <w:lang w:val="en-US" w:eastAsia="zh-CN"/>
              </w:rPr>
              <w:t>进行预处理，出水水质</w:t>
            </w:r>
            <w:r>
              <w:rPr>
                <w:rFonts w:hint="default" w:ascii="Times New Roman" w:hAnsi="Times New Roman" w:eastAsia="宋体" w:cs="Times New Roman"/>
                <w:b w:val="0"/>
                <w:bCs w:val="0"/>
                <w:color w:val="auto"/>
                <w:sz w:val="24"/>
                <w:szCs w:val="24"/>
                <w:u w:val="none"/>
                <w:lang w:val="en-US" w:eastAsia="zh-CN"/>
              </w:rPr>
              <w:t>达</w:t>
            </w:r>
            <w:r>
              <w:rPr>
                <w:rFonts w:hint="eastAsia" w:ascii="Times New Roman" w:hAnsi="Times New Roman" w:eastAsia="宋体" w:cs="Times New Roman"/>
                <w:b w:val="0"/>
                <w:bCs w:val="0"/>
                <w:color w:val="auto"/>
                <w:sz w:val="24"/>
                <w:szCs w:val="24"/>
                <w:u w:val="none"/>
                <w:lang w:val="en-US" w:eastAsia="zh-CN"/>
              </w:rPr>
              <w:t>到</w:t>
            </w:r>
            <w:r>
              <w:rPr>
                <w:rFonts w:hint="default" w:ascii="Times New Roman" w:hAnsi="Times New Roman" w:eastAsia="宋体" w:cs="Times New Roman"/>
                <w:b w:val="0"/>
                <w:bCs w:val="0"/>
                <w:color w:val="auto"/>
                <w:sz w:val="24"/>
                <w:szCs w:val="24"/>
                <w:u w:val="none"/>
                <w:lang w:val="en-US" w:eastAsia="zh-CN"/>
              </w:rPr>
              <w:t>《污水综合排放标准》</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GB8978-1996）三级标准，氯化物</w:t>
            </w:r>
            <w:r>
              <w:rPr>
                <w:rFonts w:hint="eastAsia" w:ascii="Times New Roman" w:hAnsi="Times New Roman" w:eastAsia="宋体" w:cs="Times New Roman"/>
                <w:b w:val="0"/>
                <w:bCs w:val="0"/>
                <w:color w:val="auto"/>
                <w:sz w:val="24"/>
                <w:szCs w:val="24"/>
                <w:u w:val="none"/>
                <w:lang w:val="en-US" w:eastAsia="zh-CN"/>
              </w:rPr>
              <w:t>执行</w:t>
            </w:r>
            <w:r>
              <w:rPr>
                <w:rFonts w:hint="eastAsia" w:ascii="Times New Roman" w:hAnsi="Times New Roman" w:eastAsia="宋体" w:cs="Times New Roman"/>
                <w:color w:val="auto"/>
                <w:sz w:val="24"/>
                <w:szCs w:val="24"/>
                <w:lang w:val="en-US" w:eastAsia="zh-CN"/>
              </w:rPr>
              <w:t>《四川省水污染排放标准》（DB51/190-93）W级</w:t>
            </w:r>
            <w:r>
              <w:rPr>
                <w:rFonts w:hint="default" w:ascii="Times New Roman" w:hAnsi="Times New Roman" w:eastAsia="宋体" w:cs="Times New Roman"/>
                <w:b w:val="0"/>
                <w:bCs w:val="0"/>
                <w:color w:val="auto"/>
                <w:sz w:val="24"/>
                <w:szCs w:val="24"/>
                <w:u w:val="none"/>
                <w:lang w:val="en-US" w:eastAsia="zh-CN"/>
              </w:rPr>
              <w:t>要求</w:t>
            </w:r>
            <w:r>
              <w:rPr>
                <w:rFonts w:hint="eastAsia" w:ascii="Times New Roman" w:hAnsi="Times New Roman" w:eastAsia="宋体" w:cs="Times New Roman"/>
                <w:b w:val="0"/>
                <w:bCs w:val="0"/>
                <w:color w:val="auto"/>
                <w:sz w:val="24"/>
                <w:szCs w:val="24"/>
                <w:u w:val="none"/>
                <w:lang w:val="en-US" w:eastAsia="zh-CN"/>
              </w:rPr>
              <w:t>，预处理后排入全福镇污水处理厂执行《四川省岷江、沱江流域水污染物排放标准》（DB51/2311-2016）中相关污染物排放标准排放；园区污水处理厂建成之后，项目废水排入园区污水处理厂处理，园区污水处理厂设计规模为1000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/d，执行《四川省岷江、沱江流域水污染物排放标准》（DB51/2311-2016）中相关污染物排放标准排放。</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表3-6  项目废水排放执行标准 单位：mg/L，pH无量纲</w:t>
            </w:r>
          </w:p>
          <w:tbl>
            <w:tblPr>
              <w:tblStyle w:val="42"/>
              <w:tblW w:w="821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589"/>
              <w:gridCol w:w="824"/>
              <w:gridCol w:w="956"/>
              <w:gridCol w:w="557"/>
              <w:gridCol w:w="1321"/>
              <w:gridCol w:w="795"/>
              <w:gridCol w:w="795"/>
              <w:gridCol w:w="1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0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污染物</w:t>
                  </w:r>
                </w:p>
              </w:tc>
              <w:tc>
                <w:tcPr>
                  <w:tcW w:w="35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pH</w:t>
                  </w:r>
                </w:p>
              </w:tc>
              <w:tc>
                <w:tcPr>
                  <w:tcW w:w="50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COD</w:t>
                  </w:r>
                </w:p>
              </w:tc>
              <w:tc>
                <w:tcPr>
                  <w:tcW w:w="58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BOD</w:t>
                  </w:r>
                  <w:r>
                    <w:rPr>
                      <w:rFonts w:hint="eastAsia" w:ascii="Times New Roman" w:hAnsi="Times New Roman" w:eastAsia="宋体" w:cs="Times New Roman"/>
                      <w:b/>
                      <w:bCs/>
                      <w:color w:val="auto"/>
                      <w:sz w:val="21"/>
                      <w:szCs w:val="21"/>
                      <w:u w:val="none"/>
                      <w:vertAlign w:val="subscript"/>
                      <w:lang w:val="en-US" w:eastAsia="zh-CN"/>
                    </w:rPr>
                    <w:t>5</w:t>
                  </w:r>
                </w:p>
              </w:tc>
              <w:tc>
                <w:tcPr>
                  <w:tcW w:w="33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SS</w:t>
                  </w:r>
                </w:p>
              </w:tc>
              <w:tc>
                <w:tcPr>
                  <w:tcW w:w="80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动植物油</w:t>
                  </w:r>
                </w:p>
              </w:tc>
              <w:tc>
                <w:tcPr>
                  <w:tcW w:w="48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总磷</w:t>
                  </w:r>
                </w:p>
              </w:tc>
              <w:tc>
                <w:tcPr>
                  <w:tcW w:w="48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氨氮</w:t>
                  </w:r>
                </w:p>
              </w:tc>
              <w:tc>
                <w:tcPr>
                  <w:tcW w:w="64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氯化物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0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标准限值</w:t>
                  </w:r>
                </w:p>
              </w:tc>
              <w:tc>
                <w:tcPr>
                  <w:tcW w:w="35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6-9</w:t>
                  </w:r>
                </w:p>
              </w:tc>
              <w:tc>
                <w:tcPr>
                  <w:tcW w:w="50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500</w:t>
                  </w:r>
                </w:p>
              </w:tc>
              <w:tc>
                <w:tcPr>
                  <w:tcW w:w="58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300</w:t>
                  </w:r>
                </w:p>
              </w:tc>
              <w:tc>
                <w:tcPr>
                  <w:tcW w:w="33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400</w:t>
                  </w:r>
                </w:p>
              </w:tc>
              <w:tc>
                <w:tcPr>
                  <w:tcW w:w="80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100</w:t>
                  </w:r>
                </w:p>
              </w:tc>
              <w:tc>
                <w:tcPr>
                  <w:tcW w:w="48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8*</w:t>
                  </w:r>
                </w:p>
              </w:tc>
              <w:tc>
                <w:tcPr>
                  <w:tcW w:w="483"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45*</w:t>
                  </w:r>
                </w:p>
              </w:tc>
              <w:tc>
                <w:tcPr>
                  <w:tcW w:w="64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1000*</w:t>
                  </w:r>
                </w:p>
              </w:tc>
            </w:tr>
          </w:tbl>
          <w:p>
            <w:pPr>
              <w:numPr>
                <w:ilvl w:val="0"/>
                <w:numId w:val="0"/>
              </w:numPr>
              <w:adjustRightInd w:val="0"/>
              <w:snapToGrid w:val="0"/>
              <w:spacing w:line="240" w:lineRule="auto"/>
              <w:ind w:firstLine="420" w:firstLineChars="200"/>
              <w:jc w:val="left"/>
              <w:rPr>
                <w:rFonts w:hint="eastAsia"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注：氨氮、总磷参照执行《污水排入城镇下水道水质标准》（GB/T31962-2015）。</w:t>
            </w:r>
          </w:p>
          <w:p>
            <w:pPr>
              <w:numPr>
                <w:ilvl w:val="0"/>
                <w:numId w:val="0"/>
              </w:numPr>
              <w:adjustRightInd w:val="0"/>
              <w:snapToGrid w:val="0"/>
              <w:spacing w:line="240" w:lineRule="auto"/>
              <w:ind w:firstLine="420" w:firstLineChars="200"/>
              <w:jc w:val="left"/>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氯化物执行</w:t>
            </w:r>
            <w:r>
              <w:rPr>
                <w:rFonts w:hint="eastAsia" w:ascii="Times New Roman" w:hAnsi="Times New Roman" w:eastAsia="宋体" w:cs="Times New Roman"/>
                <w:color w:val="auto"/>
                <w:sz w:val="21"/>
                <w:szCs w:val="21"/>
                <w:lang w:val="en-US" w:eastAsia="zh-CN"/>
              </w:rPr>
              <w:t>《四川省水污染排放标准》（DB51/190-93）W级</w:t>
            </w:r>
            <w:r>
              <w:rPr>
                <w:rFonts w:hint="default" w:ascii="Times New Roman" w:hAnsi="Times New Roman" w:eastAsia="宋体" w:cs="Times New Roman"/>
                <w:b w:val="0"/>
                <w:bCs w:val="0"/>
                <w:color w:val="auto"/>
                <w:sz w:val="21"/>
                <w:szCs w:val="21"/>
                <w:u w:val="none"/>
                <w:lang w:val="en-US" w:eastAsia="zh-CN"/>
              </w:rPr>
              <w:t>要求</w:t>
            </w:r>
            <w:r>
              <w:rPr>
                <w:rFonts w:hint="eastAsia" w:ascii="Times New Roman" w:hAnsi="Times New Roman" w:eastAsia="宋体" w:cs="Times New Roman"/>
                <w:b w:val="0"/>
                <w:bCs w:val="0"/>
                <w:color w:val="auto"/>
                <w:sz w:val="21"/>
                <w:szCs w:val="21"/>
                <w:u w:val="none"/>
                <w:lang w:val="en-US" w:eastAsia="zh-CN"/>
              </w:rPr>
              <w:t>。</w:t>
            </w:r>
          </w:p>
          <w:p>
            <w:pPr>
              <w:numPr>
                <w:ilvl w:val="0"/>
                <w:numId w:val="0"/>
              </w:numPr>
              <w:adjustRightInd w:val="0"/>
              <w:snapToGrid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sz w:val="24"/>
                <w:szCs w:val="24"/>
                <w:u w:val="none"/>
                <w:lang w:val="en-US" w:eastAsia="zh-CN"/>
              </w:rPr>
              <w:t>噪声</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（1）施工期</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施工期噪声执行《建筑施工场界环境噪声排放标准》（GB12523-2011），标准值详见下表。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表3-7  建筑施工厂界环境噪声排放限值 单位：dB（A）</w:t>
            </w:r>
          </w:p>
          <w:tbl>
            <w:tblPr>
              <w:tblStyle w:val="42"/>
              <w:tblW w:w="820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0"/>
              <w:gridCol w:w="41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trPr>
              <w:tc>
                <w:tcPr>
                  <w:tcW w:w="410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昼间</w:t>
                  </w:r>
                </w:p>
              </w:tc>
              <w:tc>
                <w:tcPr>
                  <w:tcW w:w="410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18" w:hRule="atLeast"/>
              </w:trPr>
              <w:tc>
                <w:tcPr>
                  <w:tcW w:w="410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70</w:t>
                  </w:r>
                </w:p>
              </w:tc>
              <w:tc>
                <w:tcPr>
                  <w:tcW w:w="410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50</w:t>
                  </w:r>
                </w:p>
              </w:tc>
            </w:tr>
          </w:tbl>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kern w:val="2"/>
                <w:sz w:val="24"/>
                <w:szCs w:val="24"/>
                <w:lang w:val="en-US" w:eastAsia="zh-CN" w:bidi="ar-SA"/>
              </w:rPr>
              <w:t>（2）</w:t>
            </w:r>
            <w:r>
              <w:rPr>
                <w:rFonts w:hint="eastAsia" w:ascii="Times New Roman" w:hAnsi="Times New Roman" w:eastAsia="宋体" w:cs="Times New Roman"/>
                <w:b w:val="0"/>
                <w:bCs w:val="0"/>
                <w:color w:val="auto"/>
                <w:sz w:val="24"/>
                <w:szCs w:val="24"/>
                <w:u w:val="none"/>
                <w:lang w:val="en-US" w:eastAsia="zh-CN"/>
              </w:rPr>
              <w:t>运营期</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运营期厂界噪声执行《工业企业厂界环境噪声排放标准》（GB 12348-2008）的3类标准。</w:t>
            </w:r>
          </w:p>
          <w:p>
            <w:pPr>
              <w:numPr>
                <w:ilvl w:val="0"/>
                <w:numId w:val="0"/>
              </w:numPr>
              <w:adjustRightInd w:val="0"/>
              <w:snapToGrid w:val="0"/>
              <w:spacing w:line="240" w:lineRule="auto"/>
              <w:jc w:val="center"/>
              <w:rPr>
                <w:rFonts w:hint="eastAsia" w:ascii="Times New Roman" w:hAnsi="Times New Roman" w:eastAsia="宋体" w:cs="Times New Roman"/>
                <w:b/>
                <w:bCs/>
                <w:color w:val="auto"/>
                <w:sz w:val="21"/>
                <w:szCs w:val="21"/>
                <w:u w:val="none"/>
                <w:lang w:val="en-US" w:eastAsia="zh-CN"/>
              </w:rPr>
            </w:pPr>
            <w:r>
              <w:rPr>
                <w:rFonts w:hint="eastAsia" w:ascii="Times New Roman" w:hAnsi="Times New Roman" w:eastAsia="宋体" w:cs="Times New Roman"/>
                <w:b/>
                <w:bCs/>
                <w:color w:val="auto"/>
                <w:sz w:val="21"/>
                <w:szCs w:val="21"/>
                <w:u w:val="none"/>
                <w:lang w:val="en-US" w:eastAsia="zh-CN"/>
              </w:rPr>
              <w:t>表3-8  工业企业厂界环境噪声排放标准 单位：dB (A）</w:t>
            </w:r>
          </w:p>
          <w:tbl>
            <w:tblPr>
              <w:tblStyle w:val="42"/>
              <w:tblW w:w="822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10"/>
              <w:gridCol w:w="41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2" w:hRule="atLeast"/>
              </w:trPr>
              <w:tc>
                <w:tcPr>
                  <w:tcW w:w="411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昼间</w:t>
                  </w:r>
                </w:p>
              </w:tc>
              <w:tc>
                <w:tcPr>
                  <w:tcW w:w="411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u w:val="none"/>
                      <w:vertAlign w:val="baseline"/>
                      <w:lang w:val="en-US" w:eastAsia="zh-CN"/>
                    </w:rPr>
                  </w:pPr>
                  <w:r>
                    <w:rPr>
                      <w:rFonts w:hint="eastAsia" w:ascii="Times New Roman" w:hAnsi="Times New Roman" w:eastAsia="宋体" w:cs="Times New Roman"/>
                      <w:b/>
                      <w:bCs/>
                      <w:color w:val="auto"/>
                      <w:sz w:val="21"/>
                      <w:szCs w:val="21"/>
                      <w:u w:val="none"/>
                      <w:vertAlign w:val="baseline"/>
                      <w:lang w:val="en-US" w:eastAsia="zh-C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411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65</w:t>
                  </w:r>
                </w:p>
              </w:tc>
              <w:tc>
                <w:tcPr>
                  <w:tcW w:w="4110" w:type="dxa"/>
                  <w:noWrap w:val="0"/>
                  <w:vAlign w:val="top"/>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sz w:val="21"/>
                      <w:szCs w:val="21"/>
                      <w:u w:val="none"/>
                      <w:vertAlign w:val="baseline"/>
                      <w:lang w:val="en-US" w:eastAsia="zh-CN"/>
                    </w:rPr>
                  </w:pPr>
                  <w:r>
                    <w:rPr>
                      <w:rFonts w:hint="eastAsia" w:ascii="Times New Roman" w:hAnsi="Times New Roman" w:eastAsia="宋体" w:cs="Times New Roman"/>
                      <w:b w:val="0"/>
                      <w:bCs w:val="0"/>
                      <w:color w:val="auto"/>
                      <w:sz w:val="21"/>
                      <w:szCs w:val="21"/>
                      <w:u w:val="none"/>
                      <w:vertAlign w:val="baseline"/>
                      <w:lang w:val="en-US" w:eastAsia="zh-CN"/>
                    </w:rPr>
                    <w:t>55</w:t>
                  </w:r>
                </w:p>
              </w:tc>
            </w:tr>
          </w:tbl>
          <w:p>
            <w:pPr>
              <w:numPr>
                <w:ilvl w:val="0"/>
                <w:numId w:val="0"/>
              </w:numPr>
              <w:adjustRightInd w:val="0"/>
              <w:snapToGrid w:val="0"/>
              <w:spacing w:line="360" w:lineRule="auto"/>
              <w:ind w:firstLine="482" w:firstLineChars="200"/>
              <w:jc w:val="left"/>
              <w:rPr>
                <w:rFonts w:hint="eastAsia"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bCs/>
                <w:color w:val="auto"/>
                <w:kern w:val="2"/>
                <w:sz w:val="24"/>
                <w:szCs w:val="24"/>
                <w:lang w:val="en-US" w:eastAsia="zh-CN" w:bidi="ar-SA"/>
              </w:rPr>
              <w:t>4、</w:t>
            </w:r>
            <w:r>
              <w:rPr>
                <w:rFonts w:hint="eastAsia" w:ascii="Times New Roman" w:hAnsi="Times New Roman" w:eastAsia="宋体" w:cs="Times New Roman"/>
                <w:b/>
                <w:bCs/>
                <w:color w:val="auto"/>
                <w:sz w:val="24"/>
                <w:szCs w:val="24"/>
                <w:u w:val="none"/>
                <w:lang w:val="en-US" w:eastAsia="zh-CN"/>
              </w:rPr>
              <w:t>固体废物</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val="0"/>
                <w:bCs w:val="0"/>
                <w:color w:val="auto"/>
                <w:sz w:val="24"/>
                <w:szCs w:val="24"/>
                <w:u w:val="none"/>
                <w:lang w:val="en-US" w:eastAsia="zh-CN"/>
              </w:rPr>
              <w:t>一般工业固体废物执行《一般工业固体废物贮存和填埋污染控制标准</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GB18599-2020），危险废物执行《危险废物贮存污染控制标准》</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GB18597-2023）要求；危险废物转移执行《危险废物转移联单管理办法》中相关要求。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53" w:type="dxa"/>
            <w:noWrap w:val="0"/>
            <w:vAlign w:val="center"/>
          </w:tcPr>
          <w:p>
            <w:pPr>
              <w:adjustRightInd w:val="0"/>
              <w:snapToGrid w:val="0"/>
              <w:jc w:val="center"/>
              <w:rPr>
                <w:rFonts w:ascii="宋体" w:hAnsi="宋体" w:cs="宋体"/>
                <w:kern w:val="0"/>
                <w:szCs w:val="21"/>
              </w:rPr>
            </w:pPr>
            <w:r>
              <w:rPr>
                <w:rFonts w:hint="eastAsia" w:ascii="宋体" w:hAnsi="宋体" w:cs="宋体"/>
                <w:kern w:val="0"/>
                <w:szCs w:val="21"/>
              </w:rPr>
              <w:t>总量控制指标</w:t>
            </w:r>
          </w:p>
        </w:tc>
        <w:tc>
          <w:tcPr>
            <w:tcW w:w="8408" w:type="dxa"/>
            <w:noWrap w:val="0"/>
            <w:vAlign w:val="center"/>
          </w:tcPr>
          <w:p>
            <w:pPr>
              <w:numPr>
                <w:ilvl w:val="0"/>
                <w:numId w:val="0"/>
              </w:numPr>
              <w:adjustRightInd w:val="0"/>
              <w:snapToGrid w:val="0"/>
              <w:spacing w:line="360" w:lineRule="auto"/>
              <w:ind w:firstLine="480" w:firstLineChars="200"/>
              <w:jc w:val="left"/>
              <w:rPr>
                <w:rFonts w:hint="default" w:ascii="Times New Roman" w:hAnsi="Times New Roman" w:cs="Times New Roman"/>
                <w:kern w:val="0"/>
                <w:sz w:val="24"/>
                <w:szCs w:val="24"/>
                <w:lang w:val="en-US" w:eastAsia="zh-CN"/>
              </w:rPr>
            </w:pPr>
            <w:r>
              <w:rPr>
                <w:rFonts w:hint="default" w:ascii="Times New Roman" w:hAnsi="Times New Roman" w:cs="Times New Roman"/>
                <w:kern w:val="0"/>
                <w:sz w:val="24"/>
                <w:szCs w:val="24"/>
                <w:lang w:val="en-US" w:eastAsia="zh-CN" w:bidi="ar-SA"/>
              </w:rPr>
              <w:t>1、</w:t>
            </w:r>
            <w:r>
              <w:rPr>
                <w:rFonts w:hint="default" w:ascii="Times New Roman" w:hAnsi="Times New Roman" w:cs="Times New Roman"/>
                <w:kern w:val="0"/>
                <w:sz w:val="24"/>
                <w:szCs w:val="24"/>
                <w:lang w:val="en-US" w:eastAsia="zh-CN"/>
              </w:rPr>
              <w:t>水污染总量控制指标</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本项目废水排放量为</w:t>
            </w:r>
            <w:r>
              <w:rPr>
                <w:rFonts w:hint="eastAsia" w:ascii="Times New Roman" w:hAnsi="Times New Roman" w:eastAsia="宋体" w:cs="Times New Roman"/>
                <w:b w:val="0"/>
                <w:bCs w:val="0"/>
                <w:color w:val="auto"/>
                <w:sz w:val="24"/>
                <w:szCs w:val="24"/>
                <w:u w:val="none"/>
                <w:lang w:val="en-US" w:eastAsia="zh-CN"/>
              </w:rPr>
              <w:t>17835</w:t>
            </w:r>
            <w:r>
              <w:rPr>
                <w:rFonts w:hint="default" w:ascii="Times New Roman" w:hAnsi="Times New Roman" w:eastAsia="宋体" w:cs="Times New Roman"/>
                <w:b w:val="0"/>
                <w:bCs w:val="0"/>
                <w:color w:val="auto"/>
                <w:sz w:val="24"/>
                <w:szCs w:val="24"/>
                <w:u w:val="none"/>
                <w:lang w:val="en-US" w:eastAsia="zh-CN"/>
              </w:rPr>
              <w:t>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/a，园区工业污水处理厂建成之前，项目废水经厂区预处理</w:t>
            </w:r>
            <w:r>
              <w:rPr>
                <w:rFonts w:hint="eastAsia" w:ascii="Times New Roman" w:hAnsi="Times New Roman" w:eastAsia="宋体" w:cs="Times New Roman"/>
                <w:b w:val="0"/>
                <w:bCs w:val="0"/>
                <w:color w:val="auto"/>
                <w:sz w:val="24"/>
                <w:szCs w:val="24"/>
                <w:u w:val="none"/>
                <w:lang w:val="en-US" w:eastAsia="zh-CN"/>
              </w:rPr>
              <w:t>后</w:t>
            </w:r>
            <w:r>
              <w:rPr>
                <w:rFonts w:hint="default" w:ascii="Times New Roman" w:hAnsi="Times New Roman" w:eastAsia="宋体" w:cs="Times New Roman"/>
                <w:b w:val="0"/>
                <w:bCs w:val="0"/>
                <w:color w:val="auto"/>
                <w:sz w:val="24"/>
                <w:szCs w:val="24"/>
                <w:u w:val="none"/>
                <w:lang w:val="en-US" w:eastAsia="zh-CN"/>
              </w:rPr>
              <w:t>达到《污水综合排放标准》</w:t>
            </w:r>
            <w:r>
              <w:rPr>
                <w:rFonts w:hint="eastAsia"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GB8978-1996）三级排放标准，其中氨氮达到《污水排入城镇下水道水质标准》</w:t>
            </w:r>
            <w:r>
              <w:rPr>
                <w:rFonts w:hint="eastAsia"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GB/T31962-2015）</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再排入</w:t>
            </w:r>
            <w:r>
              <w:rPr>
                <w:rFonts w:hint="eastAsia" w:eastAsia="宋体" w:cs="Times New Roman"/>
                <w:b w:val="0"/>
                <w:bCs w:val="0"/>
                <w:color w:val="auto"/>
                <w:sz w:val="24"/>
                <w:szCs w:val="24"/>
                <w:u w:val="none"/>
                <w:lang w:val="en-US" w:eastAsia="zh-CN"/>
              </w:rPr>
              <w:t>全福镇污水处理厂</w:t>
            </w:r>
            <w:r>
              <w:rPr>
                <w:rFonts w:hint="default" w:ascii="Times New Roman" w:hAnsi="Times New Roman" w:eastAsia="宋体" w:cs="Times New Roman"/>
                <w:b w:val="0"/>
                <w:bCs w:val="0"/>
                <w:color w:val="auto"/>
                <w:sz w:val="24"/>
                <w:szCs w:val="24"/>
                <w:u w:val="none"/>
                <w:lang w:val="en-US" w:eastAsia="zh-CN"/>
              </w:rPr>
              <w:t>处理后达到《四川省岷江、沱江流域水污染物排放标准》(DB51/2311-2016）进行排放</w:t>
            </w:r>
            <w:r>
              <w:rPr>
                <w:rFonts w:hint="eastAsia" w:ascii="Times New Roman" w:hAnsi="Times New Roman" w:eastAsia="宋体" w:cs="Times New Roman"/>
                <w:b w:val="0"/>
                <w:bCs w:val="0"/>
                <w:color w:val="auto"/>
                <w:sz w:val="24"/>
                <w:szCs w:val="24"/>
                <w:u w:val="none"/>
                <w:lang w:val="en-US" w:eastAsia="zh-CN"/>
              </w:rPr>
              <w:t>；园区污水处理厂建成之后，项目废水排入园区污水处理厂处理，园区污水处理厂设计规模为10000m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/d，执行《四川省岷江、沱江流域水污染物排放标准》（DB51/2311-2016）中相关污染物排放标准排放。</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eastAsia" w:eastAsia="宋体" w:cs="Times New Roman"/>
                <w:b w:val="0"/>
                <w:bCs w:val="0"/>
                <w:color w:val="auto"/>
                <w:sz w:val="24"/>
                <w:szCs w:val="24"/>
                <w:u w:val="none"/>
                <w:lang w:val="en-US" w:eastAsia="zh-CN"/>
              </w:rPr>
              <w:t>全福镇污水处理厂</w:t>
            </w:r>
            <w:r>
              <w:rPr>
                <w:rFonts w:hint="default" w:ascii="Times New Roman" w:hAnsi="Times New Roman" w:eastAsia="宋体" w:cs="Times New Roman"/>
                <w:b w:val="0"/>
                <w:bCs w:val="0"/>
                <w:color w:val="auto"/>
                <w:sz w:val="24"/>
                <w:szCs w:val="24"/>
                <w:u w:val="none"/>
                <w:lang w:val="en-US" w:eastAsia="zh-CN"/>
              </w:rPr>
              <w:t>污染物排放量：</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COD：</w:t>
            </w:r>
            <w:r>
              <w:rPr>
                <w:rFonts w:hint="eastAsia" w:ascii="Times New Roman" w:hAnsi="Times New Roman" w:eastAsia="宋体" w:cs="Times New Roman"/>
                <w:b w:val="0"/>
                <w:bCs w:val="0"/>
                <w:color w:val="auto"/>
                <w:sz w:val="24"/>
                <w:szCs w:val="24"/>
                <w:u w:val="none"/>
                <w:vertAlign w:val="baseline"/>
                <w:lang w:val="en-US" w:eastAsia="zh-CN"/>
              </w:rPr>
              <w:t>17835</w:t>
            </w:r>
            <w:r>
              <w:rPr>
                <w:rFonts w:hint="default" w:ascii="Times New Roman" w:hAnsi="Times New Roman" w:eastAsia="宋体" w:cs="Times New Roman"/>
                <w:b w:val="0"/>
                <w:bCs w:val="0"/>
                <w:color w:val="auto"/>
                <w:sz w:val="24"/>
                <w:szCs w:val="24"/>
                <w:u w:val="none"/>
                <w:lang w:val="en-US" w:eastAsia="zh-CN"/>
              </w:rPr>
              <w:t>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/a</w:t>
            </w:r>
            <w:r>
              <w:rPr>
                <w:rFonts w:hint="default" w:ascii="Times New Roman" w:hAnsi="Times New Roman" w:eastAsia="宋体" w:cs="Times New Roman"/>
                <w:b w:val="0"/>
                <w:bCs w:val="0"/>
                <w:color w:val="auto"/>
                <w:sz w:val="24"/>
                <w:szCs w:val="24"/>
                <w:u w:val="none"/>
                <w:vertAlign w:val="baseline"/>
                <w:lang w:val="en-US" w:eastAsia="zh-CN"/>
              </w:rPr>
              <w:t>×30mg/L×10</w:t>
            </w:r>
            <w:r>
              <w:rPr>
                <w:rFonts w:hint="default" w:ascii="Times New Roman" w:hAnsi="Times New Roman" w:eastAsia="宋体" w:cs="Times New Roman"/>
                <w:b w:val="0"/>
                <w:bCs w:val="0"/>
                <w:color w:val="auto"/>
                <w:sz w:val="24"/>
                <w:szCs w:val="24"/>
                <w:u w:val="none"/>
                <w:vertAlign w:val="superscript"/>
                <w:lang w:val="en-US" w:eastAsia="zh-CN"/>
              </w:rPr>
              <w:t>-6</w:t>
            </w:r>
            <w:r>
              <w:rPr>
                <w:rFonts w:hint="default" w:ascii="Times New Roman" w:hAnsi="Times New Roman" w:eastAsia="宋体" w:cs="Times New Roman"/>
                <w:b w:val="0"/>
                <w:bCs w:val="0"/>
                <w:color w:val="auto"/>
                <w:sz w:val="24"/>
                <w:szCs w:val="24"/>
                <w:u w:val="none"/>
                <w:vertAlign w:val="baseline"/>
                <w:lang w:val="en-US" w:eastAsia="zh-CN"/>
              </w:rPr>
              <w:t>=0.</w:t>
            </w:r>
            <w:r>
              <w:rPr>
                <w:rFonts w:hint="eastAsia" w:ascii="Times New Roman" w:hAnsi="Times New Roman" w:eastAsia="宋体" w:cs="Times New Roman"/>
                <w:b w:val="0"/>
                <w:bCs w:val="0"/>
                <w:color w:val="auto"/>
                <w:sz w:val="24"/>
                <w:szCs w:val="24"/>
                <w:u w:val="none"/>
                <w:vertAlign w:val="baseline"/>
                <w:lang w:val="en-US" w:eastAsia="zh-CN"/>
              </w:rPr>
              <w:t>535</w:t>
            </w:r>
            <w:r>
              <w:rPr>
                <w:rFonts w:hint="default" w:ascii="Times New Roman" w:hAnsi="Times New Roman" w:eastAsia="宋体" w:cs="Times New Roman"/>
                <w:b w:val="0"/>
                <w:bCs w:val="0"/>
                <w:color w:val="auto"/>
                <w:sz w:val="24"/>
                <w:szCs w:val="24"/>
                <w:u w:val="none"/>
                <w:vertAlign w:val="baseline"/>
                <w:lang w:val="en-US" w:eastAsia="zh-CN"/>
              </w:rPr>
              <w:t>t/a</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氨氮：</w:t>
            </w:r>
            <w:r>
              <w:rPr>
                <w:rFonts w:hint="eastAsia" w:ascii="Times New Roman" w:hAnsi="Times New Roman" w:eastAsia="宋体" w:cs="Times New Roman"/>
                <w:b w:val="0"/>
                <w:bCs w:val="0"/>
                <w:color w:val="auto"/>
                <w:sz w:val="24"/>
                <w:szCs w:val="24"/>
                <w:u w:val="none"/>
                <w:vertAlign w:val="baseline"/>
                <w:lang w:val="en-US" w:eastAsia="zh-CN"/>
              </w:rPr>
              <w:t>17835</w:t>
            </w:r>
            <w:r>
              <w:rPr>
                <w:rFonts w:hint="default" w:ascii="Times New Roman" w:hAnsi="Times New Roman" w:eastAsia="宋体" w:cs="Times New Roman"/>
                <w:b w:val="0"/>
                <w:bCs w:val="0"/>
                <w:color w:val="auto"/>
                <w:sz w:val="24"/>
                <w:szCs w:val="24"/>
                <w:u w:val="none"/>
                <w:lang w:val="en-US" w:eastAsia="zh-CN"/>
              </w:rPr>
              <w:t>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/a</w:t>
            </w:r>
            <w:r>
              <w:rPr>
                <w:rFonts w:hint="default" w:ascii="Times New Roman" w:hAnsi="Times New Roman" w:eastAsia="宋体" w:cs="Times New Roman"/>
                <w:b w:val="0"/>
                <w:bCs w:val="0"/>
                <w:color w:val="auto"/>
                <w:sz w:val="24"/>
                <w:szCs w:val="24"/>
                <w:u w:val="none"/>
                <w:vertAlign w:val="baseline"/>
                <w:lang w:val="en-US" w:eastAsia="zh-CN"/>
              </w:rPr>
              <w:t>×1.5mg/L×10</w:t>
            </w:r>
            <w:r>
              <w:rPr>
                <w:rFonts w:hint="default" w:ascii="Times New Roman" w:hAnsi="Times New Roman" w:eastAsia="宋体" w:cs="Times New Roman"/>
                <w:b w:val="0"/>
                <w:bCs w:val="0"/>
                <w:color w:val="auto"/>
                <w:sz w:val="24"/>
                <w:szCs w:val="24"/>
                <w:u w:val="none"/>
                <w:vertAlign w:val="superscript"/>
                <w:lang w:val="en-US" w:eastAsia="zh-CN"/>
              </w:rPr>
              <w:t>-6</w:t>
            </w:r>
            <w:r>
              <w:rPr>
                <w:rFonts w:hint="default" w:ascii="Times New Roman" w:hAnsi="Times New Roman" w:eastAsia="宋体" w:cs="Times New Roman"/>
                <w:b w:val="0"/>
                <w:bCs w:val="0"/>
                <w:color w:val="auto"/>
                <w:sz w:val="24"/>
                <w:szCs w:val="24"/>
                <w:u w:val="none"/>
                <w:vertAlign w:val="baseline"/>
                <w:lang w:val="en-US" w:eastAsia="zh-CN"/>
              </w:rPr>
              <w:t>=0.0</w:t>
            </w:r>
            <w:r>
              <w:rPr>
                <w:rFonts w:hint="eastAsia" w:ascii="Times New Roman" w:hAnsi="Times New Roman" w:eastAsia="宋体" w:cs="Times New Roman"/>
                <w:b w:val="0"/>
                <w:bCs w:val="0"/>
                <w:color w:val="auto"/>
                <w:sz w:val="24"/>
                <w:szCs w:val="24"/>
                <w:u w:val="none"/>
                <w:vertAlign w:val="baseline"/>
                <w:lang w:val="en-US" w:eastAsia="zh-CN"/>
              </w:rPr>
              <w:t>27</w:t>
            </w:r>
            <w:r>
              <w:rPr>
                <w:rFonts w:hint="default" w:ascii="Times New Roman" w:hAnsi="Times New Roman" w:eastAsia="宋体" w:cs="Times New Roman"/>
                <w:b w:val="0"/>
                <w:bCs w:val="0"/>
                <w:color w:val="auto"/>
                <w:sz w:val="24"/>
                <w:szCs w:val="24"/>
                <w:u w:val="none"/>
                <w:vertAlign w:val="baseline"/>
                <w:lang w:val="en-US" w:eastAsia="zh-CN"/>
              </w:rPr>
              <w:t>t/a</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vertAlign w:val="baseline"/>
                <w:lang w:val="en-US" w:eastAsia="zh-CN"/>
              </w:rPr>
            </w:pPr>
            <w:r>
              <w:rPr>
                <w:rFonts w:hint="default" w:ascii="Times New Roman" w:hAnsi="Times New Roman" w:eastAsia="宋体" w:cs="Times New Roman"/>
                <w:b w:val="0"/>
                <w:bCs w:val="0"/>
                <w:color w:val="auto"/>
                <w:sz w:val="24"/>
                <w:szCs w:val="24"/>
                <w:u w:val="none"/>
                <w:vertAlign w:val="baseline"/>
                <w:lang w:val="en-US" w:eastAsia="zh-CN"/>
              </w:rPr>
              <w:t>总磷：</w:t>
            </w:r>
            <w:r>
              <w:rPr>
                <w:rFonts w:hint="eastAsia" w:ascii="Times New Roman" w:hAnsi="Times New Roman" w:eastAsia="宋体" w:cs="Times New Roman"/>
                <w:b w:val="0"/>
                <w:bCs w:val="0"/>
                <w:color w:val="auto"/>
                <w:sz w:val="24"/>
                <w:szCs w:val="24"/>
                <w:u w:val="none"/>
                <w:vertAlign w:val="baseline"/>
                <w:lang w:val="en-US" w:eastAsia="zh-CN"/>
              </w:rPr>
              <w:t>17835</w:t>
            </w:r>
            <w:r>
              <w:rPr>
                <w:rFonts w:hint="default" w:ascii="Times New Roman" w:hAnsi="Times New Roman" w:eastAsia="宋体" w:cs="Times New Roman"/>
                <w:b w:val="0"/>
                <w:bCs w:val="0"/>
                <w:color w:val="auto"/>
                <w:sz w:val="24"/>
                <w:szCs w:val="24"/>
                <w:u w:val="none"/>
                <w:lang w:val="en-US" w:eastAsia="zh-CN"/>
              </w:rPr>
              <w:t>m</w:t>
            </w:r>
            <w:r>
              <w:rPr>
                <w:rFonts w:hint="default" w:ascii="Times New Roman" w:hAnsi="Times New Roman" w:eastAsia="宋体" w:cs="Times New Roman"/>
                <w:b w:val="0"/>
                <w:bCs w:val="0"/>
                <w:color w:val="auto"/>
                <w:sz w:val="24"/>
                <w:szCs w:val="24"/>
                <w:u w:val="none"/>
                <w:vertAlign w:val="superscript"/>
                <w:lang w:val="en-US" w:eastAsia="zh-CN"/>
              </w:rPr>
              <w:t>3</w:t>
            </w:r>
            <w:r>
              <w:rPr>
                <w:rFonts w:hint="default" w:ascii="Times New Roman" w:hAnsi="Times New Roman" w:eastAsia="宋体" w:cs="Times New Roman"/>
                <w:b w:val="0"/>
                <w:bCs w:val="0"/>
                <w:color w:val="auto"/>
                <w:sz w:val="24"/>
                <w:szCs w:val="24"/>
                <w:u w:val="none"/>
                <w:lang w:val="en-US" w:eastAsia="zh-CN"/>
              </w:rPr>
              <w:t>/a</w:t>
            </w:r>
            <w:r>
              <w:rPr>
                <w:rFonts w:hint="default" w:ascii="Times New Roman" w:hAnsi="Times New Roman" w:eastAsia="宋体" w:cs="Times New Roman"/>
                <w:b w:val="0"/>
                <w:bCs w:val="0"/>
                <w:color w:val="auto"/>
                <w:sz w:val="24"/>
                <w:szCs w:val="24"/>
                <w:u w:val="none"/>
                <w:vertAlign w:val="baseline"/>
                <w:lang w:val="en-US" w:eastAsia="zh-CN"/>
              </w:rPr>
              <w:t>×0.3mg/L×10</w:t>
            </w:r>
            <w:r>
              <w:rPr>
                <w:rFonts w:hint="default" w:ascii="Times New Roman" w:hAnsi="Times New Roman" w:eastAsia="宋体" w:cs="Times New Roman"/>
                <w:b w:val="0"/>
                <w:bCs w:val="0"/>
                <w:color w:val="auto"/>
                <w:sz w:val="24"/>
                <w:szCs w:val="24"/>
                <w:u w:val="none"/>
                <w:vertAlign w:val="superscript"/>
                <w:lang w:val="en-US" w:eastAsia="zh-CN"/>
              </w:rPr>
              <w:t>-6</w:t>
            </w:r>
            <w:r>
              <w:rPr>
                <w:rFonts w:hint="default" w:ascii="Times New Roman" w:hAnsi="Times New Roman" w:eastAsia="宋体" w:cs="Times New Roman"/>
                <w:b w:val="0"/>
                <w:bCs w:val="0"/>
                <w:color w:val="auto"/>
                <w:sz w:val="24"/>
                <w:szCs w:val="24"/>
                <w:u w:val="none"/>
                <w:vertAlign w:val="baseline"/>
                <w:lang w:val="en-US" w:eastAsia="zh-CN"/>
              </w:rPr>
              <w:t>=0.0</w:t>
            </w:r>
            <w:r>
              <w:rPr>
                <w:rFonts w:hint="eastAsia" w:ascii="Times New Roman" w:hAnsi="Times New Roman" w:eastAsia="宋体" w:cs="Times New Roman"/>
                <w:b w:val="0"/>
                <w:bCs w:val="0"/>
                <w:color w:val="auto"/>
                <w:sz w:val="24"/>
                <w:szCs w:val="24"/>
                <w:u w:val="none"/>
                <w:vertAlign w:val="baseline"/>
                <w:lang w:val="en-US" w:eastAsia="zh-CN"/>
              </w:rPr>
              <w:t>05</w:t>
            </w:r>
            <w:r>
              <w:rPr>
                <w:rFonts w:hint="default" w:ascii="Times New Roman" w:hAnsi="Times New Roman" w:eastAsia="宋体" w:cs="Times New Roman"/>
                <w:b w:val="0"/>
                <w:bCs w:val="0"/>
                <w:color w:val="auto"/>
                <w:sz w:val="24"/>
                <w:szCs w:val="24"/>
                <w:u w:val="none"/>
                <w:vertAlign w:val="baseline"/>
                <w:lang w:val="en-US" w:eastAsia="zh-CN"/>
              </w:rPr>
              <w:t>t/a</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园区工业污水处理厂建成之前本项目废水最终进入</w:t>
            </w:r>
            <w:r>
              <w:rPr>
                <w:rFonts w:hint="eastAsia" w:eastAsia="宋体" w:cs="Times New Roman"/>
                <w:b w:val="0"/>
                <w:bCs w:val="0"/>
                <w:color w:val="auto"/>
                <w:sz w:val="24"/>
                <w:szCs w:val="24"/>
                <w:u w:val="none"/>
                <w:lang w:val="en-US" w:eastAsia="zh-CN"/>
              </w:rPr>
              <w:t>全福镇污水处理厂</w:t>
            </w:r>
            <w:r>
              <w:rPr>
                <w:rFonts w:hint="default" w:ascii="Times New Roman" w:hAnsi="Times New Roman" w:eastAsia="宋体" w:cs="Times New Roman"/>
                <w:b w:val="0"/>
                <w:bCs w:val="0"/>
                <w:color w:val="auto"/>
                <w:sz w:val="24"/>
                <w:szCs w:val="24"/>
                <w:u w:val="none"/>
                <w:lang w:val="en-US" w:eastAsia="zh-CN"/>
              </w:rPr>
              <w:t>处理，水污染总量控制指标计入</w:t>
            </w:r>
            <w:r>
              <w:rPr>
                <w:rFonts w:hint="eastAsia" w:eastAsia="宋体" w:cs="Times New Roman"/>
                <w:b w:val="0"/>
                <w:bCs w:val="0"/>
                <w:color w:val="auto"/>
                <w:sz w:val="24"/>
                <w:szCs w:val="24"/>
                <w:u w:val="none"/>
                <w:lang w:val="en-US" w:eastAsia="zh-CN"/>
              </w:rPr>
              <w:t>全福镇污水处理厂</w:t>
            </w:r>
            <w:r>
              <w:rPr>
                <w:rFonts w:hint="default" w:ascii="Times New Roman" w:hAnsi="Times New Roman" w:eastAsia="宋体" w:cs="Times New Roman"/>
                <w:b w:val="0"/>
                <w:bCs w:val="0"/>
                <w:color w:val="auto"/>
                <w:sz w:val="24"/>
                <w:szCs w:val="24"/>
                <w:u w:val="none"/>
                <w:lang w:val="en-US" w:eastAsia="zh-CN"/>
              </w:rPr>
              <w:t>的总量指标内，</w:t>
            </w:r>
            <w:r>
              <w:rPr>
                <w:rFonts w:hint="eastAsia" w:ascii="Times New Roman" w:hAnsi="Times New Roman" w:eastAsia="宋体" w:cs="Times New Roman"/>
                <w:b w:val="0"/>
                <w:bCs w:val="0"/>
                <w:color w:val="auto"/>
                <w:sz w:val="24"/>
                <w:szCs w:val="24"/>
                <w:u w:val="none"/>
                <w:lang w:val="en-US" w:eastAsia="zh-CN"/>
              </w:rPr>
              <w:t>园区污水处理厂建成之后，</w:t>
            </w:r>
            <w:r>
              <w:rPr>
                <w:rFonts w:hint="default" w:ascii="Times New Roman" w:hAnsi="Times New Roman" w:eastAsia="宋体" w:cs="Times New Roman"/>
                <w:b w:val="0"/>
                <w:bCs w:val="0"/>
                <w:color w:val="auto"/>
                <w:sz w:val="24"/>
                <w:szCs w:val="24"/>
                <w:u w:val="none"/>
                <w:lang w:val="en-US" w:eastAsia="zh-CN"/>
              </w:rPr>
              <w:t>水污染总量控制指标计入</w:t>
            </w:r>
            <w:r>
              <w:rPr>
                <w:rFonts w:hint="eastAsia" w:ascii="Times New Roman" w:hAnsi="Times New Roman" w:eastAsia="宋体" w:cs="Times New Roman"/>
                <w:b w:val="0"/>
                <w:bCs w:val="0"/>
                <w:color w:val="auto"/>
                <w:sz w:val="24"/>
                <w:szCs w:val="24"/>
                <w:u w:val="none"/>
                <w:lang w:val="en-US" w:eastAsia="zh-CN"/>
              </w:rPr>
              <w:t>园区</w:t>
            </w:r>
            <w:r>
              <w:rPr>
                <w:rFonts w:hint="default" w:ascii="Times New Roman" w:hAnsi="Times New Roman" w:eastAsia="宋体" w:cs="Times New Roman"/>
                <w:b w:val="0"/>
                <w:bCs w:val="0"/>
                <w:color w:val="auto"/>
                <w:sz w:val="24"/>
                <w:szCs w:val="24"/>
                <w:u w:val="none"/>
                <w:lang w:val="en-US" w:eastAsia="zh-CN"/>
              </w:rPr>
              <w:t>处理厂的总量指标内</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故项目不单独设置水污染总量控制指标。</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2、废气污染物总量控制指标</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根据环评有关规范、结合工程分析，本项目实施后，纳入总量控制要求的主要污染物是NO</w:t>
            </w:r>
            <w:r>
              <w:rPr>
                <w:rFonts w:hint="default" w:ascii="Times New Roman" w:hAnsi="Times New Roman" w:eastAsia="宋体" w:cs="Times New Roman"/>
                <w:b w:val="0"/>
                <w:bCs w:val="0"/>
                <w:color w:val="auto"/>
                <w:sz w:val="24"/>
                <w:szCs w:val="24"/>
                <w:u w:val="none"/>
                <w:vertAlign w:val="subscript"/>
                <w:lang w:val="en-US" w:eastAsia="zh-CN"/>
              </w:rPr>
              <w:t>X</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1.01</w:t>
            </w:r>
            <w:r>
              <w:rPr>
                <w:rFonts w:hint="default" w:ascii="Times New Roman" w:hAnsi="Times New Roman" w:eastAsia="宋体" w:cs="Times New Roman"/>
                <w:b w:val="0"/>
                <w:bCs w:val="0"/>
                <w:color w:val="auto"/>
                <w:sz w:val="24"/>
                <w:szCs w:val="24"/>
                <w:u w:val="none"/>
                <w:lang w:val="en-US" w:eastAsia="zh-CN"/>
              </w:rPr>
              <w:t>t/a，颗粒物：</w:t>
            </w:r>
            <w:r>
              <w:rPr>
                <w:rFonts w:hint="eastAsia" w:ascii="Times New Roman" w:hAnsi="Times New Roman" w:eastAsia="宋体" w:cs="Times New Roman"/>
                <w:b w:val="0"/>
                <w:bCs w:val="0"/>
                <w:color w:val="auto"/>
                <w:sz w:val="24"/>
                <w:szCs w:val="24"/>
                <w:u w:val="none"/>
                <w:lang w:val="en-US" w:eastAsia="zh-CN"/>
              </w:rPr>
              <w:t>0.31</w:t>
            </w:r>
            <w:r>
              <w:rPr>
                <w:rFonts w:hint="default" w:ascii="Times New Roman" w:hAnsi="Times New Roman" w:eastAsia="宋体" w:cs="Times New Roman"/>
                <w:b w:val="0"/>
                <w:bCs w:val="0"/>
                <w:color w:val="auto"/>
                <w:sz w:val="24"/>
                <w:szCs w:val="24"/>
                <w:u w:val="none"/>
                <w:lang w:val="en-US" w:eastAsia="zh-CN"/>
              </w:rPr>
              <w:t>t/a，SO</w:t>
            </w:r>
            <w:r>
              <w:rPr>
                <w:rFonts w:hint="default" w:ascii="Times New Roman" w:hAnsi="Times New Roman" w:eastAsia="宋体" w:cs="Times New Roman"/>
                <w:b w:val="0"/>
                <w:bCs w:val="0"/>
                <w:color w:val="auto"/>
                <w:sz w:val="24"/>
                <w:szCs w:val="24"/>
                <w:u w:val="none"/>
                <w:vertAlign w:val="subscript"/>
                <w:lang w:val="en-US" w:eastAsia="zh-CN"/>
              </w:rPr>
              <w:t>2</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0.216</w:t>
            </w:r>
            <w:r>
              <w:rPr>
                <w:rFonts w:hint="default" w:ascii="Times New Roman" w:hAnsi="Times New Roman" w:eastAsia="宋体" w:cs="Times New Roman"/>
                <w:b w:val="0"/>
                <w:bCs w:val="0"/>
                <w:color w:val="auto"/>
                <w:sz w:val="24"/>
                <w:szCs w:val="24"/>
                <w:u w:val="none"/>
                <w:lang w:val="en-US" w:eastAsia="zh-CN"/>
              </w:rPr>
              <w:t>t/a，其总量控制指标根据地方环境主管部门要求下达。</w:t>
            </w:r>
          </w:p>
          <w:p>
            <w:pPr>
              <w:numPr>
                <w:ilvl w:val="0"/>
                <w:numId w:val="0"/>
              </w:numPr>
              <w:adjustRightInd w:val="0"/>
              <w:snapToGrid w:val="0"/>
              <w:spacing w:line="360" w:lineRule="auto"/>
              <w:jc w:val="both"/>
              <w:rPr>
                <w:rFonts w:hint="default" w:ascii="Times New Roman" w:hAnsi="Times New Roman" w:eastAsia="宋体" w:cs="Times New Roman"/>
                <w:b w:val="0"/>
                <w:bCs w:val="0"/>
                <w:color w:val="auto"/>
                <w:sz w:val="21"/>
                <w:szCs w:val="21"/>
                <w:u w:val="none"/>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 w:val="0"/>
                <w:bCs w:val="0"/>
                <w:color w:val="auto"/>
                <w:sz w:val="21"/>
                <w:szCs w:val="21"/>
                <w:u w:val="none"/>
                <w:lang w:val="en-US" w:eastAsia="zh-CN"/>
              </w:rPr>
            </w:pPr>
          </w:p>
          <w:p>
            <w:pPr>
              <w:numPr>
                <w:ilvl w:val="0"/>
                <w:numId w:val="0"/>
              </w:numPr>
              <w:adjustRightInd w:val="0"/>
              <w:snapToGrid w:val="0"/>
              <w:spacing w:line="360" w:lineRule="auto"/>
              <w:jc w:val="both"/>
              <w:rPr>
                <w:rFonts w:hint="default" w:ascii="Times New Roman" w:hAnsi="Times New Roman" w:eastAsia="宋体" w:cs="Times New Roman"/>
                <w:b w:val="0"/>
                <w:bCs w:val="0"/>
                <w:color w:val="auto"/>
                <w:sz w:val="21"/>
                <w:szCs w:val="21"/>
                <w:u w:val="none"/>
                <w:lang w:val="en-US" w:eastAsia="zh-CN"/>
              </w:rPr>
            </w:pPr>
          </w:p>
        </w:tc>
      </w:tr>
    </w:tbl>
    <w:p>
      <w:pPr>
        <w:pStyle w:val="37"/>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8" w:name="_Toc22506"/>
      <w:r>
        <w:rPr>
          <w:rFonts w:hint="eastAsia" w:ascii="黑体" w:hAnsi="黑体" w:eastAsia="黑体"/>
          <w:snapToGrid w:val="0"/>
          <w:sz w:val="30"/>
          <w:szCs w:val="30"/>
        </w:rPr>
        <w:t>四、主要环境影响和保护措施</w:t>
      </w:r>
      <w:bookmarkEnd w:id="8"/>
    </w:p>
    <w:tbl>
      <w:tblPr>
        <w:tblStyle w:val="4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3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13" w:type="dxa"/>
            <w:noWrap w:val="0"/>
            <w:tcMar>
              <w:left w:w="28" w:type="dxa"/>
              <w:right w:w="28" w:type="dxa"/>
            </w:tcMar>
            <w:vAlign w:val="center"/>
          </w:tcPr>
          <w:p>
            <w:pPr>
              <w:pStyle w:val="37"/>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施工期环境保护措施</w:t>
            </w:r>
          </w:p>
        </w:tc>
        <w:tc>
          <w:tcPr>
            <w:tcW w:w="8368" w:type="dxa"/>
            <w:noWrap w:val="0"/>
            <w:vAlign w:val="center"/>
          </w:tcPr>
          <w:p>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w:t>
            </w:r>
            <w:r>
              <w:rPr>
                <w:rFonts w:hint="eastAsia" w:ascii="Times New Roman" w:hAnsi="Times New Roman" w:eastAsia="宋体" w:cs="Times New Roman"/>
                <w:color w:val="auto"/>
                <w:kern w:val="0"/>
                <w:sz w:val="24"/>
                <w:szCs w:val="24"/>
                <w:highlight w:val="none"/>
                <w:lang w:val="en-US" w:eastAsia="zh-CN"/>
              </w:rPr>
              <w:t>利用现有厂房进行生产活动，不再进行生产车间土建施工，施工期主要内容为厂房改造、设备安装及环保工程建设，主要污染为施工人员生活废水、设备安装噪声、施工人员生活垃圾等，本次对施工期进行简要分析。</w:t>
            </w:r>
          </w:p>
          <w:p>
            <w:pPr>
              <w:adjustRightInd w:val="0"/>
              <w:snapToGrid w:val="0"/>
              <w:spacing w:line="360" w:lineRule="auto"/>
              <w:ind w:firstLine="440" w:firstLineChars="200"/>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cs="Times New Roman"/>
                <w:bCs/>
                <w:color w:val="auto"/>
                <w:spacing w:val="-10"/>
                <w:sz w:val="24"/>
                <w:szCs w:val="24"/>
                <w:lang w:val="en-US" w:eastAsia="zh-CN"/>
              </w:rPr>
              <w:t>1、废气</w:t>
            </w:r>
          </w:p>
          <w:p>
            <w:pPr>
              <w:numPr>
                <w:ilvl w:val="0"/>
                <w:numId w:val="0"/>
              </w:numPr>
              <w:adjustRightInd w:val="0"/>
              <w:snapToGrid w:val="0"/>
              <w:spacing w:line="360" w:lineRule="auto"/>
              <w:ind w:firstLine="440" w:firstLineChars="200"/>
              <w:rPr>
                <w:rFonts w:hint="eastAsia" w:ascii="Times New Roman" w:hAnsi="Times New Roman" w:cs="Times New Roman"/>
                <w:bCs/>
                <w:color w:val="auto"/>
                <w:spacing w:val="-10"/>
                <w:sz w:val="24"/>
                <w:szCs w:val="24"/>
                <w:lang w:eastAsia="zh-CN"/>
              </w:rPr>
            </w:pPr>
            <w:r>
              <w:rPr>
                <w:rFonts w:hint="default" w:ascii="Times New Roman" w:hAnsi="Times New Roman" w:cs="Times New Roman"/>
                <w:bCs/>
                <w:color w:val="auto"/>
                <w:spacing w:val="-10"/>
                <w:sz w:val="24"/>
                <w:szCs w:val="24"/>
              </w:rPr>
              <w:t>由于本项目全部在室内施工，产生的粉尘散落在施工作业区的附近，且定期在室内实施洒水抑尘，不会产生有组织的粉尘排放，对厂界外的大气环境影响甚微</w:t>
            </w:r>
            <w:r>
              <w:rPr>
                <w:rFonts w:hint="eastAsia" w:ascii="Times New Roman" w:hAnsi="Times New Roman" w:cs="Times New Roman"/>
                <w:bCs/>
                <w:color w:val="auto"/>
                <w:spacing w:val="-10"/>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rPr>
              <w:t>项目装修产生的废气来源于施工人员对墙壁的粉刷，修补，装修废气主要为油漆、涂料等挥发造成的有机废气，主要有甲醛、苯等。施工作业场所保证通风，保证空气流通，降低污染物浓度；施工作业人员</w:t>
            </w:r>
            <w:r>
              <w:rPr>
                <w:rFonts w:hint="eastAsia" w:ascii="Times New Roman" w:hAnsi="Times New Roman" w:eastAsia="宋体" w:cs="Times New Roman"/>
                <w:color w:val="auto"/>
                <w:kern w:val="0"/>
                <w:sz w:val="24"/>
                <w:szCs w:val="24"/>
                <w:highlight w:val="none"/>
                <w:lang w:val="en-US" w:eastAsia="zh-CN"/>
              </w:rPr>
              <w:t>佩戴</w:t>
            </w:r>
            <w:r>
              <w:rPr>
                <w:rFonts w:hint="default" w:ascii="Times New Roman" w:hAnsi="Times New Roman" w:eastAsia="宋体" w:cs="Times New Roman"/>
                <w:color w:val="auto"/>
                <w:kern w:val="0"/>
                <w:sz w:val="24"/>
                <w:szCs w:val="24"/>
                <w:highlight w:val="none"/>
              </w:rPr>
              <w:t>防毒面罩和口罩，保证作业人员的身体健康。</w:t>
            </w:r>
          </w:p>
          <w:p>
            <w:pPr>
              <w:numPr>
                <w:ilvl w:val="0"/>
                <w:numId w:val="0"/>
              </w:numPr>
              <w:adjustRightInd w:val="0"/>
              <w:snapToGrid w:val="0"/>
              <w:spacing w:line="360" w:lineRule="auto"/>
              <w:ind w:firstLine="440" w:firstLineChars="200"/>
              <w:rPr>
                <w:rFonts w:hint="eastAsia"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2、废水</w:t>
            </w:r>
          </w:p>
          <w:p>
            <w:pPr>
              <w:spacing w:line="360" w:lineRule="auto"/>
              <w:ind w:firstLine="480" w:firstLineChars="20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施工高峰期</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rPr>
              <w:t>人同时在施工作业，不设食宿，施工人员平均用水量按每人每天50L计，</w:t>
            </w:r>
            <w:r>
              <w:rPr>
                <w:rFonts w:hint="default" w:ascii="Times New Roman" w:hAnsi="Times New Roman" w:eastAsia="宋体" w:cs="Times New Roman"/>
                <w:color w:val="auto"/>
                <w:kern w:val="0"/>
                <w:sz w:val="24"/>
                <w:szCs w:val="24"/>
                <w:highlight w:val="none"/>
                <w:lang w:val="en-US" w:eastAsia="zh-CN"/>
              </w:rPr>
              <w:t>排污系数以0.85</w:t>
            </w:r>
            <w:r>
              <w:rPr>
                <w:rFonts w:hint="default" w:ascii="Times New Roman" w:hAnsi="Times New Roman" w:eastAsia="宋体" w:cs="Times New Roman"/>
                <w:color w:val="auto"/>
                <w:kern w:val="0"/>
                <w:sz w:val="24"/>
                <w:szCs w:val="24"/>
                <w:highlight w:val="none"/>
              </w:rPr>
              <w:t>计，则项目在施工期间生活污水</w:t>
            </w:r>
            <w:r>
              <w:rPr>
                <w:rFonts w:hint="default" w:ascii="Times New Roman" w:hAnsi="Times New Roman" w:eastAsia="宋体" w:cs="Times New Roman"/>
                <w:color w:val="auto"/>
                <w:kern w:val="0"/>
                <w:sz w:val="24"/>
                <w:szCs w:val="24"/>
                <w:highlight w:val="none"/>
                <w:lang w:eastAsia="zh-CN"/>
              </w:rPr>
              <w:t>产生</w:t>
            </w:r>
            <w:r>
              <w:rPr>
                <w:rFonts w:hint="default" w:ascii="Times New Roman" w:hAnsi="Times New Roman" w:eastAsia="宋体" w:cs="Times New Roman"/>
                <w:color w:val="auto"/>
                <w:kern w:val="0"/>
                <w:sz w:val="24"/>
                <w:szCs w:val="24"/>
                <w:highlight w:val="none"/>
              </w:rPr>
              <w:t>量约</w:t>
            </w:r>
            <w:r>
              <w:rPr>
                <w:rFonts w:hint="default" w:ascii="Times New Roman" w:hAnsi="Times New Roman" w:eastAsia="宋体" w:cs="Times New Roman"/>
                <w:color w:val="auto"/>
                <w:kern w:val="0"/>
                <w:sz w:val="24"/>
                <w:szCs w:val="24"/>
                <w:highlight w:val="none"/>
                <w:lang w:val="en-US" w:eastAsia="zh-CN"/>
              </w:rPr>
              <w:t>0.85m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rPr>
              <w:t>/d</w:t>
            </w:r>
            <w:r>
              <w:rPr>
                <w:rFonts w:hint="default" w:ascii="Times New Roman" w:hAnsi="Times New Roman" w:eastAsia="宋体" w:cs="Times New Roman"/>
                <w:color w:val="auto"/>
                <w:kern w:val="0"/>
                <w:sz w:val="24"/>
                <w:szCs w:val="24"/>
                <w:highlight w:val="none"/>
                <w:lang w:eastAsia="zh-CN"/>
              </w:rPr>
              <w:t>。生活污水</w:t>
            </w:r>
            <w:r>
              <w:rPr>
                <w:rFonts w:hint="eastAsia" w:ascii="Times New Roman" w:hAnsi="Times New Roman" w:eastAsia="宋体" w:cs="Times New Roman"/>
                <w:color w:val="auto"/>
                <w:kern w:val="0"/>
                <w:sz w:val="24"/>
                <w:szCs w:val="24"/>
                <w:highlight w:val="none"/>
                <w:lang w:val="en-US" w:eastAsia="zh-CN"/>
              </w:rPr>
              <w:t>由下水道进入园区污水管网</w:t>
            </w:r>
            <w:r>
              <w:rPr>
                <w:rFonts w:hint="default" w:ascii="Times New Roman" w:hAnsi="Times New Roman" w:eastAsia="宋体" w:cs="Times New Roman"/>
                <w:color w:val="auto"/>
                <w:kern w:val="0"/>
                <w:sz w:val="24"/>
                <w:szCs w:val="24"/>
                <w:highlight w:val="none"/>
                <w:lang w:eastAsia="zh-CN"/>
              </w:rPr>
              <w:t>后</w:t>
            </w:r>
            <w:r>
              <w:rPr>
                <w:rFonts w:hint="eastAsia" w:ascii="Times New Roman" w:hAnsi="Times New Roman" w:eastAsia="宋体" w:cs="Times New Roman"/>
                <w:color w:val="auto"/>
                <w:kern w:val="0"/>
                <w:sz w:val="24"/>
                <w:szCs w:val="24"/>
                <w:highlight w:val="none"/>
                <w:lang w:val="en-US" w:eastAsia="zh-CN"/>
              </w:rPr>
              <w:t>依托园区一体化污水处理设备进行处理</w:t>
            </w:r>
            <w:r>
              <w:rPr>
                <w:rFonts w:hint="default" w:ascii="Times New Roman" w:hAnsi="Times New Roman" w:eastAsia="宋体" w:cs="Times New Roman"/>
                <w:color w:val="auto"/>
                <w:kern w:val="0"/>
                <w:sz w:val="24"/>
                <w:szCs w:val="24"/>
                <w:highlight w:val="none"/>
                <w:lang w:eastAsia="zh-CN"/>
              </w:rPr>
              <w:t>。</w:t>
            </w:r>
          </w:p>
          <w:p>
            <w:pPr>
              <w:numPr>
                <w:ilvl w:val="0"/>
                <w:numId w:val="0"/>
              </w:numPr>
              <w:adjustRightInd w:val="0"/>
              <w:snapToGrid w:val="0"/>
              <w:spacing w:line="360" w:lineRule="auto"/>
              <w:ind w:firstLine="440" w:firstLineChars="200"/>
              <w:rPr>
                <w:rFonts w:hint="eastAsia"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kern w:val="2"/>
                <w:sz w:val="24"/>
                <w:szCs w:val="24"/>
                <w:lang w:val="en-US" w:eastAsia="zh-CN" w:bidi="ar-SA"/>
              </w:rPr>
              <w:t>3、</w:t>
            </w:r>
            <w:r>
              <w:rPr>
                <w:rFonts w:hint="eastAsia" w:ascii="Times New Roman" w:hAnsi="Times New Roman" w:cs="Times New Roman"/>
                <w:bCs/>
                <w:color w:val="auto"/>
                <w:spacing w:val="-10"/>
                <w:sz w:val="24"/>
                <w:szCs w:val="24"/>
                <w:lang w:val="en-US" w:eastAsia="zh-CN"/>
              </w:rPr>
              <w:t>噪声</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施工期噪声主要来源于安装设备噪声，根据调查，建设单位通过采取选用低噪声机械设备、合理安排施工计划和时间以距离防护和隔声等措施减少施工噪声对区域环境的影响。</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highlight w:val="none"/>
                <w:lang w:val="en-US" w:eastAsia="zh-CN"/>
              </w:rPr>
              <w:t>固体废物</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本项目施工期产生的固体废物主要来源于安装设备人员生活垃圾和包装垃圾由有关环保部门统一清运处理。</w:t>
            </w: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lang w:val="en-US" w:eastAsia="zh-CN"/>
              </w:rPr>
            </w:pP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lang w:val="en-US" w:eastAsia="zh-CN"/>
              </w:rPr>
            </w:pPr>
          </w:p>
          <w:p>
            <w:pPr>
              <w:numPr>
                <w:ilvl w:val="0"/>
                <w:numId w:val="0"/>
              </w:numPr>
              <w:adjustRightInd w:val="0"/>
              <w:snapToGrid w:val="0"/>
              <w:spacing w:line="360" w:lineRule="auto"/>
              <w:ind w:firstLine="420" w:firstLineChars="200"/>
              <w:rPr>
                <w:rFonts w:hint="default" w:ascii="Times New Roman" w:hAnsi="Times New Roman" w:eastAsia="宋体" w:cs="Times New Roman"/>
                <w:color w:val="auto"/>
                <w:kern w:val="0"/>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0" w:hRule="atLeast"/>
          <w:jc w:val="center"/>
        </w:trPr>
        <w:tc>
          <w:tcPr>
            <w:tcW w:w="613" w:type="dxa"/>
            <w:noWrap w:val="0"/>
            <w:tcMar>
              <w:left w:w="28" w:type="dxa"/>
              <w:right w:w="28" w:type="dxa"/>
            </w:tcMar>
            <w:vAlign w:val="center"/>
          </w:tcPr>
          <w:p>
            <w:pPr>
              <w:adjustRightInd w:val="0"/>
              <w:snapToGrid w:val="0"/>
              <w:jc w:val="center"/>
              <w:rPr>
                <w:rFonts w:ascii="宋体" w:hAnsi="宋体" w:cs="宋体"/>
                <w:bCs/>
                <w:color w:val="auto"/>
                <w:szCs w:val="21"/>
              </w:rPr>
            </w:pPr>
            <w:r>
              <w:rPr>
                <w:rFonts w:hint="eastAsia" w:ascii="宋体" w:hAnsi="宋体" w:cs="宋体"/>
                <w:bCs/>
                <w:color w:val="auto"/>
                <w:szCs w:val="21"/>
              </w:rPr>
              <w:t>运营期环境影响和保护措施</w:t>
            </w:r>
          </w:p>
        </w:tc>
        <w:tc>
          <w:tcPr>
            <w:tcW w:w="8368" w:type="dxa"/>
            <w:noWrap w:val="0"/>
            <w:vAlign w:val="center"/>
          </w:tcPr>
          <w:p>
            <w:pPr>
              <w:numPr>
                <w:ilvl w:val="0"/>
                <w:numId w:val="0"/>
              </w:numPr>
              <w:adjustRightInd w:val="0"/>
              <w:snapToGrid w:val="0"/>
              <w:ind w:firstLine="442" w:firstLineChars="200"/>
              <w:rPr>
                <w:rFonts w:hint="eastAsia" w:ascii="宋体" w:hAnsi="宋体" w:cs="宋体"/>
                <w:b/>
                <w:bCs w:val="0"/>
                <w:color w:val="auto"/>
                <w:spacing w:val="-10"/>
                <w:sz w:val="24"/>
                <w:szCs w:val="24"/>
                <w:lang w:val="en-US" w:eastAsia="zh-CN"/>
              </w:rPr>
            </w:pPr>
            <w:r>
              <w:rPr>
                <w:rFonts w:hint="eastAsia" w:ascii="宋体" w:hAnsi="宋体" w:cs="宋体"/>
                <w:b/>
                <w:bCs w:val="0"/>
                <w:color w:val="auto"/>
                <w:spacing w:val="-10"/>
                <w:kern w:val="2"/>
                <w:sz w:val="24"/>
                <w:szCs w:val="24"/>
                <w:lang w:val="en-US" w:eastAsia="zh-CN" w:bidi="ar-SA"/>
              </w:rPr>
              <w:t>一、</w:t>
            </w:r>
            <w:r>
              <w:rPr>
                <w:rFonts w:hint="eastAsia" w:ascii="宋体" w:hAnsi="宋体" w:cs="宋体"/>
                <w:b/>
                <w:bCs w:val="0"/>
                <w:color w:val="auto"/>
                <w:spacing w:val="-10"/>
                <w:sz w:val="24"/>
                <w:szCs w:val="24"/>
                <w:lang w:val="en-US" w:eastAsia="zh-CN"/>
              </w:rPr>
              <w:t>废气</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本项目运营期的废气主要为天然气燃烧废气和油烟。</w:t>
            </w:r>
          </w:p>
          <w:p>
            <w:pPr>
              <w:numPr>
                <w:ilvl w:val="0"/>
                <w:numId w:val="0"/>
              </w:numPr>
              <w:adjustRightInd w:val="0"/>
              <w:snapToGrid w:val="0"/>
              <w:spacing w:line="360" w:lineRule="auto"/>
              <w:ind w:firstLine="440" w:firstLineChars="200"/>
              <w:rPr>
                <w:rFonts w:hint="default" w:ascii="Times New Roman" w:hAnsi="Times New Roman" w:cs="Times New Roman"/>
                <w:bCs/>
                <w:color w:val="auto"/>
                <w:spacing w:val="-10"/>
                <w:sz w:val="24"/>
                <w:szCs w:val="24"/>
                <w:lang w:val="en-US" w:eastAsia="zh-CN"/>
              </w:rPr>
            </w:pPr>
            <w:r>
              <w:rPr>
                <w:rFonts w:hint="eastAsia" w:cs="Times New Roman"/>
                <w:bCs/>
                <w:color w:val="auto"/>
                <w:spacing w:val="-10"/>
                <w:kern w:val="2"/>
                <w:sz w:val="24"/>
                <w:szCs w:val="24"/>
                <w:lang w:val="en-US" w:eastAsia="zh-CN" w:bidi="ar-SA"/>
              </w:rPr>
              <w:t>（</w:t>
            </w:r>
            <w:r>
              <w:rPr>
                <w:rFonts w:hint="default" w:ascii="Times New Roman" w:hAnsi="Times New Roman" w:cs="Times New Roman"/>
                <w:bCs/>
                <w:color w:val="auto"/>
                <w:spacing w:val="-10"/>
                <w:kern w:val="2"/>
                <w:sz w:val="24"/>
                <w:szCs w:val="24"/>
                <w:lang w:val="en-US" w:eastAsia="zh-CN" w:bidi="ar-SA"/>
              </w:rPr>
              <w:t>1）</w:t>
            </w:r>
            <w:r>
              <w:rPr>
                <w:rFonts w:hint="default" w:ascii="Times New Roman" w:hAnsi="Times New Roman" w:cs="Times New Roman"/>
                <w:bCs/>
                <w:color w:val="auto"/>
                <w:spacing w:val="-10"/>
                <w:sz w:val="24"/>
                <w:szCs w:val="24"/>
                <w:lang w:val="en-US" w:eastAsia="zh-CN"/>
              </w:rPr>
              <w:t>天然气燃烧废气</w:t>
            </w:r>
          </w:p>
          <w:p>
            <w:pPr>
              <w:numPr>
                <w:ilvl w:val="0"/>
                <w:numId w:val="0"/>
              </w:numPr>
              <w:adjustRightInd w:val="0"/>
              <w:snapToGrid w:val="0"/>
              <w:spacing w:line="360" w:lineRule="auto"/>
              <w:ind w:firstLine="440" w:firstLineChars="200"/>
              <w:rPr>
                <w:rFonts w:hint="default" w:ascii="Times New Roman" w:hAnsi="Times New Roman" w:cs="Times New Roman"/>
                <w:bCs/>
                <w:color w:val="auto"/>
                <w:spacing w:val="-10"/>
                <w:sz w:val="24"/>
                <w:szCs w:val="24"/>
                <w:lang w:val="en-US" w:eastAsia="zh-CN"/>
              </w:rPr>
            </w:pPr>
            <w:r>
              <w:rPr>
                <w:rFonts w:hint="default" w:ascii="Times New Roman" w:hAnsi="Times New Roman" w:cs="Times New Roman"/>
                <w:bCs/>
                <w:color w:val="auto"/>
                <w:spacing w:val="-10"/>
                <w:sz w:val="24"/>
                <w:szCs w:val="24"/>
                <w:lang w:val="en-US" w:eastAsia="zh-CN"/>
              </w:rPr>
              <w:t>①产生情况</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本项目设置3</w:t>
            </w:r>
            <w:r>
              <w:rPr>
                <w:rFonts w:hint="eastAsia" w:ascii="Times New Roman" w:hAnsi="Times New Roman" w:eastAsia="宋体" w:cs="Times New Roman"/>
                <w:color w:val="auto"/>
                <w:kern w:val="0"/>
                <w:sz w:val="24"/>
                <w:szCs w:val="24"/>
                <w:highlight w:val="none"/>
                <w:lang w:val="en-US" w:eastAsia="zh-CN"/>
              </w:rPr>
              <w:t>台</w:t>
            </w:r>
            <w:r>
              <w:rPr>
                <w:rFonts w:hint="default" w:ascii="Times New Roman" w:hAnsi="Times New Roman" w:eastAsia="宋体" w:cs="Times New Roman"/>
                <w:color w:val="auto"/>
                <w:kern w:val="0"/>
                <w:sz w:val="24"/>
                <w:szCs w:val="24"/>
                <w:highlight w:val="none"/>
                <w:lang w:val="en-US" w:eastAsia="zh-CN"/>
              </w:rPr>
              <w:t>2.0t/h天然气锅炉</w:t>
            </w:r>
            <w:r>
              <w:rPr>
                <w:rFonts w:hint="eastAsia" w:ascii="Times New Roman" w:hAnsi="Times New Roman" w:eastAsia="宋体" w:cs="Times New Roman"/>
                <w:color w:val="auto"/>
                <w:kern w:val="0"/>
                <w:sz w:val="24"/>
                <w:szCs w:val="24"/>
                <w:highlight w:val="none"/>
                <w:lang w:val="en-US" w:eastAsia="zh-CN"/>
              </w:rPr>
              <w:t>，主要用于加热。锅炉燃料为天然气，其余生产设备主要为电能。本项目6t/h锅炉实际耗气量共约为450Nm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/h，使用时间为8h，则耗气量为108万Nm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/a（3600Nm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/d）。</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天然气燃烧排放参考《排污许可证申请与核发技术规范—锅炉》(HJ953-2018）；以天然气为能源提供热力的大气污染物指标。燃烧每万立方米天然气产污为：工业废气量：11.6标立方米/立方米-燃料，NO</w:t>
            </w:r>
            <w:r>
              <w:rPr>
                <w:rFonts w:hint="eastAsia" w:ascii="Times New Roman" w:hAnsi="Times New Roman" w:eastAsia="宋体" w:cs="Times New Roman"/>
                <w:color w:val="auto"/>
                <w:kern w:val="0"/>
                <w:sz w:val="24"/>
                <w:szCs w:val="24"/>
                <w:highlight w:val="none"/>
                <w:vertAlign w:val="subscript"/>
                <w:lang w:val="en-US" w:eastAsia="zh-CN"/>
              </w:rPr>
              <w:t>x</w:t>
            </w:r>
            <w:r>
              <w:rPr>
                <w:rFonts w:hint="eastAsia" w:ascii="Times New Roman" w:hAnsi="Times New Roman" w:eastAsia="宋体" w:cs="Times New Roman"/>
                <w:color w:val="auto"/>
                <w:kern w:val="0"/>
                <w:sz w:val="24"/>
                <w:szCs w:val="24"/>
                <w:highlight w:val="none"/>
                <w:lang w:val="en-US" w:eastAsia="zh-CN"/>
              </w:rPr>
              <w:t>：加装低氮燃烧器后按 9.36 千克/万立方米-燃料计，SO</w:t>
            </w:r>
            <w:r>
              <w:rPr>
                <w:rFonts w:hint="eastAsia" w:ascii="Times New Roman" w:hAnsi="Times New Roman" w:eastAsia="宋体" w:cs="Times New Roman"/>
                <w:color w:val="auto"/>
                <w:kern w:val="0"/>
                <w:sz w:val="24"/>
                <w:szCs w:val="24"/>
                <w:highlight w:val="none"/>
                <w:vertAlign w:val="subscript"/>
                <w:lang w:val="en-US" w:eastAsia="zh-CN"/>
              </w:rPr>
              <w:t>2</w:t>
            </w:r>
            <w:r>
              <w:rPr>
                <w:rFonts w:hint="eastAsia" w:ascii="Times New Roman" w:hAnsi="Times New Roman" w:eastAsia="宋体" w:cs="Times New Roman"/>
                <w:color w:val="auto"/>
                <w:kern w:val="0"/>
                <w:sz w:val="24"/>
                <w:szCs w:val="24"/>
                <w:highlight w:val="none"/>
                <w:lang w:val="en-US" w:eastAsia="zh-CN"/>
              </w:rPr>
              <w:t>：0.02S千克/万立方米-燃料（经查《天然气》（GB17820-2018）中的二类气质标准的天然气（即S≤100mg/m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），本次评价按100mg/m</w:t>
            </w:r>
            <w:r>
              <w:rPr>
                <w:rFonts w:hint="eastAsia" w:ascii="Times New Roman" w:hAnsi="Times New Roman" w:eastAsia="宋体" w:cs="Times New Roman"/>
                <w:color w:val="auto"/>
                <w:kern w:val="0"/>
                <w:sz w:val="24"/>
                <w:szCs w:val="24"/>
                <w:highlight w:val="none"/>
                <w:vertAlign w:val="superscript"/>
                <w:lang w:val="en-US" w:eastAsia="zh-CN"/>
              </w:rPr>
              <w:t>3</w:t>
            </w:r>
            <w:r>
              <w:rPr>
                <w:rFonts w:hint="eastAsia" w:ascii="Times New Roman" w:hAnsi="Times New Roman" w:eastAsia="宋体" w:cs="Times New Roman"/>
                <w:color w:val="auto"/>
                <w:kern w:val="0"/>
                <w:sz w:val="24"/>
                <w:szCs w:val="24"/>
                <w:highlight w:val="none"/>
                <w:lang w:val="en-US" w:eastAsia="zh-CN"/>
              </w:rPr>
              <w:t>计），颗粒物：2.86千克/万立方米-燃料。</w:t>
            </w:r>
          </w:p>
          <w:p>
            <w:pPr>
              <w:numPr>
                <w:ilvl w:val="0"/>
                <w:numId w:val="0"/>
              </w:numPr>
              <w:adjustRightInd w:val="0"/>
              <w:snapToGrid w:val="0"/>
              <w:spacing w:line="240" w:lineRule="auto"/>
              <w:ind w:firstLine="382" w:firstLineChars="200"/>
              <w:jc w:val="center"/>
              <w:rPr>
                <w:rFonts w:hint="default" w:ascii="Times New Roman" w:hAnsi="Times New Roman" w:cs="Times New Roman"/>
                <w:b/>
                <w:bCs w:val="0"/>
                <w:color w:val="auto"/>
                <w:spacing w:val="-10"/>
                <w:sz w:val="21"/>
                <w:szCs w:val="21"/>
                <w:lang w:val="en-US" w:eastAsia="zh-CN"/>
              </w:rPr>
            </w:pPr>
            <w:r>
              <w:rPr>
                <w:rFonts w:hint="eastAsia" w:ascii="Times New Roman" w:hAnsi="Times New Roman" w:cs="Times New Roman"/>
                <w:b/>
                <w:bCs w:val="0"/>
                <w:color w:val="auto"/>
                <w:spacing w:val="-10"/>
                <w:sz w:val="21"/>
                <w:szCs w:val="21"/>
                <w:lang w:val="en-US" w:eastAsia="zh-CN"/>
              </w:rPr>
              <w:t>表4-1  天然气燃烧废气源强核算表</w:t>
            </w:r>
          </w:p>
          <w:tbl>
            <w:tblPr>
              <w:tblStyle w:val="42"/>
              <w:tblW w:w="815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00"/>
              <w:gridCol w:w="700"/>
              <w:gridCol w:w="506"/>
              <w:gridCol w:w="805"/>
              <w:gridCol w:w="1349"/>
              <w:gridCol w:w="887"/>
              <w:gridCol w:w="754"/>
              <w:gridCol w:w="1203"/>
              <w:gridCol w:w="7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07"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序号</w:t>
                  </w:r>
                </w:p>
              </w:tc>
              <w:tc>
                <w:tcPr>
                  <w:tcW w:w="429"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原料名称</w:t>
                  </w:r>
                </w:p>
              </w:tc>
              <w:tc>
                <w:tcPr>
                  <w:tcW w:w="429"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工艺名称</w:t>
                  </w:r>
                </w:p>
              </w:tc>
              <w:tc>
                <w:tcPr>
                  <w:tcW w:w="803" w:type="pct"/>
                  <w:gridSpan w:val="2"/>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污染指标</w:t>
                  </w:r>
                </w:p>
              </w:tc>
              <w:tc>
                <w:tcPr>
                  <w:tcW w:w="82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单位</w:t>
                  </w:r>
                </w:p>
              </w:tc>
              <w:tc>
                <w:tcPr>
                  <w:tcW w:w="543"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产污系数</w:t>
                  </w:r>
                </w:p>
              </w:tc>
              <w:tc>
                <w:tcPr>
                  <w:tcW w:w="462" w:type="pct"/>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本项目使用量</w:t>
                  </w:r>
                </w:p>
              </w:tc>
              <w:tc>
                <w:tcPr>
                  <w:tcW w:w="1197" w:type="pct"/>
                  <w:gridSpan w:val="2"/>
                  <w:noWrap w:val="0"/>
                  <w:vAlign w:val="center"/>
                </w:tcPr>
                <w:p>
                  <w:pPr>
                    <w:numPr>
                      <w:ilvl w:val="0"/>
                      <w:numId w:val="0"/>
                    </w:numPr>
                    <w:adjustRightInd w:val="0"/>
                    <w:snapToGrid w:val="0"/>
                    <w:spacing w:line="240" w:lineRule="auto"/>
                    <w:jc w:val="center"/>
                    <w:rPr>
                      <w:rFonts w:hint="default" w:ascii="Times New Roman" w:hAnsi="Times New Roman" w:cs="Times New Roman"/>
                      <w:b/>
                      <w:bCs w:val="0"/>
                      <w:color w:val="auto"/>
                      <w:spacing w:val="-10"/>
                      <w:sz w:val="21"/>
                      <w:szCs w:val="21"/>
                      <w:vertAlign w:val="baseline"/>
                      <w:lang w:val="en-US" w:eastAsia="zh-CN"/>
                    </w:rPr>
                  </w:pPr>
                  <w:r>
                    <w:rPr>
                      <w:rFonts w:hint="eastAsia" w:ascii="Times New Roman" w:hAnsi="Times New Roman" w:cs="Times New Roman"/>
                      <w:b/>
                      <w:bCs w:val="0"/>
                      <w:color w:val="auto"/>
                      <w:spacing w:val="-10"/>
                      <w:sz w:val="21"/>
                      <w:szCs w:val="21"/>
                      <w:vertAlign w:val="baseline"/>
                      <w:lang w:val="en-US" w:eastAsia="zh-CN"/>
                    </w:rPr>
                    <w:t>污染物产生情况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07"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1</w:t>
                  </w:r>
                </w:p>
              </w:tc>
              <w:tc>
                <w:tcPr>
                  <w:tcW w:w="429"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天然气</w:t>
                  </w:r>
                </w:p>
              </w:tc>
              <w:tc>
                <w:tcPr>
                  <w:tcW w:w="429"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室燃烧</w:t>
                  </w:r>
                </w:p>
              </w:tc>
              <w:tc>
                <w:tcPr>
                  <w:tcW w:w="310"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废气</w:t>
                  </w:r>
                </w:p>
              </w:tc>
              <w:tc>
                <w:tcPr>
                  <w:tcW w:w="49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工业废气量</w:t>
                  </w:r>
                </w:p>
              </w:tc>
              <w:tc>
                <w:tcPr>
                  <w:tcW w:w="827"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lang w:val="en-US" w:eastAsia="zh-CN"/>
                    </w:rPr>
                    <w:t>标立方米/立方米-燃料</w:t>
                  </w:r>
                </w:p>
              </w:tc>
              <w:tc>
                <w:tcPr>
                  <w:tcW w:w="54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11.6</w:t>
                  </w:r>
                </w:p>
              </w:tc>
              <w:tc>
                <w:tcPr>
                  <w:tcW w:w="462" w:type="pct"/>
                  <w:vMerge w:val="restar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lang w:val="en-US" w:eastAsia="zh-CN"/>
                    </w:rPr>
                    <w:t>108万Nm</w:t>
                  </w:r>
                  <w:r>
                    <w:rPr>
                      <w:rFonts w:hint="eastAsia" w:ascii="Times New Roman" w:hAnsi="Times New Roman" w:cs="Times New Roman"/>
                      <w:bCs/>
                      <w:color w:val="auto"/>
                      <w:spacing w:val="-10"/>
                      <w:sz w:val="21"/>
                      <w:szCs w:val="21"/>
                      <w:vertAlign w:val="superscript"/>
                      <w:lang w:val="en-US" w:eastAsia="zh-CN"/>
                    </w:rPr>
                    <w:t>3</w:t>
                  </w:r>
                  <w:r>
                    <w:rPr>
                      <w:rFonts w:hint="eastAsia" w:ascii="Times New Roman" w:hAnsi="Times New Roman" w:cs="Times New Roman"/>
                      <w:bCs/>
                      <w:color w:val="auto"/>
                      <w:spacing w:val="-10"/>
                      <w:sz w:val="21"/>
                      <w:szCs w:val="21"/>
                      <w:lang w:val="en-US" w:eastAsia="zh-CN"/>
                    </w:rPr>
                    <w:t>/a</w:t>
                  </w:r>
                </w:p>
              </w:tc>
              <w:tc>
                <w:tcPr>
                  <w:tcW w:w="73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工业废气量</w:t>
                  </w:r>
                </w:p>
              </w:tc>
              <w:tc>
                <w:tcPr>
                  <w:tcW w:w="459"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1252.8万m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307"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310"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9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二氧化硫</w:t>
                  </w:r>
                </w:p>
              </w:tc>
              <w:tc>
                <w:tcPr>
                  <w:tcW w:w="827"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lang w:val="en-US" w:eastAsia="zh-CN"/>
                    </w:rPr>
                    <w:t>千克/万立方米-燃料</w:t>
                  </w:r>
                </w:p>
              </w:tc>
              <w:tc>
                <w:tcPr>
                  <w:tcW w:w="54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0.02S</w:t>
                  </w:r>
                </w:p>
              </w:tc>
              <w:tc>
                <w:tcPr>
                  <w:tcW w:w="462"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73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二氧化硫</w:t>
                  </w:r>
                </w:p>
              </w:tc>
              <w:tc>
                <w:tcPr>
                  <w:tcW w:w="459"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0.216t/a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307"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310"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9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氮氧化物</w:t>
                  </w:r>
                </w:p>
              </w:tc>
              <w:tc>
                <w:tcPr>
                  <w:tcW w:w="827"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lang w:val="en-US" w:eastAsia="zh-CN"/>
                    </w:rPr>
                    <w:t>千克/万立方米-燃料</w:t>
                  </w:r>
                </w:p>
              </w:tc>
              <w:tc>
                <w:tcPr>
                  <w:tcW w:w="54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9.36（低氮燃烧）</w:t>
                  </w:r>
                </w:p>
              </w:tc>
              <w:tc>
                <w:tcPr>
                  <w:tcW w:w="462"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73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氮氧化物</w:t>
                  </w:r>
                </w:p>
              </w:tc>
              <w:tc>
                <w:tcPr>
                  <w:tcW w:w="459"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1.01t/a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07"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29"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310"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49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颗粒物</w:t>
                  </w:r>
                </w:p>
              </w:tc>
              <w:tc>
                <w:tcPr>
                  <w:tcW w:w="827"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lang w:val="en-US" w:eastAsia="zh-CN"/>
                    </w:rPr>
                    <w:t>千克/万立方米-燃料</w:t>
                  </w:r>
                </w:p>
              </w:tc>
              <w:tc>
                <w:tcPr>
                  <w:tcW w:w="543"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2.86</w:t>
                  </w:r>
                </w:p>
              </w:tc>
              <w:tc>
                <w:tcPr>
                  <w:tcW w:w="462"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p>
              </w:tc>
              <w:tc>
                <w:tcPr>
                  <w:tcW w:w="73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颗粒物</w:t>
                  </w:r>
                </w:p>
              </w:tc>
              <w:tc>
                <w:tcPr>
                  <w:tcW w:w="459" w:type="pct"/>
                  <w:noWrap w:val="0"/>
                  <w:vAlign w:val="center"/>
                </w:tcPr>
                <w:p>
                  <w:pPr>
                    <w:numPr>
                      <w:ilvl w:val="0"/>
                      <w:numId w:val="0"/>
                    </w:numPr>
                    <w:adjustRightInd w:val="0"/>
                    <w:snapToGrid w:val="0"/>
                    <w:spacing w:line="240" w:lineRule="auto"/>
                    <w:jc w:val="center"/>
                    <w:rPr>
                      <w:rFonts w:hint="default" w:ascii="Times New Roman" w:hAnsi="Times New Roman" w:cs="Times New Roman"/>
                      <w:bCs/>
                      <w:color w:val="auto"/>
                      <w:spacing w:val="-10"/>
                      <w:sz w:val="21"/>
                      <w:szCs w:val="21"/>
                      <w:vertAlign w:val="baseline"/>
                      <w:lang w:val="en-US" w:eastAsia="zh-CN"/>
                    </w:rPr>
                  </w:pPr>
                  <w:r>
                    <w:rPr>
                      <w:rFonts w:hint="eastAsia" w:ascii="Times New Roman" w:hAnsi="Times New Roman" w:cs="Times New Roman"/>
                      <w:bCs/>
                      <w:color w:val="auto"/>
                      <w:spacing w:val="-10"/>
                      <w:sz w:val="21"/>
                      <w:szCs w:val="21"/>
                      <w:vertAlign w:val="baseline"/>
                      <w:lang w:val="en-US" w:eastAsia="zh-CN"/>
                    </w:rPr>
                    <w:t>0.31t/a</w:t>
                  </w:r>
                </w:p>
              </w:tc>
            </w:tr>
          </w:tbl>
          <w:p>
            <w:pPr>
              <w:numPr>
                <w:ilvl w:val="0"/>
                <w:numId w:val="0"/>
              </w:numPr>
              <w:adjustRightInd w:val="0"/>
              <w:snapToGrid w:val="0"/>
              <w:spacing w:line="360" w:lineRule="auto"/>
              <w:ind w:firstLine="440" w:firstLineChars="200"/>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②治理措施</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锅炉设置低氮燃烧装置，确保燃烧废气中各项污染物达标排放。天然气属于清洁能源，项目锅炉加装低氮燃烧装置，天然气燃烧废气</w:t>
            </w:r>
            <w:r>
              <w:rPr>
                <w:rFonts w:hint="eastAsia" w:ascii="Times New Roman" w:hAnsi="Times New Roman" w:eastAsia="宋体" w:cs="Times New Roman"/>
                <w:color w:val="auto"/>
                <w:kern w:val="0"/>
                <w:sz w:val="24"/>
                <w:szCs w:val="24"/>
                <w:highlight w:val="none"/>
                <w:lang w:val="en-US" w:eastAsia="zh-CN"/>
              </w:rPr>
              <w:t>分别</w:t>
            </w:r>
            <w:r>
              <w:rPr>
                <w:rFonts w:hint="default" w:ascii="Times New Roman" w:hAnsi="Times New Roman" w:eastAsia="宋体" w:cs="Times New Roman"/>
                <w:color w:val="auto"/>
                <w:kern w:val="0"/>
                <w:sz w:val="24"/>
                <w:szCs w:val="24"/>
                <w:highlight w:val="none"/>
                <w:lang w:val="en-US" w:eastAsia="zh-CN"/>
              </w:rPr>
              <w:t>通过</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米烟囱</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DA001</w:t>
            </w:r>
            <w:r>
              <w:rPr>
                <w:rFonts w:hint="eastAsia" w:ascii="Times New Roman" w:hAnsi="Times New Roman" w:eastAsia="宋体" w:cs="Times New Roman"/>
                <w:color w:val="auto"/>
                <w:kern w:val="0"/>
                <w:sz w:val="24"/>
                <w:szCs w:val="24"/>
                <w:highlight w:val="none"/>
                <w:lang w:val="en-US" w:eastAsia="zh-CN"/>
              </w:rPr>
              <w:t>、DA002、DA003</w:t>
            </w:r>
            <w:r>
              <w:rPr>
                <w:rFonts w:hint="default" w:ascii="Times New Roman" w:hAnsi="Times New Roman" w:eastAsia="宋体" w:cs="Times New Roman"/>
                <w:color w:val="auto"/>
                <w:kern w:val="0"/>
                <w:sz w:val="24"/>
                <w:szCs w:val="24"/>
                <w:highlight w:val="none"/>
                <w:lang w:val="en-US" w:eastAsia="zh-CN"/>
              </w:rPr>
              <w:t>）排放</w:t>
            </w:r>
            <w:r>
              <w:rPr>
                <w:rFonts w:hint="eastAsia" w:ascii="Times New Roman" w:hAnsi="Times New Roman" w:eastAsia="宋体" w:cs="Times New Roman"/>
                <w:color w:val="auto"/>
                <w:kern w:val="0"/>
                <w:sz w:val="24"/>
                <w:szCs w:val="24"/>
                <w:highlight w:val="none"/>
                <w:lang w:val="en-US" w:eastAsia="zh-CN"/>
              </w:rPr>
              <w:t>。</w:t>
            </w:r>
          </w:p>
          <w:p>
            <w:pPr>
              <w:numPr>
                <w:ilvl w:val="0"/>
                <w:numId w:val="0"/>
              </w:numPr>
              <w:adjustRightInd w:val="0"/>
              <w:snapToGrid w:val="0"/>
              <w:spacing w:line="360" w:lineRule="auto"/>
              <w:ind w:firstLine="482" w:firstLineChars="200"/>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治理措施可行性：</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低氮燃烧装置：采用</w:t>
            </w:r>
            <w:r>
              <w:rPr>
                <w:rFonts w:hint="eastAsia" w:ascii="宋体" w:hAnsi="宋体" w:eastAsia="宋体" w:cs="宋体"/>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双级烟气循环</w:t>
            </w:r>
            <w:r>
              <w:rPr>
                <w:rFonts w:hint="eastAsia" w:ascii="宋体" w:hAnsi="宋体" w:eastAsia="宋体" w:cs="宋体"/>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技术处理，保证烟气中氮氧化物满足要求，燃烧废气引至</w:t>
            </w:r>
            <w:r>
              <w:rPr>
                <w:rFonts w:hint="eastAsia" w:ascii="Times New Roman" w:hAnsi="Times New Roman" w:eastAsia="宋体" w:cs="Times New Roman"/>
                <w:color w:val="auto"/>
                <w:kern w:val="0"/>
                <w:sz w:val="24"/>
                <w:szCs w:val="24"/>
                <w:highlight w:val="none"/>
                <w:lang w:val="en-US" w:eastAsia="zh-CN"/>
              </w:rPr>
              <w:t>锅炉</w:t>
            </w:r>
            <w:r>
              <w:rPr>
                <w:rFonts w:hint="default" w:ascii="Times New Roman" w:hAnsi="Times New Roman" w:eastAsia="宋体" w:cs="Times New Roman"/>
                <w:color w:val="auto"/>
                <w:kern w:val="0"/>
                <w:sz w:val="24"/>
                <w:szCs w:val="24"/>
                <w:highlight w:val="none"/>
                <w:lang w:val="en-US" w:eastAsia="zh-CN"/>
              </w:rPr>
              <w:t>顶</w:t>
            </w:r>
            <w:r>
              <w:rPr>
                <w:rFonts w:hint="eastAsia" w:ascii="Times New Roman" w:hAnsi="Times New Roman" w:eastAsia="宋体" w:cs="Times New Roman"/>
                <w:color w:val="auto"/>
                <w:kern w:val="0"/>
                <w:sz w:val="24"/>
                <w:szCs w:val="24"/>
                <w:highlight w:val="none"/>
                <w:lang w:val="en-US" w:eastAsia="zh-CN"/>
              </w:rPr>
              <w:t>端</w:t>
            </w:r>
            <w:r>
              <w:rPr>
                <w:rFonts w:hint="default" w:ascii="Times New Roman" w:hAnsi="Times New Roman" w:eastAsia="宋体" w:cs="Times New Roman"/>
                <w:color w:val="auto"/>
                <w:kern w:val="0"/>
                <w:sz w:val="24"/>
                <w:szCs w:val="24"/>
                <w:highlight w:val="none"/>
                <w:lang w:val="en-US" w:eastAsia="zh-CN"/>
              </w:rPr>
              <w:t>排放。将部分烟气分两路回收进入燃烧器再次利用。烟气再循环原理：将部分低温烟气直接送入炉内、另有少量烟气进入主风机，与空气</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一次风或二次风）混合送入炉内，因烟气吸热和稀释了氧浓度，使燃烧速度和炉内温度降低，因而热力NO</w:t>
            </w:r>
            <w:r>
              <w:rPr>
                <w:rFonts w:hint="default" w:ascii="Times New Roman" w:hAnsi="Times New Roman" w:eastAsia="宋体" w:cs="Times New Roman"/>
                <w:color w:val="auto"/>
                <w:kern w:val="0"/>
                <w:sz w:val="24"/>
                <w:szCs w:val="24"/>
                <w:highlight w:val="none"/>
                <w:vertAlign w:val="subscript"/>
                <w:lang w:val="en-US" w:eastAsia="zh-CN"/>
              </w:rPr>
              <w:t>x</w:t>
            </w:r>
            <w:r>
              <w:rPr>
                <w:rFonts w:hint="default" w:ascii="Times New Roman" w:hAnsi="Times New Roman" w:eastAsia="宋体" w:cs="Times New Roman"/>
                <w:color w:val="auto"/>
                <w:kern w:val="0"/>
                <w:sz w:val="24"/>
                <w:szCs w:val="24"/>
                <w:highlight w:val="none"/>
                <w:lang w:val="en-US" w:eastAsia="zh-CN"/>
              </w:rPr>
              <w:t>减少，可减少60%～70%。采用带有夹套的耐高温不锈钢喉口，从火焰周边喷注烟气，进一步降低火焰表面温度，降低NO</w:t>
            </w:r>
            <w:r>
              <w:rPr>
                <w:rFonts w:hint="default" w:ascii="Times New Roman" w:hAnsi="Times New Roman" w:eastAsia="宋体" w:cs="Times New Roman"/>
                <w:color w:val="auto"/>
                <w:kern w:val="0"/>
                <w:sz w:val="24"/>
                <w:szCs w:val="24"/>
                <w:highlight w:val="none"/>
                <w:vertAlign w:val="subscript"/>
                <w:lang w:val="en-US" w:eastAsia="zh-CN"/>
              </w:rPr>
              <w:t>x</w:t>
            </w:r>
            <w:r>
              <w:rPr>
                <w:rFonts w:hint="default" w:ascii="Times New Roman" w:hAnsi="Times New Roman" w:eastAsia="宋体" w:cs="Times New Roman"/>
                <w:color w:val="auto"/>
                <w:kern w:val="0"/>
                <w:sz w:val="24"/>
                <w:szCs w:val="24"/>
                <w:highlight w:val="none"/>
                <w:lang w:val="en-US" w:eastAsia="zh-CN"/>
              </w:rPr>
              <w:t>产生。该技术成熟能够良好地控制燃烧过程中生成的NO</w:t>
            </w:r>
            <w:r>
              <w:rPr>
                <w:rFonts w:hint="default" w:ascii="Times New Roman" w:hAnsi="Times New Roman" w:eastAsia="宋体" w:cs="Times New Roman"/>
                <w:color w:val="auto"/>
                <w:kern w:val="0"/>
                <w:sz w:val="24"/>
                <w:szCs w:val="24"/>
                <w:highlight w:val="none"/>
                <w:vertAlign w:val="subscript"/>
                <w:lang w:val="en-US" w:eastAsia="zh-CN"/>
              </w:rPr>
              <w:t>x</w:t>
            </w:r>
            <w:r>
              <w:rPr>
                <w:rFonts w:hint="default" w:ascii="Times New Roman" w:hAnsi="Times New Roman" w:eastAsia="宋体" w:cs="Times New Roman"/>
                <w:color w:val="auto"/>
                <w:kern w:val="0"/>
                <w:sz w:val="24"/>
                <w:szCs w:val="24"/>
                <w:highlight w:val="none"/>
                <w:lang w:val="en-US" w:eastAsia="zh-CN"/>
              </w:rPr>
              <w:t>的量，同时类比现有同类工程处理情况，项目采取的低氮燃烧从技术角度是可行的。项目锅炉采用的低氮燃烧技术符合《排污许可证申请与核发技术规范 锅炉》</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HJ953-2018）表7中重点地区污染防治可行性技术。</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③排放情况</w:t>
            </w:r>
          </w:p>
          <w:p>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rPr>
              <w:t>天然气属于清洁能源，项目锅炉加装低氮燃烧装置，锅炉废气通过</w:t>
            </w:r>
            <w:r>
              <w:rPr>
                <w:rFonts w:hint="eastAsia" w:ascii="Times New Roman" w:hAnsi="Times New Roman" w:eastAsia="宋体"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米高排气筒排放，污染物情况满足《锅炉大气污染物排放标准》</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GB13271-2014）表3大气污染特别排放限值中燃气锅炉排放限值要求，燃烧废气污染物排放情况见下表。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表4-2  大气污染物排放情况一览表</w:t>
            </w:r>
          </w:p>
          <w:tbl>
            <w:tblPr>
              <w:tblStyle w:val="42"/>
              <w:tblW w:w="819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41"/>
              <w:gridCol w:w="969"/>
              <w:gridCol w:w="1901"/>
              <w:gridCol w:w="1347"/>
              <w:gridCol w:w="1224"/>
              <w:gridCol w:w="10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39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编号</w:t>
                  </w:r>
                </w:p>
              </w:tc>
              <w:tc>
                <w:tcPr>
                  <w:tcW w:w="63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排放口环节</w:t>
                  </w: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污染物</w:t>
                  </w:r>
                </w:p>
              </w:tc>
              <w:tc>
                <w:tcPr>
                  <w:tcW w:w="115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产物系数</w:t>
                  </w:r>
                </w:p>
              </w:tc>
              <w:tc>
                <w:tcPr>
                  <w:tcW w:w="82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排放量</w:t>
                  </w:r>
                </w:p>
              </w:tc>
              <w:tc>
                <w:tcPr>
                  <w:tcW w:w="74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排放浓度</w:t>
                  </w:r>
                </w:p>
              </w:tc>
              <w:tc>
                <w:tcPr>
                  <w:tcW w:w="64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39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DA001</w:t>
                  </w:r>
                </w:p>
              </w:tc>
              <w:tc>
                <w:tcPr>
                  <w:tcW w:w="63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烟气量</w:t>
                  </w:r>
                </w:p>
              </w:tc>
              <w:tc>
                <w:tcPr>
                  <w:tcW w:w="115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11.6Nm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-原料</w:t>
                  </w:r>
                </w:p>
              </w:tc>
              <w:tc>
                <w:tcPr>
                  <w:tcW w:w="82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417.6万m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/a</w:t>
                  </w:r>
                </w:p>
              </w:tc>
              <w:tc>
                <w:tcPr>
                  <w:tcW w:w="74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64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SO</w:t>
                  </w:r>
                  <w:r>
                    <w:rPr>
                      <w:rFonts w:hint="eastAsia" w:ascii="Times New Roman" w:hAnsi="Times New Roman" w:eastAsia="宋体" w:cs="Times New Roman"/>
                      <w:b w:val="0"/>
                      <w:bCs w:val="0"/>
                      <w:color w:val="auto"/>
                      <w:kern w:val="0"/>
                      <w:sz w:val="21"/>
                      <w:szCs w:val="21"/>
                      <w:highlight w:val="none"/>
                      <w:vertAlign w:val="subscript"/>
                      <w:lang w:val="en-US" w:eastAsia="zh-CN"/>
                    </w:rPr>
                    <w:t>2</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0.02skg/万m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0.072t/a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17.24mg/m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9.36kg/万m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0.34t/a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80.69mg/m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2.86kg/万m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0.11t/a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2.47mg/m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DA002</w:t>
                  </w:r>
                </w:p>
              </w:tc>
              <w:tc>
                <w:tcPr>
                  <w:tcW w:w="63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烟气量</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11.6Nm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-原料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417.6万m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/a</w:t>
                  </w:r>
                </w:p>
              </w:tc>
              <w:tc>
                <w:tcPr>
                  <w:tcW w:w="74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64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39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SO</w:t>
                  </w:r>
                  <w:r>
                    <w:rPr>
                      <w:rFonts w:hint="eastAsia" w:ascii="Times New Roman" w:hAnsi="Times New Roman" w:eastAsia="宋体" w:cs="Times New Roman"/>
                      <w:b w:val="0"/>
                      <w:bCs w:val="0"/>
                      <w:color w:val="auto"/>
                      <w:kern w:val="0"/>
                      <w:sz w:val="21"/>
                      <w:szCs w:val="21"/>
                      <w:highlight w:val="none"/>
                      <w:vertAlign w:val="subscript"/>
                      <w:lang w:val="en-US" w:eastAsia="zh-CN"/>
                    </w:rPr>
                    <w:t>2</w:t>
                  </w:r>
                </w:p>
              </w:tc>
              <w:tc>
                <w:tcPr>
                  <w:tcW w:w="115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0.02skg/万m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0.072t/a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17.24mg/m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9.36kg/万m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0.34t/a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80.69mg/m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2.86kg/万m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2.47mg/m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DA003</w:t>
                  </w:r>
                </w:p>
              </w:tc>
              <w:tc>
                <w:tcPr>
                  <w:tcW w:w="63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烟气量</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11.6Nm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-原料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417.6万m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SO</w:t>
                  </w:r>
                  <w:r>
                    <w:rPr>
                      <w:rFonts w:hint="eastAsia" w:ascii="Times New Roman" w:hAnsi="Times New Roman" w:eastAsia="宋体" w:cs="Times New Roman"/>
                      <w:b w:val="0"/>
                      <w:bCs w:val="0"/>
                      <w:color w:val="auto"/>
                      <w:kern w:val="0"/>
                      <w:sz w:val="21"/>
                      <w:szCs w:val="21"/>
                      <w:highlight w:val="none"/>
                      <w:vertAlign w:val="subscript"/>
                      <w:lang w:val="en-US" w:eastAsia="zh-CN"/>
                    </w:rPr>
                    <w:t>2</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0.02skg/万m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0.072t/a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17.24mg/m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9.36kg/万m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0.33t/a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80.69mg/m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39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2.86kg/万m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2.47mg/m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031" w:type="pct"/>
                  <w:gridSpan w:val="2"/>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合计</w:t>
                  </w: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烟气量</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11.6Nm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-原料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1252.8万m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1031" w:type="pct"/>
                  <w:gridSpan w:val="2"/>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SO</w:t>
                  </w:r>
                  <w:r>
                    <w:rPr>
                      <w:rFonts w:hint="eastAsia" w:ascii="Times New Roman" w:hAnsi="Times New Roman" w:eastAsia="宋体" w:cs="Times New Roman"/>
                      <w:b w:val="0"/>
                      <w:bCs w:val="0"/>
                      <w:color w:val="auto"/>
                      <w:kern w:val="0"/>
                      <w:sz w:val="21"/>
                      <w:szCs w:val="21"/>
                      <w:highlight w:val="none"/>
                      <w:vertAlign w:val="subscript"/>
                      <w:lang w:val="en-US" w:eastAsia="zh-CN"/>
                    </w:rPr>
                    <w:t>2</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0.02skg/万m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0.216t/a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17.24mg/m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031" w:type="pct"/>
                  <w:gridSpan w:val="2"/>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9.36kg/万m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1.01t/a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80.69mg/m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031" w:type="pct"/>
                  <w:gridSpan w:val="2"/>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9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w:t>
                  </w:r>
                </w:p>
              </w:tc>
              <w:tc>
                <w:tcPr>
                  <w:tcW w:w="115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2.86kg/万m</w:t>
                  </w:r>
                  <w:r>
                    <w:rPr>
                      <w:rFonts w:hint="eastAsia" w:ascii="Times New Roman" w:hAnsi="Times New Roman" w:eastAsia="宋体" w:cs="Times New Roman"/>
                      <w:b w:val="0"/>
                      <w:bCs w:val="0"/>
                      <w:color w:val="auto"/>
                      <w:kern w:val="0"/>
                      <w:sz w:val="21"/>
                      <w:szCs w:val="21"/>
                      <w:highlight w:val="none"/>
                      <w:vertAlign w:val="superscript"/>
                      <w:lang w:val="en-US" w:eastAsia="zh-CN"/>
                    </w:rPr>
                    <w:t>3</w:t>
                  </w:r>
                  <w:r>
                    <w:rPr>
                      <w:rFonts w:hint="eastAsia" w:ascii="Times New Roman" w:hAnsi="Times New Roman" w:eastAsia="宋体" w:cs="Times New Roman"/>
                      <w:b w:val="0"/>
                      <w:bCs w:val="0"/>
                      <w:color w:val="auto"/>
                      <w:kern w:val="0"/>
                      <w:sz w:val="21"/>
                      <w:szCs w:val="21"/>
                      <w:highlight w:val="none"/>
                      <w:vertAlign w:val="baseline"/>
                      <w:lang w:val="en-US" w:eastAsia="zh-CN"/>
                    </w:rPr>
                    <w:t>-燃料</w:t>
                  </w:r>
                </w:p>
              </w:tc>
              <w:tc>
                <w:tcPr>
                  <w:tcW w:w="821"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0.31t/a</w:t>
                  </w:r>
                </w:p>
              </w:tc>
              <w:tc>
                <w:tcPr>
                  <w:tcW w:w="746"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2.47mg/m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c>
                <w:tcPr>
                  <w:tcW w:w="64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20mg/m</w:t>
                  </w:r>
                  <w:r>
                    <w:rPr>
                      <w:rFonts w:hint="eastAsia" w:ascii="Times New Roman" w:hAnsi="Times New Roman" w:eastAsia="宋体" w:cs="Times New Roman"/>
                      <w:b w:val="0"/>
                      <w:bCs w:val="0"/>
                      <w:color w:val="auto"/>
                      <w:kern w:val="0"/>
                      <w:sz w:val="21"/>
                      <w:szCs w:val="21"/>
                      <w:highlight w:val="none"/>
                      <w:vertAlign w:val="superscript"/>
                      <w:lang w:val="en-US" w:eastAsia="zh-CN"/>
                    </w:rPr>
                    <w:t>3</w:t>
                  </w:r>
                </w:p>
              </w:tc>
            </w:tr>
          </w:tbl>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lang w:val="en-US" w:eastAsia="zh-CN" w:bidi="ar-SA"/>
              </w:rPr>
              <w:t>（2）</w:t>
            </w:r>
            <w:r>
              <w:rPr>
                <w:rFonts w:hint="eastAsia" w:ascii="Times New Roman" w:hAnsi="Times New Roman" w:eastAsia="宋体" w:cs="Times New Roman"/>
                <w:b w:val="0"/>
                <w:bCs w:val="0"/>
                <w:color w:val="auto"/>
                <w:kern w:val="0"/>
                <w:sz w:val="24"/>
                <w:szCs w:val="24"/>
                <w:highlight w:val="none"/>
                <w:lang w:val="en-US" w:eastAsia="zh-CN"/>
              </w:rPr>
              <w:t>油烟</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①产生情况</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vertAlign w:val="baseline"/>
                <w:lang w:val="en-US" w:eastAsia="zh-CN"/>
              </w:rPr>
            </w:pPr>
            <w:r>
              <w:rPr>
                <w:rFonts w:hint="eastAsia" w:ascii="Times New Roman" w:hAnsi="Times New Roman" w:eastAsia="宋体" w:cs="Times New Roman"/>
                <w:b w:val="0"/>
                <w:bCs w:val="0"/>
                <w:color w:val="auto"/>
                <w:kern w:val="0"/>
                <w:sz w:val="24"/>
                <w:szCs w:val="24"/>
                <w:highlight w:val="none"/>
                <w:lang w:val="en-US" w:eastAsia="zh-CN"/>
              </w:rPr>
              <w:t>项目产品“半固态底料”根据工艺，结合工程分析，原料投入炒制时会产生油烟，根据有关资料显示，油烟成分十分复杂，既含有油脂、蛋白质在受热条件下进行物理化学反应产生的有机烟气，也有加热操作过程中液滴溅裂、油料物料分解、氧化、聚合的高分子化合物。测试发现，食用油加热到150~200℃时产生的气态污染物中有不少是致癌物质，因此若不经治理油烟废气直接排入空气中会造成一定的污染影响。参照《烹调油烟的组成与危害及防治措施》中相关资料，油烟是原料油脂受热，当温度达到食用油的发烟点170℃时，出现初期分解的蓝烟雾，随着温度继续升高，分解速度加快，当温度达250℃时，出现大量油烟，并伴有刺鼻的气味，油烟粒度在0.01微米～0.3微米，根据《北京市餐饮油烟排放处理现状和治理对策研究》，油烟产生量与烹饪方式及温度关系密切，随着温度升高而增加，不同工作方式，其油烟产生量差别较大，经类别分析相关行业数据，初始油烟产生浓度一般为6～15mg/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vertAlign w:val="baseline"/>
                <w:lang w:val="en-US" w:eastAsia="zh-CN"/>
              </w:rPr>
              <w:t>。</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炼油房设置电炒锅8台，灶台长3米、宽0.8米，根据《厨房排油烟风机选型设计及计算方法》，以烟罩长度计算分量：一般每米烟罩取2000~2500m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/h计算（本次评价按照2500m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/h计），环评要求本项目配套风机风量不小于7500m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/h（本次评价按照8000m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/h计）。</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本项目炒制过程油烟产生浓度取15mg/m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进行计算；炒制油烟废气经集气罩收集后</w:t>
            </w:r>
            <w:r>
              <w:rPr>
                <w:rFonts w:hint="eastAsia" w:ascii="Times New Roman" w:hAnsi="Times New Roman" w:eastAsia="宋体" w:cs="Times New Roman"/>
                <w:b w:val="0"/>
                <w:bCs w:val="0"/>
                <w:color w:val="auto"/>
                <w:kern w:val="0"/>
                <w:sz w:val="24"/>
                <w:szCs w:val="24"/>
                <w:highlight w:val="none"/>
                <w:lang w:val="en-US" w:eastAsia="zh-CN"/>
              </w:rPr>
              <w:t>再</w:t>
            </w:r>
            <w:r>
              <w:rPr>
                <w:rFonts w:hint="default" w:ascii="Times New Roman" w:hAnsi="Times New Roman" w:eastAsia="宋体" w:cs="Times New Roman"/>
                <w:b w:val="0"/>
                <w:bCs w:val="0"/>
                <w:color w:val="auto"/>
                <w:kern w:val="0"/>
                <w:sz w:val="24"/>
                <w:szCs w:val="24"/>
                <w:highlight w:val="none"/>
                <w:lang w:val="en-US" w:eastAsia="zh-CN"/>
              </w:rPr>
              <w:t>经</w:t>
            </w:r>
            <w:r>
              <w:rPr>
                <w:rFonts w:hint="eastAsia" w:ascii="宋体" w:hAnsi="宋体" w:eastAsia="宋体" w:cs="宋体"/>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油烟净化器</w:t>
            </w:r>
            <w:r>
              <w:rPr>
                <w:rFonts w:hint="eastAsia" w:ascii="宋体" w:hAnsi="宋体" w:eastAsia="宋体" w:cs="宋体"/>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处理后，引至楼顶排放。</w:t>
            </w:r>
            <w:r>
              <w:rPr>
                <w:rFonts w:hint="eastAsia" w:ascii="Times New Roman" w:hAnsi="Times New Roman" w:eastAsia="宋体" w:cs="Times New Roman"/>
                <w:b w:val="0"/>
                <w:bCs w:val="0"/>
                <w:color w:val="auto"/>
                <w:kern w:val="0"/>
                <w:sz w:val="24"/>
                <w:szCs w:val="24"/>
                <w:highlight w:val="none"/>
                <w:lang w:val="en-US" w:eastAsia="zh-CN"/>
              </w:rPr>
              <w:t>集气罩收集效率按80%，</w:t>
            </w:r>
            <w:r>
              <w:rPr>
                <w:rFonts w:hint="default" w:ascii="Times New Roman" w:hAnsi="Times New Roman" w:eastAsia="宋体" w:cs="Times New Roman"/>
                <w:b w:val="0"/>
                <w:bCs w:val="0"/>
                <w:color w:val="auto"/>
                <w:kern w:val="0"/>
                <w:sz w:val="24"/>
                <w:szCs w:val="24"/>
                <w:highlight w:val="none"/>
                <w:lang w:val="en-US" w:eastAsia="zh-CN"/>
              </w:rPr>
              <w:t>油烟去除率按</w:t>
            </w:r>
            <w:r>
              <w:rPr>
                <w:rFonts w:hint="eastAsia" w:ascii="Times New Roman" w:hAnsi="Times New Roman" w:eastAsia="宋体" w:cs="Times New Roman"/>
                <w:b w:val="0"/>
                <w:bCs w:val="0"/>
                <w:color w:val="auto"/>
                <w:kern w:val="0"/>
                <w:sz w:val="24"/>
                <w:szCs w:val="24"/>
                <w:highlight w:val="none"/>
                <w:lang w:val="en-US" w:eastAsia="zh-CN"/>
              </w:rPr>
              <w:t>90</w:t>
            </w:r>
            <w:r>
              <w:rPr>
                <w:rFonts w:hint="default" w:ascii="Times New Roman" w:hAnsi="Times New Roman" w:eastAsia="宋体" w:cs="Times New Roman"/>
                <w:b w:val="0"/>
                <w:bCs w:val="0"/>
                <w:color w:val="auto"/>
                <w:kern w:val="0"/>
                <w:sz w:val="24"/>
                <w:szCs w:val="24"/>
                <w:highlight w:val="none"/>
                <w:lang w:val="en-US" w:eastAsia="zh-CN"/>
              </w:rPr>
              <w:t>%计。炒制废气排放情况见下表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表4-3  炒制废气排放情况表</w:t>
            </w:r>
          </w:p>
          <w:tbl>
            <w:tblPr>
              <w:tblStyle w:val="42"/>
              <w:tblW w:w="81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
              <w:gridCol w:w="434"/>
              <w:gridCol w:w="655"/>
              <w:gridCol w:w="820"/>
              <w:gridCol w:w="629"/>
              <w:gridCol w:w="708"/>
              <w:gridCol w:w="961"/>
              <w:gridCol w:w="1132"/>
              <w:gridCol w:w="826"/>
              <w:gridCol w:w="719"/>
              <w:gridCol w:w="8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2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废气名称</w:t>
                  </w:r>
                </w:p>
              </w:tc>
              <w:tc>
                <w:tcPr>
                  <w:tcW w:w="26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污染物</w:t>
                  </w:r>
                </w:p>
              </w:tc>
              <w:tc>
                <w:tcPr>
                  <w:tcW w:w="401"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废气量m</w:t>
                  </w:r>
                  <w:r>
                    <w:rPr>
                      <w:rFonts w:hint="eastAsia" w:ascii="Times New Roman" w:hAnsi="Times New Roman" w:eastAsia="宋体" w:cs="Times New Roman"/>
                      <w:b/>
                      <w:bCs/>
                      <w:color w:val="auto"/>
                      <w:kern w:val="0"/>
                      <w:sz w:val="21"/>
                      <w:szCs w:val="21"/>
                      <w:highlight w:val="none"/>
                      <w:vertAlign w:val="superscript"/>
                      <w:lang w:val="en-US" w:eastAsia="zh-CN"/>
                    </w:rPr>
                    <w:t>3</w:t>
                  </w:r>
                  <w:r>
                    <w:rPr>
                      <w:rFonts w:hint="eastAsia" w:ascii="Times New Roman" w:hAnsi="Times New Roman" w:eastAsia="宋体" w:cs="Times New Roman"/>
                      <w:b/>
                      <w:bCs/>
                      <w:color w:val="auto"/>
                      <w:kern w:val="0"/>
                      <w:sz w:val="21"/>
                      <w:szCs w:val="21"/>
                      <w:highlight w:val="none"/>
                      <w:vertAlign w:val="baseline"/>
                      <w:lang w:val="en-US" w:eastAsia="zh-CN"/>
                    </w:rPr>
                    <w:t>/h</w:t>
                  </w:r>
                </w:p>
              </w:tc>
              <w:tc>
                <w:tcPr>
                  <w:tcW w:w="50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产生浓度mg/m</w:t>
                  </w:r>
                  <w:r>
                    <w:rPr>
                      <w:rFonts w:hint="eastAsia" w:ascii="Times New Roman" w:hAnsi="Times New Roman" w:eastAsia="宋体" w:cs="Times New Roman"/>
                      <w:b/>
                      <w:bCs/>
                      <w:color w:val="auto"/>
                      <w:kern w:val="0"/>
                      <w:sz w:val="21"/>
                      <w:szCs w:val="21"/>
                      <w:highlight w:val="none"/>
                      <w:vertAlign w:val="superscript"/>
                      <w:lang w:val="en-US" w:eastAsia="zh-CN"/>
                    </w:rPr>
                    <w:t>3</w:t>
                  </w:r>
                </w:p>
              </w:tc>
              <w:tc>
                <w:tcPr>
                  <w:tcW w:w="38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产生速率kg/h</w:t>
                  </w:r>
                </w:p>
              </w:tc>
              <w:tc>
                <w:tcPr>
                  <w:tcW w:w="43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产生量t/a</w:t>
                  </w:r>
                </w:p>
              </w:tc>
              <w:tc>
                <w:tcPr>
                  <w:tcW w:w="58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排放方式</w:t>
                  </w:r>
                </w:p>
              </w:tc>
              <w:tc>
                <w:tcPr>
                  <w:tcW w:w="69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治理措施</w:t>
                  </w:r>
                </w:p>
              </w:tc>
              <w:tc>
                <w:tcPr>
                  <w:tcW w:w="50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排放浓度mg/m</w:t>
                  </w:r>
                  <w:r>
                    <w:rPr>
                      <w:rFonts w:hint="eastAsia" w:ascii="Times New Roman" w:hAnsi="Times New Roman" w:eastAsia="宋体" w:cs="Times New Roman"/>
                      <w:b/>
                      <w:bCs/>
                      <w:color w:val="auto"/>
                      <w:kern w:val="0"/>
                      <w:sz w:val="21"/>
                      <w:szCs w:val="21"/>
                      <w:highlight w:val="none"/>
                      <w:vertAlign w:val="superscript"/>
                      <w:lang w:val="en-US" w:eastAsia="zh-CN"/>
                    </w:rPr>
                    <w:t>3</w:t>
                  </w:r>
                </w:p>
              </w:tc>
              <w:tc>
                <w:tcPr>
                  <w:tcW w:w="44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排放速率kg/h</w:t>
                  </w:r>
                </w:p>
              </w:tc>
              <w:tc>
                <w:tcPr>
                  <w:tcW w:w="50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78"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炒制油烟</w:t>
                  </w:r>
                </w:p>
              </w:tc>
              <w:tc>
                <w:tcPr>
                  <w:tcW w:w="26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油烟</w:t>
                  </w:r>
                </w:p>
              </w:tc>
              <w:tc>
                <w:tcPr>
                  <w:tcW w:w="40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8000</w:t>
                  </w:r>
                </w:p>
              </w:tc>
              <w:tc>
                <w:tcPr>
                  <w:tcW w:w="502"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3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0.12</w:t>
                  </w:r>
                </w:p>
              </w:tc>
              <w:tc>
                <w:tcPr>
                  <w:tcW w:w="43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0.864</w:t>
                  </w:r>
                </w:p>
              </w:tc>
              <w:tc>
                <w:tcPr>
                  <w:tcW w:w="589"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有组织</w:t>
                  </w:r>
                </w:p>
              </w:tc>
              <w:tc>
                <w:tcPr>
                  <w:tcW w:w="69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集气罩+油烟净化器（90%）</w:t>
                  </w:r>
                </w:p>
              </w:tc>
              <w:tc>
                <w:tcPr>
                  <w:tcW w:w="50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4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0.012</w:t>
                  </w:r>
                </w:p>
              </w:tc>
              <w:tc>
                <w:tcPr>
                  <w:tcW w:w="50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0.0864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78"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6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02"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3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58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无组织</w:t>
                  </w:r>
                </w:p>
              </w:tc>
              <w:tc>
                <w:tcPr>
                  <w:tcW w:w="69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506"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44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0.024</w:t>
                  </w:r>
                </w:p>
              </w:tc>
              <w:tc>
                <w:tcPr>
                  <w:tcW w:w="50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0.173</w:t>
                  </w:r>
                </w:p>
              </w:tc>
            </w:tr>
          </w:tbl>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根据上表食堂油烟废气排放情况满足《饮食业油烟排放标准》（GB18483-2001）的相关要求。</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本项目排放口基本情况：</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表4-4  排放口基本情况</w:t>
            </w:r>
          </w:p>
          <w:tbl>
            <w:tblPr>
              <w:tblStyle w:val="42"/>
              <w:tblW w:w="81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947"/>
              <w:gridCol w:w="947"/>
              <w:gridCol w:w="1362"/>
              <w:gridCol w:w="1152"/>
              <w:gridCol w:w="949"/>
              <w:gridCol w:w="949"/>
              <w:gridCol w:w="9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7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排放口编号</w:t>
                  </w:r>
                </w:p>
              </w:tc>
              <w:tc>
                <w:tcPr>
                  <w:tcW w:w="577"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排放口名称</w:t>
                  </w:r>
                </w:p>
              </w:tc>
              <w:tc>
                <w:tcPr>
                  <w:tcW w:w="577"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排放口类型</w:t>
                  </w:r>
                </w:p>
              </w:tc>
              <w:tc>
                <w:tcPr>
                  <w:tcW w:w="1533" w:type="pct"/>
                  <w:gridSpan w:val="2"/>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排放口地理坐标</w:t>
                  </w:r>
                </w:p>
              </w:tc>
              <w:tc>
                <w:tcPr>
                  <w:tcW w:w="578"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高度</w:t>
                  </w:r>
                </w:p>
              </w:tc>
              <w:tc>
                <w:tcPr>
                  <w:tcW w:w="578"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内径</w:t>
                  </w:r>
                </w:p>
              </w:tc>
              <w:tc>
                <w:tcPr>
                  <w:tcW w:w="578"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烟气</w:t>
                  </w:r>
                  <w:r>
                    <w:rPr>
                      <w:rFonts w:hint="default" w:ascii="Times New Roman" w:hAnsi="Times New Roman" w:eastAsia="宋体" w:cs="Times New Roman"/>
                      <w:b/>
                      <w:bCs/>
                      <w:color w:val="auto"/>
                      <w:kern w:val="0"/>
                      <w:sz w:val="21"/>
                      <w:szCs w:val="21"/>
                      <w:highlight w:val="none"/>
                      <w:vertAlign w:val="baseline"/>
                      <w:lang w:val="en-US" w:eastAsia="zh-CN"/>
                    </w:rPr>
                    <w:t>温度</w:t>
                  </w:r>
                  <w:r>
                    <w:rPr>
                      <w:rFonts w:hint="eastAsia" w:ascii="Times New Roman" w:hAnsi="Times New Roman" w:eastAsia="宋体" w:cs="Times New Roman"/>
                      <w:b/>
                      <w:bCs/>
                      <w:color w:val="auto"/>
                      <w:kern w:val="0"/>
                      <w:sz w:val="21"/>
                      <w:szCs w:val="21"/>
                      <w:highlight w:val="none"/>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74"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rPr>
                  </w:pPr>
                </w:p>
              </w:tc>
              <w:tc>
                <w:tcPr>
                  <w:tcW w:w="577"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rPr>
                  </w:pPr>
                </w:p>
              </w:tc>
              <w:tc>
                <w:tcPr>
                  <w:tcW w:w="577"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1"/>
                      <w:szCs w:val="21"/>
                    </w:rPr>
                  </w:pPr>
                </w:p>
              </w:tc>
              <w:tc>
                <w:tcPr>
                  <w:tcW w:w="83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经纬</w:t>
                  </w:r>
                </w:p>
              </w:tc>
              <w:tc>
                <w:tcPr>
                  <w:tcW w:w="70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纬度</w:t>
                  </w:r>
                </w:p>
              </w:tc>
              <w:tc>
                <w:tcPr>
                  <w:tcW w:w="578"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78"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578"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7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DA001</w:t>
                  </w:r>
                </w:p>
              </w:tc>
              <w:tc>
                <w:tcPr>
                  <w:tcW w:w="57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7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一般排放口</w:t>
                  </w:r>
                </w:p>
              </w:tc>
              <w:tc>
                <w:tcPr>
                  <w:tcW w:w="83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103.816065</w:t>
                  </w:r>
                </w:p>
              </w:tc>
              <w:tc>
                <w:tcPr>
                  <w:tcW w:w="70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29.630340</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7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DA002</w:t>
                  </w:r>
                </w:p>
              </w:tc>
              <w:tc>
                <w:tcPr>
                  <w:tcW w:w="57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7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一般排放口</w:t>
                  </w:r>
                </w:p>
              </w:tc>
              <w:tc>
                <w:tcPr>
                  <w:tcW w:w="83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103.8161114</w:t>
                  </w:r>
                </w:p>
              </w:tc>
              <w:tc>
                <w:tcPr>
                  <w:tcW w:w="70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29.630243</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57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DA003</w:t>
                  </w:r>
                </w:p>
              </w:tc>
              <w:tc>
                <w:tcPr>
                  <w:tcW w:w="57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57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lang w:val="en-US" w:eastAsia="zh-CN" w:bidi="ar"/>
                    </w:rPr>
                    <w:t>一般排放口</w:t>
                  </w:r>
                </w:p>
              </w:tc>
              <w:tc>
                <w:tcPr>
                  <w:tcW w:w="830"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103.816145</w:t>
                  </w:r>
                </w:p>
              </w:tc>
              <w:tc>
                <w:tcPr>
                  <w:tcW w:w="70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29.630175</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w:t>
                  </w:r>
                </w:p>
              </w:tc>
              <w:tc>
                <w:tcPr>
                  <w:tcW w:w="57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r>
          </w:tbl>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根据《排污单位自行监测技术指南</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火力发电机锅炉》</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HJ820-2017）和《排污单位自行监测技术指南总则》</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HJ 819-2017），本项目为非重点排污单位，废气污染监测计划见下表。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表4-5  废气污染物监测计划一览表</w:t>
            </w:r>
          </w:p>
          <w:tbl>
            <w:tblPr>
              <w:tblStyle w:val="42"/>
              <w:tblW w:w="80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366"/>
              <w:gridCol w:w="1842"/>
              <w:gridCol w:w="1173"/>
              <w:gridCol w:w="23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9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类别</w:t>
                  </w:r>
                </w:p>
              </w:tc>
              <w:tc>
                <w:tcPr>
                  <w:tcW w:w="84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监测点位</w:t>
                  </w:r>
                </w:p>
              </w:tc>
              <w:tc>
                <w:tcPr>
                  <w:tcW w:w="114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检测指标</w:t>
                  </w:r>
                </w:p>
              </w:tc>
              <w:tc>
                <w:tcPr>
                  <w:tcW w:w="72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监测频次</w:t>
                  </w:r>
                </w:p>
              </w:tc>
              <w:tc>
                <w:tcPr>
                  <w:tcW w:w="1482"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92"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DA001</w:t>
                  </w:r>
                </w:p>
              </w:tc>
              <w:tc>
                <w:tcPr>
                  <w:tcW w:w="849"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114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72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1次/月</w:t>
                  </w:r>
                </w:p>
              </w:tc>
              <w:tc>
                <w:tcPr>
                  <w:tcW w:w="1482"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《锅炉大气污染物排放标准》</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GB13271-2014）表3大气污染特别排放限值中燃气锅炉排放限值要求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92" w:type="pct"/>
                  <w:vMerge w:val="continue"/>
                  <w:noWrap w:val="0"/>
                  <w:vAlign w:val="center"/>
                </w:tcPr>
                <w:p>
                  <w:pPr>
                    <w:adjustRightInd w:val="0"/>
                    <w:snapToGrid w:val="0"/>
                    <w:spacing w:line="240" w:lineRule="auto"/>
                    <w:jc w:val="center"/>
                    <w:rPr>
                      <w:color w:val="auto"/>
                    </w:rPr>
                  </w:pPr>
                </w:p>
              </w:tc>
              <w:tc>
                <w:tcPr>
                  <w:tcW w:w="849" w:type="pct"/>
                  <w:vMerge w:val="continue"/>
                  <w:noWrap w:val="0"/>
                  <w:vAlign w:val="center"/>
                </w:tcPr>
                <w:p>
                  <w:pPr>
                    <w:adjustRightInd w:val="0"/>
                    <w:snapToGrid w:val="0"/>
                    <w:spacing w:line="240" w:lineRule="auto"/>
                    <w:jc w:val="center"/>
                    <w:rPr>
                      <w:color w:val="auto"/>
                    </w:rPr>
                  </w:pPr>
                </w:p>
              </w:tc>
              <w:tc>
                <w:tcPr>
                  <w:tcW w:w="114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颗粒物、二氧化硫</w:t>
                  </w:r>
                </w:p>
              </w:tc>
              <w:tc>
                <w:tcPr>
                  <w:tcW w:w="72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1次/年</w:t>
                  </w:r>
                </w:p>
              </w:tc>
              <w:tc>
                <w:tcPr>
                  <w:tcW w:w="1482" w:type="pct"/>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92"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DA002</w:t>
                  </w:r>
                </w:p>
              </w:tc>
              <w:tc>
                <w:tcPr>
                  <w:tcW w:w="849"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1145"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72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1次/月</w:t>
                  </w:r>
                </w:p>
              </w:tc>
              <w:tc>
                <w:tcPr>
                  <w:tcW w:w="1482"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《锅炉大气污染物排放标准》</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GB13271-2014）表3大气污染特别排放限值中燃气锅炉排放限值要求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792" w:type="pct"/>
                  <w:vMerge w:val="continue"/>
                  <w:noWrap w:val="0"/>
                  <w:vAlign w:val="center"/>
                </w:tcPr>
                <w:p>
                  <w:pPr>
                    <w:adjustRightInd w:val="0"/>
                    <w:snapToGrid w:val="0"/>
                    <w:spacing w:line="240" w:lineRule="auto"/>
                    <w:jc w:val="center"/>
                    <w:rPr>
                      <w:color w:val="auto"/>
                    </w:rPr>
                  </w:pPr>
                </w:p>
              </w:tc>
              <w:tc>
                <w:tcPr>
                  <w:tcW w:w="849" w:type="pct"/>
                  <w:vMerge w:val="continue"/>
                  <w:noWrap w:val="0"/>
                  <w:vAlign w:val="center"/>
                </w:tcPr>
                <w:p>
                  <w:pPr>
                    <w:adjustRightInd w:val="0"/>
                    <w:snapToGrid w:val="0"/>
                    <w:spacing w:line="240" w:lineRule="auto"/>
                    <w:jc w:val="center"/>
                    <w:rPr>
                      <w:color w:val="auto"/>
                    </w:rPr>
                  </w:pPr>
                </w:p>
              </w:tc>
              <w:tc>
                <w:tcPr>
                  <w:tcW w:w="1145"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颗粒物、二氧化硫</w:t>
                  </w:r>
                </w:p>
              </w:tc>
              <w:tc>
                <w:tcPr>
                  <w:tcW w:w="729" w:type="pct"/>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1次/年</w:t>
                  </w:r>
                </w:p>
              </w:tc>
              <w:tc>
                <w:tcPr>
                  <w:tcW w:w="1482" w:type="pct"/>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92"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DA003</w:t>
                  </w:r>
                </w:p>
              </w:tc>
              <w:tc>
                <w:tcPr>
                  <w:tcW w:w="849" w:type="pct"/>
                  <w:vMerge w:val="restar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天然气废气排气筒</w:t>
                  </w:r>
                </w:p>
              </w:tc>
              <w:tc>
                <w:tcPr>
                  <w:tcW w:w="1145"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NO</w:t>
                  </w:r>
                  <w:r>
                    <w:rPr>
                      <w:rFonts w:hint="eastAsia" w:ascii="Times New Roman" w:hAnsi="Times New Roman" w:eastAsia="宋体" w:cs="Times New Roman"/>
                      <w:b w:val="0"/>
                      <w:bCs w:val="0"/>
                      <w:color w:val="auto"/>
                      <w:kern w:val="0"/>
                      <w:sz w:val="21"/>
                      <w:szCs w:val="21"/>
                      <w:highlight w:val="none"/>
                      <w:vertAlign w:val="subscript"/>
                      <w:lang w:val="en-US" w:eastAsia="zh-CN"/>
                    </w:rPr>
                    <w:t>X</w:t>
                  </w:r>
                </w:p>
              </w:tc>
              <w:tc>
                <w:tcPr>
                  <w:tcW w:w="729"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1次/月</w:t>
                  </w:r>
                </w:p>
              </w:tc>
              <w:tc>
                <w:tcPr>
                  <w:tcW w:w="1482"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《锅炉大气污染物排放标准》</w:t>
                  </w:r>
                  <w:r>
                    <w:rPr>
                      <w:rFonts w:hint="eastAsia"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val="0"/>
                      <w:color w:val="auto"/>
                      <w:kern w:val="0"/>
                      <w:sz w:val="21"/>
                      <w:szCs w:val="21"/>
                      <w:highlight w:val="none"/>
                      <w:vertAlign w:val="baseline"/>
                      <w:lang w:val="en-US" w:eastAsia="zh-CN"/>
                    </w:rPr>
                    <w:t>GB13271-2014）表3大气污染特别排放限值中燃气锅炉排放限值要求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92" w:type="pct"/>
                  <w:vMerge w:val="continue"/>
                  <w:noWrap w:val="0"/>
                  <w:vAlign w:val="center"/>
                </w:tcPr>
                <w:p>
                  <w:pPr>
                    <w:adjustRightInd w:val="0"/>
                    <w:snapToGrid w:val="0"/>
                    <w:spacing w:line="240" w:lineRule="auto"/>
                    <w:jc w:val="center"/>
                    <w:rPr>
                      <w:color w:val="auto"/>
                    </w:rPr>
                  </w:pPr>
                </w:p>
              </w:tc>
              <w:tc>
                <w:tcPr>
                  <w:tcW w:w="849" w:type="pct"/>
                  <w:vMerge w:val="continue"/>
                  <w:noWrap w:val="0"/>
                  <w:vAlign w:val="center"/>
                </w:tcPr>
                <w:p>
                  <w:pPr>
                    <w:adjustRightInd w:val="0"/>
                    <w:snapToGrid w:val="0"/>
                    <w:spacing w:line="240" w:lineRule="auto"/>
                    <w:jc w:val="center"/>
                    <w:rPr>
                      <w:color w:val="auto"/>
                    </w:rPr>
                  </w:pPr>
                </w:p>
              </w:tc>
              <w:tc>
                <w:tcPr>
                  <w:tcW w:w="1145"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颗粒物、二氧化硫</w:t>
                  </w:r>
                </w:p>
              </w:tc>
              <w:tc>
                <w:tcPr>
                  <w:tcW w:w="729" w:type="pct"/>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1次/年</w:t>
                  </w:r>
                </w:p>
              </w:tc>
              <w:tc>
                <w:tcPr>
                  <w:tcW w:w="1482" w:type="pct"/>
                  <w:vMerge w:val="continue"/>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p>
              </w:tc>
            </w:tr>
          </w:tbl>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3）环保设施</w:t>
            </w:r>
            <w:r>
              <w:rPr>
                <w:rFonts w:hint="eastAsia" w:ascii="Times New Roman" w:hAnsi="Times New Roman" w:eastAsia="宋体" w:cs="Times New Roman"/>
                <w:color w:val="auto"/>
                <w:sz w:val="24"/>
                <w:szCs w:val="24"/>
                <w:lang w:val="en-US" w:eastAsia="zh-CN"/>
              </w:rPr>
              <w:t>非正常</w:t>
            </w:r>
            <w:r>
              <w:rPr>
                <w:rFonts w:hint="default" w:ascii="Times New Roman" w:hAnsi="Times New Roman" w:eastAsia="宋体" w:cs="Times New Roman"/>
                <w:color w:val="auto"/>
                <w:sz w:val="24"/>
                <w:szCs w:val="24"/>
                <w:lang w:val="en-US" w:eastAsia="zh-CN"/>
              </w:rPr>
              <w:t>情况排放情况：</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配套的油烟净化器和低氮燃烧器非正常工况情况下，造成油烟、氮氧化物超标排放。建设单位应定期对锅炉机配套的低氮燃烧器装置和油烟净化器进行维护，若发现治理设施出现故障不能正常运行，应暂停生产，及时对设备进行检修，确保治理设施恢复正常后方可恢复生产，确保大气污染物达标排放。</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4）大气影响环境分析结论</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综上所述，运营期大气污染物在落实废气防治措施后，能够满足相关标准，能够达标排放，对区域大气环境质量影响较小</w:t>
            </w:r>
          </w:p>
          <w:p>
            <w:pPr>
              <w:keepNext w:val="0"/>
              <w:keepLines w:val="0"/>
              <w:widowControl/>
              <w:numPr>
                <w:ilvl w:val="0"/>
                <w:numId w:val="0"/>
              </w:numPr>
              <w:suppressLineNumbers w:val="0"/>
              <w:spacing w:line="360" w:lineRule="auto"/>
              <w:ind w:firstLine="482" w:firstLineChars="200"/>
              <w:jc w:val="left"/>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二、废水</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本项目废水主要为生活污水、生产废水。</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1）生活污水</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①产生源强</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本项目劳动定员为300人，厂内不设食宿，生活用水来源于园区自来水管网供水。本项目生活用水参考</w:t>
            </w:r>
            <w:r>
              <w:rPr>
                <w:rFonts w:hint="default" w:ascii="Times New Roman" w:hAnsi="Times New Roman" w:eastAsia="宋体" w:cs="Times New Roman"/>
                <w:bCs/>
                <w:color w:val="auto"/>
                <w:sz w:val="24"/>
                <w:szCs w:val="24"/>
                <w:lang w:val="en-US" w:eastAsia="zh-CN"/>
              </w:rPr>
              <w:t>《四川省用水定额》</w:t>
            </w:r>
            <w:r>
              <w:rPr>
                <w:rFonts w:hint="eastAsia"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川府函〔2021〕8号）</w:t>
            </w:r>
            <w:r>
              <w:rPr>
                <w:rFonts w:hint="default" w:ascii="Times New Roman" w:hAnsi="Times New Roman" w:eastAsia="宋体" w:cs="Times New Roman"/>
                <w:color w:val="auto"/>
                <w:sz w:val="24"/>
                <w:szCs w:val="24"/>
                <w:lang w:val="en-US" w:eastAsia="zh-CN"/>
              </w:rPr>
              <w:t>，用水量按 50L/人·d计算</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按年工作300天计算则职工生活用水量为15m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/d(4500m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b w:val="0"/>
                <w:bCs w:val="0"/>
                <w:color w:val="auto"/>
                <w:sz w:val="24"/>
                <w:szCs w:val="24"/>
                <w:u w:val="none"/>
                <w:lang w:val="en-US" w:eastAsia="zh-CN"/>
              </w:rPr>
              <w:t>排污系数以90%计，则生活污水量为13.5m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/d（4050m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/a）</w:t>
            </w:r>
            <w:r>
              <w:rPr>
                <w:rFonts w:hint="eastAsia" w:ascii="Times New Roman" w:hAnsi="Times New Roman" w:eastAsia="宋体" w:cs="Times New Roman"/>
                <w:color w:val="auto"/>
                <w:sz w:val="24"/>
                <w:szCs w:val="24"/>
                <w:lang w:val="en-US" w:eastAsia="zh-CN"/>
              </w:rPr>
              <w:t>。污水中主要含BOD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、氨氮、SS、TP等污染物。</w:t>
            </w:r>
          </w:p>
          <w:p>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②治理措施</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园区工业污水处理厂建成之前，项目废水经厂区</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预处理后达到《污水综合排放标准》</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GB8978-1996）三级排放标准，再排入</w:t>
            </w:r>
            <w:r>
              <w:rPr>
                <w:rFonts w:hint="eastAsia" w:ascii="Times New Roman" w:hAnsi="Times New Roman" w:eastAsia="宋体" w:cs="Times New Roman"/>
                <w:b w:val="0"/>
                <w:bCs w:val="0"/>
                <w:color w:val="auto"/>
                <w:sz w:val="24"/>
                <w:szCs w:val="24"/>
                <w:u w:val="none"/>
                <w:lang w:val="en-US" w:eastAsia="zh-CN"/>
              </w:rPr>
              <w:t>全福镇污水处理厂</w:t>
            </w:r>
            <w:r>
              <w:rPr>
                <w:rFonts w:hint="default" w:ascii="Times New Roman" w:hAnsi="Times New Roman" w:eastAsia="宋体" w:cs="Times New Roman"/>
                <w:b w:val="0"/>
                <w:bCs w:val="0"/>
                <w:color w:val="auto"/>
                <w:sz w:val="24"/>
                <w:szCs w:val="24"/>
                <w:u w:val="none"/>
                <w:lang w:val="en-US" w:eastAsia="zh-CN"/>
              </w:rPr>
              <w:t>处理后达到《四川省岷江、沱江流域水污染物排放标准》(DB51/2311-2016）进行排放</w:t>
            </w:r>
            <w:r>
              <w:rPr>
                <w:rFonts w:hint="eastAsia" w:ascii="Times New Roman" w:hAnsi="Times New Roman" w:eastAsia="宋体" w:cs="Times New Roman"/>
                <w:b w:val="0"/>
                <w:bCs w:val="0"/>
                <w:color w:val="auto"/>
                <w:sz w:val="24"/>
                <w:szCs w:val="24"/>
                <w:u w:val="none"/>
                <w:lang w:val="en-US" w:eastAsia="zh-CN"/>
              </w:rPr>
              <w:t>；园区污水处理厂建成之后，项目废水排入园区污水处理厂处理，园区污水处理厂设计规模为10000m</w:t>
            </w:r>
            <w:r>
              <w:rPr>
                <w:rFonts w:hint="eastAsia" w:ascii="Times New Roman" w:hAnsi="Times New Roman" w:eastAsia="宋体" w:cs="Times New Roman"/>
                <w:b w:val="0"/>
                <w:bCs w:val="0"/>
                <w:color w:val="auto"/>
                <w:sz w:val="24"/>
                <w:szCs w:val="24"/>
                <w:u w:val="none"/>
                <w:vertAlign w:val="superscript"/>
                <w:lang w:val="en-US" w:eastAsia="zh-CN"/>
              </w:rPr>
              <w:t>3</w:t>
            </w:r>
            <w:r>
              <w:rPr>
                <w:rFonts w:hint="eastAsia" w:ascii="Times New Roman" w:hAnsi="Times New Roman" w:eastAsia="宋体" w:cs="Times New Roman"/>
                <w:b w:val="0"/>
                <w:bCs w:val="0"/>
                <w:color w:val="auto"/>
                <w:sz w:val="24"/>
                <w:szCs w:val="24"/>
                <w:u w:val="none"/>
                <w:lang w:val="en-US" w:eastAsia="zh-CN"/>
              </w:rPr>
              <w:t>/d，执行《四川省岷江、沱江流域水污染物排放标准》(DB51/2311-2016）中相关污染物排放标准排放。</w:t>
            </w:r>
          </w:p>
          <w:p>
            <w:pPr>
              <w:keepNext w:val="0"/>
              <w:keepLines w:val="0"/>
              <w:widowControl/>
              <w:suppressLineNumbers w:val="0"/>
              <w:ind w:firstLine="480" w:firstLineChars="200"/>
              <w:jc w:val="left"/>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val="en-US" w:eastAsia="zh-CN"/>
              </w:rPr>
              <w:t>2）生产废水</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①产生源强</w:t>
            </w:r>
          </w:p>
          <w:p>
            <w:pPr>
              <w:numPr>
                <w:ilvl w:val="0"/>
                <w:numId w:val="0"/>
              </w:num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cs="Times New Roman"/>
                <w:color w:val="auto"/>
                <w:sz w:val="24"/>
                <w:szCs w:val="24"/>
                <w:lang w:val="en-US" w:eastAsia="zh-CN"/>
              </w:rPr>
              <w:t>锅炉用水</w:t>
            </w:r>
          </w:p>
          <w:p>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项目有</w:t>
            </w:r>
            <w:r>
              <w:rPr>
                <w:rFonts w:hint="eastAsia" w:ascii="Times New Roman" w:hAnsi="Times New Roman" w:eastAsia="宋体" w:cs="Times New Roman"/>
                <w:color w:val="auto"/>
                <w:sz w:val="24"/>
                <w:szCs w:val="24"/>
                <w:lang w:val="en-US" w:eastAsia="zh-CN"/>
              </w:rPr>
              <w:t>三</w:t>
            </w:r>
            <w:r>
              <w:rPr>
                <w:rFonts w:hint="default" w:ascii="Times New Roman" w:hAnsi="Times New Roman" w:eastAsia="宋体" w:cs="Times New Roman"/>
                <w:color w:val="auto"/>
                <w:sz w:val="24"/>
                <w:szCs w:val="24"/>
                <w:lang w:val="en-US" w:eastAsia="zh-CN"/>
              </w:rPr>
              <w:t>台锅炉，每台锅炉额定蒸发量为2000kg/h</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t/d，锅炉日工作时间24h）计算，约10%蒸汽在使用过程中损失，每天损耗水量为</w:t>
            </w:r>
            <w:r>
              <w:rPr>
                <w:rFonts w:hint="eastAsia" w:ascii="Times New Roman" w:hAnsi="Times New Roman" w:eastAsia="宋体" w:cs="Times New Roman"/>
                <w:color w:val="auto"/>
                <w:sz w:val="24"/>
                <w:szCs w:val="24"/>
                <w:lang w:val="en-US" w:eastAsia="zh-CN"/>
              </w:rPr>
              <w:t>14.4</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4320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/a。参考锅炉设计资料可知，锅炉排污系数为5%，锅炉排水量为</w:t>
            </w:r>
            <w:r>
              <w:rPr>
                <w:rFonts w:hint="eastAsia" w:ascii="Times New Roman" w:hAnsi="Times New Roman" w:eastAsia="宋体" w:cs="Times New Roman"/>
                <w:color w:val="auto"/>
                <w:sz w:val="24"/>
                <w:szCs w:val="24"/>
                <w:lang w:val="en-US" w:eastAsia="zh-CN"/>
              </w:rPr>
              <w:t>7.2</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2160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/a，补充水量系数为15%，补充水量为</w:t>
            </w:r>
            <w:r>
              <w:rPr>
                <w:rFonts w:hint="eastAsia"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/d，</w:t>
            </w:r>
            <w:r>
              <w:rPr>
                <w:rFonts w:hint="eastAsia" w:ascii="Times New Roman" w:hAnsi="Times New Roman" w:eastAsia="宋体" w:cs="Times New Roman"/>
                <w:color w:val="auto"/>
                <w:sz w:val="24"/>
                <w:szCs w:val="24"/>
                <w:lang w:val="en-US" w:eastAsia="zh-CN"/>
              </w:rPr>
              <w:t>6480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锅炉采用离子交换树脂进行纯水制备，制取率以70%计，则锅炉纯水制备用水量为</w:t>
            </w:r>
            <w:r>
              <w:rPr>
                <w:rFonts w:hint="eastAsia" w:ascii="Times New Roman" w:hAnsi="Times New Roman" w:eastAsia="宋体" w:cs="Times New Roman"/>
                <w:bCs/>
                <w:color w:val="auto"/>
                <w:sz w:val="24"/>
                <w:szCs w:val="24"/>
                <w:highlight w:val="none"/>
                <w:lang w:val="en-US" w:eastAsia="zh-CN"/>
              </w:rPr>
              <w:t>30.86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（9258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/a），纯水制备过程中产生的废水</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浓水）产生量为</w:t>
            </w:r>
            <w:r>
              <w:rPr>
                <w:rFonts w:hint="eastAsia" w:ascii="Times New Roman" w:hAnsi="Times New Roman" w:eastAsia="宋体" w:cs="Times New Roman"/>
                <w:bCs/>
                <w:color w:val="auto"/>
                <w:sz w:val="24"/>
                <w:szCs w:val="24"/>
                <w:highlight w:val="none"/>
                <w:lang w:val="en-US" w:eastAsia="zh-CN"/>
              </w:rPr>
              <w:t>9.26</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（2778</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val="en-US" w:eastAsia="zh-CN"/>
              </w:rPr>
              <w:t>原料</w:t>
            </w:r>
            <w:r>
              <w:rPr>
                <w:rFonts w:hint="default" w:ascii="Times New Roman" w:hAnsi="Times New Roman" w:eastAsia="宋体" w:cs="Times New Roman"/>
                <w:b w:val="0"/>
                <w:bCs w:val="0"/>
                <w:color w:val="auto"/>
                <w:sz w:val="24"/>
                <w:szCs w:val="24"/>
                <w:lang w:val="en-US" w:eastAsia="zh-CN"/>
              </w:rPr>
              <w:t>清洗用水</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lang w:val="en-US" w:eastAsia="zh-CN"/>
              </w:rPr>
              <w:t>原料进厂后需要进行清洗，根据业主提供资料，蔬菜原料</w:t>
            </w:r>
            <w:r>
              <w:rPr>
                <w:rFonts w:hint="eastAsia" w:ascii="Times New Roman" w:hAnsi="Times New Roman" w:eastAsia="宋体" w:cs="Times New Roman"/>
                <w:b w:val="0"/>
                <w:bCs w:val="0"/>
                <w:color w:val="auto"/>
                <w:sz w:val="24"/>
                <w:szCs w:val="24"/>
                <w:lang w:val="en-US" w:eastAsia="zh-CN"/>
              </w:rPr>
              <w:t>只需要清洗土豆和杏鲍菇，先清洗杏鲍菇，清洗后的水再用于清洗土豆，</w:t>
            </w:r>
            <w:r>
              <w:rPr>
                <w:rFonts w:hint="default" w:ascii="Times New Roman" w:hAnsi="Times New Roman" w:eastAsia="宋体" w:cs="Times New Roman"/>
                <w:b w:val="0"/>
                <w:bCs w:val="0"/>
                <w:color w:val="auto"/>
                <w:sz w:val="24"/>
                <w:szCs w:val="24"/>
                <w:lang w:val="en-US" w:eastAsia="zh-CN"/>
              </w:rPr>
              <w:t>清洗在清洗槽里</w:t>
            </w:r>
            <w:r>
              <w:rPr>
                <w:rFonts w:hint="eastAsia" w:ascii="Times New Roman" w:hAnsi="Times New Roman" w:eastAsia="宋体" w:cs="Times New Roman"/>
                <w:b w:val="0"/>
                <w:bCs w:val="0"/>
                <w:color w:val="auto"/>
                <w:sz w:val="24"/>
                <w:szCs w:val="24"/>
                <w:lang w:val="en-US" w:eastAsia="zh-CN"/>
              </w:rPr>
              <w:t>进行</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vertAlign w:val="baseline"/>
                <w:lang w:val="en-US" w:eastAsia="zh-CN"/>
              </w:rPr>
              <w:t>每清洗两次换一次水，日处理蔬菜</w:t>
            </w:r>
            <w:r>
              <w:rPr>
                <w:rFonts w:hint="eastAsia" w:ascii="Times New Roman" w:hAnsi="Times New Roman" w:eastAsia="宋体" w:cs="Times New Roman"/>
                <w:b w:val="0"/>
                <w:bCs w:val="0"/>
                <w:color w:val="auto"/>
                <w:sz w:val="24"/>
                <w:szCs w:val="24"/>
                <w:vertAlign w:val="baseline"/>
                <w:lang w:val="en-US" w:eastAsia="zh-CN"/>
              </w:rPr>
              <w:t>63</w:t>
            </w:r>
            <w:r>
              <w:rPr>
                <w:rFonts w:hint="default" w:ascii="Times New Roman" w:hAnsi="Times New Roman" w:eastAsia="宋体" w:cs="Times New Roman"/>
                <w:b w:val="0"/>
                <w:bCs w:val="0"/>
                <w:color w:val="auto"/>
                <w:sz w:val="24"/>
                <w:szCs w:val="24"/>
                <w:vertAlign w:val="baseline"/>
                <w:lang w:val="en-US" w:eastAsia="zh-CN"/>
              </w:rPr>
              <w:t>t，一天换5次水，该部分用水为</w:t>
            </w:r>
            <w:r>
              <w:rPr>
                <w:rFonts w:hint="eastAsia" w:ascii="Times New Roman" w:hAnsi="Times New Roman" w:eastAsia="宋体" w:cs="Times New Roman"/>
                <w:b w:val="0"/>
                <w:bCs w:val="0"/>
                <w:color w:val="auto"/>
                <w:sz w:val="24"/>
                <w:szCs w:val="24"/>
                <w:vertAlign w:val="baseline"/>
                <w:lang w:val="en-US" w:eastAsia="zh-CN"/>
              </w:rPr>
              <w:t>10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（3000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/a），排污系数以85%计，则清洗废水为</w:t>
            </w:r>
            <w:r>
              <w:rPr>
                <w:rFonts w:hint="eastAsia" w:ascii="Times New Roman" w:hAnsi="Times New Roman" w:eastAsia="宋体" w:cs="Times New Roman"/>
                <w:b w:val="0"/>
                <w:bCs w:val="0"/>
                <w:color w:val="auto"/>
                <w:sz w:val="24"/>
                <w:szCs w:val="24"/>
                <w:vertAlign w:val="baseline"/>
                <w:lang w:val="en-US" w:eastAsia="zh-CN"/>
              </w:rPr>
              <w:t>8.5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（2550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酱卤肉原料冲洗，根据业主提供的资料，日处理肉类原料3t，每吨产品冲洗用水为1m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/t，则肉类原料冲洗用水为3m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900m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冲洗废水全部排放，则酱肉排放废水为3m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/d</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900m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3、泡发用水</w:t>
            </w:r>
          </w:p>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原料（木耳、海带、花生）需要泡发，项目泡发用水循环使用不外排，部分水量随产品泡发带走，定期补水。根据资料调查，海带吸水量约为100%，木耳吸水量约125%，花生吸水量约为125%，项目使用木耳3500t/a，海带3500t/a，花生3700t/a，泡发补水量为41.68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/d，12504m</w:t>
            </w:r>
            <w:r>
              <w:rPr>
                <w:rFonts w:hint="eastAsia" w:ascii="Times New Roman" w:hAnsi="Times New Roman" w:eastAsia="宋体" w:cs="Times New Roman"/>
                <w:b w:val="0"/>
                <w:bCs w:val="0"/>
                <w:color w:val="auto"/>
                <w:sz w:val="24"/>
                <w:szCs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vertAlign w:val="baseli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、漂烫用水</w:t>
            </w:r>
          </w:p>
          <w:p>
            <w:pPr>
              <w:numPr>
                <w:ilvl w:val="0"/>
                <w:numId w:val="0"/>
              </w:num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根据业主提供资料，</w:t>
            </w:r>
            <w:r>
              <w:rPr>
                <w:rFonts w:hint="eastAsia" w:ascii="Times New Roman" w:hAnsi="Times New Roman" w:eastAsia="宋体" w:cs="Times New Roman"/>
                <w:bCs/>
                <w:color w:val="auto"/>
                <w:sz w:val="24"/>
                <w:szCs w:val="24"/>
                <w:highlight w:val="none"/>
                <w:lang w:val="en-US" w:eastAsia="zh-CN"/>
              </w:rPr>
              <w:t>调味蔬菜每天煮两锅，</w:t>
            </w:r>
            <w:r>
              <w:rPr>
                <w:rFonts w:hint="default" w:ascii="Times New Roman" w:hAnsi="Times New Roman" w:eastAsia="宋体" w:cs="Times New Roman"/>
                <w:bCs/>
                <w:color w:val="auto"/>
                <w:sz w:val="24"/>
                <w:szCs w:val="24"/>
                <w:highlight w:val="none"/>
                <w:lang w:val="en-US" w:eastAsia="zh-CN"/>
              </w:rPr>
              <w:t>每</w:t>
            </w:r>
            <w:r>
              <w:rPr>
                <w:rFonts w:hint="eastAsia" w:ascii="Times New Roman" w:hAnsi="Times New Roman" w:eastAsia="宋体" w:cs="Times New Roman"/>
                <w:bCs/>
                <w:color w:val="auto"/>
                <w:sz w:val="24"/>
                <w:szCs w:val="24"/>
                <w:highlight w:val="none"/>
                <w:lang w:val="en-US" w:eastAsia="zh-CN"/>
              </w:rPr>
              <w:t>天</w:t>
            </w:r>
            <w:r>
              <w:rPr>
                <w:rFonts w:hint="default" w:ascii="Times New Roman" w:hAnsi="Times New Roman" w:eastAsia="宋体" w:cs="Times New Roman"/>
                <w:bCs/>
                <w:color w:val="auto"/>
                <w:sz w:val="24"/>
                <w:szCs w:val="24"/>
                <w:highlight w:val="none"/>
                <w:lang w:val="en-US" w:eastAsia="zh-CN"/>
              </w:rPr>
              <w:t>换</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次水，该部分用水为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，排污系数以85%计，则漂煮废水水量为</w:t>
            </w:r>
            <w:r>
              <w:rPr>
                <w:rFonts w:hint="eastAsia" w:ascii="Times New Roman" w:hAnsi="Times New Roman" w:eastAsia="宋体" w:cs="Times New Roman"/>
                <w:bCs/>
                <w:color w:val="auto"/>
                <w:sz w:val="24"/>
                <w:szCs w:val="24"/>
                <w:highlight w:val="none"/>
                <w:lang w:val="en-US" w:eastAsia="zh-CN"/>
              </w:rPr>
              <w:t>4.25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（1275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p>
          <w:p>
            <w:pPr>
              <w:numPr>
                <w:ilvl w:val="0"/>
                <w:numId w:val="0"/>
              </w:numPr>
              <w:spacing w:line="360" w:lineRule="auto"/>
              <w:ind w:firstLine="480" w:firstLineChars="200"/>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酱卤制品，每天煮1锅，</w:t>
            </w:r>
            <w:r>
              <w:rPr>
                <w:rFonts w:hint="default" w:ascii="Times New Roman" w:hAnsi="Times New Roman" w:eastAsia="宋体" w:cs="Times New Roman"/>
                <w:bCs/>
                <w:color w:val="auto"/>
                <w:sz w:val="24"/>
                <w:szCs w:val="24"/>
                <w:highlight w:val="none"/>
                <w:lang w:val="en-US" w:eastAsia="zh-CN"/>
              </w:rPr>
              <w:t>每</w:t>
            </w:r>
            <w:r>
              <w:rPr>
                <w:rFonts w:hint="eastAsia" w:ascii="Times New Roman" w:hAnsi="Times New Roman" w:eastAsia="宋体" w:cs="Times New Roman"/>
                <w:bCs/>
                <w:color w:val="auto"/>
                <w:sz w:val="24"/>
                <w:szCs w:val="24"/>
                <w:highlight w:val="none"/>
                <w:lang w:val="en-US" w:eastAsia="zh-CN"/>
              </w:rPr>
              <w:t>天</w:t>
            </w:r>
            <w:r>
              <w:rPr>
                <w:rFonts w:hint="default" w:ascii="Times New Roman" w:hAnsi="Times New Roman" w:eastAsia="宋体" w:cs="Times New Roman"/>
                <w:bCs/>
                <w:color w:val="auto"/>
                <w:sz w:val="24"/>
                <w:szCs w:val="24"/>
                <w:highlight w:val="none"/>
                <w:lang w:val="en-US" w:eastAsia="zh-CN"/>
              </w:rPr>
              <w:t>换</w:t>
            </w:r>
            <w:r>
              <w:rPr>
                <w:rFonts w:hint="eastAsia" w:ascii="Times New Roman" w:hAnsi="Times New Roman" w:eastAsia="宋体" w:cs="Times New Roman"/>
                <w:bCs/>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次水，该部分用水为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，排污系数以85%计，则漂煮废水水量为</w:t>
            </w:r>
            <w:r>
              <w:rPr>
                <w:rFonts w:hint="eastAsia" w:ascii="Times New Roman" w:hAnsi="Times New Roman" w:eastAsia="宋体" w:cs="Times New Roman"/>
                <w:bCs/>
                <w:color w:val="auto"/>
                <w:sz w:val="24"/>
                <w:szCs w:val="24"/>
                <w:highlight w:val="none"/>
                <w:lang w:val="en-US" w:eastAsia="zh-CN"/>
              </w:rPr>
              <w:t>4.25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（1275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湿粉条，每天煮1锅（共2个煮芡锅），每天换1次水，</w:t>
            </w:r>
            <w:r>
              <w:rPr>
                <w:rFonts w:hint="default" w:ascii="Times New Roman" w:hAnsi="Times New Roman" w:eastAsia="宋体" w:cs="Times New Roman"/>
                <w:bCs/>
                <w:color w:val="auto"/>
                <w:sz w:val="24"/>
                <w:szCs w:val="24"/>
                <w:highlight w:val="none"/>
                <w:lang w:val="en-US" w:eastAsia="zh-CN"/>
              </w:rPr>
              <w:t>该部分用水为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），排污系数以80%计，则脱芡废水水量为4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/d）。</w:t>
            </w:r>
          </w:p>
          <w:p>
            <w:pPr>
              <w:numPr>
                <w:ilvl w:val="0"/>
                <w:numId w:val="0"/>
              </w:numPr>
              <w:spacing w:line="360" w:lineRule="auto"/>
              <w:ind w:firstLine="480" w:firstLineChars="200"/>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5、</w:t>
            </w:r>
            <w:r>
              <w:rPr>
                <w:rFonts w:hint="default" w:ascii="Times New Roman" w:hAnsi="Times New Roman" w:eastAsia="宋体" w:cs="Times New Roman"/>
                <w:bCs/>
                <w:color w:val="auto"/>
                <w:kern w:val="2"/>
                <w:sz w:val="24"/>
                <w:szCs w:val="24"/>
                <w:lang w:val="en-US" w:eastAsia="zh-CN" w:bidi="ar-SA"/>
              </w:rPr>
              <w:t>冷却用水</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项目设置冷却机，漂烫后的蔬菜放入冷却机</w:t>
            </w:r>
            <w:r>
              <w:rPr>
                <w:rFonts w:hint="eastAsia" w:ascii="Times New Roman" w:hAnsi="Times New Roman" w:eastAsia="宋体" w:cs="Times New Roman"/>
                <w:bCs/>
                <w:color w:val="auto"/>
                <w:sz w:val="24"/>
                <w:szCs w:val="24"/>
                <w:highlight w:val="none"/>
                <w:lang w:val="en-US" w:eastAsia="zh-CN"/>
              </w:rPr>
              <w:t>水浴</w:t>
            </w:r>
            <w:r>
              <w:rPr>
                <w:rFonts w:hint="default" w:ascii="Times New Roman" w:hAnsi="Times New Roman" w:eastAsia="宋体" w:cs="Times New Roman"/>
                <w:bCs/>
                <w:color w:val="auto"/>
                <w:sz w:val="24"/>
                <w:szCs w:val="24"/>
                <w:highlight w:val="none"/>
                <w:lang w:val="en-US" w:eastAsia="zh-CN"/>
              </w:rPr>
              <w:t>冷却。冷却水每天更换，根据业主提供的资料</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冷</w:t>
            </w:r>
            <w:r>
              <w:rPr>
                <w:rFonts w:hint="eastAsia" w:ascii="Times New Roman" w:hAnsi="Times New Roman" w:eastAsia="宋体" w:cs="Times New Roman"/>
                <w:bCs/>
                <w:color w:val="auto"/>
                <w:sz w:val="24"/>
                <w:szCs w:val="24"/>
                <w:highlight w:val="none"/>
                <w:lang w:val="en-US" w:eastAsia="zh-CN"/>
              </w:rPr>
              <w:t>却</w:t>
            </w:r>
            <w:r>
              <w:rPr>
                <w:rFonts w:hint="default" w:ascii="Times New Roman" w:hAnsi="Times New Roman" w:eastAsia="宋体" w:cs="Times New Roman"/>
                <w:bCs/>
                <w:color w:val="auto"/>
                <w:sz w:val="24"/>
                <w:szCs w:val="24"/>
                <w:highlight w:val="none"/>
                <w:lang w:val="en-US" w:eastAsia="zh-CN"/>
              </w:rPr>
              <w:t>水用量为</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lang w:val="en-US" w:eastAsia="zh-CN"/>
              </w:rPr>
              <w:t>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，排污系数以80%计，则冷却水废水量为</w:t>
            </w:r>
            <w:r>
              <w:rPr>
                <w:rFonts w:hint="eastAsia"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（1200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numPr>
                <w:ilvl w:val="0"/>
                <w:numId w:val="0"/>
              </w:num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val="en-US" w:eastAsia="zh-CN"/>
              </w:rPr>
              <w:t>、设备清洗用水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本项目设备每天会进行清洗，</w:t>
            </w:r>
            <w:r>
              <w:rPr>
                <w:rFonts w:hint="default" w:ascii="Times New Roman" w:hAnsi="Times New Roman" w:eastAsia="宋体" w:cs="Times New Roman"/>
                <w:b w:val="0"/>
                <w:bCs/>
                <w:color w:val="auto"/>
                <w:sz w:val="24"/>
                <w:szCs w:val="24"/>
                <w:highlight w:val="none"/>
                <w:lang w:val="en-US" w:eastAsia="zh-CN"/>
              </w:rPr>
              <w:t>根据业主提供资料，</w:t>
            </w:r>
            <w:r>
              <w:rPr>
                <w:rFonts w:hint="default" w:ascii="Times New Roman" w:hAnsi="Times New Roman" w:eastAsia="宋体" w:cs="Times New Roman"/>
                <w:bCs/>
                <w:color w:val="auto"/>
                <w:sz w:val="24"/>
                <w:szCs w:val="24"/>
                <w:highlight w:val="none"/>
                <w:lang w:val="en-US" w:eastAsia="zh-CN"/>
              </w:rPr>
              <w:t>该部分用水量为10m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3000m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/a）。排污系数以85%计，则设备清洗废水为8.5m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2550m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7、地面冲洗用水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项目生产设备和车间工作地面在每天工作结束后，需进行冲洗，根据业主提供资料，冲洗用水约为2m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（600m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default" w:ascii="Times New Roman" w:hAnsi="Times New Roman" w:eastAsia="宋体" w:cs="Times New Roman"/>
                <w:bCs/>
                <w:color w:val="auto"/>
                <w:sz w:val="24"/>
                <w:szCs w:val="24"/>
                <w:highlight w:val="none"/>
                <w:lang w:val="en-US" w:eastAsia="zh-CN"/>
              </w:rPr>
              <w:t>，废水排放系数按</w:t>
            </w:r>
            <w:r>
              <w:rPr>
                <w:rFonts w:hint="eastAsia" w:ascii="Times New Roman" w:hAnsi="Times New Roman" w:eastAsia="宋体" w:cs="Times New Roman"/>
                <w:bCs/>
                <w:color w:val="auto"/>
                <w:sz w:val="24"/>
                <w:szCs w:val="24"/>
                <w:highlight w:val="none"/>
                <w:lang w:val="en-US" w:eastAsia="zh-CN"/>
              </w:rPr>
              <w:t>90%</w:t>
            </w:r>
            <w:r>
              <w:rPr>
                <w:rFonts w:hint="default" w:ascii="Times New Roman" w:hAnsi="Times New Roman" w:eastAsia="宋体" w:cs="Times New Roman"/>
                <w:bCs/>
                <w:color w:val="auto"/>
                <w:sz w:val="24"/>
                <w:szCs w:val="24"/>
                <w:highlight w:val="none"/>
                <w:lang w:val="en-US" w:eastAsia="zh-CN"/>
              </w:rPr>
              <w:t>计算，则每天的废水产生量为1.8m</w:t>
            </w:r>
            <w:r>
              <w:rPr>
                <w:rFonts w:hint="eastAsia"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（540m</w:t>
            </w:r>
            <w:r>
              <w:rPr>
                <w:rFonts w:hint="eastAsia" w:ascii="Times New Roman" w:hAnsi="Times New Roman" w:eastAsia="宋体" w:cs="Times New Roman"/>
                <w:bCs/>
                <w:color w:val="auto"/>
                <w:sz w:val="24"/>
                <w:szCs w:val="24"/>
                <w:highlight w:val="none"/>
                <w:vertAlign w:val="superscript"/>
                <w:lang w:val="en-US" w:eastAsia="zh-CN"/>
              </w:rPr>
              <w:t>3</w:t>
            </w:r>
            <w:r>
              <w:rPr>
                <w:rFonts w:hint="eastAsia" w:ascii="Times New Roman" w:hAnsi="Times New Roman" w:eastAsia="宋体" w:cs="Times New Roman"/>
                <w:bCs/>
                <w:color w:val="auto"/>
                <w:sz w:val="24"/>
                <w:szCs w:val="24"/>
                <w:highlight w:val="none"/>
                <w:lang w:val="en-US" w:eastAsia="zh-CN"/>
              </w:rPr>
              <w:t>/a）</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kern w:val="2"/>
                <w:sz w:val="24"/>
                <w:szCs w:val="24"/>
                <w:lang w:val="en-US" w:eastAsia="zh-CN" w:bidi="ar-SA"/>
              </w:rPr>
              <w:t>8、</w:t>
            </w:r>
            <w:r>
              <w:rPr>
                <w:rFonts w:hint="eastAsia" w:ascii="Times New Roman" w:hAnsi="Times New Roman" w:eastAsia="宋体" w:cs="Times New Roman"/>
                <w:bCs/>
                <w:color w:val="auto"/>
                <w:sz w:val="24"/>
                <w:szCs w:val="24"/>
                <w:highlight w:val="none"/>
                <w:lang w:val="en-US" w:eastAsia="zh-CN"/>
              </w:rPr>
              <w:t>实验室用水</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outlineLvl w:val="9"/>
              <w:rPr>
                <w:rFonts w:hint="eastAsia" w:ascii="Times New Roman" w:hAnsi="Times New Roman" w:eastAsia="宋体" w:cs="Times New Roman"/>
                <w:b/>
                <w:bCs/>
                <w:color w:val="auto"/>
                <w:sz w:val="24"/>
                <w:szCs w:val="24"/>
                <w:u w:val="none"/>
                <w:lang w:val="en-US" w:eastAsia="zh-CN"/>
              </w:rPr>
            </w:pPr>
            <w:r>
              <w:rPr>
                <w:rFonts w:hint="default" w:ascii="Times New Roman" w:hAnsi="Times New Roman" w:eastAsia="宋体" w:cs="Times New Roman"/>
                <w:bCs/>
                <w:color w:val="auto"/>
                <w:sz w:val="24"/>
                <w:szCs w:val="24"/>
                <w:highlight w:val="none"/>
                <w:lang w:val="en-US" w:eastAsia="zh-CN"/>
              </w:rPr>
              <w:t>本项目需对产品进行食品安全检测，检测完成后需对检测试剂容器进行清洗。前三次清洗废液属于危废，用水量为0.05m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/a），废水产生量为0.05m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/a）；后续清洗废水为化验室容器后续清洗废水，后续清洗用水量为0.5m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（150</w:t>
            </w:r>
            <w:r>
              <w:rPr>
                <w:rFonts w:hint="default" w:ascii="Times New Roman" w:hAnsi="Times New Roman" w:eastAsia="宋体" w:cs="Times New Roman"/>
                <w:bCs/>
                <w:color w:val="auto"/>
                <w:sz w:val="24"/>
                <w:szCs w:val="24"/>
                <w:highlight w:val="none"/>
                <w:lang w:val="en-US" w:eastAsia="zh-CN"/>
              </w:rPr>
              <w:t>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/a），清洗废水产生量按用量的90%计，则废水产生量为0.45m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/d</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135m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/a）。化验室容器后续清洗废水进入厂区污水处理站处理。</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②治理措施</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在园区工业污水处理厂建成之前，项目废水经厂区</w:t>
            </w:r>
            <w:r>
              <w:rPr>
                <w:rFonts w:hint="default" w:ascii="Times New Roman" w:hAnsi="Times New Roman" w:eastAsia="宋体" w:cs="Times New Roman"/>
                <w:b w:val="0"/>
                <w:bCs w:val="0"/>
                <w:color w:val="auto"/>
                <w:kern w:val="0"/>
                <w:sz w:val="24"/>
                <w:szCs w:val="24"/>
                <w:highlight w:val="none"/>
                <w:lang w:val="en-US" w:eastAsia="zh-CN"/>
              </w:rPr>
              <w:t>园内一体化处理装置</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200m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/d）</w:t>
            </w:r>
            <w:r>
              <w:rPr>
                <w:rFonts w:hint="eastAsia" w:ascii="Times New Roman" w:hAnsi="Times New Roman" w:eastAsia="宋体" w:cs="Times New Roman"/>
                <w:b w:val="0"/>
                <w:bCs w:val="0"/>
                <w:color w:val="auto"/>
                <w:kern w:val="0"/>
                <w:sz w:val="24"/>
                <w:szCs w:val="24"/>
                <w:highlight w:val="none"/>
                <w:lang w:val="en-US" w:eastAsia="zh-CN"/>
              </w:rPr>
              <w:t>进行预处理，并</w:t>
            </w:r>
            <w:r>
              <w:rPr>
                <w:rFonts w:hint="default" w:ascii="Times New Roman" w:hAnsi="Times New Roman" w:eastAsia="宋体" w:cs="Times New Roman"/>
                <w:b w:val="0"/>
                <w:bCs w:val="0"/>
                <w:color w:val="auto"/>
                <w:kern w:val="0"/>
                <w:sz w:val="24"/>
                <w:szCs w:val="24"/>
                <w:highlight w:val="none"/>
                <w:lang w:val="en-US" w:eastAsia="zh-CN"/>
              </w:rPr>
              <w:t>达到《污水综合排放标准》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GB8978-1996）三级标准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sz w:val="24"/>
                <w:szCs w:val="24"/>
                <w:u w:val="none"/>
                <w:lang w:val="en-US" w:eastAsia="zh-CN"/>
              </w:rPr>
              <w:t>氯化物</w:t>
            </w:r>
            <w:r>
              <w:rPr>
                <w:rFonts w:hint="eastAsia" w:ascii="Times New Roman" w:hAnsi="Times New Roman" w:eastAsia="宋体" w:cs="Times New Roman"/>
                <w:b w:val="0"/>
                <w:bCs w:val="0"/>
                <w:color w:val="auto"/>
                <w:sz w:val="24"/>
                <w:szCs w:val="24"/>
                <w:u w:val="none"/>
                <w:lang w:val="en-US" w:eastAsia="zh-CN"/>
              </w:rPr>
              <w:t>执行</w:t>
            </w:r>
            <w:r>
              <w:rPr>
                <w:rFonts w:hint="eastAsia" w:ascii="Times New Roman" w:hAnsi="Times New Roman" w:eastAsia="宋体" w:cs="Times New Roman"/>
                <w:color w:val="auto"/>
                <w:sz w:val="24"/>
                <w:szCs w:val="24"/>
                <w:lang w:val="en-US" w:eastAsia="zh-CN"/>
              </w:rPr>
              <w:t>《四川省水污染排放标准》（DB51/190-93）W级</w:t>
            </w:r>
            <w:r>
              <w:rPr>
                <w:rFonts w:hint="default" w:ascii="Times New Roman" w:hAnsi="Times New Roman" w:eastAsia="宋体" w:cs="Times New Roman"/>
                <w:b w:val="0"/>
                <w:bCs w:val="0"/>
                <w:color w:val="auto"/>
                <w:sz w:val="24"/>
                <w:szCs w:val="24"/>
                <w:u w:val="none"/>
                <w:lang w:val="en-US" w:eastAsia="zh-CN"/>
              </w:rPr>
              <w:t>要求</w:t>
            </w:r>
            <w:r>
              <w:rPr>
                <w:rFonts w:hint="eastAsia" w:ascii="Times New Roman" w:hAnsi="Times New Roman" w:eastAsia="宋体" w:cs="Times New Roman"/>
                <w:b w:val="0"/>
                <w:bCs w:val="0"/>
                <w:color w:val="auto"/>
                <w:kern w:val="0"/>
                <w:sz w:val="24"/>
                <w:szCs w:val="24"/>
                <w:highlight w:val="none"/>
                <w:lang w:val="en-US" w:eastAsia="zh-CN"/>
              </w:rPr>
              <w:t>后排入全福镇污水处理厂（2000m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w:t>
            </w:r>
            <w:r>
              <w:rPr>
                <w:rFonts w:hint="default" w:ascii="Times New Roman" w:hAnsi="Times New Roman" w:eastAsia="宋体" w:cs="Times New Roman"/>
                <w:b w:val="0"/>
                <w:bCs w:val="0"/>
                <w:color w:val="auto"/>
                <w:kern w:val="0"/>
                <w:sz w:val="24"/>
                <w:szCs w:val="24"/>
                <w:highlight w:val="none"/>
                <w:lang w:val="en-US" w:eastAsia="zh-CN"/>
              </w:rPr>
              <w:t>进行处理，达到《四川省岷江、沱江流域水污染物排放标准》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DB51/2311-2016）中相关污染物排放标准排放</w:t>
            </w:r>
            <w:r>
              <w:rPr>
                <w:rFonts w:hint="eastAsia" w:ascii="Times New Roman" w:hAnsi="Times New Roman" w:eastAsia="宋体" w:cs="Times New Roman"/>
                <w:b w:val="0"/>
                <w:bCs w:val="0"/>
                <w:color w:val="auto"/>
                <w:kern w:val="0"/>
                <w:sz w:val="24"/>
                <w:szCs w:val="24"/>
                <w:highlight w:val="none"/>
                <w:lang w:val="en-US" w:eastAsia="zh-CN"/>
              </w:rPr>
              <w:t>，园区污水处理厂建成之后，项目废水排入园区污水处理厂处理。园区污水处理厂设计规模为10000m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/d，执行</w:t>
            </w:r>
            <w:r>
              <w:rPr>
                <w:rFonts w:hint="default" w:ascii="Times New Roman" w:hAnsi="Times New Roman" w:eastAsia="宋体" w:cs="Times New Roman"/>
                <w:b w:val="0"/>
                <w:bCs w:val="0"/>
                <w:color w:val="auto"/>
                <w:kern w:val="0"/>
                <w:sz w:val="24"/>
                <w:szCs w:val="24"/>
                <w:highlight w:val="none"/>
                <w:lang w:val="en-US" w:eastAsia="zh-CN"/>
              </w:rPr>
              <w:t>《四川省岷江、沱江流域水污染物排放标准》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DB51/2311-2016）中相关污染物排放标准排放</w:t>
            </w:r>
            <w:r>
              <w:rPr>
                <w:rFonts w:hint="eastAsia" w:ascii="Times New Roman" w:hAnsi="Times New Roman" w:eastAsia="宋体" w:cs="Times New Roman"/>
                <w:b w:val="0"/>
                <w:bCs w:val="0"/>
                <w:color w:val="auto"/>
                <w:kern w:val="0"/>
                <w:sz w:val="24"/>
                <w:szCs w:val="24"/>
                <w:highlight w:val="none"/>
                <w:lang w:val="en-US" w:eastAsia="zh-CN"/>
              </w:rPr>
              <w:t>。</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lang w:val="en-US" w:eastAsia="zh-CN" w:bidi="ar-SA"/>
              </w:rPr>
              <w:t>（3）</w:t>
            </w:r>
            <w:r>
              <w:rPr>
                <w:rFonts w:hint="eastAsia" w:ascii="Times New Roman" w:hAnsi="Times New Roman" w:eastAsia="宋体" w:cs="Times New Roman"/>
                <w:b w:val="0"/>
                <w:bCs w:val="0"/>
                <w:color w:val="auto"/>
                <w:kern w:val="0"/>
                <w:sz w:val="24"/>
                <w:szCs w:val="24"/>
                <w:highlight w:val="none"/>
                <w:lang w:val="en-US" w:eastAsia="zh-CN"/>
              </w:rPr>
              <w:t>废水排放情况</w:t>
            </w:r>
          </w:p>
          <w:p>
            <w:pPr>
              <w:keepNext w:val="0"/>
              <w:keepLines w:val="0"/>
              <w:widowControl/>
              <w:numPr>
                <w:ilvl w:val="0"/>
                <w:numId w:val="0"/>
              </w:numPr>
              <w:suppressLineNumbers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项目主要为半固态底料、调味蔬菜、湿粉条、自热米饭、卤肉制品生产，废水SS、COD、BOD、NH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-N、动植物油等项目</w:t>
            </w:r>
            <w:r>
              <w:rPr>
                <w:rFonts w:hint="eastAsia" w:ascii="Times New Roman" w:hAnsi="Times New Roman" w:eastAsia="宋体" w:cs="Times New Roman"/>
                <w:color w:val="auto"/>
                <w:sz w:val="24"/>
                <w:szCs w:val="24"/>
                <w:lang w:val="en-US" w:eastAsia="zh-CN"/>
              </w:rPr>
              <w:t>，动植物油主要存在于酱卤制品的原料冲洗和煮制废水中，含量较少，所以本次评价主要对废水SS、COD、BOD、NH</w:t>
            </w:r>
            <w:r>
              <w:rPr>
                <w:rFonts w:hint="eastAsia" w:ascii="Times New Roman" w:hAnsi="Times New Roman" w:eastAsia="宋体" w:cs="Times New Roman"/>
                <w:color w:val="auto"/>
                <w:sz w:val="24"/>
                <w:szCs w:val="24"/>
                <w:vertAlign w:val="subscript"/>
                <w:lang w:val="en-US" w:eastAsia="zh-CN"/>
              </w:rPr>
              <w:t>3</w:t>
            </w:r>
            <w:r>
              <w:rPr>
                <w:rFonts w:hint="eastAsia" w:ascii="Times New Roman" w:hAnsi="Times New Roman" w:eastAsia="宋体" w:cs="Times New Roman"/>
                <w:color w:val="auto"/>
                <w:sz w:val="24"/>
                <w:szCs w:val="24"/>
                <w:lang w:val="en-US" w:eastAsia="zh-CN"/>
              </w:rPr>
              <w:t>-N进行分析。此</w:t>
            </w:r>
            <w:r>
              <w:rPr>
                <w:rFonts w:hint="default" w:ascii="Times New Roman" w:hAnsi="Times New Roman" w:eastAsia="宋体" w:cs="Times New Roman"/>
                <w:color w:val="auto"/>
                <w:sz w:val="24"/>
                <w:szCs w:val="24"/>
                <w:lang w:val="en-US" w:eastAsia="zh-CN"/>
              </w:rPr>
              <w:t>次评价废水源强</w:t>
            </w:r>
            <w:r>
              <w:rPr>
                <w:rFonts w:hint="eastAsia" w:ascii="Times New Roman" w:hAnsi="Times New Roman" w:eastAsia="宋体" w:cs="Times New Roman"/>
                <w:b w:val="0"/>
                <w:bCs w:val="0"/>
                <w:color w:val="auto"/>
                <w:kern w:val="0"/>
                <w:sz w:val="24"/>
                <w:szCs w:val="24"/>
                <w:highlight w:val="none"/>
                <w:lang w:val="en-US" w:eastAsia="zh-CN"/>
              </w:rPr>
              <w:t>经类比分析相关行业数据从而进行评价，详细见下表。</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表4-6  废水排放情况</w:t>
            </w:r>
          </w:p>
          <w:tbl>
            <w:tblPr>
              <w:tblStyle w:val="42"/>
              <w:tblW w:w="81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622"/>
              <w:gridCol w:w="831"/>
              <w:gridCol w:w="1644"/>
              <w:gridCol w:w="740"/>
              <w:gridCol w:w="1160"/>
              <w:gridCol w:w="845"/>
              <w:gridCol w:w="831"/>
              <w:gridCol w:w="8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18"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污水种类</w:t>
                  </w:r>
                </w:p>
              </w:tc>
              <w:tc>
                <w:tcPr>
                  <w:tcW w:w="622"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处理措施</w:t>
                  </w:r>
                </w:p>
              </w:tc>
              <w:tc>
                <w:tcPr>
                  <w:tcW w:w="2475" w:type="dxa"/>
                  <w:gridSpan w:val="2"/>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废水性质</w:t>
                  </w:r>
                </w:p>
              </w:tc>
              <w:tc>
                <w:tcPr>
                  <w:tcW w:w="740"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排水量</w:t>
                  </w:r>
                </w:p>
              </w:tc>
              <w:tc>
                <w:tcPr>
                  <w:tcW w:w="1160" w:type="dxa"/>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COD</w:t>
                  </w:r>
                </w:p>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(mg/L）</w:t>
                  </w:r>
                </w:p>
              </w:tc>
              <w:tc>
                <w:tcPr>
                  <w:tcW w:w="845" w:type="dxa"/>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color w:val="auto"/>
                      <w:kern w:val="0"/>
                      <w:sz w:val="21"/>
                      <w:szCs w:val="21"/>
                      <w:highlight w:val="none"/>
                      <w:vertAlign w:val="subscript"/>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BOD</w:t>
                  </w:r>
                  <w:r>
                    <w:rPr>
                      <w:rFonts w:hint="eastAsia" w:ascii="Times New Roman" w:hAnsi="Times New Roman" w:eastAsia="宋体" w:cs="Times New Roman"/>
                      <w:b/>
                      <w:bCs/>
                      <w:color w:val="auto"/>
                      <w:kern w:val="0"/>
                      <w:sz w:val="21"/>
                      <w:szCs w:val="21"/>
                      <w:highlight w:val="none"/>
                      <w:vertAlign w:val="subscript"/>
                      <w:lang w:val="en-US" w:eastAsia="zh-CN"/>
                    </w:rPr>
                    <w:t>5</w:t>
                  </w:r>
                </w:p>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(mg/L）</w:t>
                  </w:r>
                </w:p>
              </w:tc>
              <w:tc>
                <w:tcPr>
                  <w:tcW w:w="831" w:type="dxa"/>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NH</w:t>
                  </w:r>
                  <w:r>
                    <w:rPr>
                      <w:rFonts w:hint="eastAsia" w:ascii="Times New Roman" w:hAnsi="Times New Roman" w:eastAsia="宋体" w:cs="Times New Roman"/>
                      <w:b/>
                      <w:bCs/>
                      <w:color w:val="auto"/>
                      <w:kern w:val="0"/>
                      <w:sz w:val="21"/>
                      <w:szCs w:val="21"/>
                      <w:highlight w:val="none"/>
                      <w:vertAlign w:val="subscript"/>
                      <w:lang w:val="en-US" w:eastAsia="zh-CN"/>
                    </w:rPr>
                    <w:t>3</w:t>
                  </w:r>
                  <w:r>
                    <w:rPr>
                      <w:rFonts w:hint="eastAsia" w:ascii="Times New Roman" w:hAnsi="Times New Roman" w:eastAsia="宋体" w:cs="Times New Roman"/>
                      <w:b/>
                      <w:bCs/>
                      <w:color w:val="auto"/>
                      <w:kern w:val="0"/>
                      <w:sz w:val="21"/>
                      <w:szCs w:val="21"/>
                      <w:highlight w:val="none"/>
                      <w:vertAlign w:val="baseline"/>
                      <w:lang w:val="en-US" w:eastAsia="zh-CN"/>
                    </w:rPr>
                    <w:t>-H</w:t>
                  </w:r>
                </w:p>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(mg/L）</w:t>
                  </w:r>
                </w:p>
              </w:tc>
              <w:tc>
                <w:tcPr>
                  <w:tcW w:w="885" w:type="dxa"/>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SS</w:t>
                  </w:r>
                </w:p>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8"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生活污水</w:t>
                  </w:r>
                </w:p>
              </w:tc>
              <w:tc>
                <w:tcPr>
                  <w:tcW w:w="622"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园区预处理设备</w:t>
                  </w:r>
                </w:p>
              </w:tc>
              <w:tc>
                <w:tcPr>
                  <w:tcW w:w="831"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生活污水</w:t>
                  </w:r>
                </w:p>
              </w:tc>
              <w:tc>
                <w:tcPr>
                  <w:tcW w:w="1644"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浓度（mg/L）</w:t>
                  </w:r>
                </w:p>
              </w:tc>
              <w:tc>
                <w:tcPr>
                  <w:tcW w:w="740"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4050</w:t>
                  </w:r>
                </w:p>
              </w:tc>
              <w:tc>
                <w:tcPr>
                  <w:tcW w:w="1160"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500</w:t>
                  </w:r>
                </w:p>
              </w:tc>
              <w:tc>
                <w:tcPr>
                  <w:tcW w:w="845"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300</w:t>
                  </w:r>
                </w:p>
              </w:tc>
              <w:tc>
                <w:tcPr>
                  <w:tcW w:w="831"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885"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618" w:type="dxa"/>
                  <w:vMerge w:val="continue"/>
                  <w:noWrap w:val="0"/>
                  <w:vAlign w:val="center"/>
                </w:tcPr>
                <w:p>
                  <w:pPr>
                    <w:adjustRightInd w:val="0"/>
                    <w:snapToGrid w:val="0"/>
                    <w:spacing w:line="240" w:lineRule="auto"/>
                    <w:jc w:val="center"/>
                    <w:rPr>
                      <w:b w:val="0"/>
                      <w:bCs w:val="0"/>
                      <w:color w:val="auto"/>
                    </w:rPr>
                  </w:pPr>
                </w:p>
              </w:tc>
              <w:tc>
                <w:tcPr>
                  <w:tcW w:w="622" w:type="dxa"/>
                  <w:vMerge w:val="continue"/>
                  <w:noWrap w:val="0"/>
                  <w:vAlign w:val="center"/>
                </w:tcPr>
                <w:p>
                  <w:pPr>
                    <w:adjustRightInd w:val="0"/>
                    <w:snapToGrid w:val="0"/>
                    <w:spacing w:line="240" w:lineRule="auto"/>
                    <w:jc w:val="center"/>
                    <w:rPr>
                      <w:b w:val="0"/>
                      <w:bCs w:val="0"/>
                      <w:color w:val="auto"/>
                    </w:rPr>
                  </w:pPr>
                </w:p>
              </w:tc>
              <w:tc>
                <w:tcPr>
                  <w:tcW w:w="831" w:type="dxa"/>
                  <w:vMerge w:val="continue"/>
                  <w:noWrap w:val="0"/>
                  <w:vAlign w:val="center"/>
                </w:tcPr>
                <w:p>
                  <w:pPr>
                    <w:adjustRightInd w:val="0"/>
                    <w:snapToGrid w:val="0"/>
                    <w:spacing w:line="240" w:lineRule="auto"/>
                    <w:jc w:val="center"/>
                    <w:rPr>
                      <w:b w:val="0"/>
                      <w:bCs w:val="0"/>
                      <w:color w:val="auto"/>
                    </w:rPr>
                  </w:pPr>
                </w:p>
              </w:tc>
              <w:tc>
                <w:tcPr>
                  <w:tcW w:w="1644"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排放量（t/a）</w:t>
                  </w:r>
                </w:p>
              </w:tc>
              <w:tc>
                <w:tcPr>
                  <w:tcW w:w="740"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60"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2.03</w:t>
                  </w:r>
                </w:p>
              </w:tc>
              <w:tc>
                <w:tcPr>
                  <w:tcW w:w="845"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1.22</w:t>
                  </w:r>
                </w:p>
              </w:tc>
              <w:tc>
                <w:tcPr>
                  <w:tcW w:w="83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0.18</w:t>
                  </w:r>
                </w:p>
              </w:tc>
              <w:tc>
                <w:tcPr>
                  <w:tcW w:w="885"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618"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生产废水</w:t>
                  </w:r>
                </w:p>
              </w:tc>
              <w:tc>
                <w:tcPr>
                  <w:tcW w:w="622"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31"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设备清洗、锅炉排水等</w:t>
                  </w:r>
                </w:p>
              </w:tc>
              <w:tc>
                <w:tcPr>
                  <w:tcW w:w="1644"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浓度（mg/L）</w:t>
                  </w:r>
                </w:p>
              </w:tc>
              <w:tc>
                <w:tcPr>
                  <w:tcW w:w="740"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13785</w:t>
                  </w:r>
                </w:p>
              </w:tc>
              <w:tc>
                <w:tcPr>
                  <w:tcW w:w="1160"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1120</w:t>
                  </w:r>
                </w:p>
              </w:tc>
              <w:tc>
                <w:tcPr>
                  <w:tcW w:w="845"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313</w:t>
                  </w:r>
                </w:p>
              </w:tc>
              <w:tc>
                <w:tcPr>
                  <w:tcW w:w="831"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1.36</w:t>
                  </w:r>
                </w:p>
              </w:tc>
              <w:tc>
                <w:tcPr>
                  <w:tcW w:w="885"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18" w:type="dxa"/>
                  <w:vMerge w:val="continue"/>
                  <w:noWrap w:val="0"/>
                  <w:vAlign w:val="center"/>
                </w:tcPr>
                <w:p>
                  <w:pPr>
                    <w:adjustRightInd w:val="0"/>
                    <w:snapToGrid w:val="0"/>
                    <w:spacing w:line="240" w:lineRule="auto"/>
                    <w:jc w:val="center"/>
                    <w:rPr>
                      <w:b w:val="0"/>
                      <w:bCs w:val="0"/>
                      <w:color w:val="auto"/>
                    </w:rPr>
                  </w:pPr>
                </w:p>
              </w:tc>
              <w:tc>
                <w:tcPr>
                  <w:tcW w:w="622" w:type="dxa"/>
                  <w:vMerge w:val="continue"/>
                  <w:noWrap w:val="0"/>
                  <w:vAlign w:val="center"/>
                </w:tcPr>
                <w:p>
                  <w:pPr>
                    <w:adjustRightInd w:val="0"/>
                    <w:snapToGrid w:val="0"/>
                    <w:spacing w:line="240" w:lineRule="auto"/>
                    <w:jc w:val="center"/>
                    <w:rPr>
                      <w:b w:val="0"/>
                      <w:bCs w:val="0"/>
                      <w:color w:val="auto"/>
                    </w:rPr>
                  </w:pPr>
                </w:p>
              </w:tc>
              <w:tc>
                <w:tcPr>
                  <w:tcW w:w="831" w:type="dxa"/>
                  <w:vMerge w:val="continue"/>
                  <w:noWrap w:val="0"/>
                  <w:vAlign w:val="center"/>
                </w:tcPr>
                <w:p>
                  <w:pPr>
                    <w:adjustRightInd w:val="0"/>
                    <w:snapToGrid w:val="0"/>
                    <w:spacing w:line="240" w:lineRule="auto"/>
                    <w:jc w:val="center"/>
                    <w:rPr>
                      <w:b w:val="0"/>
                      <w:bCs w:val="0"/>
                      <w:color w:val="auto"/>
                    </w:rPr>
                  </w:pPr>
                </w:p>
              </w:tc>
              <w:tc>
                <w:tcPr>
                  <w:tcW w:w="1644"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排放量（t/a）</w:t>
                  </w:r>
                </w:p>
              </w:tc>
              <w:tc>
                <w:tcPr>
                  <w:tcW w:w="740"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60"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15.4</w:t>
                  </w:r>
                </w:p>
              </w:tc>
              <w:tc>
                <w:tcPr>
                  <w:tcW w:w="845"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4.31</w:t>
                  </w:r>
                </w:p>
              </w:tc>
              <w:tc>
                <w:tcPr>
                  <w:tcW w:w="83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0.019</w:t>
                  </w:r>
                </w:p>
              </w:tc>
              <w:tc>
                <w:tcPr>
                  <w:tcW w:w="885"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0.11</w:t>
                  </w:r>
                </w:p>
              </w:tc>
            </w:tr>
          </w:tbl>
          <w:p>
            <w:pPr>
              <w:numPr>
                <w:ilvl w:val="0"/>
                <w:numId w:val="0"/>
              </w:numPr>
              <w:adjustRightInd w:val="0"/>
              <w:snapToGrid w:val="0"/>
              <w:spacing w:line="360" w:lineRule="auto"/>
              <w:ind w:firstLine="42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1"/>
                <w:szCs w:val="21"/>
                <w:lang w:val="en-US" w:eastAsia="zh-CN" w:bidi="ar-SA"/>
              </w:rPr>
              <w:t>（</w:t>
            </w:r>
            <w:r>
              <w:rPr>
                <w:rFonts w:hint="eastAsia" w:ascii="Times New Roman" w:hAnsi="Times New Roman" w:eastAsia="宋体" w:cs="Times New Roman"/>
                <w:b w:val="0"/>
                <w:bCs w:val="0"/>
                <w:color w:val="auto"/>
                <w:kern w:val="0"/>
                <w:sz w:val="24"/>
                <w:szCs w:val="24"/>
                <w:lang w:val="en-US" w:eastAsia="zh-CN" w:bidi="ar-SA"/>
              </w:rPr>
              <w:t>4）</w:t>
            </w:r>
            <w:r>
              <w:rPr>
                <w:rFonts w:hint="eastAsia" w:ascii="Times New Roman" w:hAnsi="Times New Roman" w:eastAsia="宋体" w:cs="Times New Roman"/>
                <w:b w:val="0"/>
                <w:bCs w:val="0"/>
                <w:color w:val="auto"/>
                <w:kern w:val="0"/>
                <w:sz w:val="24"/>
                <w:szCs w:val="24"/>
                <w:highlight w:val="none"/>
                <w:lang w:val="en-US" w:eastAsia="zh-CN"/>
              </w:rPr>
              <w:t>废水处理设施依托可行性分析</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①依托园区一体化处理装置（预处理）</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处理规模</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本项目生产废水</w:t>
            </w:r>
            <w:r>
              <w:rPr>
                <w:rFonts w:hint="eastAsia" w:ascii="Times New Roman" w:hAnsi="Times New Roman" w:eastAsia="宋体" w:cs="Times New Roman"/>
                <w:b w:val="0"/>
                <w:bCs w:val="0"/>
                <w:color w:val="auto"/>
                <w:kern w:val="0"/>
                <w:sz w:val="24"/>
                <w:szCs w:val="24"/>
                <w:highlight w:val="none"/>
                <w:lang w:val="en-US" w:eastAsia="zh-CN"/>
              </w:rPr>
              <w:t>、实验室检验废水</w:t>
            </w:r>
            <w:r>
              <w:rPr>
                <w:rFonts w:hint="default" w:ascii="Times New Roman" w:hAnsi="Times New Roman" w:eastAsia="宋体" w:cs="Times New Roman"/>
                <w:b w:val="0"/>
                <w:bCs w:val="0"/>
                <w:color w:val="auto"/>
                <w:kern w:val="0"/>
                <w:sz w:val="24"/>
                <w:szCs w:val="24"/>
                <w:highlight w:val="none"/>
                <w:lang w:val="en-US" w:eastAsia="zh-CN"/>
              </w:rPr>
              <w:t>同生活污水排入园区一体化处理装置</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园区一体化处理装置进行预处理。园区一体化处理装置处理能力为200m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/d</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项目废水为</w:t>
            </w:r>
            <w:r>
              <w:rPr>
                <w:rFonts w:hint="eastAsia" w:ascii="Times New Roman" w:hAnsi="Times New Roman" w:eastAsia="宋体" w:cs="Times New Roman"/>
                <w:b w:val="0"/>
                <w:bCs w:val="0"/>
                <w:color w:val="auto"/>
                <w:kern w:val="0"/>
                <w:sz w:val="24"/>
                <w:szCs w:val="24"/>
                <w:highlight w:val="none"/>
                <w:lang w:val="en-US" w:eastAsia="zh-CN"/>
              </w:rPr>
              <w:t>59.45</w:t>
            </w:r>
            <w:r>
              <w:rPr>
                <w:rFonts w:hint="default" w:ascii="Times New Roman" w:hAnsi="Times New Roman" w:eastAsia="宋体" w:cs="Times New Roman"/>
                <w:b w:val="0"/>
                <w:bCs w:val="0"/>
                <w:color w:val="auto"/>
                <w:kern w:val="0"/>
                <w:sz w:val="24"/>
                <w:szCs w:val="24"/>
                <w:highlight w:val="none"/>
                <w:lang w:val="en-US" w:eastAsia="zh-CN"/>
              </w:rPr>
              <w:t>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/d</w:t>
            </w:r>
            <w:r>
              <w:rPr>
                <w:rFonts w:hint="eastAsia" w:ascii="Times New Roman" w:hAnsi="Times New Roman" w:eastAsia="宋体" w:cs="Times New Roman"/>
                <w:b w:val="0"/>
                <w:bCs w:val="0"/>
                <w:color w:val="auto"/>
                <w:kern w:val="0"/>
                <w:sz w:val="24"/>
                <w:szCs w:val="24"/>
                <w:highlight w:val="none"/>
                <w:lang w:val="en-US" w:eastAsia="zh-CN"/>
              </w:rPr>
              <w:t>，所以</w:t>
            </w:r>
            <w:r>
              <w:rPr>
                <w:rFonts w:hint="default" w:ascii="Times New Roman" w:hAnsi="Times New Roman" w:eastAsia="宋体" w:cs="Times New Roman"/>
                <w:b w:val="0"/>
                <w:bCs w:val="0"/>
                <w:color w:val="auto"/>
                <w:kern w:val="0"/>
                <w:sz w:val="24"/>
                <w:szCs w:val="24"/>
                <w:highlight w:val="none"/>
                <w:lang w:val="en-US" w:eastAsia="zh-CN"/>
              </w:rPr>
              <w:t>园区一体化处理装置</w:t>
            </w:r>
            <w:r>
              <w:rPr>
                <w:rFonts w:hint="eastAsia" w:ascii="Times New Roman" w:hAnsi="Times New Roman" w:eastAsia="宋体" w:cs="Times New Roman"/>
                <w:b w:val="0"/>
                <w:bCs w:val="0"/>
                <w:color w:val="auto"/>
                <w:kern w:val="0"/>
                <w:sz w:val="24"/>
                <w:szCs w:val="24"/>
                <w:highlight w:val="none"/>
                <w:lang w:val="en-US" w:eastAsia="zh-CN"/>
              </w:rPr>
              <w:t>可容纳处理本项目废水</w:t>
            </w:r>
            <w:r>
              <w:rPr>
                <w:rFonts w:hint="default" w:ascii="Times New Roman" w:hAnsi="Times New Roman" w:eastAsia="宋体" w:cs="Times New Roman"/>
                <w:b w:val="0"/>
                <w:bCs w:val="0"/>
                <w:color w:val="auto"/>
                <w:kern w:val="0"/>
                <w:sz w:val="24"/>
                <w:szCs w:val="24"/>
                <w:highlight w:val="none"/>
                <w:lang w:val="en-US" w:eastAsia="zh-CN"/>
              </w:rPr>
              <w:t>，本项目废水已纳入园区一体化装置设计处理能力</w:t>
            </w:r>
            <w:r>
              <w:rPr>
                <w:rFonts w:hint="eastAsia" w:ascii="Times New Roman" w:hAnsi="Times New Roman" w:eastAsia="宋体" w:cs="Times New Roman"/>
                <w:b w:val="0"/>
                <w:bCs w:val="0"/>
                <w:color w:val="auto"/>
                <w:kern w:val="0"/>
                <w:sz w:val="24"/>
                <w:szCs w:val="24"/>
                <w:highlight w:val="none"/>
                <w:lang w:val="en-US" w:eastAsia="zh-CN"/>
              </w:rPr>
              <w:t>。</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处理工艺</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处理工艺为A/O工艺，A级池出水自流进入O级池，O级生化池处理依靠自养型细菌</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硝化菌）完成，它们利用有机物分解产生无机碳源或空气中二氧化碳作为营养源，将污水中氨氮转化为NO</w:t>
            </w:r>
            <w:r>
              <w:rPr>
                <w:rFonts w:hint="default" w:ascii="Times New Roman" w:hAnsi="Times New Roman" w:eastAsia="宋体" w:cs="Times New Roman"/>
                <w:b w:val="0"/>
                <w:bCs w:val="0"/>
                <w:color w:val="auto"/>
                <w:kern w:val="0"/>
                <w:sz w:val="24"/>
                <w:szCs w:val="24"/>
                <w:highlight w:val="none"/>
                <w:vertAlign w:val="subscript"/>
                <w:lang w:val="en-US" w:eastAsia="zh-CN"/>
              </w:rPr>
              <w:t>2</w:t>
            </w:r>
            <w:r>
              <w:rPr>
                <w:rFonts w:hint="default" w:ascii="Times New Roman" w:hAnsi="Times New Roman" w:eastAsia="宋体" w:cs="Times New Roman"/>
                <w:b w:val="0"/>
                <w:bCs w:val="0"/>
                <w:color w:val="auto"/>
                <w:kern w:val="0"/>
                <w:sz w:val="24"/>
                <w:szCs w:val="24"/>
                <w:highlight w:val="none"/>
                <w:lang w:val="en-US" w:eastAsia="zh-CN"/>
              </w:rPr>
              <w:t>--N、NO</w:t>
            </w:r>
            <w:r>
              <w:rPr>
                <w:rFonts w:hint="default" w:ascii="Times New Roman" w:hAnsi="Times New Roman" w:eastAsia="宋体" w:cs="Times New Roman"/>
                <w:b w:val="0"/>
                <w:bCs w:val="0"/>
                <w:color w:val="auto"/>
                <w:kern w:val="0"/>
                <w:sz w:val="24"/>
                <w:szCs w:val="24"/>
                <w:highlight w:val="none"/>
                <w:vertAlign w:val="sub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--N。O级池出水一部分进入沉淀池进行沉淀，另一部分回流A级池进行内循环，以达到反硝化目</w:t>
            </w:r>
            <w:r>
              <w:rPr>
                <w:rFonts w:hint="eastAsia" w:ascii="Times New Roman" w:hAnsi="Times New Roman" w:eastAsia="宋体" w:cs="Times New Roman"/>
                <w:b w:val="0"/>
                <w:bCs w:val="0"/>
                <w:color w:val="auto"/>
                <w:kern w:val="0"/>
                <w:sz w:val="24"/>
                <w:szCs w:val="24"/>
                <w:highlight w:val="none"/>
                <w:lang w:val="en-US" w:eastAsia="zh-CN"/>
              </w:rPr>
              <w:t>的</w:t>
            </w:r>
            <w:r>
              <w:rPr>
                <w:rFonts w:hint="default" w:ascii="Times New Roman" w:hAnsi="Times New Roman" w:eastAsia="宋体" w:cs="Times New Roman"/>
                <w:b w:val="0"/>
                <w:bCs w:val="0"/>
                <w:color w:val="auto"/>
                <w:kern w:val="0"/>
                <w:sz w:val="24"/>
                <w:szCs w:val="24"/>
                <w:highlight w:val="none"/>
                <w:lang w:val="en-US" w:eastAsia="zh-CN"/>
              </w:rPr>
              <w:t>。在A级和O级生化池中均安装有填料，整个生化处理过程依赖于附着在填料上多种微生物来完成。在A级池内溶解氧控制在0.5mg/</w:t>
            </w:r>
            <w:r>
              <w:rPr>
                <w:rFonts w:hint="eastAsia" w:ascii="Times New Roman" w:hAnsi="Times New Roman" w:eastAsia="宋体" w:cs="Times New Roman"/>
                <w:b w:val="0"/>
                <w:bCs w:val="0"/>
                <w:color w:val="auto"/>
                <w:kern w:val="0"/>
                <w:sz w:val="24"/>
                <w:szCs w:val="24"/>
                <w:highlight w:val="none"/>
                <w:lang w:val="en-US" w:eastAsia="zh-CN"/>
              </w:rPr>
              <w:t>L</w:t>
            </w:r>
            <w:r>
              <w:rPr>
                <w:rFonts w:hint="default" w:ascii="Times New Roman" w:hAnsi="Times New Roman" w:eastAsia="宋体" w:cs="Times New Roman"/>
                <w:b w:val="0"/>
                <w:bCs w:val="0"/>
                <w:color w:val="auto"/>
                <w:kern w:val="0"/>
                <w:sz w:val="24"/>
                <w:szCs w:val="24"/>
                <w:highlight w:val="none"/>
                <w:lang w:val="en-US" w:eastAsia="zh-CN"/>
              </w:rPr>
              <w:t>左右；在O级生化池内溶解氧控制在3mg/l以上，气水比15:1；O级生化池一部分出水回流进入A级池，回流比为2:1；一部分流入竖流式沉淀池，进行固液分离。设计出水：COD≤500mg/L、BOD≤300mg/L、SS≤350mg/L、动植物油≤60mg/L。根据前文分析，本项目出水情况满足《污水综合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GB8978-1996）三级标准后进入</w:t>
            </w:r>
            <w:r>
              <w:rPr>
                <w:rFonts w:hint="eastAsia" w:ascii="Times New Roman" w:hAnsi="Times New Roman" w:eastAsia="宋体" w:cs="Times New Roman"/>
                <w:b w:val="0"/>
                <w:bCs w:val="0"/>
                <w:color w:val="auto"/>
                <w:kern w:val="0"/>
                <w:sz w:val="24"/>
                <w:szCs w:val="24"/>
                <w:highlight w:val="none"/>
                <w:lang w:val="en-US" w:eastAsia="zh-CN"/>
              </w:rPr>
              <w:t>全福镇污水处理厂</w:t>
            </w:r>
            <w:r>
              <w:rPr>
                <w:rFonts w:hint="default" w:ascii="Times New Roman" w:hAnsi="Times New Roman" w:eastAsia="宋体" w:cs="Times New Roman"/>
                <w:b w:val="0"/>
                <w:bCs w:val="0"/>
                <w:color w:val="auto"/>
                <w:kern w:val="0"/>
                <w:sz w:val="24"/>
                <w:szCs w:val="24"/>
                <w:highlight w:val="none"/>
                <w:lang w:val="en-US" w:eastAsia="zh-CN"/>
              </w:rPr>
              <w:t>，由于本项目废水中氯化物产生浓度相对较低，排放情况满足《四川省水污染排放标准》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DB51/190-93）W级标准限值要求，综上分析园区一体化处理装置处理规模满足本项目废水预处理要求。因此，本项目园区一体化处理装置对废水进行预处理可行。</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②全福镇污水处理厂</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全福镇污水处理厂</w:t>
            </w:r>
            <w:r>
              <w:rPr>
                <w:rFonts w:hint="default" w:ascii="Times New Roman" w:hAnsi="Times New Roman" w:eastAsia="宋体" w:cs="Times New Roman"/>
                <w:b w:val="0"/>
                <w:bCs w:val="0"/>
                <w:color w:val="auto"/>
                <w:kern w:val="0"/>
                <w:sz w:val="24"/>
                <w:szCs w:val="24"/>
                <w:highlight w:val="none"/>
                <w:lang w:val="en-US" w:eastAsia="zh-CN"/>
              </w:rPr>
              <w:t>采用AAO+MBBR+高密沉淀池+反硝化滤池+紫外线消毒处理工艺，进水水质达到《四川省全福镇生活污水处理设施建设和运行管理技术导则</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试行）》标准值，经处理后出水水质标准达到《四川省岷江、沱江流域水污染物排放标准》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DB51/2311—2016）其中SS达到《城镇污水处理厂污染物排放标准》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GB18918-2002）一级 A 标准要求。通过本项目的实施减轻水环境污染、提高城市水资源利用。</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③嘉州新饮品产业园区新建工业污水处理厂</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园区配套污水处理厂位于乐山市市中区全福</w:t>
            </w:r>
            <w:r>
              <w:rPr>
                <w:rFonts w:hint="eastAsia" w:ascii="Times New Roman" w:hAnsi="Times New Roman" w:eastAsia="宋体" w:cs="Times New Roman"/>
                <w:b w:val="0"/>
                <w:bCs w:val="0"/>
                <w:color w:val="auto"/>
                <w:kern w:val="0"/>
                <w:sz w:val="24"/>
                <w:szCs w:val="24"/>
                <w:highlight w:val="none"/>
                <w:lang w:val="en-US" w:eastAsia="zh-CN"/>
              </w:rPr>
              <w:t>街道。项目占地约45亩，园区污水处理厂设计规模为10000m</w:t>
            </w:r>
            <w:r>
              <w:rPr>
                <w:rFonts w:hint="eastAsia" w:ascii="Times New Roman" w:hAnsi="Times New Roman" w:eastAsia="宋体" w:cs="Times New Roman"/>
                <w:b w:val="0"/>
                <w:bCs w:val="0"/>
                <w:color w:val="auto"/>
                <w:kern w:val="0"/>
                <w:sz w:val="24"/>
                <w:szCs w:val="24"/>
                <w:highlight w:val="none"/>
                <w:vertAlign w:val="superscript"/>
                <w:lang w:val="en-US" w:eastAsia="zh-CN"/>
              </w:rPr>
              <w:t>3</w:t>
            </w:r>
            <w:r>
              <w:rPr>
                <w:rFonts w:hint="eastAsia" w:ascii="Times New Roman" w:hAnsi="Times New Roman" w:eastAsia="宋体" w:cs="Times New Roman"/>
                <w:b w:val="0"/>
                <w:bCs w:val="0"/>
                <w:color w:val="auto"/>
                <w:kern w:val="0"/>
                <w:sz w:val="24"/>
                <w:szCs w:val="24"/>
                <w:highlight w:val="none"/>
                <w:lang w:val="en-US" w:eastAsia="zh-CN"/>
              </w:rPr>
              <w:t>/d，处理工艺采用“预处理+A</w:t>
            </w:r>
            <w:r>
              <w:rPr>
                <w:rFonts w:hint="eastAsia" w:ascii="Times New Roman" w:hAnsi="Times New Roman" w:eastAsia="宋体" w:cs="Times New Roman"/>
                <w:b w:val="0"/>
                <w:bCs w:val="0"/>
                <w:color w:val="auto"/>
                <w:kern w:val="0"/>
                <w:sz w:val="24"/>
                <w:szCs w:val="24"/>
                <w:highlight w:val="none"/>
                <w:vertAlign w:val="subscript"/>
                <w:lang w:val="en-US" w:eastAsia="zh-CN"/>
              </w:rPr>
              <w:t>2</w:t>
            </w:r>
            <w:r>
              <w:rPr>
                <w:rFonts w:hint="eastAsia" w:ascii="Times New Roman" w:hAnsi="Times New Roman" w:eastAsia="宋体" w:cs="Times New Roman"/>
                <w:b w:val="0"/>
                <w:bCs w:val="0"/>
                <w:color w:val="auto"/>
                <w:kern w:val="0"/>
                <w:sz w:val="24"/>
                <w:szCs w:val="24"/>
                <w:highlight w:val="none"/>
                <w:lang w:val="en-US" w:eastAsia="zh-CN"/>
              </w:rPr>
              <w:t>O生化二级处理+高效沉淀+反硝化滤池三级处理”，</w:t>
            </w:r>
            <w:r>
              <w:rPr>
                <w:rFonts w:hint="default" w:ascii="Times New Roman" w:hAnsi="Times New Roman" w:eastAsia="宋体" w:cs="Times New Roman"/>
                <w:b w:val="0"/>
                <w:bCs w:val="0"/>
                <w:color w:val="auto"/>
                <w:kern w:val="0"/>
                <w:sz w:val="24"/>
                <w:szCs w:val="24"/>
                <w:highlight w:val="none"/>
                <w:lang w:val="en-US" w:eastAsia="zh-CN"/>
              </w:rPr>
              <w:t>出水水质执行《四川省岷江、沱江流域水污染排放标准》</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DB51-2016）</w:t>
            </w:r>
            <w:r>
              <w:rPr>
                <w:rFonts w:hint="eastAsia" w:ascii="Times New Roman" w:hAnsi="Times New Roman" w:eastAsia="宋体" w:cs="Times New Roman"/>
                <w:b w:val="0"/>
                <w:bCs w:val="0"/>
                <w:color w:val="auto"/>
                <w:kern w:val="0"/>
                <w:sz w:val="24"/>
                <w:szCs w:val="24"/>
                <w:highlight w:val="none"/>
                <w:lang w:val="en-US" w:eastAsia="zh-CN"/>
              </w:rPr>
              <w:t>及相关规定。</w:t>
            </w:r>
            <w:r>
              <w:rPr>
                <w:rFonts w:hint="default" w:ascii="Times New Roman" w:hAnsi="Times New Roman" w:eastAsia="宋体" w:cs="Times New Roman"/>
                <w:b w:val="0"/>
                <w:bCs w:val="0"/>
                <w:color w:val="auto"/>
                <w:kern w:val="0"/>
                <w:sz w:val="24"/>
                <w:szCs w:val="24"/>
                <w:highlight w:val="none"/>
                <w:lang w:val="en-US" w:eastAsia="zh-CN"/>
              </w:rPr>
              <w:t>设计服务范围覆盖嘉州食品饮料产业园区</w:t>
            </w:r>
            <w:r>
              <w:rPr>
                <w:rFonts w:hint="eastAsia" w:ascii="Times New Roman" w:hAnsi="Times New Roman" w:eastAsia="宋体" w:cs="Times New Roman"/>
                <w:b w:val="0"/>
                <w:bCs w:val="0"/>
                <w:color w:val="auto"/>
                <w:kern w:val="0"/>
                <w:sz w:val="24"/>
                <w:szCs w:val="24"/>
                <w:highlight w:val="none"/>
                <w:lang w:val="en-US" w:eastAsia="zh-CN"/>
              </w:rPr>
              <w:t>。</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园区工业污水处理厂建成之前，项目废水经厂区预处理后排入</w:t>
            </w:r>
            <w:r>
              <w:rPr>
                <w:rFonts w:hint="eastAsia" w:cs="Times New Roman"/>
                <w:color w:val="auto"/>
                <w:kern w:val="0"/>
                <w:sz w:val="24"/>
                <w:szCs w:val="24"/>
                <w:lang w:val="en-US" w:eastAsia="zh-CN" w:bidi="ar"/>
              </w:rPr>
              <w:t>全福镇污水处理厂</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预处理后</w:t>
            </w:r>
            <w:r>
              <w:rPr>
                <w:rFonts w:hint="default" w:ascii="Times New Roman" w:hAnsi="Times New Roman" w:eastAsia="宋体" w:cs="Times New Roman"/>
                <w:color w:val="auto"/>
                <w:kern w:val="0"/>
                <w:sz w:val="24"/>
                <w:szCs w:val="24"/>
                <w:lang w:val="en-US" w:eastAsia="zh-CN" w:bidi="ar"/>
              </w:rPr>
              <w:t>出水水质可满足《污水综合排放标准》</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GB8978-1996）三级标准，符合</w:t>
            </w:r>
            <w:r>
              <w:rPr>
                <w:rFonts w:hint="eastAsia" w:cs="Times New Roman"/>
                <w:color w:val="auto"/>
                <w:kern w:val="0"/>
                <w:sz w:val="24"/>
                <w:szCs w:val="24"/>
                <w:lang w:val="en-US" w:eastAsia="zh-CN" w:bidi="ar"/>
              </w:rPr>
              <w:t>全福镇污水处理厂</w:t>
            </w:r>
            <w:r>
              <w:rPr>
                <w:rFonts w:hint="default" w:ascii="Times New Roman" w:hAnsi="Times New Roman" w:eastAsia="宋体" w:cs="Times New Roman"/>
                <w:color w:val="auto"/>
                <w:kern w:val="0"/>
                <w:sz w:val="24"/>
                <w:szCs w:val="24"/>
                <w:lang w:val="en-US" w:eastAsia="zh-CN" w:bidi="ar"/>
              </w:rPr>
              <w:t>设计进水要求。本项目依托该污水处理厂可行。</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lang w:val="en-US" w:eastAsia="zh-CN" w:bidi="ar-SA"/>
              </w:rPr>
              <w:t>（5）</w:t>
            </w:r>
            <w:r>
              <w:rPr>
                <w:rFonts w:hint="eastAsia" w:ascii="Times New Roman" w:hAnsi="Times New Roman" w:eastAsia="宋体" w:cs="Times New Roman"/>
                <w:b w:val="0"/>
                <w:bCs w:val="0"/>
                <w:color w:val="auto"/>
                <w:kern w:val="0"/>
                <w:sz w:val="24"/>
                <w:szCs w:val="24"/>
                <w:highlight w:val="none"/>
                <w:lang w:val="en-US" w:eastAsia="zh-CN"/>
              </w:rPr>
              <w:t>项目废水污染物排放信息</w:t>
            </w:r>
          </w:p>
          <w:p>
            <w:pPr>
              <w:numPr>
                <w:ilvl w:val="0"/>
                <w:numId w:val="0"/>
              </w:numPr>
              <w:adjustRightInd w:val="0"/>
              <w:snapToGrid w:val="0"/>
              <w:spacing w:line="360" w:lineRule="auto"/>
              <w:ind w:firstLine="480" w:firstLineChars="200"/>
              <w:jc w:val="both"/>
              <w:rPr>
                <w:rFonts w:hint="eastAsia"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本项目废水排放依托</w:t>
            </w:r>
            <w:r>
              <w:rPr>
                <w:rFonts w:hint="eastAsia" w:ascii="Times New Roman" w:hAnsi="Times New Roman" w:eastAsia="宋体" w:cs="Times New Roman"/>
                <w:b w:val="0"/>
                <w:bCs w:val="0"/>
                <w:color w:val="auto"/>
                <w:kern w:val="0"/>
                <w:sz w:val="24"/>
                <w:szCs w:val="24"/>
                <w:highlight w:val="none"/>
                <w:lang w:val="en-US" w:eastAsia="zh-CN"/>
              </w:rPr>
              <w:t>全福镇污水处理厂</w:t>
            </w:r>
            <w:r>
              <w:rPr>
                <w:rFonts w:hint="default" w:ascii="Times New Roman" w:hAnsi="Times New Roman" w:eastAsia="宋体" w:cs="Times New Roman"/>
                <w:b w:val="0"/>
                <w:bCs w:val="0"/>
                <w:color w:val="auto"/>
                <w:kern w:val="0"/>
                <w:sz w:val="24"/>
                <w:szCs w:val="24"/>
                <w:highlight w:val="none"/>
                <w:lang w:val="en-US" w:eastAsia="zh-CN"/>
              </w:rPr>
              <w:t>废水排放口</w:t>
            </w:r>
            <w:r>
              <w:rPr>
                <w:rFonts w:hint="eastAsia" w:ascii="Times New Roman" w:hAnsi="Times New Roman" w:eastAsia="宋体" w:cs="Times New Roman"/>
                <w:b w:val="0"/>
                <w:bCs w:val="0"/>
                <w:color w:val="auto"/>
                <w:kern w:val="0"/>
                <w:sz w:val="24"/>
                <w:szCs w:val="24"/>
                <w:highlight w:val="none"/>
                <w:lang w:val="en-US" w:eastAsia="zh-CN"/>
              </w:rPr>
              <w:t>排放</w:t>
            </w:r>
            <w:r>
              <w:rPr>
                <w:rFonts w:hint="default" w:ascii="Times New Roman" w:hAnsi="Times New Roman" w:eastAsia="宋体" w:cs="Times New Roman"/>
                <w:b w:val="0"/>
                <w:bCs w:val="0"/>
                <w:color w:val="auto"/>
                <w:kern w:val="0"/>
                <w:sz w:val="24"/>
                <w:szCs w:val="24"/>
                <w:highlight w:val="none"/>
                <w:lang w:val="en-US" w:eastAsia="zh-CN"/>
              </w:rPr>
              <w:t>，不新增废水排放口。现有项目废水排放口设置情况如下表所示，废水间接排放口</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依托）基本情况表如下：</w:t>
            </w:r>
          </w:p>
          <w:p>
            <w:pPr>
              <w:numPr>
                <w:ilvl w:val="0"/>
                <w:numId w:val="0"/>
              </w:numPr>
              <w:adjustRightInd w:val="0"/>
              <w:snapToGrid w:val="0"/>
              <w:spacing w:line="240" w:lineRule="auto"/>
              <w:ind w:firstLine="422" w:firstLineChars="200"/>
              <w:jc w:val="center"/>
              <w:rPr>
                <w:rFonts w:hint="eastAsia" w:ascii="Times New Roman" w:hAnsi="Times New Roman" w:eastAsia="宋体" w:cs="Times New Roman"/>
                <w:b/>
                <w:bCs/>
                <w:color w:val="auto"/>
                <w:kern w:val="0"/>
                <w:sz w:val="21"/>
                <w:szCs w:val="21"/>
                <w:highlight w:val="none"/>
                <w:lang w:val="en-US" w:eastAsia="zh-CN"/>
              </w:rPr>
            </w:pPr>
            <w:r>
              <w:rPr>
                <w:rFonts w:hint="eastAsia" w:ascii="Times New Roman" w:hAnsi="Times New Roman" w:eastAsia="宋体" w:cs="Times New Roman"/>
                <w:b/>
                <w:bCs/>
                <w:color w:val="auto"/>
                <w:kern w:val="0"/>
                <w:sz w:val="21"/>
                <w:szCs w:val="21"/>
                <w:highlight w:val="none"/>
                <w:lang w:val="en-US" w:eastAsia="zh-CN"/>
              </w:rPr>
              <w:t>表4-7  全福镇污水处理厂间接排放口（依托）基本情况表</w:t>
            </w:r>
          </w:p>
          <w:tbl>
            <w:tblPr>
              <w:tblStyle w:val="42"/>
              <w:tblW w:w="81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876"/>
              <w:gridCol w:w="1000"/>
              <w:gridCol w:w="1018"/>
              <w:gridCol w:w="725"/>
              <w:gridCol w:w="1226"/>
              <w:gridCol w:w="688"/>
              <w:gridCol w:w="920"/>
              <w:gridCol w:w="13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412"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序号</w:t>
                  </w:r>
                </w:p>
              </w:tc>
              <w:tc>
                <w:tcPr>
                  <w:tcW w:w="876"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排放口编号</w:t>
                  </w:r>
                </w:p>
              </w:tc>
              <w:tc>
                <w:tcPr>
                  <w:tcW w:w="2018" w:type="dxa"/>
                  <w:gridSpan w:val="2"/>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排放口地理坐标</w:t>
                  </w:r>
                </w:p>
              </w:tc>
              <w:tc>
                <w:tcPr>
                  <w:tcW w:w="725"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废水排放量（万t/a）</w:t>
                  </w:r>
                </w:p>
              </w:tc>
              <w:tc>
                <w:tcPr>
                  <w:tcW w:w="1226"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受纳水体</w:t>
                  </w:r>
                </w:p>
              </w:tc>
              <w:tc>
                <w:tcPr>
                  <w:tcW w:w="688"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排放规律</w:t>
                  </w:r>
                </w:p>
              </w:tc>
              <w:tc>
                <w:tcPr>
                  <w:tcW w:w="920" w:type="dxa"/>
                  <w:vMerge w:val="restart"/>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污染物种类</w:t>
                  </w:r>
                </w:p>
              </w:tc>
              <w:tc>
                <w:tcPr>
                  <w:tcW w:w="1311" w:type="dxa"/>
                  <w:vMerge w:val="restart"/>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国家或地方污染物排放标准浓度限值</w:t>
                  </w:r>
                  <w:r>
                    <w:rPr>
                      <w:rFonts w:hint="eastAsia" w:ascii="Times New Roman" w:hAnsi="Times New Roman" w:eastAsia="宋体" w:cs="Times New Roman"/>
                      <w:b/>
                      <w:bCs/>
                      <w:color w:val="auto"/>
                      <w:kern w:val="0"/>
                      <w:sz w:val="21"/>
                      <w:szCs w:val="21"/>
                      <w:highlight w:val="none"/>
                      <w:vertAlign w:val="baseline"/>
                      <w:lang w:val="en-US" w:eastAsia="zh-CN"/>
                    </w:rPr>
                    <w:t>（</w:t>
                  </w:r>
                  <w:r>
                    <w:rPr>
                      <w:rFonts w:hint="default" w:ascii="Times New Roman" w:hAnsi="Times New Roman" w:eastAsia="宋体" w:cs="Times New Roman"/>
                      <w:b/>
                      <w:bCs/>
                      <w:color w:val="auto"/>
                      <w:kern w:val="0"/>
                      <w:sz w:val="21"/>
                      <w:szCs w:val="21"/>
                      <w:highlight w:val="none"/>
                      <w:vertAlign w:val="baseline"/>
                      <w:lang w:val="en-US" w:eastAsia="zh-CN"/>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12" w:type="dxa"/>
                  <w:vMerge w:val="continue"/>
                  <w:noWrap w:val="0"/>
                  <w:vAlign w:val="center"/>
                </w:tcPr>
                <w:p>
                  <w:pPr>
                    <w:adjustRightInd w:val="0"/>
                    <w:snapToGrid w:val="0"/>
                    <w:spacing w:line="240" w:lineRule="auto"/>
                    <w:jc w:val="center"/>
                    <w:rPr>
                      <w:b w:val="0"/>
                      <w:bCs w:val="0"/>
                      <w:color w:val="auto"/>
                    </w:rPr>
                  </w:pPr>
                </w:p>
              </w:tc>
              <w:tc>
                <w:tcPr>
                  <w:tcW w:w="876" w:type="dxa"/>
                  <w:vMerge w:val="continue"/>
                  <w:noWrap w:val="0"/>
                  <w:vAlign w:val="center"/>
                </w:tcPr>
                <w:p>
                  <w:pPr>
                    <w:adjustRightInd w:val="0"/>
                    <w:snapToGrid w:val="0"/>
                    <w:spacing w:line="240" w:lineRule="auto"/>
                    <w:jc w:val="center"/>
                    <w:rPr>
                      <w:b w:val="0"/>
                      <w:bCs w:val="0"/>
                      <w:color w:val="auto"/>
                    </w:rPr>
                  </w:pPr>
                </w:p>
              </w:tc>
              <w:tc>
                <w:tcPr>
                  <w:tcW w:w="1000"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经度</w:t>
                  </w:r>
                </w:p>
              </w:tc>
              <w:tc>
                <w:tcPr>
                  <w:tcW w:w="1018" w:type="dxa"/>
                  <w:noWrap w:val="0"/>
                  <w:vAlign w:val="center"/>
                </w:tcPr>
                <w:p>
                  <w:p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纬度</w:t>
                  </w:r>
                </w:p>
              </w:tc>
              <w:tc>
                <w:tcPr>
                  <w:tcW w:w="725"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22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8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20" w:type="dxa"/>
                  <w:vMerge w:val="continue"/>
                  <w:tcBorders>
                    <w:right w:val="single" w:color="auto" w:sz="4" w:space="0"/>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311"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12"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876"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DW001</w:t>
                  </w:r>
                </w:p>
              </w:tc>
              <w:tc>
                <w:tcPr>
                  <w:tcW w:w="1000"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103°48′51.2″</w:t>
                  </w:r>
                </w:p>
              </w:tc>
              <w:tc>
                <w:tcPr>
                  <w:tcW w:w="1018"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29°37′28.4″</w:t>
                  </w:r>
                </w:p>
              </w:tc>
              <w:tc>
                <w:tcPr>
                  <w:tcW w:w="725"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73</w:t>
                  </w:r>
                </w:p>
              </w:tc>
              <w:tc>
                <w:tcPr>
                  <w:tcW w:w="1226"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石头河（龙须沟支流）</w:t>
                  </w:r>
                </w:p>
              </w:tc>
              <w:tc>
                <w:tcPr>
                  <w:tcW w:w="688" w:type="dxa"/>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连续排放</w:t>
                  </w:r>
                </w:p>
              </w:tc>
              <w:tc>
                <w:tcPr>
                  <w:tcW w:w="920"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pH</w:t>
                  </w:r>
                </w:p>
              </w:tc>
              <w:tc>
                <w:tcPr>
                  <w:tcW w:w="1311"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412" w:type="dxa"/>
                  <w:vMerge w:val="continue"/>
                  <w:noWrap w:val="0"/>
                  <w:vAlign w:val="center"/>
                </w:tcPr>
                <w:p>
                  <w:pPr>
                    <w:adjustRightInd w:val="0"/>
                    <w:snapToGrid w:val="0"/>
                    <w:spacing w:line="240" w:lineRule="auto"/>
                    <w:jc w:val="center"/>
                    <w:rPr>
                      <w:b w:val="0"/>
                      <w:bCs w:val="0"/>
                      <w:color w:val="auto"/>
                    </w:rPr>
                  </w:pPr>
                </w:p>
              </w:tc>
              <w:tc>
                <w:tcPr>
                  <w:tcW w:w="876" w:type="dxa"/>
                  <w:vMerge w:val="continue"/>
                  <w:noWrap w:val="0"/>
                  <w:vAlign w:val="center"/>
                </w:tcPr>
                <w:p>
                  <w:pPr>
                    <w:adjustRightInd w:val="0"/>
                    <w:snapToGrid w:val="0"/>
                    <w:spacing w:line="240" w:lineRule="auto"/>
                    <w:jc w:val="center"/>
                    <w:rPr>
                      <w:b w:val="0"/>
                      <w:bCs w:val="0"/>
                      <w:color w:val="auto"/>
                    </w:rPr>
                  </w:pPr>
                </w:p>
              </w:tc>
              <w:tc>
                <w:tcPr>
                  <w:tcW w:w="1000" w:type="dxa"/>
                  <w:vMerge w:val="continue"/>
                  <w:noWrap w:val="0"/>
                  <w:vAlign w:val="center"/>
                </w:tcPr>
                <w:p>
                  <w:pPr>
                    <w:adjustRightInd w:val="0"/>
                    <w:snapToGrid w:val="0"/>
                    <w:spacing w:line="240" w:lineRule="auto"/>
                    <w:jc w:val="center"/>
                    <w:rPr>
                      <w:b w:val="0"/>
                      <w:bCs w:val="0"/>
                      <w:color w:val="auto"/>
                    </w:rPr>
                  </w:pPr>
                </w:p>
              </w:tc>
              <w:tc>
                <w:tcPr>
                  <w:tcW w:w="1018" w:type="dxa"/>
                  <w:vMerge w:val="continue"/>
                  <w:noWrap w:val="0"/>
                  <w:vAlign w:val="center"/>
                </w:tcPr>
                <w:p>
                  <w:pPr>
                    <w:adjustRightInd w:val="0"/>
                    <w:snapToGrid w:val="0"/>
                    <w:spacing w:line="240" w:lineRule="auto"/>
                    <w:jc w:val="center"/>
                    <w:rPr>
                      <w:b w:val="0"/>
                      <w:bCs w:val="0"/>
                      <w:color w:val="auto"/>
                    </w:rPr>
                  </w:pPr>
                </w:p>
              </w:tc>
              <w:tc>
                <w:tcPr>
                  <w:tcW w:w="725" w:type="dxa"/>
                  <w:vMerge w:val="continue"/>
                  <w:noWrap w:val="0"/>
                  <w:vAlign w:val="center"/>
                </w:tcPr>
                <w:p>
                  <w:pPr>
                    <w:adjustRightInd w:val="0"/>
                    <w:snapToGrid w:val="0"/>
                    <w:spacing w:line="240" w:lineRule="auto"/>
                    <w:jc w:val="center"/>
                    <w:rPr>
                      <w:b w:val="0"/>
                      <w:bCs w:val="0"/>
                      <w:color w:val="auto"/>
                    </w:rPr>
                  </w:pPr>
                </w:p>
              </w:tc>
              <w:tc>
                <w:tcPr>
                  <w:tcW w:w="1226" w:type="dxa"/>
                  <w:vMerge w:val="continue"/>
                  <w:noWrap w:val="0"/>
                  <w:vAlign w:val="center"/>
                </w:tcPr>
                <w:p>
                  <w:pPr>
                    <w:adjustRightInd w:val="0"/>
                    <w:snapToGrid w:val="0"/>
                    <w:spacing w:line="240" w:lineRule="auto"/>
                    <w:jc w:val="center"/>
                    <w:rPr>
                      <w:b w:val="0"/>
                      <w:bCs w:val="0"/>
                      <w:color w:val="auto"/>
                    </w:rPr>
                  </w:pPr>
                </w:p>
              </w:tc>
              <w:tc>
                <w:tcPr>
                  <w:tcW w:w="688" w:type="dxa"/>
                  <w:vMerge w:val="continue"/>
                  <w:noWrap w:val="0"/>
                  <w:vAlign w:val="center"/>
                </w:tcPr>
                <w:p>
                  <w:pPr>
                    <w:adjustRightInd w:val="0"/>
                    <w:snapToGrid w:val="0"/>
                    <w:spacing w:line="240" w:lineRule="auto"/>
                    <w:jc w:val="center"/>
                    <w:rPr>
                      <w:b w:val="0"/>
                      <w:bCs w:val="0"/>
                      <w:color w:val="auto"/>
                    </w:rPr>
                  </w:pPr>
                </w:p>
              </w:tc>
              <w:tc>
                <w:tcPr>
                  <w:tcW w:w="920"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COD</w:t>
                  </w:r>
                  <w:r>
                    <w:rPr>
                      <w:rFonts w:hint="eastAsia" w:ascii="Times New Roman" w:hAnsi="Times New Roman" w:eastAsia="宋体" w:cs="Times New Roman"/>
                      <w:b w:val="0"/>
                      <w:bCs w:val="0"/>
                      <w:color w:val="auto"/>
                      <w:kern w:val="0"/>
                      <w:sz w:val="21"/>
                      <w:szCs w:val="21"/>
                      <w:highlight w:val="none"/>
                      <w:vertAlign w:val="subscript"/>
                      <w:lang w:val="en-US" w:eastAsia="zh-CN"/>
                    </w:rPr>
                    <w:t>cr</w:t>
                  </w:r>
                </w:p>
              </w:tc>
              <w:tc>
                <w:tcPr>
                  <w:tcW w:w="131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12"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7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0"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1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5"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22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8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20"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BOD</w:t>
                  </w:r>
                  <w:r>
                    <w:rPr>
                      <w:rFonts w:hint="eastAsia" w:ascii="Times New Roman" w:hAnsi="Times New Roman" w:eastAsia="宋体" w:cs="Times New Roman"/>
                      <w:b w:val="0"/>
                      <w:bCs w:val="0"/>
                      <w:color w:val="auto"/>
                      <w:kern w:val="0"/>
                      <w:sz w:val="21"/>
                      <w:szCs w:val="21"/>
                      <w:highlight w:val="none"/>
                      <w:vertAlign w:val="subscript"/>
                      <w:lang w:val="en-US" w:eastAsia="zh-CN"/>
                    </w:rPr>
                    <w:t>5</w:t>
                  </w:r>
                </w:p>
              </w:tc>
              <w:tc>
                <w:tcPr>
                  <w:tcW w:w="131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12"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7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0"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1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5"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22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8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20"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TP</w:t>
                  </w:r>
                </w:p>
              </w:tc>
              <w:tc>
                <w:tcPr>
                  <w:tcW w:w="131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12"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7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0"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1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5"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226"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88" w:type="dxa"/>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20" w:type="dxa"/>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NH3-N</w:t>
                  </w:r>
                </w:p>
              </w:tc>
              <w:tc>
                <w:tcPr>
                  <w:tcW w:w="1311"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2"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876"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0"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18"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725"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226"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88" w:type="dxa"/>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920"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TN</w:t>
                  </w:r>
                </w:p>
              </w:tc>
              <w:tc>
                <w:tcPr>
                  <w:tcW w:w="1311" w:type="dxa"/>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r>
          </w:tbl>
          <w:p>
            <w:pPr>
              <w:numPr>
                <w:ilvl w:val="0"/>
                <w:numId w:val="0"/>
              </w:numPr>
              <w:adjustRightInd w:val="0"/>
              <w:snapToGrid w:val="0"/>
              <w:spacing w:line="360" w:lineRule="auto"/>
              <w:jc w:val="both"/>
              <w:rPr>
                <w:rFonts w:hint="default" w:ascii="Times New Roman" w:hAnsi="Times New Roman" w:eastAsia="宋体" w:cs="Times New Roman"/>
                <w:b/>
                <w:bCs/>
                <w:color w:val="auto"/>
                <w:kern w:val="0"/>
                <w:sz w:val="21"/>
                <w:szCs w:val="21"/>
                <w:highlight w:val="none"/>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NumType w:fmt="decimal"/>
          <w:cols w:space="720" w:num="1"/>
          <w:docGrid w:linePitch="312" w:charSpace="0"/>
        </w:sect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noWrap w:val="0"/>
            <w:vAlign w:val="top"/>
          </w:tcPr>
          <w:p>
            <w:pPr>
              <w:pStyle w:val="37"/>
              <w:jc w:val="center"/>
              <w:outlineLvl w:val="0"/>
              <w:rPr>
                <w:rFonts w:hint="eastAsia" w:ascii="黑体" w:hAnsi="黑体" w:eastAsia="黑体"/>
                <w:snapToGrid w:val="0"/>
                <w:sz w:val="30"/>
                <w:szCs w:val="30"/>
                <w:vertAlign w:val="baseline"/>
              </w:rPr>
            </w:pPr>
          </w:p>
        </w:tc>
        <w:tc>
          <w:tcPr>
            <w:tcW w:w="13000" w:type="dxa"/>
            <w:noWrap w:val="0"/>
            <w:vAlign w:val="top"/>
          </w:tcPr>
          <w:p>
            <w:pPr>
              <w:numPr>
                <w:ilvl w:val="0"/>
                <w:numId w:val="0"/>
              </w:numPr>
              <w:adjustRightInd w:val="0"/>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kern w:val="0"/>
                <w:sz w:val="24"/>
                <w:szCs w:val="24"/>
                <w:highlight w:val="none"/>
                <w:lang w:val="en-US" w:eastAsia="zh-CN"/>
              </w:rPr>
              <w:t>噪声</w:t>
            </w:r>
          </w:p>
          <w:p>
            <w:pPr>
              <w:numPr>
                <w:ilvl w:val="0"/>
                <w:numId w:val="0"/>
              </w:numPr>
              <w:adjustRightInd w:val="0"/>
              <w:snapToGrid w:val="0"/>
              <w:spacing w:line="360" w:lineRule="auto"/>
              <w:jc w:val="left"/>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（1）产生情况</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项目的噪声主要来自各机械设备运行噪声。根据同类型企业工艺设备的调查，项目主要声 </w:t>
            </w:r>
          </w:p>
          <w:p>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源设备的噪声值见表4-8。</w:t>
            </w:r>
          </w:p>
          <w:p>
            <w:pPr>
              <w:keepNext w:val="0"/>
              <w:keepLines w:val="0"/>
              <w:widowControl/>
              <w:suppressLineNumbers w:val="0"/>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表4-8  工业企业噪声调查表</w:t>
            </w:r>
            <w:r>
              <w:rPr>
                <w:rFonts w:hint="eastAsia" w:eastAsia="宋体" w:cs="Times New Roman"/>
                <w:b/>
                <w:bCs/>
                <w:color w:val="000000"/>
                <w:kern w:val="0"/>
                <w:sz w:val="21"/>
                <w:szCs w:val="21"/>
                <w:lang w:val="en-US" w:eastAsia="zh-CN" w:bidi="ar"/>
              </w:rPr>
              <w:t>（</w:t>
            </w:r>
            <w:r>
              <w:rPr>
                <w:rFonts w:hint="default" w:ascii="Times New Roman" w:hAnsi="Times New Roman" w:eastAsia="宋体" w:cs="Times New Roman"/>
                <w:b/>
                <w:bCs/>
                <w:color w:val="000000"/>
                <w:kern w:val="0"/>
                <w:sz w:val="21"/>
                <w:szCs w:val="21"/>
                <w:lang w:val="en-US" w:eastAsia="zh-CN" w:bidi="ar"/>
              </w:rPr>
              <w:t>室内声源）</w:t>
            </w:r>
          </w:p>
          <w:tbl>
            <w:tblPr>
              <w:tblStyle w:val="42"/>
              <w:tblW w:w="12830"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728"/>
              <w:gridCol w:w="729"/>
              <w:gridCol w:w="1258"/>
              <w:gridCol w:w="729"/>
              <w:gridCol w:w="729"/>
              <w:gridCol w:w="729"/>
              <w:gridCol w:w="770"/>
              <w:gridCol w:w="734"/>
              <w:gridCol w:w="737"/>
              <w:gridCol w:w="788"/>
              <w:gridCol w:w="739"/>
              <w:gridCol w:w="1631"/>
              <w:gridCol w:w="1035"/>
              <w:gridCol w:w="76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序号</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建筑物名称</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声源名称</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（声压级/距声源距离）/（dB(A）/m）</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声源控制措施</w:t>
                  </w:r>
                </w:p>
              </w:tc>
              <w:tc>
                <w:tcPr>
                  <w:tcW w:w="871" w:type="pct"/>
                  <w:gridSpan w:val="3"/>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空间相对位置/m</w:t>
                  </w:r>
                </w:p>
              </w:tc>
              <w:tc>
                <w:tcPr>
                  <w:tcW w:w="287"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室内边界方向</w:t>
                  </w:r>
                </w:p>
              </w:tc>
              <w:tc>
                <w:tcPr>
                  <w:tcW w:w="288"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距室内边界距离/m</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室内边界声级/dB（A）</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运行时段</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建筑物插入损失/dB(A）</w:t>
                  </w:r>
                </w:p>
              </w:tc>
              <w:tc>
                <w:tcPr>
                  <w:tcW w:w="704" w:type="pct"/>
                  <w:gridSpan w:val="2"/>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建筑物外噪声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284" w:type="pct"/>
                  <w:vMerge w:val="continue"/>
                  <w:noWrap w:val="0"/>
                  <w:vAlign w:val="center"/>
                </w:tcPr>
                <w:p>
                  <w:pPr>
                    <w:adjustRightInd w:val="0"/>
                    <w:snapToGrid w:val="0"/>
                    <w:spacing w:line="240" w:lineRule="auto"/>
                    <w:jc w:val="center"/>
                  </w:pPr>
                </w:p>
              </w:tc>
              <w:tc>
                <w:tcPr>
                  <w:tcW w:w="285" w:type="pct"/>
                  <w:vMerge w:val="continue"/>
                  <w:noWrap w:val="0"/>
                  <w:vAlign w:val="center"/>
                </w:tcPr>
                <w:p>
                  <w:pPr>
                    <w:adjustRightInd w:val="0"/>
                    <w:snapToGrid w:val="0"/>
                    <w:spacing w:line="240" w:lineRule="auto"/>
                    <w:jc w:val="center"/>
                  </w:pPr>
                </w:p>
              </w:tc>
              <w:tc>
                <w:tcPr>
                  <w:tcW w:w="285" w:type="pct"/>
                  <w:vMerge w:val="continue"/>
                  <w:noWrap w:val="0"/>
                  <w:vAlign w:val="center"/>
                </w:tcPr>
                <w:p>
                  <w:pPr>
                    <w:adjustRightInd w:val="0"/>
                    <w:snapToGrid w:val="0"/>
                    <w:spacing w:line="240" w:lineRule="auto"/>
                    <w:jc w:val="center"/>
                  </w:pPr>
                </w:p>
              </w:tc>
              <w:tc>
                <w:tcPr>
                  <w:tcW w:w="491" w:type="pct"/>
                  <w:vMerge w:val="continue"/>
                  <w:noWrap w:val="0"/>
                  <w:vAlign w:val="center"/>
                </w:tcPr>
                <w:p>
                  <w:pPr>
                    <w:adjustRightInd w:val="0"/>
                    <w:snapToGrid w:val="0"/>
                    <w:spacing w:line="240" w:lineRule="auto"/>
                    <w:jc w:val="center"/>
                  </w:pPr>
                </w:p>
              </w:tc>
              <w:tc>
                <w:tcPr>
                  <w:tcW w:w="285" w:type="pct"/>
                  <w:vMerge w:val="continue"/>
                  <w:noWrap w:val="0"/>
                  <w:vAlign w:val="center"/>
                </w:tcPr>
                <w:p>
                  <w:pPr>
                    <w:adjustRightInd w:val="0"/>
                    <w:snapToGrid w:val="0"/>
                    <w:spacing w:line="240" w:lineRule="auto"/>
                    <w:jc w:val="center"/>
                  </w:pPr>
                </w:p>
              </w:tc>
              <w:tc>
                <w:tcPr>
                  <w:tcW w:w="285"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X</w:t>
                  </w:r>
                </w:p>
              </w:tc>
              <w:tc>
                <w:tcPr>
                  <w:tcW w:w="285"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Y</w:t>
                  </w:r>
                </w:p>
              </w:tc>
              <w:tc>
                <w:tcPr>
                  <w:tcW w:w="300"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Z</w:t>
                  </w:r>
                </w:p>
              </w:tc>
              <w:tc>
                <w:tcPr>
                  <w:tcW w:w="287"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8"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9"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9"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声压级/（dB）(A）</w:t>
                  </w:r>
                </w:p>
              </w:tc>
              <w:tc>
                <w:tcPr>
                  <w:tcW w:w="299" w:type="pct"/>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建筑物外距离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盐泡机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cs="Times New Roman"/>
                      <w:color w:val="auto"/>
                      <w:sz w:val="21"/>
                      <w:szCs w:val="21"/>
                      <w:lang w:val="en-US" w:eastAsia="zh-CN"/>
                    </w:rPr>
                    <w:t>选用低噪声设备，采取</w:t>
                  </w:r>
                  <w:r>
                    <w:rPr>
                      <w:rFonts w:hint="default" w:ascii="Times New Roman" w:hAnsi="Times New Roman" w:cs="Times New Roman"/>
                      <w:color w:val="auto"/>
                      <w:sz w:val="21"/>
                      <w:szCs w:val="21"/>
                    </w:rPr>
                    <w:t>隔声、减振等</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加强管理</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9.2</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55.2</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40.2</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45.2</w:t>
                  </w:r>
                </w:p>
              </w:tc>
              <w:tc>
                <w:tcPr>
                  <w:tcW w:w="299"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cs="Times New Roman"/>
                      <w:color w:val="auto"/>
                      <w:sz w:val="21"/>
                      <w:szCs w:val="21"/>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46.1</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31.1</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粉碎机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18</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65.5</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52.3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37.3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包装机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70</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289"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66.8</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51.8</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煮制机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冷却机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46</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分切机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自动封口机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36</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21</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F1生产车间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提升机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46</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31</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39</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24</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F3生产车间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包装机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F3生产车间</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双缸搅拌机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58</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42</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27</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11</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F3生产车间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过滤机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28</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F3生产车间</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升降式熟化机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71</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56</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73</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58</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13</w:t>
                  </w:r>
                </w:p>
              </w:tc>
              <w:tc>
                <w:tcPr>
                  <w:tcW w:w="285" w:type="pct"/>
                  <w:vMerge w:val="restar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F3生产车间</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切分机</w:t>
                  </w:r>
                </w:p>
              </w:tc>
              <w:tc>
                <w:tcPr>
                  <w:tcW w:w="491"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65</w:t>
                  </w: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9</w:t>
                  </w:r>
                </w:p>
              </w:tc>
              <w:tc>
                <w:tcPr>
                  <w:tcW w:w="285"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300"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东</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60</w:t>
                  </w:r>
                </w:p>
              </w:tc>
              <w:tc>
                <w:tcPr>
                  <w:tcW w:w="28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昼夜</w:t>
                  </w:r>
                </w:p>
              </w:tc>
              <w:tc>
                <w:tcPr>
                  <w:tcW w:w="636"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15</w:t>
                  </w: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45</w:t>
                  </w:r>
                </w:p>
              </w:tc>
              <w:tc>
                <w:tcPr>
                  <w:tcW w:w="299" w:type="pct"/>
                  <w:vMerge w:val="restar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bookmarkStart w:id="9" w:name="_Toc21175"/>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西</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55</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40</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35</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4"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91"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5"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300"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287" w:type="pct"/>
                  <w:noWrap w:val="0"/>
                  <w:vAlign w:val="center"/>
                </w:tcPr>
                <w:p>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北</w:t>
                  </w:r>
                </w:p>
              </w:tc>
              <w:tc>
                <w:tcPr>
                  <w:tcW w:w="28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12</w:t>
                  </w:r>
                </w:p>
              </w:tc>
              <w:tc>
                <w:tcPr>
                  <w:tcW w:w="289"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48</w:t>
                  </w:r>
                </w:p>
              </w:tc>
              <w:tc>
                <w:tcPr>
                  <w:tcW w:w="28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636"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404"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33</w:t>
                  </w:r>
                </w:p>
              </w:tc>
              <w:tc>
                <w:tcPr>
                  <w:tcW w:w="299" w:type="pct"/>
                  <w:vMerge w:val="continue"/>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bl>
          <w:p>
            <w:pPr>
              <w:bidi w:val="0"/>
              <w:spacing w:line="240" w:lineRule="auto"/>
              <w:rPr>
                <w:rFonts w:hint="default"/>
                <w:b/>
                <w:bCs/>
                <w:sz w:val="21"/>
                <w:szCs w:val="21"/>
                <w:lang w:val="en-US" w:eastAsia="zh-CN"/>
              </w:rPr>
            </w:pPr>
            <w:r>
              <w:rPr>
                <w:rFonts w:hint="default"/>
                <w:b/>
                <w:bCs/>
                <w:sz w:val="21"/>
                <w:szCs w:val="21"/>
                <w:lang w:val="en-US" w:eastAsia="zh-CN"/>
              </w:rPr>
              <w:t>备注：以项目西侧和南侧交汇处</w:t>
            </w:r>
            <w:r>
              <w:rPr>
                <w:rFonts w:hint="eastAsia"/>
                <w:b/>
                <w:bCs/>
                <w:sz w:val="21"/>
                <w:szCs w:val="21"/>
                <w:lang w:val="en-US" w:eastAsia="zh-CN"/>
              </w:rPr>
              <w:t>（</w:t>
            </w:r>
            <w:r>
              <w:rPr>
                <w:rFonts w:hint="default"/>
                <w:b/>
                <w:bCs/>
                <w:sz w:val="21"/>
                <w:szCs w:val="21"/>
                <w:lang w:val="en-US" w:eastAsia="zh-CN"/>
              </w:rPr>
              <w:t>E103.815724°，N29.629643）</w:t>
            </w:r>
            <w:r>
              <w:rPr>
                <w:rFonts w:hint="eastAsia"/>
                <w:b/>
                <w:bCs/>
                <w:sz w:val="21"/>
                <w:szCs w:val="21"/>
                <w:lang w:val="en-US" w:eastAsia="zh-CN"/>
              </w:rPr>
              <w:t>为坐标原点（X=0，Y=0），x轴为正东方向，y轴为正北方向。</w:t>
            </w:r>
            <w:bookmarkEnd w:id="9"/>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①对主要噪声设备增加隔振垫，加强设备的基础</w:t>
            </w:r>
            <w:r>
              <w:rPr>
                <w:rFonts w:hint="eastAsia" w:ascii="Times New Roman" w:hAnsi="Times New Roman" w:eastAsia="宋体" w:cs="Times New Roman"/>
                <w:b w:val="0"/>
                <w:bCs w:val="0"/>
                <w:color w:val="auto"/>
                <w:kern w:val="0"/>
                <w:sz w:val="24"/>
                <w:szCs w:val="24"/>
                <w:highlight w:val="none"/>
                <w:lang w:val="en-US" w:eastAsia="zh-CN"/>
              </w:rPr>
              <w:t>减振</w:t>
            </w:r>
            <w:r>
              <w:rPr>
                <w:rFonts w:hint="default" w:ascii="Times New Roman" w:hAnsi="Times New Roman" w:eastAsia="宋体" w:cs="Times New Roman"/>
                <w:b w:val="0"/>
                <w:bCs w:val="0"/>
                <w:color w:val="auto"/>
                <w:kern w:val="0"/>
                <w:sz w:val="24"/>
                <w:szCs w:val="24"/>
                <w:highlight w:val="none"/>
                <w:lang w:val="en-US" w:eastAsia="zh-CN"/>
              </w:rPr>
              <w:t>措施，平时生产中加强对其维修保养工作。</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②合理布置生产设备，各类设备均设置在厂房内，通过距离衰减及建筑物隔音减少厂界噪声值，同时项目周边50m范围内无敏感点存在。</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③加强对设备的定期检查、维护和管理，以保证设备的正常运行，避免因设备异常运行所产生的噪声对环境的影响。</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④加强对设备的定期检查、维护和管理，以保证设备的正常运行，避免因设备异常运行所产生的噪声对环境的影响本次评价采用《环境影响评价技术导则</w:t>
            </w:r>
            <w:r>
              <w:rPr>
                <w:rFonts w:hint="eastAsia" w:ascii="Times New Roman" w:hAnsi="Times New Roman" w:eastAsia="宋体" w:cs="Times New Roman"/>
                <w:b w:val="0"/>
                <w:bCs w:val="0"/>
                <w:color w:val="auto"/>
                <w:kern w:val="0"/>
                <w:sz w:val="24"/>
                <w:szCs w:val="24"/>
                <w:highlight w:val="none"/>
                <w:lang w:val="en-US" w:eastAsia="zh-CN"/>
              </w:rPr>
              <w:t xml:space="preserve"> </w:t>
            </w:r>
            <w:r>
              <w:rPr>
                <w:rFonts w:hint="default" w:ascii="Times New Roman" w:hAnsi="Times New Roman" w:eastAsia="宋体" w:cs="Times New Roman"/>
                <w:b w:val="0"/>
                <w:bCs w:val="0"/>
                <w:color w:val="auto"/>
                <w:kern w:val="0"/>
                <w:sz w:val="24"/>
                <w:szCs w:val="24"/>
                <w:highlight w:val="none"/>
                <w:lang w:val="en-US" w:eastAsia="zh-CN"/>
              </w:rPr>
              <w:t>声环境》</w:t>
            </w:r>
            <w:r>
              <w:rPr>
                <w:rFonts w:hint="eastAsia" w:ascii="Times New Roman" w:hAnsi="Times New Roman"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HJ2.4-2021）中工业噪声预测计算模型，预测方法为：</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（1）预测方法</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声环境影响预测，一般采用声源的倍频带声功率级、A声功率级或靠近声源某一位置的倍频带声压级、A声级来预测计算距声源不同距离的声级。工业声源有室外和室内两种声源，</w:t>
            </w:r>
            <w:r>
              <w:rPr>
                <w:rFonts w:hint="eastAsia" w:ascii="Times New Roman" w:hAnsi="Times New Roman" w:eastAsia="宋体" w:cs="Times New Roman"/>
                <w:b w:val="0"/>
                <w:bCs w:val="0"/>
                <w:color w:val="auto"/>
                <w:kern w:val="0"/>
                <w:sz w:val="24"/>
                <w:szCs w:val="24"/>
                <w:highlight w:val="none"/>
                <w:lang w:val="en-US" w:eastAsia="zh-CN"/>
              </w:rPr>
              <w:t>本项目只涉及室内声源，根据《环境影响评价技术导则 声环境》（HJ2.4-2021）中推荐的预测方法，对本项目产生的噪声进行影响预测</w:t>
            </w:r>
            <w:r>
              <w:rPr>
                <w:rFonts w:hint="default" w:ascii="Times New Roman" w:hAnsi="Times New Roman" w:eastAsia="宋体" w:cs="Times New Roman"/>
                <w:b w:val="0"/>
                <w:bCs w:val="0"/>
                <w:color w:val="auto"/>
                <w:kern w:val="0"/>
                <w:sz w:val="24"/>
                <w:szCs w:val="24"/>
                <w:highlight w:val="none"/>
                <w:lang w:val="en-US"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室内声源等效室外声源声功率级计算方法</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设靠近开口处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或窗户）室内、室外某倍频带的声压级分别为L</w:t>
            </w:r>
            <w:r>
              <w:rPr>
                <w:rFonts w:hint="default" w:ascii="Times New Roman" w:hAnsi="Times New Roman" w:eastAsia="宋体" w:cs="Times New Roman"/>
                <w:color w:val="auto"/>
                <w:sz w:val="24"/>
                <w:szCs w:val="24"/>
                <w:vertAlign w:val="subscript"/>
              </w:rPr>
              <w:t>p1</w:t>
            </w:r>
            <w:r>
              <w:rPr>
                <w:rFonts w:hint="default" w:ascii="Times New Roman" w:hAnsi="Times New Roman" w:eastAsia="宋体" w:cs="Times New Roman"/>
                <w:color w:val="auto"/>
                <w:sz w:val="24"/>
                <w:szCs w:val="24"/>
              </w:rPr>
              <w:t>和L</w:t>
            </w:r>
            <w:r>
              <w:rPr>
                <w:rFonts w:hint="default" w:ascii="Times New Roman" w:hAnsi="Times New Roman" w:eastAsia="宋体" w:cs="Times New Roman"/>
                <w:color w:val="auto"/>
                <w:sz w:val="24"/>
                <w:szCs w:val="24"/>
                <w:vertAlign w:val="subscript"/>
              </w:rPr>
              <w:t>p2</w:t>
            </w:r>
            <w:r>
              <w:rPr>
                <w:rFonts w:hint="default" w:ascii="Times New Roman" w:hAnsi="Times New Roman" w:eastAsia="宋体" w:cs="Times New Roman"/>
                <w:color w:val="auto"/>
                <w:sz w:val="24"/>
                <w:szCs w:val="24"/>
              </w:rPr>
              <w:t>。若声源所在室内声场为近似扩散声场，则室外的倍频带声压级可按以下公式近似求出</w:t>
            </w:r>
            <w:r>
              <w:rPr>
                <w:rFonts w:hint="eastAsia" w:ascii="Times New Roman" w:hAnsi="Times New Roman" w:eastAsia="宋体" w:cs="Times New Roman"/>
                <w:color w:val="auto"/>
                <w:sz w:val="24"/>
                <w:szCs w:val="24"/>
                <w:lang w:val="en-US" w:eastAsia="zh-CN"/>
              </w:rPr>
              <w:t>:</w:t>
            </w:r>
          </w:p>
          <w:p>
            <w:pPr>
              <w:pStyle w:val="37"/>
              <w:jc w:val="center"/>
              <w:outlineLvl w:val="0"/>
              <w:rPr>
                <w:rFonts w:hint="eastAsia" w:ascii="黑体" w:hAnsi="黑体" w:eastAsia="黑体"/>
                <w:snapToGrid w:val="0"/>
                <w:sz w:val="30"/>
                <w:szCs w:val="30"/>
                <w:vertAlign w:val="baseline"/>
              </w:rPr>
            </w:pPr>
          </w:p>
        </w:tc>
      </w:tr>
    </w:tbl>
    <w:p>
      <w:pPr>
        <w:pStyle w:val="37"/>
        <w:jc w:val="center"/>
        <w:outlineLvl w:val="0"/>
        <w:rPr>
          <w:rFonts w:hint="eastAsia" w:ascii="黑体" w:hAnsi="黑体" w:eastAsia="黑体"/>
          <w:snapToGrid w:val="0"/>
          <w:sz w:val="30"/>
          <w:szCs w:val="30"/>
        </w:rPr>
        <w:sectPr>
          <w:pgSz w:w="16838" w:h="11906" w:orient="landscape"/>
          <w:pgMar w:top="1531" w:right="1701" w:bottom="1531" w:left="1701" w:header="851" w:footer="851" w:gutter="0"/>
          <w:pgNumType w:fmt="decimal"/>
          <w:cols w:space="720" w:num="1"/>
          <w:docGrid w:linePitch="312" w:charSpace="0"/>
        </w:sect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noWrap w:val="0"/>
            <w:vAlign w:val="top"/>
          </w:tcPr>
          <w:p>
            <w:pPr>
              <w:pStyle w:val="37"/>
              <w:jc w:val="center"/>
              <w:outlineLvl w:val="0"/>
              <w:rPr>
                <w:rFonts w:hint="eastAsia" w:ascii="黑体" w:hAnsi="黑体" w:eastAsia="黑体"/>
                <w:snapToGrid w:val="0"/>
                <w:sz w:val="30"/>
                <w:szCs w:val="30"/>
                <w:vertAlign w:val="baseline"/>
              </w:rPr>
            </w:pPr>
          </w:p>
        </w:tc>
        <w:tc>
          <w:tcPr>
            <w:tcW w:w="8527" w:type="dxa"/>
            <w:noWrap w:val="0"/>
            <w:vAlign w:val="center"/>
          </w:tcPr>
          <w:p>
            <w:pPr>
              <w:spacing w:line="360" w:lineRule="auto"/>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TL</w:t>
            </w:r>
            <w:r>
              <w:rPr>
                <w:rFonts w:hint="default" w:ascii="Times New Roman" w:hAnsi="Times New Roman" w:eastAsia="宋体" w:cs="Times New Roman"/>
                <w:color w:val="auto"/>
                <w:sz w:val="24"/>
                <w:szCs w:val="24"/>
              </w:rPr>
              <w:t>+6）</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color w:val="auto"/>
                <w:sz w:val="24"/>
                <w:szCs w:val="24"/>
              </w:rPr>
              <w:t>——靠近开口处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或窗户）室内某倍频带的声压级或A声级，dB；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——靠近开口处</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或窗户）室外某倍频带的声压级或A声级，dB；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TL</w:t>
            </w:r>
            <w:r>
              <w:rPr>
                <w:rFonts w:hint="default" w:ascii="Times New Roman" w:hAnsi="Times New Roman" w:eastAsia="宋体" w:cs="Times New Roman"/>
                <w:color w:val="auto"/>
                <w:sz w:val="24"/>
                <w:szCs w:val="24"/>
              </w:rPr>
              <w:t>——隔墙</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或窗户）倍频带或A声级的隔声量，dB。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然后按照下式计算出所有室内声源在围护结构处产生的</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倍频带叠加声压级：</w:t>
            </w:r>
          </w:p>
          <w:p>
            <w:pPr>
              <w:pStyle w:val="51"/>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1747520" cy="441960"/>
                  <wp:effectExtent l="0" t="0" r="0" b="15875"/>
                  <wp:docPr id="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pic:cNvPicPr>
                            <a:picLocks noChangeAspect="1"/>
                          </pic:cNvPicPr>
                        </pic:nvPicPr>
                        <pic:blipFill>
                          <a:blip r:embed="rId25"/>
                          <a:stretch>
                            <a:fillRect/>
                          </a:stretch>
                        </pic:blipFill>
                        <pic:spPr>
                          <a:xfrm>
                            <a:off x="0" y="0"/>
                            <a:ext cx="1747520" cy="44196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i/>
                <w:iCs/>
                <w:color w:val="auto"/>
                <w:sz w:val="24"/>
                <w:szCs w:val="24"/>
                <w:vertAlign w:val="subscript"/>
              </w:rPr>
              <w:t>i</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）——靠近围护结构处室内</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个声源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倍频带的叠加声压级，dB；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1</w:t>
            </w:r>
            <w:r>
              <w:rPr>
                <w:rFonts w:hint="default" w:ascii="Times New Roman" w:hAnsi="Times New Roman" w:eastAsia="宋体" w:cs="Times New Roman"/>
                <w:i/>
                <w:iCs/>
                <w:color w:val="auto"/>
                <w:sz w:val="24"/>
                <w:szCs w:val="24"/>
                <w:vertAlign w:val="subscript"/>
              </w:rPr>
              <w:t>ij</w:t>
            </w:r>
            <w:r>
              <w:rPr>
                <w:rFonts w:hint="default" w:ascii="Times New Roman" w:hAnsi="Times New Roman" w:eastAsia="宋体" w:cs="Times New Roman"/>
                <w:color w:val="auto"/>
                <w:sz w:val="24"/>
                <w:szCs w:val="24"/>
              </w:rPr>
              <w:t xml:space="preserve"> ——室内</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倍频带的声压级，dB；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——室内声源总数。</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在室内近似为扩散声场时，按下式计算出靠近室外围护结构处的声压级：</w:t>
            </w:r>
          </w:p>
          <w:p>
            <w:pPr>
              <w:pStyle w:val="51"/>
              <w:spacing w:line="360" w:lineRule="auto"/>
              <w:jc w:val="center"/>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i/>
                <w:iCs/>
                <w:color w:val="auto"/>
                <w:sz w:val="24"/>
                <w:szCs w:val="24"/>
              </w:rPr>
              <w:t>L</w:t>
            </w:r>
            <w:r>
              <w:rPr>
                <w:rFonts w:hint="default" w:ascii="Times New Roman" w:hAnsi="Times New Roman" w:eastAsia="宋体" w:cs="Times New Roman"/>
                <w:b/>
                <w:bCs/>
                <w:i/>
                <w:iCs/>
                <w:color w:val="auto"/>
                <w:sz w:val="24"/>
                <w:szCs w:val="24"/>
                <w:vertAlign w:val="subscript"/>
              </w:rPr>
              <w:t>p</w:t>
            </w:r>
            <w:r>
              <w:rPr>
                <w:rFonts w:hint="default" w:ascii="Times New Roman" w:hAnsi="Times New Roman" w:eastAsia="宋体" w:cs="Times New Roman"/>
                <w:b/>
                <w:bCs/>
                <w:color w:val="auto"/>
                <w:sz w:val="24"/>
                <w:szCs w:val="24"/>
                <w:vertAlign w:val="subscript"/>
              </w:rPr>
              <w:t>2</w:t>
            </w:r>
            <w:r>
              <w:rPr>
                <w:rFonts w:hint="default" w:ascii="Times New Roman" w:hAnsi="Times New Roman" w:eastAsia="宋体" w:cs="Times New Roman"/>
                <w:b/>
                <w:bCs/>
                <w:i/>
                <w:iCs/>
                <w:color w:val="auto"/>
                <w:sz w:val="24"/>
                <w:szCs w:val="24"/>
                <w:vertAlign w:val="subscript"/>
              </w:rPr>
              <w:t>i</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i/>
                <w:iCs/>
                <w:color w:val="auto"/>
                <w:sz w:val="24"/>
                <w:szCs w:val="24"/>
              </w:rPr>
              <w:t>T</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i/>
                <w:iCs/>
                <w:color w:val="auto"/>
                <w:sz w:val="24"/>
                <w:szCs w:val="24"/>
              </w:rPr>
              <w:t>L</w:t>
            </w:r>
            <w:r>
              <w:rPr>
                <w:rFonts w:hint="default" w:ascii="Times New Roman" w:hAnsi="Times New Roman" w:eastAsia="宋体" w:cs="Times New Roman"/>
                <w:b/>
                <w:bCs/>
                <w:color w:val="auto"/>
                <w:sz w:val="24"/>
                <w:szCs w:val="24"/>
                <w:vertAlign w:val="subscript"/>
              </w:rPr>
              <w:t>p1i</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i/>
                <w:iCs/>
                <w:color w:val="auto"/>
                <w:sz w:val="24"/>
                <w:szCs w:val="24"/>
              </w:rPr>
              <w:t>T</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i/>
                <w:iCs/>
                <w:color w:val="auto"/>
                <w:sz w:val="24"/>
                <w:szCs w:val="24"/>
              </w:rPr>
              <w:t>TL</w:t>
            </w:r>
            <w:r>
              <w:rPr>
                <w:rFonts w:hint="default" w:ascii="Times New Roman" w:hAnsi="Times New Roman" w:eastAsia="宋体" w:cs="Times New Roman"/>
                <w:b/>
                <w:bCs/>
                <w:color w:val="auto"/>
                <w:sz w:val="24"/>
                <w:szCs w:val="24"/>
                <w:vertAlign w:val="subscript"/>
              </w:rPr>
              <w:t>i</w:t>
            </w:r>
            <w:r>
              <w:rPr>
                <w:rFonts w:hint="default" w:ascii="Times New Roman" w:hAnsi="Times New Roman" w:eastAsia="宋体" w:cs="Times New Roman"/>
                <w:b/>
                <w:bCs/>
                <w:color w:val="auto"/>
                <w:sz w:val="24"/>
                <w:szCs w:val="24"/>
              </w:rPr>
              <w:t>+6</w:t>
            </w:r>
            <w:r>
              <w:rPr>
                <w:rFonts w:hint="default" w:ascii="Times New Roman" w:hAnsi="Times New Roman" w:eastAsia="宋体" w:cs="Times New Roman"/>
                <w:b/>
                <w:bCs/>
                <w:color w:val="auto"/>
                <w:sz w:val="24"/>
                <w:szCs w:val="24"/>
                <w:lang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i/>
                <w:iCs/>
                <w:color w:val="auto"/>
                <w:sz w:val="24"/>
                <w:szCs w:val="24"/>
                <w:vertAlign w:val="subscript"/>
              </w:rPr>
              <w:t>i</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——靠近围护结构处室外</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个声源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倍频带的叠加声压级，dB；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p1i</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——靠近围护结构处室内</w:t>
            </w: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个声源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倍频带的叠加声压级，dB；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TL</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——围护结构</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倍频带的隔声量，dB。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然后按下式将室外声源的声压级和透过面积换算成等效的室外声源，计算出中心位置位于透声面积</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S）处的等效声源的倍频带声功率级。</w:t>
            </w:r>
          </w:p>
          <w:p>
            <w:pPr>
              <w:pStyle w:val="51"/>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w</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p2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+10lg</w:t>
            </w:r>
            <w:r>
              <w:rPr>
                <w:rFonts w:hint="default" w:ascii="Times New Roman" w:hAnsi="Times New Roman" w:eastAsia="宋体" w:cs="Times New Roman"/>
                <w:i/>
                <w:iCs/>
                <w:color w:val="auto"/>
                <w:sz w:val="24"/>
                <w:szCs w:val="24"/>
              </w:rPr>
              <w:t>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w</w:t>
            </w:r>
            <w:r>
              <w:rPr>
                <w:rFonts w:hint="default" w:ascii="Times New Roman" w:hAnsi="Times New Roman" w:eastAsia="宋体" w:cs="Times New Roman"/>
                <w:color w:val="auto"/>
                <w:sz w:val="24"/>
                <w:szCs w:val="24"/>
              </w:rPr>
              <w:t>——中心位置位于透声面积</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S</w:t>
            </w:r>
            <w:r>
              <w:rPr>
                <w:rFonts w:hint="default" w:ascii="Times New Roman" w:hAnsi="Times New Roman" w:eastAsia="宋体" w:cs="Times New Roman"/>
                <w:color w:val="auto"/>
                <w:sz w:val="24"/>
                <w:szCs w:val="24"/>
              </w:rPr>
              <w:t>）处的等效声源的倍频带声功率级，dB；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p2</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——靠近围护结构处室外声源的声压级，dB；</w:t>
            </w:r>
          </w:p>
          <w:p>
            <w:pPr>
              <w:spacing w:line="360" w:lineRule="auto"/>
              <w:ind w:firstLine="1024" w:firstLineChars="427"/>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i/>
                <w:iCs/>
                <w:color w:val="auto"/>
                <w:sz w:val="24"/>
                <w:szCs w:val="24"/>
              </w:rPr>
              <w:t>S</w:t>
            </w:r>
            <w:r>
              <w:rPr>
                <w:rFonts w:hint="default" w:ascii="Times New Roman" w:hAnsi="Times New Roman" w:eastAsia="宋体" w:cs="Times New Roman"/>
                <w:color w:val="auto"/>
                <w:sz w:val="24"/>
                <w:szCs w:val="24"/>
              </w:rPr>
              <w:t>——透声面积，m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室外声源在预测点产生的声级计算模型</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本项目声环境影响评价工作为简要评价，声源衰减过程仅考虑几何发散衰减，则预测点的A声级L</w:t>
            </w:r>
            <w:r>
              <w:rPr>
                <w:rFonts w:hint="default" w:ascii="Times New Roman" w:hAnsi="Times New Roman" w:eastAsia="宋体" w:cs="Times New Roman"/>
                <w:color w:val="auto"/>
                <w:sz w:val="24"/>
                <w:szCs w:val="24"/>
                <w:vertAlign w:val="subscript"/>
              </w:rPr>
              <w: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p>
          <w:p>
            <w:pPr>
              <w:pStyle w:val="51"/>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lang w:val="en-US" w:eastAsia="zh-CN"/>
              </w:rPr>
              <w:t>A</w:t>
            </w:r>
            <w:r>
              <w:rPr>
                <w:rFonts w:hint="eastAsia" w:ascii="Times New Roman" w:hAnsi="Times New Roman" w:eastAsia="宋体" w:cs="Times New Roman"/>
                <w:i w:val="0"/>
                <w:iCs w:val="0"/>
                <w:color w:val="auto"/>
                <w:sz w:val="24"/>
                <w:szCs w:val="24"/>
                <w:vertAlign w:val="baseline"/>
                <w:lang w:val="en-US" w:eastAsia="zh-CN"/>
              </w:rPr>
              <w:t>（</w:t>
            </w:r>
            <w:r>
              <w:rPr>
                <w:rFonts w:hint="default" w:ascii="Times New Roman" w:hAnsi="Times New Roman" w:eastAsia="宋体" w:cs="Times New Roman"/>
                <w:i w:val="0"/>
                <w:iCs w:val="0"/>
                <w:color w:val="auto"/>
                <w:sz w:val="24"/>
                <w:szCs w:val="24"/>
                <w:vertAlign w:val="baseline"/>
                <w:lang w:val="en-US" w:eastAsia="zh-CN"/>
              </w:rPr>
              <w:t>r）</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lang w:val="en-US" w:eastAsia="zh-CN"/>
              </w:rPr>
              <w:t>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vertAlign w:val="subscript"/>
                <w:lang w:val="en-US" w:eastAsia="zh-CN"/>
              </w:rPr>
              <w:t>div</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A</w:t>
            </w:r>
            <w:r>
              <w:rPr>
                <w:rFonts w:hint="eastAsia" w:cs="Times New Roman"/>
                <w:i/>
                <w:iCs/>
                <w:color w:val="auto"/>
                <w:sz w:val="24"/>
                <w:szCs w:val="24"/>
                <w:lang w:eastAsia="zh-CN"/>
              </w:rPr>
              <w:t>（</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rPr>
              <w:t>——距声源r处的A声级，dB(A</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lang w:val="en-US" w:eastAsia="zh-CN"/>
              </w:rPr>
              <w:t>A</w:t>
            </w:r>
            <w:r>
              <w:rPr>
                <w:rFonts w:hint="eastAsia" w:cs="Times New Roman"/>
                <w:i/>
                <w:iCs/>
                <w:color w:val="auto"/>
                <w:sz w:val="24"/>
                <w:szCs w:val="24"/>
                <w:lang w:eastAsia="zh-CN"/>
              </w:rPr>
              <w:t>（</w:t>
            </w:r>
            <w:r>
              <w:rPr>
                <w:rFonts w:hint="default" w:ascii="Times New Roman" w:hAnsi="Times New Roman" w:eastAsia="宋体" w:cs="Times New Roman"/>
                <w:i/>
                <w:iCs/>
                <w:color w:val="auto"/>
                <w:sz w:val="24"/>
                <w:szCs w:val="24"/>
                <w:lang w:val="en-US" w:eastAsia="zh-CN"/>
              </w:rPr>
              <w:t>r</w:t>
            </w:r>
            <w:r>
              <w:rPr>
                <w:rFonts w:hint="default" w:ascii="Times New Roman" w:hAnsi="Times New Roman" w:eastAsia="宋体" w:cs="Times New Roman"/>
                <w:i/>
                <w:iCs/>
                <w:color w:val="auto"/>
                <w:sz w:val="24"/>
                <w:szCs w:val="24"/>
                <w:vertAlign w:val="subscript"/>
                <w:lang w:val="en-US" w:eastAsia="zh-CN"/>
              </w:rPr>
              <w:t>0</w:t>
            </w:r>
            <w:r>
              <w:rPr>
                <w:rFonts w:hint="default" w:ascii="Times New Roman" w:hAnsi="Times New Roman" w:eastAsia="宋体" w:cs="Times New Roman"/>
                <w:i/>
                <w:iCs/>
                <w:color w:val="auto"/>
                <w:sz w:val="24"/>
                <w:szCs w:val="24"/>
                <w:lang w:eastAsia="zh-CN"/>
              </w:rPr>
              <w:t>）</w:t>
            </w:r>
            <w:r>
              <w:rPr>
                <w:rFonts w:hint="default" w:ascii="Times New Roman" w:hAnsi="Times New Roman" w:eastAsia="宋体" w:cs="Times New Roman"/>
                <w:color w:val="auto"/>
                <w:sz w:val="24"/>
                <w:szCs w:val="24"/>
              </w:rPr>
              <w:t>——参考位置r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处的A声级，dB(A</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ind w:firstLine="960" w:firstLineChars="40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A</w:t>
            </w:r>
            <w:r>
              <w:rPr>
                <w:rFonts w:hint="default" w:ascii="Times New Roman" w:hAnsi="Times New Roman" w:eastAsia="宋体" w:cs="Times New Roman"/>
                <w:i/>
                <w:iCs/>
                <w:color w:val="auto"/>
                <w:sz w:val="24"/>
                <w:szCs w:val="24"/>
                <w:vertAlign w:val="subscript"/>
              </w:rPr>
              <w:t>div</w:t>
            </w:r>
            <w:r>
              <w:rPr>
                <w:rFonts w:hint="default" w:ascii="Times New Roman" w:hAnsi="Times New Roman" w:eastAsia="宋体" w:cs="Times New Roman"/>
                <w:color w:val="auto"/>
                <w:sz w:val="24"/>
                <w:szCs w:val="24"/>
              </w:rPr>
              <w:t>——几何发散引起的衰减，dB。</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无指向性点声源几何发散衰减的基本公式：</w:t>
            </w:r>
          </w:p>
          <w:p>
            <w:pPr>
              <w:pStyle w:val="51"/>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lang w:val="en-US" w:eastAsia="zh-CN"/>
              </w:rPr>
              <w:t>p</w:t>
            </w:r>
            <w:r>
              <w:rPr>
                <w:rFonts w:hint="eastAsia" w:ascii="Times New Roman" w:hAnsi="Times New Roman" w:eastAsia="宋体" w:cs="Times New Roman"/>
                <w:i w:val="0"/>
                <w:iCs w:val="0"/>
                <w:color w:val="auto"/>
                <w:sz w:val="24"/>
                <w:szCs w:val="24"/>
                <w:vertAlign w:val="baseline"/>
                <w:lang w:val="en-US" w:eastAsia="zh-CN"/>
              </w:rPr>
              <w:t>（</w:t>
            </w:r>
            <w:r>
              <w:rPr>
                <w:rFonts w:hint="default" w:ascii="Times New Roman" w:hAnsi="Times New Roman" w:eastAsia="宋体" w:cs="Times New Roman"/>
                <w:i w:val="0"/>
                <w:iCs w:val="0"/>
                <w:color w:val="auto"/>
                <w:sz w:val="24"/>
                <w:szCs w:val="24"/>
                <w:vertAlign w:val="baseline"/>
                <w:lang w:val="en-US" w:eastAsia="zh-CN"/>
              </w:rPr>
              <w:t>r）</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lang w:val="en-US" w:eastAsia="zh-CN"/>
              </w:rPr>
              <w:t>p</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-20lg</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r/r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lang w:val="en-US" w:eastAsia="zh-CN"/>
              </w:rPr>
              <w:t>p</w:t>
            </w:r>
            <w:r>
              <w:rPr>
                <w:rFonts w:hint="eastAsia" w:ascii="Times New Roman" w:hAnsi="Times New Roman" w:eastAsia="宋体" w:cs="Times New Roman"/>
                <w:i/>
                <w:iCs/>
                <w:color w:val="auto"/>
                <w:sz w:val="24"/>
                <w:szCs w:val="24"/>
                <w:lang w:eastAsia="zh-CN"/>
              </w:rPr>
              <w:t>（</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rPr>
              <w:t>——预测点处声压级，dB(A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lang w:val="en-US" w:eastAsia="zh-CN"/>
              </w:rPr>
              <w:t>p</w:t>
            </w:r>
            <w:r>
              <w:rPr>
                <w:rFonts w:hint="eastAsia" w:ascii="Times New Roman" w:hAnsi="Times New Roman" w:eastAsia="宋体" w:cs="Times New Roman"/>
                <w:i/>
                <w:iCs/>
                <w:color w:val="auto"/>
                <w:sz w:val="24"/>
                <w:szCs w:val="24"/>
                <w:lang w:eastAsia="zh-CN"/>
              </w:rPr>
              <w:t>（</w:t>
            </w:r>
            <w:r>
              <w:rPr>
                <w:rFonts w:hint="default" w:ascii="Times New Roman" w:hAnsi="Times New Roman" w:eastAsia="宋体" w:cs="Times New Roman"/>
                <w:i/>
                <w:iCs/>
                <w:color w:val="auto"/>
                <w:sz w:val="24"/>
                <w:szCs w:val="24"/>
                <w:lang w:val="en-US" w:eastAsia="zh-CN"/>
              </w:rPr>
              <w:t>r</w:t>
            </w:r>
            <w:r>
              <w:rPr>
                <w:rFonts w:hint="default" w:ascii="Times New Roman" w:hAnsi="Times New Roman" w:eastAsia="宋体" w:cs="Times New Roman"/>
                <w:i/>
                <w:iCs/>
                <w:color w:val="auto"/>
                <w:sz w:val="24"/>
                <w:szCs w:val="24"/>
                <w:vertAlign w:val="subscript"/>
                <w:lang w:val="en-US" w:eastAsia="zh-CN"/>
              </w:rPr>
              <w:t>0</w:t>
            </w:r>
            <w:r>
              <w:rPr>
                <w:rFonts w:hint="default" w:ascii="Times New Roman" w:hAnsi="Times New Roman" w:eastAsia="宋体" w:cs="Times New Roman"/>
                <w:i/>
                <w:iCs/>
                <w:color w:val="auto"/>
                <w:sz w:val="24"/>
                <w:szCs w:val="24"/>
                <w:lang w:eastAsia="zh-CN"/>
              </w:rPr>
              <w:t>）</w:t>
            </w:r>
            <w:r>
              <w:rPr>
                <w:rFonts w:hint="default" w:ascii="Times New Roman" w:hAnsi="Times New Roman" w:eastAsia="宋体" w:cs="Times New Roman"/>
                <w:color w:val="auto"/>
                <w:sz w:val="24"/>
                <w:szCs w:val="24"/>
              </w:rPr>
              <w:t>——参考位置r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处的声压级，dB(A</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w:t>
            </w:r>
          </w:p>
          <w:p>
            <w:pPr>
              <w:spacing w:line="360" w:lineRule="auto"/>
              <w:ind w:firstLine="960" w:firstLineChars="400"/>
              <w:rPr>
                <w:rFonts w:hint="default" w:ascii="Times New Roman" w:hAnsi="Times New Roman" w:eastAsia="宋体" w:cs="Times New Roman"/>
                <w:i/>
                <w:iCs/>
                <w:color w:val="auto"/>
                <w:sz w:val="24"/>
                <w:szCs w:val="24"/>
                <w:lang w:eastAsia="zh-CN"/>
              </w:rPr>
            </w:pPr>
            <w:r>
              <w:rPr>
                <w:rFonts w:hint="default" w:ascii="Times New Roman" w:hAnsi="Times New Roman" w:eastAsia="宋体" w:cs="Times New Roman"/>
                <w:i/>
                <w:iCs/>
                <w:color w:val="auto"/>
                <w:sz w:val="24"/>
                <w:szCs w:val="24"/>
                <w:lang w:val="en-US" w:eastAsia="zh-CN"/>
              </w:rPr>
              <w:t>r</w:t>
            </w:r>
            <w:r>
              <w:rPr>
                <w:rFonts w:hint="default" w:ascii="Times New Roman" w:hAnsi="Times New Roman" w:eastAsia="宋体" w:cs="Times New Roman"/>
                <w:color w:val="auto"/>
                <w:sz w:val="24"/>
                <w:szCs w:val="24"/>
              </w:rPr>
              <w:t>——预测点距声源的位置</w:t>
            </w:r>
            <w:r>
              <w:rPr>
                <w:rFonts w:hint="default" w:ascii="Times New Roman" w:hAnsi="Times New Roman" w:eastAsia="宋体" w:cs="Times New Roman"/>
                <w:color w:val="auto"/>
                <w:sz w:val="24"/>
                <w:szCs w:val="24"/>
                <w:lang w:eastAsia="zh-CN"/>
              </w:rPr>
              <w:t>；</w:t>
            </w:r>
          </w:p>
          <w:p>
            <w:pPr>
              <w:spacing w:line="360" w:lineRule="auto"/>
              <w:ind w:firstLine="960" w:firstLineChars="4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i/>
                <w:iCs/>
                <w:color w:val="auto"/>
                <w:sz w:val="24"/>
                <w:szCs w:val="24"/>
                <w:lang w:val="en-US" w:eastAsia="zh-CN"/>
              </w:rPr>
              <w:t>r</w:t>
            </w:r>
            <w:r>
              <w:rPr>
                <w:rFonts w:hint="default" w:ascii="Times New Roman" w:hAnsi="Times New Roman" w:eastAsia="宋体" w:cs="Times New Roman"/>
                <w:i/>
                <w:iCs/>
                <w:color w:val="auto"/>
                <w:sz w:val="24"/>
                <w:szCs w:val="24"/>
                <w:vertAlign w:val="subscript"/>
                <w:lang w:val="en-US" w:eastAsia="zh-CN"/>
              </w:rPr>
              <w:t>0</w:t>
            </w:r>
            <w:r>
              <w:rPr>
                <w:rFonts w:hint="default" w:ascii="Times New Roman" w:hAnsi="Times New Roman" w:eastAsia="宋体" w:cs="Times New Roman"/>
                <w:color w:val="auto"/>
                <w:sz w:val="24"/>
                <w:szCs w:val="24"/>
              </w:rPr>
              <w:t>——参考位置距声源的距离。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建设项目声源在预测点产生的噪声贡献值</w:t>
            </w:r>
          </w:p>
          <w:p>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948940" cy="491490"/>
                  <wp:effectExtent l="0" t="0" r="381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pic:cNvPicPr>
                            <a:picLocks noChangeAspect="1"/>
                          </pic:cNvPicPr>
                        </pic:nvPicPr>
                        <pic:blipFill>
                          <a:blip r:embed="rId26"/>
                          <a:stretch>
                            <a:fillRect/>
                          </a:stretch>
                        </pic:blipFill>
                        <pic:spPr>
                          <a:xfrm>
                            <a:off x="0" y="0"/>
                            <a:ext cx="2948940" cy="491490"/>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——建设项目声源在预测点产生的噪声贡献值，dB；</w:t>
            </w:r>
          </w:p>
          <w:p>
            <w:pPr>
              <w:spacing w:line="24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——用于计算等效声级的时间，s；</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——室外声源个数；</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i/>
                <w:iCs/>
                <w:color w:val="auto"/>
                <w:sz w:val="24"/>
                <w:szCs w:val="24"/>
                <w:vertAlign w:val="subscript"/>
              </w:rPr>
              <w:t>i</w:t>
            </w:r>
            <w:r>
              <w:rPr>
                <w:rFonts w:hint="default" w:ascii="Times New Roman" w:hAnsi="Times New Roman" w:eastAsia="宋体" w:cs="Times New Roman"/>
                <w:color w:val="auto"/>
                <w:sz w:val="24"/>
                <w:szCs w:val="24"/>
              </w:rPr>
              <w:t>——在</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时间内</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声源工作时间，s；</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M</w:t>
            </w:r>
            <w:r>
              <w:rPr>
                <w:rFonts w:hint="default" w:ascii="Times New Roman" w:hAnsi="Times New Roman" w:eastAsia="宋体" w:cs="Times New Roman"/>
                <w:color w:val="auto"/>
                <w:sz w:val="24"/>
                <w:szCs w:val="24"/>
              </w:rPr>
              <w:t>——等效室外声源个数；</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i/>
                <w:iCs/>
                <w:color w:val="auto"/>
                <w:sz w:val="24"/>
                <w:szCs w:val="24"/>
                <w:vertAlign w:val="subscript"/>
              </w:rPr>
              <w:t>j</w:t>
            </w:r>
            <w:r>
              <w:rPr>
                <w:rFonts w:hint="default" w:ascii="Times New Roman" w:hAnsi="Times New Roman" w:eastAsia="宋体" w:cs="Times New Roman"/>
                <w:color w:val="auto"/>
                <w:sz w:val="24"/>
                <w:szCs w:val="24"/>
              </w:rPr>
              <w:t>——在</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时间内</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声源工作时间，s。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噪声预测值</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噪声预测值</w:t>
            </w:r>
            <w:r>
              <w:rPr>
                <w:rFonts w:hint="eastAsia" w:cs="Times New Roman"/>
                <w:color w:val="auto"/>
                <w:sz w:val="24"/>
                <w:szCs w:val="24"/>
                <w:lang w:eastAsia="zh-CN"/>
              </w:rPr>
              <w:t>（</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）计算公式为：</w:t>
            </w:r>
          </w:p>
          <w:p>
            <w:pPr>
              <w:spacing w:line="360" w:lineRule="auto"/>
              <w:ind w:firstLine="480" w:firstLineChars="20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617470" cy="361315"/>
                  <wp:effectExtent l="0" t="0" r="11430" b="0"/>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7"/>
                          <a:stretch>
                            <a:fillRect/>
                          </a:stretch>
                        </pic:blipFill>
                        <pic:spPr>
                          <a:xfrm>
                            <a:off x="0" y="0"/>
                            <a:ext cx="2617470" cy="361315"/>
                          </a:xfrm>
                          <a:prstGeom prst="rect">
                            <a:avLst/>
                          </a:prstGeom>
                          <a:noFill/>
                          <a:ln>
                            <a:noFill/>
                          </a:ln>
                        </pic:spPr>
                      </pic:pic>
                    </a:graphicData>
                  </a:graphic>
                </wp:inline>
              </w:drawing>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w:t>
            </w:r>
            <w:r>
              <w:rPr>
                <w:rFonts w:hint="default" w:ascii="Times New Roman" w:hAnsi="Times New Roman" w:eastAsia="宋体" w:cs="Times New Roman"/>
                <w:color w:val="auto"/>
                <w:sz w:val="24"/>
                <w:szCs w:val="24"/>
              </w:rPr>
              <w:t>——噪声预测值，dB；</w:t>
            </w:r>
          </w:p>
          <w:p>
            <w:pPr>
              <w:spacing w:line="360" w:lineRule="auto"/>
              <w:ind w:firstLine="1080" w:firstLineChars="45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——建设项目声源在预测点产生的噪声贡献值，dB；</w:t>
            </w:r>
          </w:p>
          <w:p>
            <w:pPr>
              <w:numPr>
                <w:ilvl w:val="0"/>
                <w:numId w:val="0"/>
              </w:num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eqb</w:t>
            </w:r>
            <w:r>
              <w:rPr>
                <w:rFonts w:hint="default" w:ascii="Times New Roman" w:hAnsi="Times New Roman" w:eastAsia="宋体" w:cs="Times New Roman"/>
                <w:color w:val="auto"/>
                <w:sz w:val="24"/>
                <w:szCs w:val="24"/>
              </w:rPr>
              <w:t>——预测点的背景噪声值，dB。</w:t>
            </w:r>
          </w:p>
          <w:p>
            <w:pPr>
              <w:bidi w:val="0"/>
              <w:ind w:firstLine="480" w:firstLineChars="200"/>
              <w:rPr>
                <w:rFonts w:hint="eastAsia"/>
                <w:lang w:val="en-US" w:eastAsia="zh-CN"/>
              </w:rPr>
            </w:pPr>
          </w:p>
          <w:p>
            <w:pPr>
              <w:bidi w:val="0"/>
              <w:ind w:firstLine="480" w:firstLineChars="200"/>
              <w:rPr>
                <w:rFonts w:hint="eastAsia"/>
                <w:lang w:val="en-US" w:eastAsia="zh-CN"/>
              </w:rPr>
            </w:pPr>
          </w:p>
          <w:p>
            <w:pPr>
              <w:bidi w:val="0"/>
              <w:ind w:firstLine="480" w:firstLineChars="200"/>
              <w:rPr>
                <w:rFonts w:hint="eastAsia"/>
                <w:lang w:val="en-US" w:eastAsia="zh-CN"/>
              </w:rPr>
            </w:pPr>
          </w:p>
          <w:p>
            <w:pPr>
              <w:bidi w:val="0"/>
              <w:ind w:firstLine="480" w:firstLineChars="200"/>
              <w:rPr>
                <w:rFonts w:hint="eastAsia"/>
                <w:lang w:val="en-US" w:eastAsia="zh-CN"/>
              </w:rPr>
            </w:pPr>
          </w:p>
          <w:p>
            <w:pPr>
              <w:bidi w:val="0"/>
              <w:ind w:firstLine="480" w:firstLineChars="200"/>
              <w:rPr>
                <w:rFonts w:hint="default"/>
                <w:lang w:val="en-US" w:eastAsia="zh-CN"/>
              </w:rPr>
            </w:pPr>
            <w:r>
              <w:rPr>
                <w:rFonts w:hint="eastAsia"/>
                <w:lang w:val="en-US" w:eastAsia="zh-CN"/>
              </w:rPr>
              <w:t>（</w:t>
            </w:r>
            <w:r>
              <w:rPr>
                <w:rFonts w:hint="default"/>
                <w:lang w:val="en-US" w:eastAsia="zh-CN"/>
              </w:rPr>
              <w:t>2）排放标准</w:t>
            </w:r>
          </w:p>
          <w:p>
            <w:pPr>
              <w:keepNext w:val="0"/>
              <w:keepLines w:val="0"/>
              <w:widowControl/>
              <w:suppressLineNumbers w:val="0"/>
              <w:spacing w:line="240" w:lineRule="auto"/>
              <w:jc w:val="center"/>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表4-9  工业企业厂界噪声排放标准  单位：dB(A）</w:t>
            </w:r>
          </w:p>
          <w:tbl>
            <w:tblPr>
              <w:tblStyle w:val="42"/>
              <w:tblW w:w="83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2786"/>
              <w:gridCol w:w="27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786" w:type="dxa"/>
                  <w:noWrap w:val="0"/>
                  <w:vAlign w:val="top"/>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0" w:name="_Toc23775"/>
                  <w:r>
                    <w:rPr>
                      <w:rFonts w:hint="eastAsia" w:ascii="Times New Roman" w:hAnsi="Times New Roman" w:eastAsia="宋体" w:cs="Times New Roman"/>
                      <w:b/>
                      <w:bCs/>
                      <w:snapToGrid w:val="0"/>
                      <w:sz w:val="21"/>
                      <w:szCs w:val="21"/>
                      <w:vertAlign w:val="baseline"/>
                      <w:lang w:val="en-US" w:eastAsia="zh-CN"/>
                    </w:rPr>
                    <w:t>项目</w:t>
                  </w:r>
                  <w:bookmarkEnd w:id="10"/>
                </w:p>
              </w:tc>
              <w:tc>
                <w:tcPr>
                  <w:tcW w:w="2786" w:type="dxa"/>
                  <w:noWrap w:val="0"/>
                  <w:vAlign w:val="top"/>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1" w:name="_Toc9071"/>
                  <w:r>
                    <w:rPr>
                      <w:rFonts w:hint="eastAsia" w:ascii="Times New Roman" w:hAnsi="Times New Roman" w:eastAsia="宋体" w:cs="Times New Roman"/>
                      <w:b/>
                      <w:bCs/>
                      <w:snapToGrid w:val="0"/>
                      <w:sz w:val="21"/>
                      <w:szCs w:val="21"/>
                      <w:vertAlign w:val="baseline"/>
                      <w:lang w:val="en-US" w:eastAsia="zh-CN"/>
                    </w:rPr>
                    <w:t>昼间</w:t>
                  </w:r>
                  <w:bookmarkEnd w:id="11"/>
                </w:p>
              </w:tc>
              <w:tc>
                <w:tcPr>
                  <w:tcW w:w="2787" w:type="dxa"/>
                  <w:noWrap w:val="0"/>
                  <w:vAlign w:val="top"/>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2" w:name="_Toc25239"/>
                  <w:r>
                    <w:rPr>
                      <w:rFonts w:hint="eastAsia" w:ascii="Times New Roman" w:hAnsi="Times New Roman" w:eastAsia="宋体" w:cs="Times New Roman"/>
                      <w:b/>
                      <w:bCs/>
                      <w:snapToGrid w:val="0"/>
                      <w:sz w:val="21"/>
                      <w:szCs w:val="21"/>
                      <w:vertAlign w:val="baseline"/>
                      <w:lang w:val="en-US" w:eastAsia="zh-CN"/>
                    </w:rPr>
                    <w:t>夜间</w:t>
                  </w:r>
                  <w:bookmarkEnd w:id="12"/>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786" w:type="dxa"/>
                  <w:noWrap w:val="0"/>
                  <w:vAlign w:val="top"/>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13" w:name="_Toc26310"/>
                  <w:r>
                    <w:rPr>
                      <w:rFonts w:hint="eastAsia" w:ascii="Times New Roman" w:hAnsi="Times New Roman" w:eastAsia="宋体" w:cs="Times New Roman"/>
                      <w:b w:val="0"/>
                      <w:bCs w:val="0"/>
                      <w:snapToGrid w:val="0"/>
                      <w:sz w:val="21"/>
                      <w:szCs w:val="21"/>
                      <w:vertAlign w:val="baseline"/>
                      <w:lang w:val="en-US" w:eastAsia="zh-CN"/>
                    </w:rPr>
                    <w:t>标准值</w:t>
                  </w:r>
                  <w:bookmarkEnd w:id="13"/>
                </w:p>
              </w:tc>
              <w:tc>
                <w:tcPr>
                  <w:tcW w:w="2786" w:type="dxa"/>
                  <w:noWrap w:val="0"/>
                  <w:vAlign w:val="top"/>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14" w:name="_Toc26296"/>
                  <w:r>
                    <w:rPr>
                      <w:rFonts w:hint="eastAsia" w:ascii="Times New Roman" w:hAnsi="Times New Roman" w:eastAsia="宋体" w:cs="Times New Roman"/>
                      <w:b w:val="0"/>
                      <w:bCs w:val="0"/>
                      <w:snapToGrid w:val="0"/>
                      <w:sz w:val="21"/>
                      <w:szCs w:val="21"/>
                      <w:vertAlign w:val="baseline"/>
                      <w:lang w:val="en-US" w:eastAsia="zh-CN"/>
                    </w:rPr>
                    <w:t>6</w:t>
                  </w:r>
                  <w:bookmarkEnd w:id="14"/>
                  <w:r>
                    <w:rPr>
                      <w:rFonts w:hint="eastAsia" w:ascii="Times New Roman" w:hAnsi="Times New Roman" w:cs="Times New Roman"/>
                      <w:b w:val="0"/>
                      <w:bCs w:val="0"/>
                      <w:snapToGrid w:val="0"/>
                      <w:sz w:val="21"/>
                      <w:szCs w:val="21"/>
                      <w:vertAlign w:val="baseline"/>
                      <w:lang w:val="en-US" w:eastAsia="zh-CN"/>
                    </w:rPr>
                    <w:t>5</w:t>
                  </w:r>
                </w:p>
              </w:tc>
              <w:tc>
                <w:tcPr>
                  <w:tcW w:w="2787" w:type="dxa"/>
                  <w:noWrap w:val="0"/>
                  <w:vAlign w:val="top"/>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15" w:name="_Toc3347"/>
                  <w:r>
                    <w:rPr>
                      <w:rFonts w:hint="eastAsia" w:ascii="Times New Roman" w:hAnsi="Times New Roman" w:eastAsia="宋体" w:cs="Times New Roman"/>
                      <w:b w:val="0"/>
                      <w:bCs w:val="0"/>
                      <w:snapToGrid w:val="0"/>
                      <w:sz w:val="21"/>
                      <w:szCs w:val="21"/>
                      <w:vertAlign w:val="baseline"/>
                      <w:lang w:val="en-US" w:eastAsia="zh-CN"/>
                    </w:rPr>
                    <w:t>5</w:t>
                  </w:r>
                  <w:bookmarkEnd w:id="15"/>
                  <w:r>
                    <w:rPr>
                      <w:rFonts w:hint="eastAsia" w:ascii="Times New Roman" w:hAnsi="Times New Roman" w:cs="Times New Roman"/>
                      <w:b w:val="0"/>
                      <w:bCs w:val="0"/>
                      <w:snapToGrid w:val="0"/>
                      <w:sz w:val="21"/>
                      <w:szCs w:val="21"/>
                      <w:vertAlign w:val="baseline"/>
                      <w:lang w:val="en-US" w:eastAsia="zh-CN"/>
                    </w:rPr>
                    <w:t>5</w:t>
                  </w:r>
                </w:p>
              </w:tc>
            </w:tr>
          </w:tbl>
          <w:p>
            <w:pPr>
              <w:bidi w:val="0"/>
              <w:ind w:firstLine="480" w:firstLineChars="200"/>
              <w:rPr>
                <w:rFonts w:hint="eastAsia"/>
                <w:lang w:val="en-US" w:eastAsia="zh-CN"/>
              </w:rPr>
            </w:pPr>
            <w:bookmarkStart w:id="16" w:name="_Toc1115"/>
            <w:r>
              <w:rPr>
                <w:rFonts w:hint="eastAsia"/>
                <w:lang w:val="en-US" w:eastAsia="zh-CN"/>
              </w:rPr>
              <w:t>（3）预测结果</w:t>
            </w:r>
            <w:bookmarkEnd w:id="16"/>
          </w:p>
          <w:p>
            <w:pPr>
              <w:keepNext w:val="0"/>
              <w:keepLines w:val="0"/>
              <w:widowControl/>
              <w:suppressLineNumbers w:val="0"/>
              <w:spacing w:line="240" w:lineRule="auto"/>
              <w:jc w:val="center"/>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表4-10  厂界噪声预测值  单位：dB(A）</w:t>
            </w:r>
          </w:p>
          <w:tbl>
            <w:tblPr>
              <w:tblStyle w:val="42"/>
              <w:tblW w:w="839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99"/>
              <w:gridCol w:w="1199"/>
              <w:gridCol w:w="1199"/>
              <w:gridCol w:w="1199"/>
              <w:gridCol w:w="1199"/>
              <w:gridCol w:w="12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7" w:name="_Toc2217"/>
                  <w:r>
                    <w:rPr>
                      <w:rFonts w:hint="eastAsia" w:ascii="Times New Roman" w:hAnsi="Times New Roman" w:eastAsia="宋体" w:cs="Times New Roman"/>
                      <w:b/>
                      <w:bCs/>
                      <w:snapToGrid w:val="0"/>
                      <w:sz w:val="21"/>
                      <w:szCs w:val="21"/>
                      <w:vertAlign w:val="baseline"/>
                      <w:lang w:val="en-US" w:eastAsia="zh-CN"/>
                    </w:rPr>
                    <w:t>预测点位</w:t>
                  </w:r>
                  <w:bookmarkEnd w:id="17"/>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8" w:name="_Toc445"/>
                  <w:r>
                    <w:rPr>
                      <w:rFonts w:hint="eastAsia" w:ascii="Times New Roman" w:hAnsi="Times New Roman" w:eastAsia="宋体" w:cs="Times New Roman"/>
                      <w:b/>
                      <w:bCs/>
                      <w:snapToGrid w:val="0"/>
                      <w:sz w:val="21"/>
                      <w:szCs w:val="21"/>
                      <w:vertAlign w:val="baseline"/>
                      <w:lang w:val="en-US" w:eastAsia="zh-CN"/>
                    </w:rPr>
                    <w:t>预测时段</w:t>
                  </w:r>
                  <w:bookmarkEnd w:id="18"/>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19" w:name="_Toc30522"/>
                  <w:r>
                    <w:rPr>
                      <w:rFonts w:hint="eastAsia" w:ascii="Times New Roman" w:hAnsi="Times New Roman" w:eastAsia="宋体" w:cs="Times New Roman"/>
                      <w:b/>
                      <w:bCs/>
                      <w:snapToGrid w:val="0"/>
                      <w:sz w:val="21"/>
                      <w:szCs w:val="21"/>
                      <w:vertAlign w:val="baseline"/>
                      <w:lang w:val="en-US" w:eastAsia="zh-CN"/>
                    </w:rPr>
                    <w:t>噪声贡献值</w:t>
                  </w:r>
                  <w:bookmarkEnd w:id="19"/>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20" w:name="_Toc23687"/>
                  <w:r>
                    <w:rPr>
                      <w:rFonts w:hint="eastAsia" w:ascii="Times New Roman" w:hAnsi="Times New Roman" w:eastAsia="宋体" w:cs="Times New Roman"/>
                      <w:b/>
                      <w:bCs/>
                      <w:snapToGrid w:val="0"/>
                      <w:sz w:val="21"/>
                      <w:szCs w:val="21"/>
                      <w:vertAlign w:val="baseline"/>
                      <w:lang w:val="en-US" w:eastAsia="zh-CN"/>
                    </w:rPr>
                    <w:t>噪声现状值</w:t>
                  </w:r>
                  <w:bookmarkEnd w:id="20"/>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21" w:name="_Toc25476"/>
                  <w:r>
                    <w:rPr>
                      <w:rFonts w:hint="eastAsia" w:ascii="Times New Roman" w:hAnsi="Times New Roman" w:eastAsia="宋体" w:cs="Times New Roman"/>
                      <w:b/>
                      <w:bCs/>
                      <w:snapToGrid w:val="0"/>
                      <w:sz w:val="21"/>
                      <w:szCs w:val="21"/>
                      <w:vertAlign w:val="baseline"/>
                      <w:lang w:val="en-US" w:eastAsia="zh-CN"/>
                    </w:rPr>
                    <w:t>噪声预测值</w:t>
                  </w:r>
                  <w:bookmarkEnd w:id="21"/>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22" w:name="_Toc20820"/>
                  <w:r>
                    <w:rPr>
                      <w:rFonts w:hint="eastAsia" w:ascii="Times New Roman" w:hAnsi="Times New Roman" w:eastAsia="宋体" w:cs="Times New Roman"/>
                      <w:b/>
                      <w:bCs/>
                      <w:snapToGrid w:val="0"/>
                      <w:sz w:val="21"/>
                      <w:szCs w:val="21"/>
                      <w:vertAlign w:val="baseline"/>
                      <w:lang w:val="en-US" w:eastAsia="zh-CN"/>
                    </w:rPr>
                    <w:t>排放标准</w:t>
                  </w:r>
                  <w:bookmarkEnd w:id="22"/>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23" w:name="_Toc18751"/>
                  <w:r>
                    <w:rPr>
                      <w:rFonts w:hint="eastAsia" w:ascii="Times New Roman" w:hAnsi="Times New Roman" w:eastAsia="宋体" w:cs="Times New Roman"/>
                      <w:b/>
                      <w:bCs/>
                      <w:snapToGrid w:val="0"/>
                      <w:sz w:val="21"/>
                      <w:szCs w:val="21"/>
                      <w:vertAlign w:val="baseline"/>
                      <w:lang w:val="en-US" w:eastAsia="zh-CN"/>
                    </w:rPr>
                    <w:t>达标情况</w:t>
                  </w:r>
                  <w:bookmarkEnd w:id="23"/>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1" w:hRule="atLeast"/>
                <w:jc w:val="center"/>
              </w:trPr>
              <w:tc>
                <w:tcPr>
                  <w:tcW w:w="1199" w:type="dxa"/>
                  <w:vMerge w:val="restart"/>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24" w:name="_Toc90"/>
                  <w:r>
                    <w:rPr>
                      <w:rFonts w:hint="eastAsia" w:ascii="Times New Roman" w:hAnsi="Times New Roman" w:eastAsia="宋体" w:cs="Times New Roman"/>
                      <w:b w:val="0"/>
                      <w:bCs w:val="0"/>
                      <w:snapToGrid w:val="0"/>
                      <w:sz w:val="21"/>
                      <w:szCs w:val="21"/>
                      <w:vertAlign w:val="baseline"/>
                      <w:lang w:val="en-US" w:eastAsia="zh-CN"/>
                    </w:rPr>
                    <w:t>东北厂界</w:t>
                  </w:r>
                  <w:bookmarkEnd w:id="24"/>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25" w:name="_Toc5541"/>
                  <w:r>
                    <w:rPr>
                      <w:rFonts w:hint="eastAsia" w:ascii="Times New Roman" w:hAnsi="Times New Roman" w:eastAsia="宋体" w:cs="Times New Roman"/>
                      <w:b w:val="0"/>
                      <w:bCs w:val="0"/>
                      <w:snapToGrid w:val="0"/>
                      <w:sz w:val="21"/>
                      <w:szCs w:val="21"/>
                      <w:vertAlign w:val="baseline"/>
                      <w:lang w:val="en-US" w:eastAsia="zh-CN"/>
                    </w:rPr>
                    <w:t>昼间</w:t>
                  </w:r>
                  <w:bookmarkEnd w:id="25"/>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26" w:name="_Toc8288"/>
                  <w:r>
                    <w:rPr>
                      <w:rFonts w:hint="eastAsia" w:ascii="Times New Roman" w:hAnsi="Times New Roman" w:eastAsia="宋体" w:cs="Times New Roman"/>
                      <w:b w:val="0"/>
                      <w:bCs w:val="0"/>
                      <w:snapToGrid w:val="0"/>
                      <w:sz w:val="21"/>
                      <w:szCs w:val="21"/>
                      <w:vertAlign w:val="baseline"/>
                      <w:lang w:val="en-US" w:eastAsia="zh-CN"/>
                    </w:rPr>
                    <w:t>40.5</w:t>
                  </w:r>
                  <w:bookmarkEnd w:id="26"/>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27" w:name="_Toc28939"/>
                  <w:r>
                    <w:rPr>
                      <w:rFonts w:hint="eastAsia" w:ascii="Times New Roman" w:hAnsi="Times New Roman" w:eastAsia="宋体" w:cs="Times New Roman"/>
                      <w:b/>
                      <w:bCs/>
                      <w:snapToGrid w:val="0"/>
                      <w:sz w:val="21"/>
                      <w:szCs w:val="21"/>
                      <w:vertAlign w:val="baseline"/>
                      <w:lang w:val="en-US" w:eastAsia="zh-CN"/>
                    </w:rPr>
                    <w:t>/</w:t>
                  </w:r>
                  <w:bookmarkEnd w:id="27"/>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28" w:name="_Toc16989"/>
                  <w:r>
                    <w:rPr>
                      <w:rFonts w:hint="eastAsia" w:ascii="Times New Roman" w:hAnsi="Times New Roman" w:eastAsia="宋体" w:cs="Times New Roman"/>
                      <w:b w:val="0"/>
                      <w:bCs w:val="0"/>
                      <w:snapToGrid w:val="0"/>
                      <w:sz w:val="21"/>
                      <w:szCs w:val="21"/>
                      <w:vertAlign w:val="baseline"/>
                      <w:lang w:val="en-US" w:eastAsia="zh-CN"/>
                    </w:rPr>
                    <w:t>6</w:t>
                  </w:r>
                  <w:bookmarkEnd w:id="28"/>
                  <w:r>
                    <w:rPr>
                      <w:rFonts w:hint="eastAsia" w:ascii="Times New Roman" w:hAnsi="Times New Roman" w:eastAsia="宋体" w:cs="Times New Roman"/>
                      <w:b w:val="0"/>
                      <w:bCs w:val="0"/>
                      <w:snapToGrid w:val="0"/>
                      <w:sz w:val="21"/>
                      <w:szCs w:val="21"/>
                      <w:vertAlign w:val="baseline"/>
                      <w:lang w:val="en-US" w:eastAsia="zh-CN"/>
                    </w:rPr>
                    <w:t>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29" w:name="_Toc31682"/>
                  <w:r>
                    <w:rPr>
                      <w:rFonts w:hint="eastAsia" w:ascii="Times New Roman" w:hAnsi="Times New Roman" w:eastAsia="宋体" w:cs="Times New Roman"/>
                      <w:b w:val="0"/>
                      <w:bCs w:val="0"/>
                      <w:snapToGrid w:val="0"/>
                      <w:sz w:val="21"/>
                      <w:szCs w:val="21"/>
                      <w:vertAlign w:val="baseline"/>
                      <w:lang w:val="en-US" w:eastAsia="zh-CN"/>
                    </w:rPr>
                    <w:t>达标</w:t>
                  </w:r>
                  <w:bookmarkEnd w:id="29"/>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99" w:type="dxa"/>
                  <w:vMerge w:val="continue"/>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0" w:name="_Toc9096"/>
                  <w:r>
                    <w:rPr>
                      <w:rFonts w:hint="eastAsia" w:ascii="Times New Roman" w:hAnsi="Times New Roman" w:eastAsia="宋体" w:cs="Times New Roman"/>
                      <w:b w:val="0"/>
                      <w:bCs w:val="0"/>
                      <w:snapToGrid w:val="0"/>
                      <w:sz w:val="21"/>
                      <w:szCs w:val="21"/>
                      <w:vertAlign w:val="baseline"/>
                      <w:lang w:val="en-US" w:eastAsia="zh-CN"/>
                    </w:rPr>
                    <w:t>夜间</w:t>
                  </w:r>
                  <w:bookmarkEnd w:id="30"/>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1" w:name="_Toc22853"/>
                  <w:r>
                    <w:rPr>
                      <w:rFonts w:hint="eastAsia" w:ascii="Times New Roman" w:hAnsi="Times New Roman" w:eastAsia="宋体" w:cs="Times New Roman"/>
                      <w:b w:val="0"/>
                      <w:bCs w:val="0"/>
                      <w:snapToGrid w:val="0"/>
                      <w:sz w:val="21"/>
                      <w:szCs w:val="21"/>
                      <w:vertAlign w:val="baseline"/>
                      <w:lang w:val="en-US" w:eastAsia="zh-CN"/>
                    </w:rPr>
                    <w:t>40.5</w:t>
                  </w:r>
                  <w:bookmarkEnd w:id="31"/>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32" w:name="_Toc30222"/>
                  <w:r>
                    <w:rPr>
                      <w:rFonts w:hint="eastAsia" w:ascii="Times New Roman" w:hAnsi="Times New Roman" w:eastAsia="宋体" w:cs="Times New Roman"/>
                      <w:b/>
                      <w:bCs/>
                      <w:snapToGrid w:val="0"/>
                      <w:sz w:val="21"/>
                      <w:szCs w:val="21"/>
                      <w:vertAlign w:val="baseline"/>
                      <w:lang w:val="en-US" w:eastAsia="zh-CN"/>
                    </w:rPr>
                    <w:t>/</w:t>
                  </w:r>
                  <w:bookmarkEnd w:id="32"/>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3" w:name="_Toc344"/>
                  <w:r>
                    <w:rPr>
                      <w:rFonts w:hint="eastAsia" w:ascii="Times New Roman" w:hAnsi="Times New Roman" w:eastAsia="宋体" w:cs="Times New Roman"/>
                      <w:b w:val="0"/>
                      <w:bCs w:val="0"/>
                      <w:snapToGrid w:val="0"/>
                      <w:sz w:val="21"/>
                      <w:szCs w:val="21"/>
                      <w:vertAlign w:val="baseline"/>
                      <w:lang w:val="en-US" w:eastAsia="zh-CN"/>
                    </w:rPr>
                    <w:t>5</w:t>
                  </w:r>
                  <w:bookmarkEnd w:id="33"/>
                  <w:r>
                    <w:rPr>
                      <w:rFonts w:hint="eastAsia" w:ascii="Times New Roman" w:hAnsi="Times New Roman" w:eastAsia="宋体" w:cs="Times New Roman"/>
                      <w:b w:val="0"/>
                      <w:bCs w:val="0"/>
                      <w:snapToGrid w:val="0"/>
                      <w:sz w:val="21"/>
                      <w:szCs w:val="21"/>
                      <w:vertAlign w:val="baseline"/>
                      <w:lang w:val="en-US" w:eastAsia="zh-CN"/>
                    </w:rPr>
                    <w:t>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4" w:name="_Toc4441"/>
                  <w:r>
                    <w:rPr>
                      <w:rFonts w:hint="eastAsia" w:ascii="Times New Roman" w:hAnsi="Times New Roman" w:eastAsia="宋体" w:cs="Times New Roman"/>
                      <w:b w:val="0"/>
                      <w:bCs w:val="0"/>
                      <w:snapToGrid w:val="0"/>
                      <w:sz w:val="21"/>
                      <w:szCs w:val="21"/>
                      <w:vertAlign w:val="baseline"/>
                      <w:lang w:val="en-US" w:eastAsia="zh-CN"/>
                    </w:rPr>
                    <w:t>达标</w:t>
                  </w:r>
                  <w:bookmarkEnd w:id="34"/>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1" w:hRule="atLeast"/>
                <w:jc w:val="center"/>
              </w:trPr>
              <w:tc>
                <w:tcPr>
                  <w:tcW w:w="1199" w:type="dxa"/>
                  <w:vMerge w:val="restart"/>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5" w:name="_Toc4230"/>
                  <w:r>
                    <w:rPr>
                      <w:rFonts w:hint="eastAsia" w:ascii="Times New Roman" w:hAnsi="Times New Roman" w:eastAsia="宋体" w:cs="Times New Roman"/>
                      <w:b w:val="0"/>
                      <w:bCs w:val="0"/>
                      <w:snapToGrid w:val="0"/>
                      <w:sz w:val="21"/>
                      <w:szCs w:val="21"/>
                      <w:vertAlign w:val="baseline"/>
                      <w:lang w:val="en-US" w:eastAsia="zh-CN"/>
                    </w:rPr>
                    <w:t>东南厂界</w:t>
                  </w:r>
                  <w:bookmarkEnd w:id="35"/>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6" w:name="_Toc6372"/>
                  <w:r>
                    <w:rPr>
                      <w:rFonts w:hint="eastAsia" w:ascii="Times New Roman" w:hAnsi="Times New Roman" w:eastAsia="宋体" w:cs="Times New Roman"/>
                      <w:b w:val="0"/>
                      <w:bCs w:val="0"/>
                      <w:snapToGrid w:val="0"/>
                      <w:sz w:val="21"/>
                      <w:szCs w:val="21"/>
                      <w:vertAlign w:val="baseline"/>
                      <w:lang w:val="en-US" w:eastAsia="zh-CN"/>
                    </w:rPr>
                    <w:t>昼间</w:t>
                  </w:r>
                  <w:bookmarkEnd w:id="36"/>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7" w:name="_Toc29640"/>
                  <w:r>
                    <w:rPr>
                      <w:rFonts w:hint="eastAsia" w:ascii="Times New Roman" w:hAnsi="Times New Roman" w:eastAsia="宋体" w:cs="Times New Roman"/>
                      <w:b w:val="0"/>
                      <w:bCs w:val="0"/>
                      <w:snapToGrid w:val="0"/>
                      <w:sz w:val="21"/>
                      <w:szCs w:val="21"/>
                      <w:vertAlign w:val="baseline"/>
                      <w:lang w:val="en-US" w:eastAsia="zh-CN"/>
                    </w:rPr>
                    <w:t>36.2</w:t>
                  </w:r>
                  <w:bookmarkEnd w:id="37"/>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38" w:name="_Toc13841"/>
                  <w:r>
                    <w:rPr>
                      <w:rFonts w:hint="eastAsia" w:ascii="Times New Roman" w:hAnsi="Times New Roman" w:eastAsia="宋体" w:cs="Times New Roman"/>
                      <w:b/>
                      <w:bCs/>
                      <w:snapToGrid w:val="0"/>
                      <w:sz w:val="21"/>
                      <w:szCs w:val="21"/>
                      <w:vertAlign w:val="baseline"/>
                      <w:lang w:val="en-US" w:eastAsia="zh-CN"/>
                    </w:rPr>
                    <w:t>/</w:t>
                  </w:r>
                  <w:bookmarkEnd w:id="38"/>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65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39" w:name="_Toc22015"/>
                  <w:r>
                    <w:rPr>
                      <w:rFonts w:hint="eastAsia" w:ascii="Times New Roman" w:hAnsi="Times New Roman" w:eastAsia="宋体" w:cs="Times New Roman"/>
                      <w:b w:val="0"/>
                      <w:bCs w:val="0"/>
                      <w:snapToGrid w:val="0"/>
                      <w:sz w:val="21"/>
                      <w:szCs w:val="21"/>
                      <w:vertAlign w:val="baseline"/>
                      <w:lang w:val="en-US" w:eastAsia="zh-CN"/>
                    </w:rPr>
                    <w:t>达标</w:t>
                  </w:r>
                  <w:bookmarkEnd w:id="39"/>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99" w:type="dxa"/>
                  <w:vMerge w:val="continue"/>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0" w:name="_Toc20033"/>
                  <w:r>
                    <w:rPr>
                      <w:rFonts w:hint="eastAsia" w:ascii="Times New Roman" w:hAnsi="Times New Roman" w:eastAsia="宋体" w:cs="Times New Roman"/>
                      <w:b w:val="0"/>
                      <w:bCs w:val="0"/>
                      <w:snapToGrid w:val="0"/>
                      <w:sz w:val="21"/>
                      <w:szCs w:val="21"/>
                      <w:vertAlign w:val="baseline"/>
                      <w:lang w:val="en-US" w:eastAsia="zh-CN"/>
                    </w:rPr>
                    <w:t>夜间</w:t>
                  </w:r>
                  <w:bookmarkEnd w:id="40"/>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1" w:name="_Toc9143"/>
                  <w:r>
                    <w:rPr>
                      <w:rFonts w:hint="eastAsia" w:ascii="Times New Roman" w:hAnsi="Times New Roman" w:eastAsia="宋体" w:cs="Times New Roman"/>
                      <w:b w:val="0"/>
                      <w:bCs w:val="0"/>
                      <w:snapToGrid w:val="0"/>
                      <w:sz w:val="21"/>
                      <w:szCs w:val="21"/>
                      <w:vertAlign w:val="baseline"/>
                      <w:lang w:val="en-US" w:eastAsia="zh-CN"/>
                    </w:rPr>
                    <w:t>36.2</w:t>
                  </w:r>
                  <w:bookmarkEnd w:id="41"/>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42" w:name="_Toc4626"/>
                  <w:r>
                    <w:rPr>
                      <w:rFonts w:hint="eastAsia" w:ascii="Times New Roman" w:hAnsi="Times New Roman" w:eastAsia="宋体" w:cs="Times New Roman"/>
                      <w:b/>
                      <w:bCs/>
                      <w:snapToGrid w:val="0"/>
                      <w:sz w:val="21"/>
                      <w:szCs w:val="21"/>
                      <w:vertAlign w:val="baseline"/>
                      <w:lang w:val="en-US" w:eastAsia="zh-CN"/>
                    </w:rPr>
                    <w:t>/</w:t>
                  </w:r>
                  <w:bookmarkEnd w:id="42"/>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55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3" w:name="_Toc24967"/>
                  <w:r>
                    <w:rPr>
                      <w:rFonts w:hint="eastAsia" w:ascii="Times New Roman" w:hAnsi="Times New Roman" w:eastAsia="宋体" w:cs="Times New Roman"/>
                      <w:b w:val="0"/>
                      <w:bCs w:val="0"/>
                      <w:snapToGrid w:val="0"/>
                      <w:sz w:val="21"/>
                      <w:szCs w:val="21"/>
                      <w:vertAlign w:val="baseline"/>
                      <w:lang w:val="en-US" w:eastAsia="zh-CN"/>
                    </w:rPr>
                    <w:t>达标</w:t>
                  </w:r>
                  <w:bookmarkEnd w:id="43"/>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1" w:hRule="atLeast"/>
                <w:jc w:val="center"/>
              </w:trPr>
              <w:tc>
                <w:tcPr>
                  <w:tcW w:w="1199" w:type="dxa"/>
                  <w:vMerge w:val="restart"/>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4" w:name="_Toc4058"/>
                  <w:r>
                    <w:rPr>
                      <w:rFonts w:hint="eastAsia" w:ascii="Times New Roman" w:hAnsi="Times New Roman" w:eastAsia="宋体" w:cs="Times New Roman"/>
                      <w:b w:val="0"/>
                      <w:bCs w:val="0"/>
                      <w:snapToGrid w:val="0"/>
                      <w:sz w:val="21"/>
                      <w:szCs w:val="21"/>
                      <w:vertAlign w:val="baseline"/>
                      <w:lang w:val="en-US" w:eastAsia="zh-CN"/>
                    </w:rPr>
                    <w:t>西北厂界</w:t>
                  </w:r>
                  <w:bookmarkEnd w:id="44"/>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5" w:name="_Toc31935"/>
                  <w:r>
                    <w:rPr>
                      <w:rFonts w:hint="eastAsia" w:ascii="Times New Roman" w:hAnsi="Times New Roman" w:eastAsia="宋体" w:cs="Times New Roman"/>
                      <w:b w:val="0"/>
                      <w:bCs w:val="0"/>
                      <w:snapToGrid w:val="0"/>
                      <w:sz w:val="21"/>
                      <w:szCs w:val="21"/>
                      <w:vertAlign w:val="baseline"/>
                      <w:lang w:val="en-US" w:eastAsia="zh-CN"/>
                    </w:rPr>
                    <w:t>昼间</w:t>
                  </w:r>
                  <w:bookmarkEnd w:id="45"/>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6" w:name="_Toc20068"/>
                  <w:r>
                    <w:rPr>
                      <w:rFonts w:hint="eastAsia" w:ascii="Times New Roman" w:hAnsi="Times New Roman" w:eastAsia="宋体" w:cs="Times New Roman"/>
                      <w:b w:val="0"/>
                      <w:bCs w:val="0"/>
                      <w:snapToGrid w:val="0"/>
                      <w:sz w:val="21"/>
                      <w:szCs w:val="21"/>
                      <w:vertAlign w:val="baseline"/>
                      <w:lang w:val="en-US" w:eastAsia="zh-CN"/>
                    </w:rPr>
                    <w:t>43.3</w:t>
                  </w:r>
                  <w:bookmarkEnd w:id="46"/>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47" w:name="_Toc20654"/>
                  <w:r>
                    <w:rPr>
                      <w:rFonts w:hint="eastAsia" w:ascii="Times New Roman" w:hAnsi="Times New Roman" w:eastAsia="宋体" w:cs="Times New Roman"/>
                      <w:b/>
                      <w:bCs/>
                      <w:snapToGrid w:val="0"/>
                      <w:sz w:val="21"/>
                      <w:szCs w:val="21"/>
                      <w:vertAlign w:val="baseline"/>
                      <w:lang w:val="en-US" w:eastAsia="zh-CN"/>
                    </w:rPr>
                    <w:t>/</w:t>
                  </w:r>
                  <w:bookmarkEnd w:id="47"/>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65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8" w:name="_Toc2553"/>
                  <w:r>
                    <w:rPr>
                      <w:rFonts w:hint="eastAsia" w:ascii="Times New Roman" w:hAnsi="Times New Roman" w:eastAsia="宋体" w:cs="Times New Roman"/>
                      <w:b w:val="0"/>
                      <w:bCs w:val="0"/>
                      <w:snapToGrid w:val="0"/>
                      <w:sz w:val="21"/>
                      <w:szCs w:val="21"/>
                      <w:vertAlign w:val="baseline"/>
                      <w:lang w:val="en-US" w:eastAsia="zh-CN"/>
                    </w:rPr>
                    <w:t>达标</w:t>
                  </w:r>
                  <w:bookmarkEnd w:id="48"/>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1" w:hRule="atLeast"/>
                <w:jc w:val="center"/>
              </w:trPr>
              <w:tc>
                <w:tcPr>
                  <w:tcW w:w="1199" w:type="dxa"/>
                  <w:vMerge w:val="continue"/>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49" w:name="_Toc16303"/>
                  <w:r>
                    <w:rPr>
                      <w:rFonts w:hint="eastAsia" w:ascii="Times New Roman" w:hAnsi="Times New Roman" w:eastAsia="宋体" w:cs="Times New Roman"/>
                      <w:b w:val="0"/>
                      <w:bCs w:val="0"/>
                      <w:snapToGrid w:val="0"/>
                      <w:sz w:val="21"/>
                      <w:szCs w:val="21"/>
                      <w:vertAlign w:val="baseline"/>
                      <w:lang w:val="en-US" w:eastAsia="zh-CN"/>
                    </w:rPr>
                    <w:t>夜间</w:t>
                  </w:r>
                  <w:bookmarkEnd w:id="49"/>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0" w:name="_Toc3977"/>
                  <w:r>
                    <w:rPr>
                      <w:rFonts w:hint="eastAsia" w:ascii="Times New Roman" w:hAnsi="Times New Roman" w:eastAsia="宋体" w:cs="Times New Roman"/>
                      <w:b w:val="0"/>
                      <w:bCs w:val="0"/>
                      <w:snapToGrid w:val="0"/>
                      <w:sz w:val="21"/>
                      <w:szCs w:val="21"/>
                      <w:vertAlign w:val="baseline"/>
                      <w:lang w:val="en-US" w:eastAsia="zh-CN"/>
                    </w:rPr>
                    <w:t>43.3</w:t>
                  </w:r>
                  <w:bookmarkEnd w:id="50"/>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51" w:name="_Toc5562"/>
                  <w:r>
                    <w:rPr>
                      <w:rFonts w:hint="eastAsia" w:ascii="Times New Roman" w:hAnsi="Times New Roman" w:eastAsia="宋体" w:cs="Times New Roman"/>
                      <w:b/>
                      <w:bCs/>
                      <w:snapToGrid w:val="0"/>
                      <w:sz w:val="21"/>
                      <w:szCs w:val="21"/>
                      <w:vertAlign w:val="baseline"/>
                      <w:lang w:val="en-US" w:eastAsia="zh-CN"/>
                    </w:rPr>
                    <w:t>/</w:t>
                  </w:r>
                  <w:bookmarkEnd w:id="51"/>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55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2" w:name="_Toc18728"/>
                  <w:r>
                    <w:rPr>
                      <w:rFonts w:hint="eastAsia" w:ascii="Times New Roman" w:hAnsi="Times New Roman" w:eastAsia="宋体" w:cs="Times New Roman"/>
                      <w:b w:val="0"/>
                      <w:bCs w:val="0"/>
                      <w:snapToGrid w:val="0"/>
                      <w:sz w:val="21"/>
                      <w:szCs w:val="21"/>
                      <w:vertAlign w:val="baseline"/>
                      <w:lang w:val="en-US" w:eastAsia="zh-CN"/>
                    </w:rPr>
                    <w:t>达标</w:t>
                  </w:r>
                  <w:bookmarkEnd w:id="52"/>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99" w:type="dxa"/>
                  <w:vMerge w:val="restart"/>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3" w:name="_Toc17259"/>
                  <w:r>
                    <w:rPr>
                      <w:rFonts w:hint="eastAsia" w:ascii="Times New Roman" w:hAnsi="Times New Roman" w:eastAsia="宋体" w:cs="Times New Roman"/>
                      <w:b w:val="0"/>
                      <w:bCs w:val="0"/>
                      <w:snapToGrid w:val="0"/>
                      <w:sz w:val="21"/>
                      <w:szCs w:val="21"/>
                      <w:vertAlign w:val="baseline"/>
                      <w:lang w:val="en-US" w:eastAsia="zh-CN"/>
                    </w:rPr>
                    <w:t>西南厂界</w:t>
                  </w:r>
                  <w:bookmarkEnd w:id="53"/>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4" w:name="_Toc21344"/>
                  <w:r>
                    <w:rPr>
                      <w:rFonts w:hint="eastAsia" w:ascii="Times New Roman" w:hAnsi="Times New Roman" w:eastAsia="宋体" w:cs="Times New Roman"/>
                      <w:b w:val="0"/>
                      <w:bCs w:val="0"/>
                      <w:snapToGrid w:val="0"/>
                      <w:sz w:val="21"/>
                      <w:szCs w:val="21"/>
                      <w:vertAlign w:val="baseline"/>
                      <w:lang w:val="en-US" w:eastAsia="zh-CN"/>
                    </w:rPr>
                    <w:t>昼间</w:t>
                  </w:r>
                  <w:bookmarkEnd w:id="54"/>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5" w:name="_Toc9334"/>
                  <w:r>
                    <w:rPr>
                      <w:rFonts w:hint="eastAsia" w:ascii="Times New Roman" w:hAnsi="Times New Roman" w:eastAsia="宋体" w:cs="Times New Roman"/>
                      <w:b w:val="0"/>
                      <w:bCs w:val="0"/>
                      <w:snapToGrid w:val="0"/>
                      <w:sz w:val="21"/>
                      <w:szCs w:val="21"/>
                      <w:vertAlign w:val="baseline"/>
                      <w:lang w:val="en-US" w:eastAsia="zh-CN"/>
                    </w:rPr>
                    <w:t>37.8</w:t>
                  </w:r>
                  <w:bookmarkEnd w:id="55"/>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bookmarkStart w:id="56" w:name="_Toc30398"/>
                  <w:r>
                    <w:rPr>
                      <w:rFonts w:hint="eastAsia" w:ascii="Times New Roman" w:hAnsi="Times New Roman" w:eastAsia="宋体" w:cs="Times New Roman"/>
                      <w:b/>
                      <w:bCs/>
                      <w:snapToGrid w:val="0"/>
                      <w:sz w:val="21"/>
                      <w:szCs w:val="21"/>
                      <w:vertAlign w:val="baseline"/>
                      <w:lang w:val="en-US" w:eastAsia="zh-CN"/>
                    </w:rPr>
                    <w:t>/</w:t>
                  </w:r>
                  <w:bookmarkEnd w:id="56"/>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65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7" w:name="_Toc31985"/>
                  <w:r>
                    <w:rPr>
                      <w:rFonts w:hint="eastAsia" w:ascii="Times New Roman" w:hAnsi="Times New Roman" w:eastAsia="宋体" w:cs="Times New Roman"/>
                      <w:b w:val="0"/>
                      <w:bCs w:val="0"/>
                      <w:snapToGrid w:val="0"/>
                      <w:sz w:val="21"/>
                      <w:szCs w:val="21"/>
                      <w:vertAlign w:val="baseline"/>
                      <w:lang w:val="en-US" w:eastAsia="zh-CN"/>
                    </w:rPr>
                    <w:t>达标</w:t>
                  </w:r>
                  <w:bookmarkEnd w:id="57"/>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99" w:type="dxa"/>
                  <w:vMerge w:val="continue"/>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8" w:name="_Toc14978"/>
                  <w:r>
                    <w:rPr>
                      <w:rFonts w:hint="eastAsia" w:ascii="Times New Roman" w:hAnsi="Times New Roman" w:eastAsia="宋体" w:cs="Times New Roman"/>
                      <w:b w:val="0"/>
                      <w:bCs w:val="0"/>
                      <w:snapToGrid w:val="0"/>
                      <w:sz w:val="21"/>
                      <w:szCs w:val="21"/>
                      <w:vertAlign w:val="baseline"/>
                      <w:lang w:val="en-US" w:eastAsia="zh-CN"/>
                    </w:rPr>
                    <w:t>夜间</w:t>
                  </w:r>
                  <w:bookmarkEnd w:id="58"/>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59" w:name="_Toc29781"/>
                  <w:r>
                    <w:rPr>
                      <w:rFonts w:hint="eastAsia" w:ascii="Times New Roman" w:hAnsi="Times New Roman" w:eastAsia="宋体" w:cs="Times New Roman"/>
                      <w:b w:val="0"/>
                      <w:bCs w:val="0"/>
                      <w:snapToGrid w:val="0"/>
                      <w:sz w:val="21"/>
                      <w:szCs w:val="21"/>
                      <w:vertAlign w:val="baseline"/>
                      <w:lang w:val="en-US" w:eastAsia="zh-CN"/>
                    </w:rPr>
                    <w:t>37.8</w:t>
                  </w:r>
                  <w:bookmarkEnd w:id="59"/>
                </w:p>
              </w:tc>
              <w:tc>
                <w:tcPr>
                  <w:tcW w:w="1199" w:type="dxa"/>
                  <w:noWrap w:val="0"/>
                  <w:vAlign w:val="center"/>
                </w:tcPr>
                <w:p>
                  <w:pPr>
                    <w:pStyle w:val="37"/>
                    <w:numPr>
                      <w:ilvl w:val="0"/>
                      <w:numId w:val="0"/>
                    </w:numPr>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bCs/>
                      <w:snapToGrid w:val="0"/>
                      <w:sz w:val="21"/>
                      <w:szCs w:val="21"/>
                      <w:vertAlign w:val="baseline"/>
                      <w:lang w:val="en-US" w:eastAsia="zh-CN"/>
                    </w:rPr>
                  </w:pPr>
                  <w:r>
                    <w:rPr>
                      <w:rFonts w:hint="eastAsia" w:ascii="Times New Roman" w:hAnsi="Times New Roman" w:eastAsia="宋体" w:cs="Times New Roman"/>
                      <w:b/>
                      <w:bCs/>
                      <w:snapToGrid w:val="0"/>
                      <w:sz w:val="21"/>
                      <w:szCs w:val="21"/>
                      <w:vertAlign w:val="baseline"/>
                      <w:lang w:val="en-US" w:eastAsia="zh-CN"/>
                    </w:rPr>
                    <w:t>/</w:t>
                  </w:r>
                </w:p>
              </w:tc>
              <w:tc>
                <w:tcPr>
                  <w:tcW w:w="1199" w:type="dxa"/>
                  <w:noWrap w:val="0"/>
                  <w:vAlign w:val="center"/>
                </w:tcPr>
                <w:p>
                  <w:pPr>
                    <w:pStyle w:val="37"/>
                    <w:numPr>
                      <w:ilvl w:val="0"/>
                      <w:numId w:val="0"/>
                    </w:numPr>
                    <w:ind w:left="0" w:leftChars="0" w:firstLine="0" w:firstLineChars="0"/>
                    <w:jc w:val="center"/>
                    <w:outlineLvl w:val="0"/>
                    <w:rPr>
                      <w:rFonts w:hint="default" w:ascii="Times New Roman" w:hAnsi="Times New Roman" w:eastAsia="宋体" w:cs="Times New Roman"/>
                      <w:b w:val="0"/>
                      <w:bCs w:val="0"/>
                      <w:snapToGrid w:val="0"/>
                      <w:sz w:val="21"/>
                      <w:szCs w:val="21"/>
                      <w:vertAlign w:val="baseline"/>
                      <w:lang w:val="en-US" w:eastAsia="zh-CN"/>
                    </w:rPr>
                  </w:pPr>
                  <w:r>
                    <w:rPr>
                      <w:rFonts w:hint="eastAsia" w:ascii="Times New Roman" w:hAnsi="Times New Roman" w:eastAsia="宋体" w:cs="Times New Roman"/>
                      <w:b w:val="0"/>
                      <w:bCs w:val="0"/>
                      <w:snapToGrid w:val="0"/>
                      <w:sz w:val="21"/>
                      <w:szCs w:val="21"/>
                      <w:vertAlign w:val="baseline"/>
                      <w:lang w:val="en-US" w:eastAsia="zh-CN"/>
                    </w:rPr>
                    <w:t>55</w:t>
                  </w:r>
                </w:p>
              </w:tc>
              <w:tc>
                <w:tcPr>
                  <w:tcW w:w="1201" w:type="dxa"/>
                  <w:noWrap w:val="0"/>
                  <w:vAlign w:val="center"/>
                </w:tcPr>
                <w:p>
                  <w:pPr>
                    <w:pStyle w:val="37"/>
                    <w:numPr>
                      <w:ilvl w:val="0"/>
                      <w:numId w:val="0"/>
                    </w:numPr>
                    <w:jc w:val="center"/>
                    <w:outlineLvl w:val="0"/>
                    <w:rPr>
                      <w:rFonts w:hint="default" w:ascii="Times New Roman" w:hAnsi="Times New Roman" w:eastAsia="宋体" w:cs="Times New Roman"/>
                      <w:b w:val="0"/>
                      <w:bCs w:val="0"/>
                      <w:snapToGrid w:val="0"/>
                      <w:sz w:val="21"/>
                      <w:szCs w:val="21"/>
                      <w:vertAlign w:val="baseline"/>
                      <w:lang w:val="en-US" w:eastAsia="zh-CN"/>
                    </w:rPr>
                  </w:pPr>
                  <w:bookmarkStart w:id="60" w:name="_Toc11988"/>
                  <w:r>
                    <w:rPr>
                      <w:rFonts w:hint="eastAsia" w:ascii="Times New Roman" w:hAnsi="Times New Roman" w:eastAsia="宋体" w:cs="Times New Roman"/>
                      <w:b w:val="0"/>
                      <w:bCs w:val="0"/>
                      <w:snapToGrid w:val="0"/>
                      <w:sz w:val="21"/>
                      <w:szCs w:val="21"/>
                      <w:vertAlign w:val="baseline"/>
                      <w:lang w:val="en-US" w:eastAsia="zh-CN"/>
                    </w:rPr>
                    <w:t>达标</w:t>
                  </w:r>
                  <w:bookmarkEnd w:id="60"/>
                </w:p>
              </w:tc>
            </w:tr>
          </w:tbl>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根据预测结果可知，项目北侧、东侧、南侧、西侧厂界昼、夜间噪声贡献值均达标，满足《工业企业厂界环境噪声排放标准》</w:t>
            </w:r>
            <w:r>
              <w:rPr>
                <w:rFonts w:hint="eastAsia" w:eastAsia="宋体" w:cs="Times New Roman"/>
                <w:b w:val="0"/>
                <w:bCs w:val="0"/>
                <w:color w:val="auto"/>
                <w:kern w:val="0"/>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rPr>
              <w:t>GB12348-2008）中</w:t>
            </w:r>
            <w:r>
              <w:rPr>
                <w:rFonts w:hint="eastAsia" w:eastAsia="宋体" w:cs="Times New Roman"/>
                <w:b w:val="0"/>
                <w:bCs w:val="0"/>
                <w:color w:val="auto"/>
                <w:kern w:val="0"/>
                <w:sz w:val="24"/>
                <w:szCs w:val="24"/>
                <w:highlight w:val="none"/>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类声功能区厂界环境噪声排放标准限值要求。不会改变区域声功能现状；同时根据现场查看，项目周边50m范围内无声环境敏感点存在，项目营运期对声环境影响较小。</w:t>
            </w:r>
          </w:p>
          <w:p>
            <w:pPr>
              <w:numPr>
                <w:ilvl w:val="0"/>
                <w:numId w:val="0"/>
              </w:numPr>
              <w:adjustRightInd w:val="0"/>
              <w:snapToGrid w:val="0"/>
              <w:spacing w:line="360" w:lineRule="auto"/>
              <w:ind w:firstLine="480" w:firstLineChars="200"/>
              <w:jc w:val="left"/>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本项目监测计划见下表。</w:t>
            </w:r>
          </w:p>
          <w:p>
            <w:pPr>
              <w:keepNext w:val="0"/>
              <w:keepLines w:val="0"/>
              <w:widowControl/>
              <w:suppressLineNumbers w:val="0"/>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000000"/>
                <w:kern w:val="0"/>
                <w:sz w:val="21"/>
                <w:szCs w:val="21"/>
                <w:lang w:val="en-US" w:eastAsia="zh-CN" w:bidi="ar"/>
              </w:rPr>
              <w:t>表4-11  噪声监测计划一览表</w:t>
            </w:r>
          </w:p>
          <w:tbl>
            <w:tblPr>
              <w:tblStyle w:val="42"/>
              <w:tblW w:w="831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8"/>
              <w:gridCol w:w="1619"/>
              <w:gridCol w:w="1608"/>
              <w:gridCol w:w="18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61" w:name="_Toc6632"/>
                  <w:r>
                    <w:rPr>
                      <w:rFonts w:hint="eastAsia" w:ascii="Times New Roman" w:hAnsi="Times New Roman" w:eastAsia="宋体" w:cs="Times New Roman"/>
                      <w:b/>
                      <w:bCs/>
                      <w:color w:val="auto"/>
                      <w:kern w:val="0"/>
                      <w:sz w:val="21"/>
                      <w:szCs w:val="21"/>
                      <w:highlight w:val="none"/>
                      <w:vertAlign w:val="baseline"/>
                      <w:lang w:val="en-US" w:eastAsia="zh-CN" w:bidi="ar-SA"/>
                    </w:rPr>
                    <w:t>类别</w:t>
                  </w:r>
                  <w:bookmarkEnd w:id="61"/>
                </w:p>
              </w:tc>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62" w:name="_Toc24096"/>
                  <w:r>
                    <w:rPr>
                      <w:rFonts w:hint="eastAsia" w:ascii="Times New Roman" w:hAnsi="Times New Roman" w:eastAsia="宋体" w:cs="Times New Roman"/>
                      <w:b/>
                      <w:bCs/>
                      <w:color w:val="auto"/>
                      <w:kern w:val="0"/>
                      <w:sz w:val="21"/>
                      <w:szCs w:val="21"/>
                      <w:highlight w:val="none"/>
                      <w:vertAlign w:val="baseline"/>
                      <w:lang w:val="en-US" w:eastAsia="zh-CN" w:bidi="ar-SA"/>
                    </w:rPr>
                    <w:t>监测点位</w:t>
                  </w:r>
                  <w:bookmarkEnd w:id="62"/>
                </w:p>
              </w:tc>
              <w:tc>
                <w:tcPr>
                  <w:tcW w:w="1619"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63" w:name="_Toc27467"/>
                  <w:r>
                    <w:rPr>
                      <w:rFonts w:hint="eastAsia" w:ascii="Times New Roman" w:hAnsi="Times New Roman" w:eastAsia="宋体" w:cs="Times New Roman"/>
                      <w:b/>
                      <w:bCs/>
                      <w:color w:val="auto"/>
                      <w:kern w:val="0"/>
                      <w:sz w:val="21"/>
                      <w:szCs w:val="21"/>
                      <w:highlight w:val="none"/>
                      <w:vertAlign w:val="baseline"/>
                      <w:lang w:val="en-US" w:eastAsia="zh-CN" w:bidi="ar-SA"/>
                    </w:rPr>
                    <w:t>监测指标</w:t>
                  </w:r>
                  <w:bookmarkEnd w:id="63"/>
                </w:p>
              </w:tc>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64" w:name="_Toc14278"/>
                  <w:r>
                    <w:rPr>
                      <w:rFonts w:hint="eastAsia" w:ascii="Times New Roman" w:hAnsi="Times New Roman" w:eastAsia="宋体" w:cs="Times New Roman"/>
                      <w:b/>
                      <w:bCs/>
                      <w:color w:val="auto"/>
                      <w:kern w:val="0"/>
                      <w:sz w:val="21"/>
                      <w:szCs w:val="21"/>
                      <w:highlight w:val="none"/>
                      <w:vertAlign w:val="baseline"/>
                      <w:lang w:val="en-US" w:eastAsia="zh-CN" w:bidi="ar-SA"/>
                    </w:rPr>
                    <w:t>监测频次</w:t>
                  </w:r>
                  <w:bookmarkEnd w:id="64"/>
                </w:p>
              </w:tc>
              <w:tc>
                <w:tcPr>
                  <w:tcW w:w="1876"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65" w:name="_Toc12818"/>
                  <w:r>
                    <w:rPr>
                      <w:rFonts w:hint="eastAsia" w:ascii="Times New Roman" w:hAnsi="Times New Roman" w:eastAsia="宋体" w:cs="Times New Roman"/>
                      <w:b/>
                      <w:bCs/>
                      <w:color w:val="auto"/>
                      <w:kern w:val="0"/>
                      <w:sz w:val="21"/>
                      <w:szCs w:val="21"/>
                      <w:highlight w:val="none"/>
                      <w:vertAlign w:val="baseline"/>
                      <w:lang w:val="en-US" w:eastAsia="zh-CN" w:bidi="ar-SA"/>
                    </w:rPr>
                    <w:t>执行标准</w:t>
                  </w:r>
                  <w:bookmarkEnd w:id="65"/>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val="0"/>
                      <w:bCs w:val="0"/>
                      <w:color w:val="auto"/>
                      <w:kern w:val="0"/>
                      <w:sz w:val="21"/>
                      <w:szCs w:val="21"/>
                      <w:highlight w:val="none"/>
                      <w:vertAlign w:val="baseline"/>
                      <w:lang w:val="en-US" w:eastAsia="zh-CN" w:bidi="ar-SA"/>
                    </w:rPr>
                  </w:pPr>
                  <w:bookmarkStart w:id="66" w:name="_Toc12515"/>
                  <w:r>
                    <w:rPr>
                      <w:rFonts w:hint="eastAsia" w:ascii="Times New Roman" w:hAnsi="Times New Roman" w:eastAsia="宋体" w:cs="Times New Roman"/>
                      <w:b w:val="0"/>
                      <w:bCs w:val="0"/>
                      <w:color w:val="auto"/>
                      <w:kern w:val="0"/>
                      <w:sz w:val="21"/>
                      <w:szCs w:val="21"/>
                      <w:highlight w:val="none"/>
                      <w:vertAlign w:val="baseline"/>
                      <w:lang w:val="en-US" w:eastAsia="zh-CN" w:bidi="ar-SA"/>
                    </w:rPr>
                    <w:t>工业企业厂界噪声</w:t>
                  </w:r>
                  <w:bookmarkEnd w:id="66"/>
                </w:p>
              </w:tc>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val="0"/>
                      <w:bCs w:val="0"/>
                      <w:color w:val="auto"/>
                      <w:kern w:val="0"/>
                      <w:sz w:val="21"/>
                      <w:szCs w:val="21"/>
                      <w:highlight w:val="none"/>
                      <w:vertAlign w:val="baseline"/>
                      <w:lang w:val="en-US" w:eastAsia="zh-CN" w:bidi="ar-SA"/>
                    </w:rPr>
                  </w:pPr>
                  <w:bookmarkStart w:id="67" w:name="_Toc1155"/>
                  <w:r>
                    <w:rPr>
                      <w:rFonts w:hint="eastAsia" w:ascii="Times New Roman" w:hAnsi="Times New Roman" w:eastAsia="宋体" w:cs="Times New Roman"/>
                      <w:b w:val="0"/>
                      <w:bCs w:val="0"/>
                      <w:color w:val="auto"/>
                      <w:kern w:val="0"/>
                      <w:sz w:val="21"/>
                      <w:szCs w:val="21"/>
                      <w:highlight w:val="none"/>
                      <w:vertAlign w:val="baseline"/>
                      <w:lang w:val="en-US" w:eastAsia="zh-CN" w:bidi="ar-SA"/>
                    </w:rPr>
                    <w:t>厂界四周</w:t>
                  </w:r>
                  <w:bookmarkEnd w:id="67"/>
                </w:p>
              </w:tc>
              <w:tc>
                <w:tcPr>
                  <w:tcW w:w="1619"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val="0"/>
                      <w:bCs w:val="0"/>
                      <w:color w:val="auto"/>
                      <w:kern w:val="0"/>
                      <w:sz w:val="21"/>
                      <w:szCs w:val="21"/>
                      <w:highlight w:val="none"/>
                      <w:vertAlign w:val="baseline"/>
                      <w:lang w:val="en-US" w:eastAsia="zh-CN" w:bidi="ar-SA"/>
                    </w:rPr>
                  </w:pPr>
                  <w:bookmarkStart w:id="68" w:name="_Toc3548"/>
                  <w:r>
                    <w:rPr>
                      <w:rFonts w:hint="eastAsia" w:ascii="Times New Roman" w:hAnsi="Times New Roman" w:eastAsia="宋体" w:cs="Times New Roman"/>
                      <w:b w:val="0"/>
                      <w:bCs w:val="0"/>
                      <w:color w:val="auto"/>
                      <w:kern w:val="0"/>
                      <w:sz w:val="21"/>
                      <w:szCs w:val="21"/>
                      <w:highlight w:val="none"/>
                      <w:vertAlign w:val="baseline"/>
                      <w:lang w:val="en-US" w:eastAsia="zh-CN" w:bidi="ar-SA"/>
                    </w:rPr>
                    <w:t>昼间L</w:t>
                  </w:r>
                  <w:r>
                    <w:rPr>
                      <w:rFonts w:hint="eastAsia" w:ascii="Times New Roman" w:hAnsi="Times New Roman" w:eastAsia="宋体" w:cs="Times New Roman"/>
                      <w:b w:val="0"/>
                      <w:bCs w:val="0"/>
                      <w:color w:val="auto"/>
                      <w:kern w:val="0"/>
                      <w:sz w:val="21"/>
                      <w:szCs w:val="21"/>
                      <w:highlight w:val="none"/>
                      <w:vertAlign w:val="subscript"/>
                      <w:lang w:val="en-US" w:eastAsia="zh-CN" w:bidi="ar-SA"/>
                    </w:rPr>
                    <w:t>eq</w:t>
                  </w:r>
                  <w:r>
                    <w:rPr>
                      <w:rFonts w:hint="eastAsia" w:ascii="Times New Roman" w:hAnsi="Times New Roman" w:eastAsia="宋体" w:cs="Times New Roman"/>
                      <w:b w:val="0"/>
                      <w:bCs w:val="0"/>
                      <w:color w:val="auto"/>
                      <w:kern w:val="0"/>
                      <w:sz w:val="21"/>
                      <w:szCs w:val="21"/>
                      <w:highlight w:val="none"/>
                      <w:vertAlign w:val="baseline"/>
                      <w:lang w:val="en-US" w:eastAsia="zh-CN" w:bidi="ar-SA"/>
                    </w:rPr>
                    <w:t>、夜间L</w:t>
                  </w:r>
                  <w:r>
                    <w:rPr>
                      <w:rFonts w:hint="eastAsia" w:ascii="Times New Roman" w:hAnsi="Times New Roman" w:eastAsia="宋体" w:cs="Times New Roman"/>
                      <w:b w:val="0"/>
                      <w:bCs w:val="0"/>
                      <w:color w:val="auto"/>
                      <w:kern w:val="0"/>
                      <w:sz w:val="21"/>
                      <w:szCs w:val="21"/>
                      <w:highlight w:val="none"/>
                      <w:vertAlign w:val="subscript"/>
                      <w:lang w:val="en-US" w:eastAsia="zh-CN" w:bidi="ar-SA"/>
                    </w:rPr>
                    <w:t>eq</w:t>
                  </w:r>
                  <w:r>
                    <w:rPr>
                      <w:rFonts w:hint="eastAsia" w:ascii="Times New Roman" w:hAnsi="Times New Roman" w:eastAsia="宋体" w:cs="Times New Roman"/>
                      <w:b w:val="0"/>
                      <w:bCs w:val="0"/>
                      <w:color w:val="auto"/>
                      <w:kern w:val="0"/>
                      <w:sz w:val="21"/>
                      <w:szCs w:val="21"/>
                      <w:highlight w:val="none"/>
                      <w:vertAlign w:val="baseline"/>
                      <w:lang w:val="en-US" w:eastAsia="zh-CN" w:bidi="ar-SA"/>
                    </w:rPr>
                    <w:t>、L</w:t>
                  </w:r>
                  <w:r>
                    <w:rPr>
                      <w:rFonts w:hint="eastAsia" w:ascii="Times New Roman" w:hAnsi="Times New Roman" w:eastAsia="宋体" w:cs="Times New Roman"/>
                      <w:b w:val="0"/>
                      <w:bCs w:val="0"/>
                      <w:color w:val="auto"/>
                      <w:kern w:val="0"/>
                      <w:sz w:val="21"/>
                      <w:szCs w:val="21"/>
                      <w:highlight w:val="none"/>
                      <w:vertAlign w:val="subscript"/>
                      <w:lang w:val="en-US" w:eastAsia="zh-CN" w:bidi="ar-SA"/>
                    </w:rPr>
                    <w:t>max</w:t>
                  </w:r>
                  <w:bookmarkEnd w:id="68"/>
                </w:p>
              </w:tc>
              <w:tc>
                <w:tcPr>
                  <w:tcW w:w="1608"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val="0"/>
                      <w:bCs w:val="0"/>
                      <w:color w:val="auto"/>
                      <w:kern w:val="0"/>
                      <w:sz w:val="21"/>
                      <w:szCs w:val="21"/>
                      <w:highlight w:val="none"/>
                      <w:vertAlign w:val="baseline"/>
                      <w:lang w:val="en-US" w:eastAsia="zh-CN" w:bidi="ar-SA"/>
                    </w:rPr>
                  </w:pPr>
                  <w:bookmarkStart w:id="69" w:name="_Toc18390"/>
                  <w:r>
                    <w:rPr>
                      <w:rFonts w:hint="eastAsia" w:ascii="Times New Roman" w:hAnsi="Times New Roman" w:eastAsia="宋体" w:cs="Times New Roman"/>
                      <w:b w:val="0"/>
                      <w:bCs w:val="0"/>
                      <w:color w:val="auto"/>
                      <w:kern w:val="0"/>
                      <w:sz w:val="21"/>
                      <w:szCs w:val="21"/>
                      <w:highlight w:val="none"/>
                      <w:vertAlign w:val="baseline"/>
                      <w:lang w:val="en-US" w:eastAsia="zh-CN" w:bidi="ar-SA"/>
                    </w:rPr>
                    <w:t>1次/季</w:t>
                  </w:r>
                  <w:bookmarkEnd w:id="69"/>
                </w:p>
              </w:tc>
              <w:tc>
                <w:tcPr>
                  <w:tcW w:w="1876" w:type="dxa"/>
                  <w:noWrap w:val="0"/>
                  <w:vAlign w:val="center"/>
                </w:tcPr>
                <w:p>
                  <w:pPr>
                    <w:pStyle w:val="37"/>
                    <w:numPr>
                      <w:ilvl w:val="0"/>
                      <w:numId w:val="0"/>
                    </w:numPr>
                    <w:spacing w:line="240" w:lineRule="auto"/>
                    <w:jc w:val="center"/>
                    <w:outlineLvl w:val="0"/>
                    <w:rPr>
                      <w:rFonts w:hint="default" w:ascii="Times New Roman" w:hAnsi="Times New Roman" w:eastAsia="宋体" w:cs="Times New Roman"/>
                      <w:b/>
                      <w:bCs/>
                      <w:color w:val="auto"/>
                      <w:kern w:val="0"/>
                      <w:sz w:val="21"/>
                      <w:szCs w:val="21"/>
                      <w:highlight w:val="none"/>
                      <w:vertAlign w:val="baseline"/>
                      <w:lang w:val="en-US" w:eastAsia="zh-CN" w:bidi="ar-SA"/>
                    </w:rPr>
                  </w:pPr>
                  <w:bookmarkStart w:id="70" w:name="_Toc12231"/>
                  <w:r>
                    <w:rPr>
                      <w:rFonts w:hint="default" w:ascii="Times New Roman" w:hAnsi="Times New Roman" w:eastAsia="宋体" w:cs="Times New Roman"/>
                      <w:b w:val="0"/>
                      <w:bCs w:val="0"/>
                      <w:color w:val="auto"/>
                      <w:kern w:val="0"/>
                      <w:sz w:val="21"/>
                      <w:szCs w:val="21"/>
                      <w:highlight w:val="none"/>
                      <w:lang w:val="en-US" w:eastAsia="zh-CN" w:bidi="ar-SA"/>
                    </w:rPr>
                    <w:t>《工业企业厂界环境噪声排放标准》</w:t>
                  </w:r>
                  <w:r>
                    <w:rPr>
                      <w:rFonts w:hint="eastAsia" w:ascii="Times New Roman" w:hAnsi="Times New Roman" w:eastAsia="宋体" w:cs="Times New Roman"/>
                      <w:b w:val="0"/>
                      <w:bCs w:val="0"/>
                      <w:color w:val="auto"/>
                      <w:kern w:val="0"/>
                      <w:sz w:val="21"/>
                      <w:szCs w:val="21"/>
                      <w:highlight w:val="none"/>
                      <w:lang w:val="en-US" w:eastAsia="zh-CN" w:bidi="ar-SA"/>
                    </w:rPr>
                    <w:t>（</w:t>
                  </w:r>
                  <w:r>
                    <w:rPr>
                      <w:rFonts w:hint="default" w:ascii="Times New Roman" w:hAnsi="Times New Roman" w:eastAsia="宋体" w:cs="Times New Roman"/>
                      <w:b w:val="0"/>
                      <w:bCs w:val="0"/>
                      <w:color w:val="auto"/>
                      <w:kern w:val="0"/>
                      <w:sz w:val="21"/>
                      <w:szCs w:val="21"/>
                      <w:highlight w:val="none"/>
                      <w:lang w:val="en-US" w:eastAsia="zh-CN" w:bidi="ar-SA"/>
                    </w:rPr>
                    <w:t>GB12348-2008）</w:t>
                  </w:r>
                  <w:r>
                    <w:rPr>
                      <w:rFonts w:hint="eastAsia" w:ascii="Times New Roman" w:hAnsi="Times New Roman" w:eastAsia="宋体" w:cs="Times New Roman"/>
                      <w:b w:val="0"/>
                      <w:bCs w:val="0"/>
                      <w:color w:val="auto"/>
                      <w:kern w:val="0"/>
                      <w:sz w:val="21"/>
                      <w:szCs w:val="21"/>
                      <w:highlight w:val="none"/>
                      <w:lang w:val="en-US" w:eastAsia="zh-CN" w:bidi="ar-SA"/>
                    </w:rPr>
                    <w:t>3</w:t>
                  </w:r>
                  <w:r>
                    <w:rPr>
                      <w:rFonts w:hint="default" w:ascii="Times New Roman" w:hAnsi="Times New Roman" w:eastAsia="宋体" w:cs="Times New Roman"/>
                      <w:b w:val="0"/>
                      <w:bCs w:val="0"/>
                      <w:color w:val="auto"/>
                      <w:kern w:val="0"/>
                      <w:sz w:val="21"/>
                      <w:szCs w:val="21"/>
                      <w:highlight w:val="none"/>
                      <w:lang w:val="en-US" w:eastAsia="zh-CN" w:bidi="ar-SA"/>
                    </w:rPr>
                    <w:t>类</w:t>
                  </w:r>
                  <w:r>
                    <w:rPr>
                      <w:rFonts w:hint="eastAsia" w:ascii="Times New Roman" w:hAnsi="Times New Roman" w:eastAsia="宋体" w:cs="Times New Roman"/>
                      <w:b w:val="0"/>
                      <w:bCs w:val="0"/>
                      <w:color w:val="auto"/>
                      <w:kern w:val="0"/>
                      <w:sz w:val="21"/>
                      <w:szCs w:val="21"/>
                      <w:highlight w:val="none"/>
                      <w:lang w:val="en-US" w:eastAsia="zh-CN" w:bidi="ar-SA"/>
                    </w:rPr>
                    <w:t>标准</w:t>
                  </w:r>
                  <w:bookmarkEnd w:id="70"/>
                </w:p>
              </w:tc>
            </w:tr>
          </w:tbl>
          <w:p>
            <w:pPr>
              <w:numPr>
                <w:ilvl w:val="0"/>
                <w:numId w:val="0"/>
              </w:numPr>
              <w:adjustRightInd w:val="0"/>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四</w:t>
            </w:r>
            <w:r>
              <w:rPr>
                <w:rFonts w:hint="eastAsia" w:ascii="宋体" w:hAnsi="宋体" w:eastAsia="宋体" w:cs="宋体"/>
                <w:b/>
                <w:bCs/>
                <w:color w:val="auto"/>
                <w:kern w:val="0"/>
                <w:sz w:val="24"/>
                <w:szCs w:val="24"/>
                <w:highlight w:val="none"/>
                <w:lang w:val="en-US" w:eastAsia="zh-CN"/>
              </w:rPr>
              <w:t>、固体废物</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固体废物产排情况</w:t>
            </w:r>
          </w:p>
          <w:p>
            <w:pPr>
              <w:numPr>
                <w:ilvl w:val="0"/>
                <w:numId w:val="0"/>
              </w:numPr>
              <w:adjustRightInd w:val="0"/>
              <w:snapToGrid w:val="0"/>
              <w:spacing w:line="360" w:lineRule="auto"/>
              <w:ind w:firstLine="480" w:firstLineChars="200"/>
              <w:jc w:val="left"/>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rPr>
              <w:t>项目运营期产生</w:t>
            </w:r>
            <w:r>
              <w:rPr>
                <w:rFonts w:hint="eastAsia" w:ascii="宋体" w:hAnsi="宋体" w:eastAsia="宋体" w:cs="宋体"/>
                <w:b w:val="0"/>
                <w:bCs w:val="0"/>
                <w:color w:val="auto"/>
                <w:kern w:val="0"/>
                <w:sz w:val="24"/>
                <w:szCs w:val="24"/>
                <w:highlight w:val="none"/>
                <w:lang w:val="en-US" w:eastAsia="zh-CN" w:bidi="ar-SA"/>
              </w:rPr>
              <w:t>的固体废物主要为主要生活垃圾、一般工业固体废物。</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SA"/>
              </w:rPr>
            </w:pPr>
            <w:r>
              <w:rPr>
                <w:rFonts w:hint="eastAsia" w:eastAsia="宋体" w:cs="Times New Roman"/>
                <w:b w:val="0"/>
                <w:bCs w:val="0"/>
                <w:color w:val="auto"/>
                <w:kern w:val="0"/>
                <w:sz w:val="24"/>
                <w:szCs w:val="24"/>
                <w:lang w:val="en-US" w:eastAsia="zh-CN" w:bidi="ar-SA"/>
              </w:rPr>
              <w:t>（</w:t>
            </w:r>
            <w:r>
              <w:rPr>
                <w:rFonts w:hint="default" w:ascii="Times New Roman" w:hAnsi="Times New Roman" w:eastAsia="宋体" w:cs="Times New Roman"/>
                <w:b w:val="0"/>
                <w:bCs w:val="0"/>
                <w:color w:val="auto"/>
                <w:kern w:val="0"/>
                <w:sz w:val="24"/>
                <w:szCs w:val="24"/>
                <w:lang w:val="en-US" w:eastAsia="zh-CN" w:bidi="ar-SA"/>
              </w:rPr>
              <w:t>1）</w:t>
            </w:r>
            <w:r>
              <w:rPr>
                <w:rFonts w:hint="default" w:ascii="Times New Roman" w:hAnsi="Times New Roman" w:eastAsia="宋体" w:cs="Times New Roman"/>
                <w:b w:val="0"/>
                <w:bCs w:val="0"/>
                <w:color w:val="auto"/>
                <w:kern w:val="0"/>
                <w:sz w:val="24"/>
                <w:szCs w:val="24"/>
                <w:highlight w:val="none"/>
                <w:lang w:val="en-US" w:eastAsia="zh-CN" w:bidi="ar-SA"/>
              </w:rPr>
              <w:t>生活垃圾</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本项目劳动定员</w:t>
            </w:r>
            <w:r>
              <w:rPr>
                <w:rFonts w:hint="eastAsia" w:ascii="Times New Roman" w:hAnsi="Times New Roman" w:eastAsia="宋体" w:cs="Times New Roman"/>
                <w:b w:val="0"/>
                <w:bCs w:val="0"/>
                <w:color w:val="auto"/>
                <w:kern w:val="0"/>
                <w:sz w:val="24"/>
                <w:szCs w:val="24"/>
                <w:highlight w:val="none"/>
                <w:lang w:val="en-US" w:eastAsia="zh-CN" w:bidi="ar-SA"/>
              </w:rPr>
              <w:t>300</w:t>
            </w:r>
            <w:r>
              <w:rPr>
                <w:rFonts w:hint="default" w:ascii="Times New Roman" w:hAnsi="Times New Roman" w:eastAsia="宋体" w:cs="Times New Roman"/>
                <w:b w:val="0"/>
                <w:bCs w:val="0"/>
                <w:color w:val="auto"/>
                <w:kern w:val="0"/>
                <w:sz w:val="24"/>
                <w:szCs w:val="24"/>
                <w:highlight w:val="none"/>
                <w:lang w:val="en-US" w:eastAsia="zh-CN" w:bidi="ar-SA"/>
              </w:rPr>
              <w:t>人，生活垃圾产生量按每人每天产生垃圾0.5kg计，年工作日300天，则项目员工生活垃圾产生量为</w:t>
            </w:r>
            <w:r>
              <w:rPr>
                <w:rFonts w:hint="eastAsia" w:ascii="Times New Roman" w:hAnsi="Times New Roman" w:eastAsia="宋体" w:cs="Times New Roman"/>
                <w:b w:val="0"/>
                <w:bCs w:val="0"/>
                <w:color w:val="auto"/>
                <w:kern w:val="0"/>
                <w:sz w:val="24"/>
                <w:szCs w:val="24"/>
                <w:highlight w:val="none"/>
                <w:lang w:val="en-US" w:eastAsia="zh-CN" w:bidi="ar-SA"/>
              </w:rPr>
              <w:t>45</w:t>
            </w:r>
            <w:r>
              <w:rPr>
                <w:rFonts w:hint="default" w:ascii="Times New Roman" w:hAnsi="Times New Roman" w:eastAsia="宋体" w:cs="Times New Roman"/>
                <w:b w:val="0"/>
                <w:bCs w:val="0"/>
                <w:color w:val="auto"/>
                <w:kern w:val="0"/>
                <w:sz w:val="24"/>
                <w:szCs w:val="24"/>
                <w:highlight w:val="none"/>
                <w:lang w:val="en-US" w:eastAsia="zh-CN" w:bidi="ar-SA"/>
              </w:rPr>
              <w:t>t/a。生活垃圾如不及时进行清理，则会腐烂变质，滋生蚊虫苍蝇，产生恶臭，传染疾病，从而对周围环境和作业人员的健康带来不利影响。</w:t>
            </w:r>
            <w:r>
              <w:rPr>
                <w:rFonts w:hint="eastAsia" w:ascii="Times New Roman" w:hAnsi="Times New Roman" w:eastAsia="宋体" w:cs="Times New Roman"/>
                <w:b w:val="0"/>
                <w:bCs w:val="0"/>
                <w:color w:val="auto"/>
                <w:kern w:val="0"/>
                <w:sz w:val="24"/>
                <w:szCs w:val="24"/>
                <w:highlight w:val="none"/>
                <w:lang w:val="en-US" w:eastAsia="zh-CN" w:bidi="ar-SA"/>
              </w:rPr>
              <w:t>生活</w:t>
            </w:r>
            <w:r>
              <w:rPr>
                <w:rFonts w:hint="default" w:ascii="Times New Roman" w:hAnsi="Times New Roman" w:eastAsia="宋体" w:cs="Times New Roman"/>
                <w:b w:val="0"/>
                <w:bCs w:val="0"/>
                <w:color w:val="auto"/>
                <w:kern w:val="0"/>
                <w:sz w:val="24"/>
                <w:szCs w:val="24"/>
                <w:highlight w:val="none"/>
                <w:lang w:val="en-US" w:eastAsia="zh-CN" w:bidi="ar-SA"/>
              </w:rPr>
              <w:t>垃圾经生活区垃圾桶集中收集</w:t>
            </w:r>
            <w:r>
              <w:rPr>
                <w:rFonts w:hint="eastAsia" w:ascii="Times New Roman" w:hAnsi="Times New Roman" w:eastAsia="宋体" w:cs="Times New Roman"/>
                <w:b w:val="0"/>
                <w:bCs w:val="0"/>
                <w:color w:val="auto"/>
                <w:kern w:val="0"/>
                <w:sz w:val="24"/>
                <w:szCs w:val="24"/>
                <w:highlight w:val="none"/>
                <w:lang w:val="en-US" w:eastAsia="zh-CN" w:bidi="ar-SA"/>
              </w:rPr>
              <w:t>后</w:t>
            </w:r>
            <w:r>
              <w:rPr>
                <w:rFonts w:hint="default" w:ascii="Times New Roman" w:hAnsi="Times New Roman" w:eastAsia="宋体" w:cs="Times New Roman"/>
                <w:b w:val="0"/>
                <w:bCs w:val="0"/>
                <w:color w:val="auto"/>
                <w:kern w:val="0"/>
                <w:sz w:val="24"/>
                <w:szCs w:val="24"/>
                <w:highlight w:val="none"/>
                <w:lang w:val="en-US" w:eastAsia="zh-CN" w:bidi="ar-SA"/>
              </w:rPr>
              <w:t>由园区环卫部门统一清运。</w:t>
            </w:r>
          </w:p>
          <w:p>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val="en-US" w:eastAsia="zh-CN"/>
              </w:rPr>
              <w:t>）一般工业固废</w:t>
            </w:r>
          </w:p>
          <w:p>
            <w:pPr>
              <w:pStyle w:val="38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边角料</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eastAsia" w:ascii="Times New Roman" w:hAnsi="Times New Roman" w:eastAsia="宋体" w:cs="Times New Roman"/>
                <w:bCs/>
                <w:color w:val="auto"/>
                <w:sz w:val="24"/>
                <w:szCs w:val="24"/>
                <w:highlight w:val="none"/>
                <w:lang w:val="en-US" w:eastAsia="zh-CN"/>
              </w:rPr>
              <w:t>原料分切</w:t>
            </w:r>
            <w:r>
              <w:rPr>
                <w:rFonts w:hint="default" w:ascii="Times New Roman" w:hAnsi="Times New Roman" w:eastAsia="宋体" w:cs="Times New Roman"/>
                <w:bCs/>
                <w:color w:val="auto"/>
                <w:sz w:val="24"/>
                <w:szCs w:val="24"/>
                <w:highlight w:val="none"/>
                <w:lang w:val="en-US" w:eastAsia="zh-CN"/>
              </w:rPr>
              <w:t>过程中会损耗部分</w:t>
            </w:r>
            <w:r>
              <w:rPr>
                <w:rFonts w:hint="eastAsia" w:ascii="Times New Roman" w:hAnsi="Times New Roman" w:eastAsia="宋体" w:cs="Times New Roman"/>
                <w:bCs/>
                <w:color w:val="auto"/>
                <w:sz w:val="24"/>
                <w:szCs w:val="24"/>
                <w:highlight w:val="none"/>
                <w:lang w:val="en-US" w:eastAsia="zh-CN"/>
              </w:rPr>
              <w:t>原料</w:t>
            </w:r>
            <w:r>
              <w:rPr>
                <w:rFonts w:hint="default" w:ascii="Times New Roman" w:hAnsi="Times New Roman" w:eastAsia="宋体" w:cs="Times New Roman"/>
                <w:bCs/>
                <w:color w:val="auto"/>
                <w:sz w:val="24"/>
                <w:szCs w:val="24"/>
                <w:highlight w:val="none"/>
                <w:lang w:val="en-US" w:eastAsia="zh-CN"/>
              </w:rPr>
              <w:t>，分选整理过程会产生部分边角料，</w:t>
            </w:r>
            <w:r>
              <w:rPr>
                <w:rFonts w:hint="eastAsia" w:ascii="Times New Roman" w:hAnsi="Times New Roman" w:eastAsia="宋体" w:cs="Times New Roman"/>
                <w:bCs/>
                <w:color w:val="auto"/>
                <w:sz w:val="24"/>
                <w:szCs w:val="24"/>
                <w:highlight w:val="none"/>
                <w:lang w:val="en-US" w:eastAsia="zh-CN"/>
              </w:rPr>
              <w:t>调味蔬菜边</w:t>
            </w:r>
            <w:r>
              <w:rPr>
                <w:rFonts w:hint="default" w:ascii="Times New Roman" w:hAnsi="Times New Roman" w:eastAsia="宋体" w:cs="Times New Roman"/>
                <w:bCs/>
                <w:color w:val="auto"/>
                <w:sz w:val="24"/>
                <w:szCs w:val="24"/>
                <w:highlight w:val="none"/>
                <w:lang w:val="en-US" w:eastAsia="zh-CN"/>
              </w:rPr>
              <w:t>角料产生量约为原料的1%，即</w:t>
            </w:r>
            <w:r>
              <w:rPr>
                <w:rFonts w:hint="eastAsia" w:ascii="Times New Roman" w:hAnsi="Times New Roman" w:eastAsia="宋体" w:cs="Times New Roman"/>
                <w:bCs/>
                <w:color w:val="auto"/>
                <w:sz w:val="24"/>
                <w:szCs w:val="24"/>
                <w:highlight w:val="none"/>
                <w:lang w:val="en-US" w:eastAsia="zh-CN"/>
              </w:rPr>
              <w:t>384</w:t>
            </w:r>
            <w:r>
              <w:rPr>
                <w:rFonts w:hint="default" w:ascii="Times New Roman" w:hAnsi="Times New Roman" w:eastAsia="宋体" w:cs="Times New Roman"/>
                <w:bCs/>
                <w:color w:val="auto"/>
                <w:sz w:val="24"/>
                <w:szCs w:val="24"/>
                <w:highlight w:val="none"/>
                <w:lang w:val="en-US" w:eastAsia="zh-CN"/>
              </w:rPr>
              <w:t>t/a</w:t>
            </w:r>
            <w:r>
              <w:rPr>
                <w:rFonts w:hint="eastAsia" w:ascii="Times New Roman" w:hAnsi="Times New Roman" w:eastAsia="宋体" w:cs="Times New Roman"/>
                <w:bCs/>
                <w:color w:val="auto"/>
                <w:sz w:val="24"/>
                <w:szCs w:val="24"/>
                <w:highlight w:val="none"/>
                <w:lang w:val="en-US" w:eastAsia="zh-CN"/>
              </w:rPr>
              <w:t>；酱卤肉制品（猪肉、牛肉、鸡肉）边角料约为原料的1%，即9.5t/a。</w:t>
            </w:r>
            <w:r>
              <w:rPr>
                <w:rFonts w:hint="default" w:ascii="Times New Roman" w:hAnsi="Times New Roman" w:eastAsia="宋体" w:cs="Times New Roman"/>
                <w:bCs/>
                <w:color w:val="auto"/>
                <w:sz w:val="24"/>
                <w:szCs w:val="24"/>
                <w:highlight w:val="none"/>
                <w:lang w:val="en-US" w:eastAsia="zh-CN"/>
              </w:rPr>
              <w:t>交由环卫部门统一清运处置</w:t>
            </w:r>
            <w:r>
              <w:rPr>
                <w:rFonts w:hint="eastAsia" w:ascii="Times New Roman" w:hAnsi="Times New Roman" w:eastAsia="宋体" w:cs="Times New Roman"/>
                <w:bCs/>
                <w:color w:val="auto"/>
                <w:sz w:val="24"/>
                <w:szCs w:val="24"/>
                <w:highlight w:val="none"/>
                <w:lang w:val="en-US" w:eastAsia="zh-CN"/>
              </w:rPr>
              <w:t>，做到日产日清</w:t>
            </w:r>
            <w:r>
              <w:rPr>
                <w:rFonts w:hint="default" w:ascii="Times New Roman" w:hAnsi="Times New Roman" w:eastAsia="宋体" w:cs="Times New Roman"/>
                <w:bCs/>
                <w:color w:val="auto"/>
                <w:sz w:val="24"/>
                <w:szCs w:val="24"/>
                <w:highlight w:val="none"/>
                <w:lang w:val="en-US" w:eastAsia="zh-CN"/>
              </w:rPr>
              <w:t>。</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②</w:t>
            </w:r>
            <w:r>
              <w:rPr>
                <w:rFonts w:hint="default" w:ascii="Times New Roman" w:hAnsi="Times New Roman" w:eastAsia="宋体" w:cs="Times New Roman"/>
                <w:bCs/>
                <w:color w:val="auto"/>
                <w:sz w:val="24"/>
                <w:szCs w:val="24"/>
                <w:highlight w:val="none"/>
                <w:lang w:val="en-US" w:eastAsia="zh-CN"/>
              </w:rPr>
              <w:t>废离子交换树脂</w:t>
            </w:r>
          </w:p>
          <w:p>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锅炉软水制备过程中会产生废离子交换树脂，产生量约0.5t/a，由厂家定期进行更换回收。</w:t>
            </w:r>
          </w:p>
          <w:p>
            <w:pPr>
              <w:numPr>
                <w:ilvl w:val="0"/>
                <w:numId w:val="0"/>
              </w:num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kern w:val="2"/>
                <w:sz w:val="24"/>
                <w:szCs w:val="24"/>
                <w:lang w:val="en-US" w:eastAsia="zh-CN" w:bidi="ar-SA"/>
              </w:rPr>
              <w:t>（3）</w:t>
            </w:r>
            <w:r>
              <w:rPr>
                <w:rFonts w:hint="eastAsia" w:ascii="Times New Roman" w:hAnsi="Times New Roman" w:eastAsia="宋体" w:cs="Times New Roman"/>
                <w:bCs/>
                <w:color w:val="auto"/>
                <w:sz w:val="24"/>
                <w:szCs w:val="24"/>
                <w:highlight w:val="none"/>
                <w:lang w:val="en-US" w:eastAsia="zh-CN"/>
              </w:rPr>
              <w:t>危险固废</w:t>
            </w:r>
          </w:p>
          <w:p>
            <w:pPr>
              <w:pStyle w:val="385"/>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eastAsia="zh-CN"/>
              </w:rPr>
              <w:t>废润滑油</w:t>
            </w:r>
          </w:p>
          <w:p>
            <w:pPr>
              <w:pStyle w:val="385"/>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机械设备在维修保养过程中会产生废</w:t>
            </w:r>
            <w:r>
              <w:rPr>
                <w:rFonts w:hint="default" w:ascii="Times New Roman" w:hAnsi="Times New Roman" w:eastAsia="宋体" w:cs="Times New Roman"/>
                <w:color w:val="auto"/>
                <w:sz w:val="24"/>
                <w:szCs w:val="24"/>
              </w:rPr>
              <w:t>润滑油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产生量约0.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t/a。</w:t>
            </w:r>
            <w:r>
              <w:rPr>
                <w:rFonts w:hint="default" w:ascii="Times New Roman" w:hAnsi="Times New Roman" w:cs="Times New Roman"/>
                <w:color w:val="auto"/>
                <w:sz w:val="24"/>
                <w:szCs w:val="24"/>
              </w:rPr>
              <w:t>根据《国家危险废物名录》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5年</w:t>
            </w:r>
            <w:r>
              <w:rPr>
                <w:rFonts w:hint="default" w:ascii="Times New Roman" w:hAnsi="Times New Roman" w:eastAsia="宋体" w:cs="Times New Roman"/>
                <w:color w:val="auto"/>
                <w:sz w:val="24"/>
                <w:szCs w:val="24"/>
                <w:highlight w:val="none"/>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废润滑油</w:t>
            </w:r>
            <w:r>
              <w:rPr>
                <w:rFonts w:hint="default" w:ascii="Times New Roman" w:hAnsi="Times New Roman" w:cs="Times New Roman"/>
                <w:color w:val="auto"/>
                <w:sz w:val="24"/>
                <w:szCs w:val="24"/>
              </w:rPr>
              <w:t>属于HW08废矿物油与含矿物油废物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废物代码</w:t>
            </w:r>
            <w:r>
              <w:rPr>
                <w:rFonts w:hint="default" w:ascii="Times New Roman" w:hAnsi="Times New Roman" w:cs="Times New Roman"/>
                <w:color w:val="auto"/>
                <w:sz w:val="24"/>
                <w:szCs w:val="24"/>
              </w:rPr>
              <w:t>900-2</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rPr>
              <w:t>-08。</w:t>
            </w:r>
            <w:r>
              <w:rPr>
                <w:rFonts w:hint="default" w:ascii="Times New Roman" w:hAnsi="Times New Roman" w:cs="Times New Roman"/>
                <w:color w:val="auto"/>
                <w:sz w:val="24"/>
                <w:szCs w:val="24"/>
                <w:lang w:val="en-US" w:eastAsia="zh-CN"/>
              </w:rPr>
              <w:t>收集后交由</w:t>
            </w:r>
            <w:r>
              <w:rPr>
                <w:rFonts w:hint="default" w:ascii="Times New Roman" w:hAnsi="Times New Roman" w:cs="Times New Roman"/>
                <w:color w:val="auto"/>
                <w:sz w:val="24"/>
                <w:szCs w:val="24"/>
              </w:rPr>
              <w:t>有资质的单位处置。</w:t>
            </w:r>
          </w:p>
          <w:p>
            <w:pPr>
              <w:pStyle w:val="385"/>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废油桶</w:t>
            </w:r>
          </w:p>
          <w:p>
            <w:pPr>
              <w:pStyle w:val="38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项目使用润滑油会产生一定量的废油桶，按润滑油50kg/桶，</w:t>
            </w:r>
            <w:r>
              <w:rPr>
                <w:rFonts w:hint="default" w:ascii="Times New Roman" w:hAnsi="Times New Roman" w:cs="Times New Roman"/>
                <w:color w:val="auto"/>
                <w:sz w:val="24"/>
                <w:szCs w:val="24"/>
                <w:lang w:val="en-US" w:eastAsia="zh-CN"/>
              </w:rPr>
              <w:t>包装桶5kg/个计，则废油桶产生量约为0.01t/a。</w:t>
            </w:r>
            <w:r>
              <w:rPr>
                <w:rFonts w:hint="default" w:ascii="Times New Roman" w:hAnsi="Times New Roman" w:cs="Times New Roman"/>
                <w:color w:val="auto"/>
                <w:sz w:val="24"/>
                <w:szCs w:val="24"/>
              </w:rPr>
              <w:t>根据《国家危险废物名录》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5年</w:t>
            </w:r>
            <w:r>
              <w:rPr>
                <w:rFonts w:hint="default" w:ascii="Times New Roman" w:hAnsi="Times New Roman" w:eastAsia="宋体" w:cs="Times New Roman"/>
                <w:color w:val="auto"/>
                <w:sz w:val="24"/>
                <w:szCs w:val="24"/>
                <w:highlight w:val="none"/>
                <w:lang w:val="en-US" w:eastAsia="zh-CN"/>
              </w:rPr>
              <w:t>版）</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废油桶</w:t>
            </w:r>
            <w:r>
              <w:rPr>
                <w:rFonts w:hint="default" w:ascii="Times New Roman" w:hAnsi="Times New Roman" w:cs="Times New Roman"/>
                <w:color w:val="auto"/>
                <w:sz w:val="24"/>
                <w:szCs w:val="24"/>
              </w:rPr>
              <w:t>属于HW08废矿物油与含矿物油废物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废物代码</w:t>
            </w:r>
            <w:r>
              <w:rPr>
                <w:rFonts w:hint="default" w:ascii="Times New Roman" w:hAnsi="Times New Roman" w:cs="Times New Roman"/>
                <w:color w:val="auto"/>
                <w:sz w:val="24"/>
                <w:szCs w:val="24"/>
              </w:rPr>
              <w:t>900-2</w:t>
            </w:r>
            <w:r>
              <w:rPr>
                <w:rFonts w:hint="default"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rPr>
              <w:t>-08。</w:t>
            </w:r>
            <w:r>
              <w:rPr>
                <w:rFonts w:hint="default" w:ascii="Times New Roman" w:hAnsi="Times New Roman" w:cs="Times New Roman"/>
                <w:color w:val="auto"/>
                <w:sz w:val="24"/>
                <w:szCs w:val="24"/>
                <w:lang w:val="en-US" w:eastAsia="zh-CN"/>
              </w:rPr>
              <w:t>收集后交由</w:t>
            </w:r>
            <w:r>
              <w:rPr>
                <w:rFonts w:hint="default" w:ascii="Times New Roman" w:hAnsi="Times New Roman" w:cs="Times New Roman"/>
                <w:color w:val="auto"/>
                <w:sz w:val="24"/>
                <w:szCs w:val="24"/>
              </w:rPr>
              <w:t>有资质的单位处置。</w:t>
            </w:r>
          </w:p>
          <w:p>
            <w:pPr>
              <w:pStyle w:val="385"/>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③实验室检验废液</w:t>
            </w:r>
          </w:p>
          <w:p>
            <w:pPr>
              <w:pStyle w:val="385"/>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项目实验以及微生物实验产生一定的实验废液，产生量约0.1t/a。</w:t>
            </w:r>
            <w:r>
              <w:rPr>
                <w:rFonts w:hint="default" w:ascii="Times New Roman" w:hAnsi="Times New Roman" w:cs="Times New Roman"/>
                <w:color w:val="auto"/>
                <w:sz w:val="24"/>
                <w:szCs w:val="24"/>
              </w:rPr>
              <w:t>根据《国家危险废物名录》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5年</w:t>
            </w:r>
            <w:r>
              <w:rPr>
                <w:rFonts w:hint="default" w:ascii="Times New Roman" w:hAnsi="Times New Roman" w:eastAsia="宋体" w:cs="Times New Roman"/>
                <w:color w:val="auto"/>
                <w:sz w:val="24"/>
                <w:szCs w:val="24"/>
                <w:highlight w:val="none"/>
                <w:lang w:val="en-US" w:eastAsia="zh-CN"/>
              </w:rPr>
              <w:t>版）</w:t>
            </w:r>
            <w:r>
              <w:rPr>
                <w:rFonts w:hint="eastAsia" w:ascii="Times New Roman" w:hAnsi="Times New Roman" w:eastAsia="宋体" w:cs="Times New Roman"/>
                <w:color w:val="auto"/>
                <w:sz w:val="24"/>
                <w:szCs w:val="24"/>
                <w:highlight w:val="none"/>
                <w:lang w:val="en-US" w:eastAsia="zh-CN"/>
              </w:rPr>
              <w:t>，实验室检验废液属于HW49其它废物，废物代码900-047-49。收集后交由有资质的单位处置</w:t>
            </w:r>
          </w:p>
          <w:p>
            <w:pPr>
              <w:numPr>
                <w:ilvl w:val="0"/>
                <w:numId w:val="0"/>
              </w:numPr>
              <w:adjustRightInd w:val="0"/>
              <w:snapToGrid w:val="0"/>
              <w:spacing w:line="360" w:lineRule="auto"/>
              <w:jc w:val="left"/>
              <w:rPr>
                <w:rFonts w:hint="default" w:ascii="Times New Roman" w:hAnsi="Times New Roman" w:eastAsia="宋体" w:cs="Times New Roman"/>
                <w:bCs/>
                <w:color w:val="auto"/>
                <w:sz w:val="24"/>
                <w:szCs w:val="24"/>
                <w:highlight w:val="none"/>
                <w:lang w:val="en-US" w:eastAsia="zh-CN"/>
              </w:rPr>
            </w:pPr>
          </w:p>
          <w:p>
            <w:pPr>
              <w:pStyle w:val="37"/>
              <w:numPr>
                <w:ilvl w:val="0"/>
                <w:numId w:val="0"/>
              </w:numPr>
              <w:jc w:val="both"/>
              <w:outlineLvl w:val="0"/>
              <w:rPr>
                <w:rFonts w:hint="default" w:ascii="Times New Roman" w:hAnsi="Times New Roman" w:eastAsia="宋体" w:cs="Times New Roman"/>
                <w:b/>
                <w:bCs/>
                <w:snapToGrid w:val="0"/>
                <w:sz w:val="21"/>
                <w:szCs w:val="21"/>
                <w:vertAlign w:val="baseline"/>
                <w:lang w:val="en-US" w:eastAsia="zh-CN"/>
              </w:rPr>
            </w:pPr>
          </w:p>
          <w:p>
            <w:pPr>
              <w:pStyle w:val="37"/>
              <w:numPr>
                <w:ilvl w:val="0"/>
                <w:numId w:val="0"/>
              </w:numPr>
              <w:jc w:val="both"/>
              <w:outlineLvl w:val="0"/>
              <w:rPr>
                <w:rFonts w:hint="default" w:ascii="Times New Roman" w:hAnsi="Times New Roman" w:eastAsia="宋体" w:cs="Times New Roman"/>
                <w:b/>
                <w:bCs/>
                <w:snapToGrid w:val="0"/>
                <w:sz w:val="21"/>
                <w:szCs w:val="21"/>
                <w:vertAlign w:val="baseline"/>
                <w:lang w:val="en-US" w:eastAsia="zh-CN"/>
              </w:rPr>
            </w:pPr>
          </w:p>
        </w:tc>
      </w:tr>
    </w:tbl>
    <w:p>
      <w:pPr>
        <w:pStyle w:val="37"/>
        <w:jc w:val="center"/>
        <w:outlineLvl w:val="0"/>
        <w:rPr>
          <w:rFonts w:hint="eastAsia" w:ascii="黑体" w:hAnsi="黑体" w:eastAsia="黑体"/>
          <w:snapToGrid w:val="0"/>
          <w:sz w:val="30"/>
          <w:szCs w:val="30"/>
        </w:rPr>
      </w:pPr>
    </w:p>
    <w:p>
      <w:pPr>
        <w:pStyle w:val="37"/>
        <w:jc w:val="center"/>
        <w:outlineLvl w:val="0"/>
        <w:rPr>
          <w:rFonts w:hint="eastAsia" w:ascii="黑体" w:hAnsi="黑体" w:eastAsia="黑体"/>
          <w:snapToGrid w:val="0"/>
          <w:sz w:val="30"/>
          <w:szCs w:val="30"/>
        </w:rPr>
        <w:sectPr>
          <w:type w:val="continuous"/>
          <w:pgSz w:w="11906" w:h="16838"/>
          <w:pgMar w:top="1701" w:right="1531" w:bottom="1701" w:left="1531" w:header="851" w:footer="851" w:gutter="0"/>
          <w:pgNumType w:fmt="decimal"/>
          <w:cols w:space="720" w:num="1"/>
          <w:docGrid w:linePitch="312" w:charSpace="0"/>
        </w:sectPr>
      </w:pP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3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 w:type="pct"/>
            <w:noWrap w:val="0"/>
            <w:vAlign w:val="top"/>
          </w:tcPr>
          <w:p>
            <w:pPr>
              <w:pStyle w:val="37"/>
              <w:jc w:val="center"/>
              <w:outlineLvl w:val="0"/>
              <w:rPr>
                <w:rFonts w:hint="eastAsia" w:ascii="黑体" w:hAnsi="黑体" w:eastAsia="黑体"/>
                <w:snapToGrid w:val="0"/>
                <w:sz w:val="30"/>
                <w:szCs w:val="30"/>
                <w:vertAlign w:val="baseline"/>
              </w:rPr>
            </w:pPr>
          </w:p>
        </w:tc>
        <w:tc>
          <w:tcPr>
            <w:tcW w:w="4765" w:type="pct"/>
            <w:noWrap w:val="0"/>
            <w:vAlign w:val="top"/>
          </w:tcPr>
          <w:p>
            <w:pPr>
              <w:keepNext w:val="0"/>
              <w:keepLines w:val="0"/>
              <w:widowControl/>
              <w:suppressLineNumbers w:val="0"/>
              <w:jc w:val="center"/>
              <w:rPr>
                <w:rFonts w:hint="eastAsia" w:ascii="Times New Roman" w:hAnsi="Times New Roman" w:eastAsia="宋体" w:cs="Times New Roman"/>
                <w:b/>
                <w:bCs/>
                <w:color w:val="000000"/>
                <w:kern w:val="0"/>
                <w:sz w:val="21"/>
                <w:szCs w:val="21"/>
                <w:lang w:val="en-US" w:eastAsia="zh-CN" w:bidi="ar"/>
              </w:rPr>
            </w:pPr>
            <w:r>
              <w:rPr>
                <w:rFonts w:hint="eastAsia" w:ascii="Times New Roman" w:hAnsi="Times New Roman" w:eastAsia="宋体" w:cs="Times New Roman"/>
                <w:b/>
                <w:bCs/>
                <w:color w:val="000000"/>
                <w:kern w:val="0"/>
                <w:sz w:val="21"/>
                <w:szCs w:val="21"/>
                <w:lang w:val="en-US" w:eastAsia="zh-CN" w:bidi="ar"/>
              </w:rPr>
              <w:t>表4-12  项目运营期固体废物产排情况一览表</w:t>
            </w:r>
          </w:p>
          <w:tbl>
            <w:tblPr>
              <w:tblStyle w:val="4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1042"/>
              <w:gridCol w:w="1427"/>
              <w:gridCol w:w="1354"/>
              <w:gridCol w:w="632"/>
              <w:gridCol w:w="1168"/>
              <w:gridCol w:w="867"/>
              <w:gridCol w:w="913"/>
              <w:gridCol w:w="942"/>
              <w:gridCol w:w="1877"/>
              <w:gridCol w:w="12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cBorders>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w:t>
                  </w:r>
                  <w:r>
                    <w:rPr>
                      <w:rFonts w:hint="default" w:ascii="Times New Roman" w:hAnsi="Times New Roman" w:cs="Times New Roman"/>
                      <w:b/>
                      <w:bCs/>
                      <w:color w:val="auto"/>
                      <w:sz w:val="21"/>
                      <w:szCs w:val="21"/>
                      <w:highlight w:val="none"/>
                      <w:lang w:eastAsia="zh-CN"/>
                    </w:rPr>
                    <w:t>污</w:t>
                  </w:r>
                  <w:r>
                    <w:rPr>
                      <w:rFonts w:hint="default" w:ascii="Times New Roman" w:hAnsi="Times New Roman" w:cs="Times New Roman"/>
                      <w:b/>
                      <w:bCs/>
                      <w:color w:val="auto"/>
                      <w:sz w:val="21"/>
                      <w:szCs w:val="21"/>
                      <w:highlight w:val="none"/>
                    </w:rPr>
                    <w:t>环节</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属性</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主要有毒有害物质名称</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物理</w:t>
                  </w:r>
                </w:p>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性状</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环境危险特性</w:t>
                  </w:r>
                </w:p>
              </w:tc>
              <w:tc>
                <w:tcPr>
                  <w:tcW w:w="867" w:type="dxa"/>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年产生量t/a</w:t>
                  </w:r>
                </w:p>
              </w:tc>
              <w:tc>
                <w:tcPr>
                  <w:tcW w:w="913" w:type="dxa"/>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贮存</w:t>
                  </w:r>
                </w:p>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利用处置方式</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c>
                <w:tcPr>
                  <w:tcW w:w="0" w:type="auto"/>
                  <w:noWrap w:val="0"/>
                  <w:vAlign w:val="center"/>
                </w:tcPr>
                <w:p>
                  <w:pPr>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利用或处置量t/a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0" w:type="auto"/>
                  <w:tcBorders>
                    <w:tl2br w:val="nil"/>
                  </w:tcBorders>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生活办公</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生活垃圾</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生活垃圾</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固态</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67" w:type="dxa"/>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45</w:t>
                  </w:r>
                </w:p>
              </w:tc>
              <w:tc>
                <w:tcPr>
                  <w:tcW w:w="913" w:type="dxa"/>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vMerge w:val="restart"/>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委托处置</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环卫部门清运</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0" w:type="auto"/>
                  <w:tcBorders>
                    <w:tl2br w:val="nil"/>
                  </w:tcBorders>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清洗、分选整理</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原料</w:t>
                  </w:r>
                  <w:r>
                    <w:rPr>
                      <w:rFonts w:hint="default" w:ascii="Times New Roman" w:hAnsi="Times New Roman" w:cs="Times New Roman"/>
                      <w:b w:val="0"/>
                      <w:bCs w:val="0"/>
                      <w:color w:val="auto"/>
                      <w:sz w:val="21"/>
                      <w:szCs w:val="21"/>
                      <w:highlight w:val="none"/>
                      <w:lang w:val="en-US" w:eastAsia="zh-CN"/>
                    </w:rPr>
                    <w:t>边角料</w:t>
                  </w:r>
                </w:p>
              </w:tc>
              <w:tc>
                <w:tcPr>
                  <w:tcW w:w="0" w:type="auto"/>
                  <w:vMerge w:val="restart"/>
                  <w:noWrap w:val="0"/>
                  <w:vAlign w:val="center"/>
                </w:tcPr>
                <w:p>
                  <w:pPr>
                    <w:adjustRightInd w:val="0"/>
                    <w:spacing w:line="240" w:lineRule="auto"/>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一般工业固废</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固态</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67" w:type="dxa"/>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393.5</w:t>
                  </w:r>
                </w:p>
              </w:tc>
              <w:tc>
                <w:tcPr>
                  <w:tcW w:w="913" w:type="dxa"/>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环卫部门清运</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kern w:val="2"/>
                      <w:sz w:val="21"/>
                      <w:szCs w:val="21"/>
                      <w:highlight w:val="none"/>
                      <w:lang w:val="en-US" w:eastAsia="zh-CN" w:bidi="ar-SA"/>
                    </w:rPr>
                    <w:t>393.5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tcBorders>
                    <w:tl2br w:val="nil"/>
                  </w:tcBorders>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锅炉软水制备</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废离子交换树脂</w:t>
                  </w: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固态</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67" w:type="dxa"/>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0.5</w:t>
                  </w:r>
                </w:p>
              </w:tc>
              <w:tc>
                <w:tcPr>
                  <w:tcW w:w="913" w:type="dxa"/>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委托利用</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color w:val="auto"/>
                    </w:rPr>
                    <w:t>厂家定期进行更换回收</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noWrap w:val="0"/>
                  <w:vAlign w:val="center"/>
                </w:tcPr>
                <w:p>
                  <w:pPr>
                    <w:widowControl/>
                    <w:spacing w:line="240" w:lineRule="auto"/>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废</w:t>
                  </w:r>
                  <w:r>
                    <w:rPr>
                      <w:rFonts w:hint="eastAsia" w:ascii="Times New Roman" w:hAnsi="Times New Roman" w:cs="Times New Roman"/>
                      <w:b w:val="0"/>
                      <w:color w:val="auto"/>
                      <w:sz w:val="21"/>
                      <w:szCs w:val="21"/>
                      <w:lang w:val="en-US" w:eastAsia="zh-CN"/>
                    </w:rPr>
                    <w:t>水</w:t>
                  </w:r>
                  <w:r>
                    <w:rPr>
                      <w:rFonts w:hint="default" w:ascii="Times New Roman" w:hAnsi="Times New Roman" w:cs="Times New Roman"/>
                      <w:b w:val="0"/>
                      <w:color w:val="auto"/>
                      <w:sz w:val="21"/>
                      <w:szCs w:val="21"/>
                      <w:lang w:val="en-US" w:eastAsia="zh-CN"/>
                    </w:rPr>
                    <w:t>处理</w:t>
                  </w:r>
                </w:p>
              </w:tc>
              <w:tc>
                <w:tcPr>
                  <w:tcW w:w="0" w:type="auto"/>
                  <w:noWrap w:val="0"/>
                  <w:vAlign w:val="center"/>
                </w:tcPr>
                <w:p>
                  <w:pPr>
                    <w:widowControl/>
                    <w:spacing w:line="240" w:lineRule="auto"/>
                    <w:jc w:val="center"/>
                    <w:rPr>
                      <w:rFonts w:hint="default" w:ascii="Times New Roman" w:hAnsi="Times New Roman"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实验室检验废液</w:t>
                  </w:r>
                </w:p>
              </w:tc>
              <w:tc>
                <w:tcPr>
                  <w:tcW w:w="0" w:type="auto"/>
                  <w:noWrap w:val="0"/>
                  <w:vAlign w:val="center"/>
                </w:tcPr>
                <w:p>
                  <w:pPr>
                    <w:widowControl/>
                    <w:spacing w:line="24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bCs/>
                      <w:color w:val="auto"/>
                      <w:sz w:val="21"/>
                      <w:szCs w:val="21"/>
                      <w:highlight w:val="none"/>
                    </w:rPr>
                    <w:t>危险废物</w:t>
                  </w:r>
                  <w:r>
                    <w:rPr>
                      <w:rFonts w:hint="default" w:ascii="Times New Roman" w:hAnsi="Times New Roman" w:cs="Times New Roman"/>
                      <w:b w:val="0"/>
                      <w:color w:val="auto"/>
                      <w:sz w:val="21"/>
                      <w:szCs w:val="21"/>
                    </w:rPr>
                    <w:t>HW49</w:t>
                  </w:r>
                </w:p>
                <w:p>
                  <w:pPr>
                    <w:widowControl/>
                    <w:spacing w:line="240" w:lineRule="auto"/>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900-0</w:t>
                  </w:r>
                  <w:r>
                    <w:rPr>
                      <w:rFonts w:hint="eastAsia" w:ascii="Times New Roman" w:hAnsi="Times New Roman" w:cs="Times New Roman"/>
                      <w:b w:val="0"/>
                      <w:color w:val="auto"/>
                      <w:sz w:val="21"/>
                      <w:szCs w:val="21"/>
                      <w:lang w:val="en-US" w:eastAsia="zh-CN"/>
                    </w:rPr>
                    <w:t>47</w:t>
                  </w:r>
                  <w:r>
                    <w:rPr>
                      <w:rFonts w:hint="default" w:ascii="Times New Roman" w:hAnsi="Times New Roman" w:cs="Times New Roman"/>
                      <w:b w:val="0"/>
                      <w:color w:val="auto"/>
                      <w:sz w:val="21"/>
                      <w:szCs w:val="21"/>
                    </w:rPr>
                    <w:t>-49</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有机溶剂</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液体</w:t>
                  </w:r>
                  <w:r>
                    <w:rPr>
                      <w:rFonts w:hint="default" w:ascii="Times New Roman" w:hAnsi="Times New Roman" w:cs="Times New Roman"/>
                      <w:b w:val="0"/>
                      <w:bCs/>
                      <w:color w:val="auto"/>
                      <w:sz w:val="21"/>
                      <w:szCs w:val="21"/>
                      <w:highlight w:val="none"/>
                    </w:rPr>
                    <w:t>态</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color w:val="auto"/>
                      <w:sz w:val="21"/>
                      <w:szCs w:val="21"/>
                      <w:lang w:val="en-US"/>
                    </w:rPr>
                  </w:pPr>
                  <w:r>
                    <w:rPr>
                      <w:rFonts w:hint="default" w:ascii="Times New Roman" w:hAnsi="Times New Roman" w:cs="Times New Roman"/>
                      <w:b w:val="0"/>
                      <w:color w:val="auto"/>
                      <w:sz w:val="21"/>
                      <w:szCs w:val="21"/>
                      <w:lang w:val="en-US" w:eastAsia="zh-CN"/>
                    </w:rPr>
                    <w:t>T</w:t>
                  </w:r>
                  <w:r>
                    <w:rPr>
                      <w:rFonts w:hint="eastAsia" w:ascii="Times New Roman" w:hAnsi="Times New Roman" w:cs="Times New Roman"/>
                      <w:b w:val="0"/>
                      <w:color w:val="auto"/>
                      <w:sz w:val="21"/>
                      <w:szCs w:val="21"/>
                      <w:lang w:val="en-US" w:eastAsia="zh-CN"/>
                    </w:rPr>
                    <w:t>/C/I/R</w:t>
                  </w:r>
                </w:p>
              </w:tc>
              <w:tc>
                <w:tcPr>
                  <w:tcW w:w="867" w:type="dxa"/>
                  <w:noWrap w:val="0"/>
                  <w:vAlign w:val="center"/>
                </w:tcPr>
                <w:p>
                  <w:pPr>
                    <w:widowControl/>
                    <w:spacing w:line="240" w:lineRule="auto"/>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0.1</w:t>
                  </w:r>
                </w:p>
              </w:tc>
              <w:tc>
                <w:tcPr>
                  <w:tcW w:w="913" w:type="dxa"/>
                  <w:vMerge w:val="restart"/>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分类收集，危废暂存间暂存</w:t>
                  </w:r>
                </w:p>
              </w:tc>
              <w:tc>
                <w:tcPr>
                  <w:tcW w:w="0" w:type="auto"/>
                  <w:vMerge w:val="restart"/>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eastAsia="zh-CN"/>
                    </w:rPr>
                    <w:t>委托处置</w:t>
                  </w:r>
                </w:p>
              </w:tc>
              <w:tc>
                <w:tcPr>
                  <w:tcW w:w="0" w:type="auto"/>
                  <w:vMerge w:val="restart"/>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eastAsia="zh-CN"/>
                    </w:rPr>
                    <w:t>交由具有相应处理资质的单位处置</w:t>
                  </w:r>
                </w:p>
              </w:tc>
              <w:tc>
                <w:tcPr>
                  <w:tcW w:w="0" w:type="auto"/>
                  <w:noWrap w:val="0"/>
                  <w:vAlign w:val="center"/>
                </w:tcPr>
                <w:p>
                  <w:pPr>
                    <w:widowControl/>
                    <w:spacing w:line="240" w:lineRule="auto"/>
                    <w:jc w:val="center"/>
                    <w:rPr>
                      <w:rFonts w:hint="default" w:ascii="Times New Roman" w:hAnsi="Times New Roman" w:cs="Times New Roman"/>
                      <w:b w:val="0"/>
                      <w:color w:val="auto"/>
                      <w:sz w:val="21"/>
                      <w:szCs w:val="21"/>
                    </w:rPr>
                  </w:pPr>
                  <w:r>
                    <w:rPr>
                      <w:rFonts w:hint="eastAsia" w:ascii="Times New Roman" w:hAnsi="Times New Roman" w:eastAsia="宋体" w:cs="Times New Roman"/>
                      <w:b w:val="0"/>
                      <w:color w:val="auto"/>
                      <w:sz w:val="21"/>
                      <w:szCs w:val="21"/>
                      <w:lang w:val="en-US" w:eastAsia="zh-CN"/>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设备</w:t>
                  </w:r>
                  <w:r>
                    <w:rPr>
                      <w:rFonts w:hint="default" w:ascii="Times New Roman" w:hAnsi="Times New Roman" w:cs="Times New Roman"/>
                      <w:b w:val="0"/>
                      <w:bCs/>
                      <w:color w:val="auto"/>
                      <w:sz w:val="21"/>
                      <w:szCs w:val="21"/>
                      <w:highlight w:val="none"/>
                      <w:lang w:eastAsia="zh-CN"/>
                    </w:rPr>
                    <w:t>运行和检修</w:t>
                  </w:r>
                  <w:r>
                    <w:rPr>
                      <w:rFonts w:hint="default" w:ascii="Times New Roman" w:hAnsi="Times New Roman" w:cs="Times New Roman"/>
                      <w:b w:val="0"/>
                      <w:bCs/>
                      <w:color w:val="auto"/>
                      <w:sz w:val="21"/>
                      <w:szCs w:val="21"/>
                      <w:highlight w:val="none"/>
                    </w:rPr>
                    <w:t>维护</w:t>
                  </w:r>
                </w:p>
              </w:tc>
              <w:tc>
                <w:tcPr>
                  <w:tcW w:w="0" w:type="auto"/>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color w:val="auto"/>
                      <w:sz w:val="21"/>
                      <w:szCs w:val="21"/>
                      <w:lang w:val="en-US" w:eastAsia="zh-CN"/>
                    </w:rPr>
                    <w:t>废润滑油</w:t>
                  </w:r>
                </w:p>
              </w:tc>
              <w:tc>
                <w:tcPr>
                  <w:tcW w:w="0" w:type="auto"/>
                  <w:noWrap w:val="0"/>
                  <w:vAlign w:val="center"/>
                </w:tcPr>
                <w:p>
                  <w:pPr>
                    <w:widowControl/>
                    <w:spacing w:line="240" w:lineRule="auto"/>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bCs/>
                      <w:color w:val="auto"/>
                      <w:sz w:val="21"/>
                      <w:szCs w:val="21"/>
                      <w:highlight w:val="none"/>
                    </w:rPr>
                    <w:t>危险废物</w:t>
                  </w:r>
                  <w:r>
                    <w:rPr>
                      <w:rFonts w:hint="default" w:ascii="Times New Roman" w:hAnsi="Times New Roman" w:cs="Times New Roman"/>
                      <w:b w:val="0"/>
                      <w:color w:val="auto"/>
                      <w:sz w:val="21"/>
                      <w:szCs w:val="21"/>
                    </w:rPr>
                    <w:t>HW</w:t>
                  </w:r>
                  <w:r>
                    <w:rPr>
                      <w:rFonts w:hint="default" w:ascii="Times New Roman" w:hAnsi="Times New Roman" w:cs="Times New Roman"/>
                      <w:b w:val="0"/>
                      <w:color w:val="auto"/>
                      <w:sz w:val="21"/>
                      <w:szCs w:val="21"/>
                      <w:lang w:val="en-US" w:eastAsia="zh-CN"/>
                    </w:rPr>
                    <w:t>08</w:t>
                  </w:r>
                </w:p>
                <w:p>
                  <w:pPr>
                    <w:widowControl/>
                    <w:spacing w:line="240"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color w:val="auto"/>
                      <w:sz w:val="21"/>
                      <w:szCs w:val="21"/>
                    </w:rPr>
                    <w:t>900-</w:t>
                  </w:r>
                  <w:r>
                    <w:rPr>
                      <w:rFonts w:hint="default" w:ascii="Times New Roman" w:hAnsi="Times New Roman" w:cs="Times New Roman"/>
                      <w:b w:val="0"/>
                      <w:color w:val="auto"/>
                      <w:sz w:val="21"/>
                      <w:szCs w:val="21"/>
                      <w:lang w:val="en-US" w:eastAsia="zh-CN"/>
                    </w:rPr>
                    <w:t>249</w:t>
                  </w:r>
                  <w:r>
                    <w:rPr>
                      <w:rFonts w:hint="default" w:ascii="Times New Roman" w:hAnsi="Times New Roman" w:cs="Times New Roman"/>
                      <w:b w:val="0"/>
                      <w:color w:val="auto"/>
                      <w:sz w:val="21"/>
                      <w:szCs w:val="21"/>
                    </w:rPr>
                    <w:t>-</w:t>
                  </w:r>
                  <w:r>
                    <w:rPr>
                      <w:rFonts w:hint="default" w:ascii="Times New Roman" w:hAnsi="Times New Roman" w:cs="Times New Roman"/>
                      <w:b w:val="0"/>
                      <w:color w:val="auto"/>
                      <w:sz w:val="21"/>
                      <w:szCs w:val="21"/>
                      <w:lang w:val="en-US" w:eastAsia="zh-CN"/>
                    </w:rPr>
                    <w:t>08</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石油烃</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液态</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T，I</w:t>
                  </w:r>
                </w:p>
              </w:tc>
              <w:tc>
                <w:tcPr>
                  <w:tcW w:w="867" w:type="dxa"/>
                  <w:noWrap w:val="0"/>
                  <w:vAlign w:val="center"/>
                </w:tcPr>
                <w:p>
                  <w:pPr>
                    <w:widowControl/>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w:t>
                  </w:r>
                </w:p>
              </w:tc>
              <w:tc>
                <w:tcPr>
                  <w:tcW w:w="913" w:type="dxa"/>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rPr>
                  </w:pP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p>
              </w:tc>
              <w:tc>
                <w:tcPr>
                  <w:tcW w:w="0" w:type="auto"/>
                  <w:noWrap w:val="0"/>
                  <w:vAlign w:val="center"/>
                </w:tcPr>
                <w:p>
                  <w:pPr>
                    <w:widowControl/>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rPr>
                  </w:pPr>
                </w:p>
              </w:tc>
              <w:tc>
                <w:tcPr>
                  <w:tcW w:w="0" w:type="auto"/>
                  <w:noWrap w:val="0"/>
                  <w:vAlign w:val="center"/>
                </w:tcPr>
                <w:p>
                  <w:pPr>
                    <w:widowControl/>
                    <w:spacing w:line="240" w:lineRule="auto"/>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废油桶</w:t>
                  </w:r>
                </w:p>
              </w:tc>
              <w:tc>
                <w:tcPr>
                  <w:tcW w:w="0" w:type="auto"/>
                  <w:noWrap w:val="0"/>
                  <w:vAlign w:val="center"/>
                </w:tcPr>
                <w:p>
                  <w:pPr>
                    <w:widowControl/>
                    <w:spacing w:line="240" w:lineRule="auto"/>
                    <w:jc w:val="center"/>
                    <w:rPr>
                      <w:rFonts w:hint="default" w:ascii="Times New Roman" w:hAnsi="Times New Roman" w:eastAsia="宋体" w:cs="Times New Roman"/>
                      <w:b w:val="0"/>
                      <w:color w:val="auto"/>
                      <w:sz w:val="21"/>
                      <w:szCs w:val="21"/>
                      <w:lang w:val="en-US" w:eastAsia="zh-CN"/>
                    </w:rPr>
                  </w:pPr>
                  <w:r>
                    <w:rPr>
                      <w:rFonts w:hint="default" w:ascii="Times New Roman" w:hAnsi="Times New Roman" w:cs="Times New Roman"/>
                      <w:b w:val="0"/>
                      <w:bCs/>
                      <w:color w:val="auto"/>
                      <w:sz w:val="21"/>
                      <w:szCs w:val="21"/>
                      <w:highlight w:val="none"/>
                    </w:rPr>
                    <w:t>危险废物</w:t>
                  </w:r>
                  <w:r>
                    <w:rPr>
                      <w:rFonts w:hint="default" w:ascii="Times New Roman" w:hAnsi="Times New Roman" w:cs="Times New Roman"/>
                      <w:b w:val="0"/>
                      <w:color w:val="auto"/>
                      <w:sz w:val="21"/>
                      <w:szCs w:val="21"/>
                    </w:rPr>
                    <w:t>HW</w:t>
                  </w:r>
                  <w:r>
                    <w:rPr>
                      <w:rFonts w:hint="default" w:ascii="Times New Roman" w:hAnsi="Times New Roman" w:cs="Times New Roman"/>
                      <w:b w:val="0"/>
                      <w:color w:val="auto"/>
                      <w:sz w:val="21"/>
                      <w:szCs w:val="21"/>
                      <w:lang w:val="en-US" w:eastAsia="zh-CN"/>
                    </w:rPr>
                    <w:t>08</w:t>
                  </w:r>
                </w:p>
                <w:p>
                  <w:pPr>
                    <w:widowControl/>
                    <w:spacing w:line="240" w:lineRule="auto"/>
                    <w:jc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color w:val="auto"/>
                      <w:sz w:val="21"/>
                      <w:szCs w:val="21"/>
                    </w:rPr>
                    <w:t>900-</w:t>
                  </w:r>
                  <w:r>
                    <w:rPr>
                      <w:rFonts w:hint="default" w:ascii="Times New Roman" w:hAnsi="Times New Roman" w:cs="Times New Roman"/>
                      <w:b w:val="0"/>
                      <w:color w:val="auto"/>
                      <w:sz w:val="21"/>
                      <w:szCs w:val="21"/>
                      <w:lang w:val="en-US" w:eastAsia="zh-CN"/>
                    </w:rPr>
                    <w:t>249</w:t>
                  </w:r>
                  <w:r>
                    <w:rPr>
                      <w:rFonts w:hint="default" w:ascii="Times New Roman" w:hAnsi="Times New Roman" w:cs="Times New Roman"/>
                      <w:b w:val="0"/>
                      <w:color w:val="auto"/>
                      <w:sz w:val="21"/>
                      <w:szCs w:val="21"/>
                    </w:rPr>
                    <w:t>-</w:t>
                  </w:r>
                  <w:r>
                    <w:rPr>
                      <w:rFonts w:hint="default" w:ascii="Times New Roman" w:hAnsi="Times New Roman" w:cs="Times New Roman"/>
                      <w:b w:val="0"/>
                      <w:color w:val="auto"/>
                      <w:sz w:val="21"/>
                      <w:szCs w:val="21"/>
                      <w:lang w:val="en-US" w:eastAsia="zh-CN"/>
                    </w:rPr>
                    <w:t>08</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石油烃</w:t>
                  </w:r>
                </w:p>
              </w:tc>
              <w:tc>
                <w:tcPr>
                  <w:tcW w:w="0" w:type="auto"/>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固</w:t>
                  </w:r>
                  <w:r>
                    <w:rPr>
                      <w:rFonts w:hint="default" w:ascii="Times New Roman" w:hAnsi="Times New Roman" w:cs="Times New Roman"/>
                      <w:b w:val="0"/>
                      <w:bCs/>
                      <w:color w:val="auto"/>
                      <w:sz w:val="21"/>
                      <w:szCs w:val="21"/>
                      <w:highlight w:val="none"/>
                    </w:rPr>
                    <w:t>态</w:t>
                  </w:r>
                </w:p>
              </w:tc>
              <w:tc>
                <w:tcPr>
                  <w:tcW w:w="0" w:type="auto"/>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T，I</w:t>
                  </w:r>
                </w:p>
              </w:tc>
              <w:tc>
                <w:tcPr>
                  <w:tcW w:w="867" w:type="dxa"/>
                  <w:noWrap w:val="0"/>
                  <w:vAlign w:val="center"/>
                </w:tcPr>
                <w:p>
                  <w:pPr>
                    <w:widowControl/>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0.01</w:t>
                  </w:r>
                </w:p>
              </w:tc>
              <w:tc>
                <w:tcPr>
                  <w:tcW w:w="913" w:type="dxa"/>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sz w:val="21"/>
                      <w:szCs w:val="21"/>
                      <w:highlight w:val="none"/>
                    </w:rPr>
                  </w:pP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p>
              </w:tc>
              <w:tc>
                <w:tcPr>
                  <w:tcW w:w="0" w:type="auto"/>
                  <w:vMerge w:val="continue"/>
                  <w:noWrap w:val="0"/>
                  <w:vAlign w:val="center"/>
                </w:tcPr>
                <w:p>
                  <w:pPr>
                    <w:adjustRightInd w:val="0"/>
                    <w:spacing w:line="240" w:lineRule="auto"/>
                    <w:jc w:val="center"/>
                    <w:textAlignment w:val="baseline"/>
                    <w:rPr>
                      <w:rFonts w:hint="default" w:ascii="Times New Roman" w:hAnsi="Times New Roman" w:cs="Times New Roman"/>
                      <w:b w:val="0"/>
                      <w:bCs/>
                      <w:color w:val="auto"/>
                      <w:kern w:val="2"/>
                      <w:sz w:val="21"/>
                      <w:szCs w:val="21"/>
                      <w:highlight w:val="none"/>
                      <w:lang w:val="en-US" w:eastAsia="zh-CN" w:bidi="ar-SA"/>
                    </w:rPr>
                  </w:pPr>
                </w:p>
              </w:tc>
              <w:tc>
                <w:tcPr>
                  <w:tcW w:w="0" w:type="auto"/>
                  <w:noWrap w:val="0"/>
                  <w:vAlign w:val="center"/>
                </w:tcPr>
                <w:p>
                  <w:pPr>
                    <w:widowControl/>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0.01</w:t>
                  </w:r>
                </w:p>
              </w:tc>
            </w:tr>
          </w:tbl>
          <w:p>
            <w:pPr>
              <w:pStyle w:val="37"/>
              <w:jc w:val="center"/>
              <w:outlineLvl w:val="0"/>
              <w:rPr>
                <w:rFonts w:hint="default" w:ascii="宋体" w:hAnsi="宋体" w:eastAsia="宋体" w:cs="宋体"/>
                <w:b/>
                <w:bCs/>
                <w:color w:val="auto"/>
                <w:sz w:val="21"/>
                <w:szCs w:val="21"/>
                <w:highlight w:val="none"/>
                <w:lang w:val="en-US" w:eastAsia="zh-CN"/>
              </w:rPr>
            </w:pPr>
          </w:p>
          <w:p>
            <w:pPr>
              <w:pStyle w:val="37"/>
              <w:jc w:val="center"/>
              <w:outlineLvl w:val="0"/>
              <w:rPr>
                <w:rFonts w:hint="default" w:ascii="宋体" w:hAnsi="宋体" w:eastAsia="宋体" w:cs="宋体"/>
                <w:b/>
                <w:bCs/>
                <w:color w:val="auto"/>
                <w:sz w:val="21"/>
                <w:szCs w:val="21"/>
                <w:highlight w:val="none"/>
                <w:lang w:val="en-US" w:eastAsia="zh-CN"/>
              </w:rPr>
            </w:pPr>
          </w:p>
          <w:p>
            <w:pPr>
              <w:pStyle w:val="37"/>
              <w:jc w:val="center"/>
              <w:outlineLvl w:val="0"/>
              <w:rPr>
                <w:rFonts w:hint="default" w:ascii="宋体" w:hAnsi="宋体" w:eastAsia="宋体" w:cs="宋体"/>
                <w:b/>
                <w:bCs/>
                <w:color w:val="auto"/>
                <w:sz w:val="21"/>
                <w:szCs w:val="21"/>
                <w:highlight w:val="none"/>
                <w:lang w:val="en-US" w:eastAsia="zh-CN"/>
              </w:rPr>
            </w:pPr>
          </w:p>
          <w:p>
            <w:pPr>
              <w:pStyle w:val="37"/>
              <w:jc w:val="center"/>
              <w:outlineLvl w:val="0"/>
              <w:rPr>
                <w:rFonts w:hint="default" w:ascii="宋体" w:hAnsi="宋体" w:eastAsia="宋体" w:cs="宋体"/>
                <w:b/>
                <w:bCs/>
                <w:color w:val="auto"/>
                <w:sz w:val="21"/>
                <w:szCs w:val="21"/>
                <w:highlight w:val="none"/>
                <w:lang w:val="en-US" w:eastAsia="zh-CN"/>
              </w:rPr>
            </w:pPr>
          </w:p>
          <w:p>
            <w:pPr>
              <w:pStyle w:val="37"/>
              <w:jc w:val="both"/>
              <w:outlineLvl w:val="0"/>
              <w:rPr>
                <w:rFonts w:hint="default" w:ascii="宋体" w:hAnsi="宋体" w:eastAsia="宋体" w:cs="宋体"/>
                <w:b/>
                <w:bCs/>
                <w:color w:val="auto"/>
                <w:sz w:val="21"/>
                <w:szCs w:val="21"/>
                <w:highlight w:val="none"/>
                <w:lang w:val="en-US" w:eastAsia="zh-CN"/>
              </w:rPr>
            </w:pPr>
          </w:p>
        </w:tc>
      </w:tr>
    </w:tbl>
    <w:p>
      <w:pPr>
        <w:pStyle w:val="37"/>
        <w:jc w:val="center"/>
        <w:outlineLvl w:val="0"/>
        <w:rPr>
          <w:rFonts w:hint="eastAsia" w:ascii="黑体" w:hAnsi="黑体" w:eastAsia="黑体"/>
          <w:snapToGrid w:val="0"/>
          <w:sz w:val="30"/>
          <w:szCs w:val="30"/>
        </w:rPr>
        <w:sectPr>
          <w:pgSz w:w="16838" w:h="11906" w:orient="landscape"/>
          <w:pgMar w:top="1531" w:right="1701" w:bottom="1531" w:left="1701" w:header="851" w:footer="851" w:gutter="0"/>
          <w:pgNumType w:fmt="decimal"/>
          <w:cols w:space="720" w:num="1"/>
          <w:docGrid w:linePitch="312" w:charSpace="0"/>
        </w:sect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noWrap w:val="0"/>
            <w:vAlign w:val="top"/>
          </w:tcPr>
          <w:p>
            <w:pPr>
              <w:pStyle w:val="37"/>
              <w:jc w:val="center"/>
              <w:outlineLvl w:val="0"/>
              <w:rPr>
                <w:rFonts w:hint="eastAsia" w:ascii="黑体" w:hAnsi="黑体" w:eastAsia="黑体"/>
                <w:snapToGrid w:val="0"/>
                <w:sz w:val="30"/>
                <w:szCs w:val="30"/>
                <w:vertAlign w:val="baseline"/>
              </w:rPr>
            </w:pPr>
          </w:p>
        </w:tc>
        <w:tc>
          <w:tcPr>
            <w:tcW w:w="8437" w:type="dxa"/>
            <w:noWrap w:val="0"/>
            <w:vAlign w:val="top"/>
          </w:tcPr>
          <w:p>
            <w:pPr>
              <w:spacing w:line="360" w:lineRule="auto"/>
              <w:ind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w:t>
            </w:r>
            <w:r>
              <w:rPr>
                <w:rFonts w:hint="eastAsia"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环境管理要求</w:t>
            </w:r>
          </w:p>
          <w:p>
            <w:pPr>
              <w:spacing w:line="360" w:lineRule="auto"/>
              <w:ind w:firstLine="480" w:firstLineChars="200"/>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一般工业固废</w:t>
            </w:r>
          </w:p>
          <w:p>
            <w:pPr>
              <w:spacing w:line="360" w:lineRule="auto"/>
              <w:ind w:firstLine="480" w:firstLineChars="200"/>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建设方应严格按照《中华人民共和国固体废物污染环境防治法》要求，建立健全一般工业固废产生、收集、贮存、运输、利用、处置全过程的污染环境防治责任制度，建立工业固体废物管理台账，如实记录产生一般工业固废的种类、数量、流向、贮存、利用、处置等信息，实现一般工业固体废物可追溯、可查询</w:t>
            </w:r>
            <w:r>
              <w:rPr>
                <w:rFonts w:hint="eastAsia" w:ascii="Times New Roman" w:hAnsi="Times New Roman" w:cs="Times New Roman"/>
                <w:color w:val="auto"/>
                <w:sz w:val="24"/>
                <w:szCs w:val="24"/>
                <w:lang w:eastAsia="zh-CN"/>
              </w:rPr>
              <w:t>。</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lang w:eastAsia="zh-CN"/>
              </w:rPr>
              <w:t>为了进一步确保项目产生的固体废物得到合理有效的收集处理，避免造成环境二次污染，</w:t>
            </w:r>
            <w:r>
              <w:rPr>
                <w:rFonts w:hint="eastAsia" w:ascii="Times New Roman" w:hAnsi="Times New Roman" w:cs="Times New Roman"/>
                <w:color w:val="auto"/>
                <w:sz w:val="24"/>
                <w:szCs w:val="24"/>
                <w:lang w:val="en-US" w:eastAsia="zh-CN"/>
              </w:rPr>
              <w:t>本项目一般固废</w:t>
            </w:r>
            <w:r>
              <w:rPr>
                <w:rFonts w:hint="eastAsia" w:ascii="Times New Roman" w:hAnsi="Times New Roman" w:eastAsia="宋体" w:cs="Times New Roman"/>
                <w:bCs/>
                <w:color w:val="auto"/>
                <w:sz w:val="24"/>
                <w:szCs w:val="24"/>
                <w:highlight w:val="none"/>
                <w:lang w:val="en-US" w:eastAsia="zh-CN"/>
              </w:rPr>
              <w:t>做到日产日清，</w:t>
            </w:r>
            <w:r>
              <w:rPr>
                <w:rFonts w:hint="default" w:ascii="Times New Roman" w:hAnsi="Times New Roman" w:eastAsia="宋体" w:cs="Times New Roman"/>
                <w:bCs/>
                <w:color w:val="auto"/>
                <w:sz w:val="24"/>
                <w:szCs w:val="24"/>
                <w:highlight w:val="none"/>
                <w:lang w:val="en-US" w:eastAsia="zh-CN"/>
              </w:rPr>
              <w:t>交由</w:t>
            </w:r>
            <w:r>
              <w:rPr>
                <w:rFonts w:hint="eastAsia" w:ascii="Times New Roman" w:hAnsi="Times New Roman" w:eastAsia="宋体" w:cs="Times New Roman"/>
                <w:bCs/>
                <w:color w:val="auto"/>
                <w:sz w:val="24"/>
                <w:szCs w:val="24"/>
                <w:highlight w:val="none"/>
                <w:lang w:val="en-US" w:eastAsia="zh-CN"/>
              </w:rPr>
              <w:t>园区</w:t>
            </w:r>
            <w:r>
              <w:rPr>
                <w:rFonts w:hint="default" w:ascii="Times New Roman" w:hAnsi="Times New Roman" w:eastAsia="宋体" w:cs="Times New Roman"/>
                <w:bCs/>
                <w:color w:val="auto"/>
                <w:sz w:val="24"/>
                <w:szCs w:val="24"/>
                <w:highlight w:val="none"/>
                <w:lang w:val="en-US" w:eastAsia="zh-CN"/>
              </w:rPr>
              <w:t>环卫部门统一清运处置</w:t>
            </w:r>
            <w:r>
              <w:rPr>
                <w:rFonts w:hint="default" w:ascii="Times New Roman" w:hAnsi="Times New Roman" w:cs="Times New Roman"/>
                <w:color w:val="auto"/>
                <w:sz w:val="24"/>
                <w:szCs w:val="24"/>
              </w:rPr>
              <w:t>。</w:t>
            </w:r>
          </w:p>
          <w:p>
            <w:pPr>
              <w:numPr>
                <w:ilvl w:val="0"/>
                <w:numId w:val="0"/>
              </w:num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1）</w:t>
            </w:r>
            <w:r>
              <w:rPr>
                <w:rFonts w:hint="default" w:ascii="Times New Roman" w:hAnsi="Times New Roman" w:cs="Times New Roman"/>
                <w:color w:val="auto"/>
                <w:sz w:val="24"/>
                <w:szCs w:val="24"/>
                <w:highlight w:val="none"/>
                <w:lang w:val="en-US" w:eastAsia="zh-CN"/>
              </w:rPr>
              <w:t>危险废物</w:t>
            </w:r>
          </w:p>
          <w:p>
            <w:pPr>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①危废暂存间</w:t>
            </w:r>
          </w:p>
          <w:p>
            <w:pPr>
              <w:spacing w:line="360" w:lineRule="auto"/>
              <w:ind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设置</w:t>
            </w:r>
            <w:r>
              <w:rPr>
                <w:rFonts w:hint="eastAsia"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危废暂存间，</w:t>
            </w:r>
            <w:r>
              <w:rPr>
                <w:rFonts w:hint="default" w:ascii="Times New Roman" w:hAnsi="Times New Roman" w:cs="Times New Roman"/>
                <w:color w:val="auto"/>
                <w:sz w:val="24"/>
                <w:szCs w:val="24"/>
              </w:rPr>
              <w:t>产生的危险废物按照废物类别分类、分区暂存</w:t>
            </w:r>
            <w:r>
              <w:rPr>
                <w:rFonts w:hint="default" w:ascii="Times New Roman" w:hAnsi="Times New Roman" w:cs="Times New Roman"/>
                <w:color w:val="auto"/>
                <w:sz w:val="24"/>
                <w:szCs w:val="24"/>
                <w:lang w:val="en-US" w:eastAsia="zh-CN"/>
              </w:rPr>
              <w:t>其中</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危废暂存间</w:t>
            </w:r>
            <w:r>
              <w:rPr>
                <w:rFonts w:hint="default" w:ascii="Times New Roman" w:hAnsi="Times New Roman" w:cs="Times New Roman"/>
                <w:color w:val="auto"/>
                <w:sz w:val="24"/>
                <w:szCs w:val="24"/>
              </w:rPr>
              <w:t>按照《危险废物贮存污染控制标准》</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GB18597-2023）建设，采取</w:t>
            </w:r>
            <w:r>
              <w:rPr>
                <w:rFonts w:hint="eastAsia" w:ascii="宋体" w:hAnsi="宋体" w:eastAsia="宋体" w:cs="宋体"/>
                <w:color w:val="auto"/>
                <w:sz w:val="24"/>
                <w:szCs w:val="24"/>
                <w:lang w:eastAsia="zh-CN"/>
              </w:rPr>
              <w:t>“</w:t>
            </w:r>
            <w:r>
              <w:rPr>
                <w:rFonts w:hint="default" w:ascii="Times New Roman" w:hAnsi="Times New Roman" w:cs="Times New Roman"/>
                <w:color w:val="auto"/>
                <w:sz w:val="24"/>
                <w:szCs w:val="24"/>
              </w:rPr>
              <w:t>四防</w:t>
            </w:r>
            <w:r>
              <w:rPr>
                <w:rFonts w:hint="default"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rPr>
              <w:t>防风、防雨、防晒、防渗漏）措施</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按照《环境保护图形标志—固体废物贮存</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处置）场》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GB15562.2-1995）设置警示标识，由专人负责管理</w:t>
            </w:r>
            <w:r>
              <w:rPr>
                <w:rFonts w:hint="default" w:ascii="Times New Roman" w:hAnsi="Times New Roman" w:cs="Times New Roman"/>
                <w:color w:val="auto"/>
                <w:sz w:val="24"/>
                <w:szCs w:val="24"/>
                <w:lang w:eastAsia="zh-CN"/>
              </w:rPr>
              <w:t>。</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B、危废暂存间重点防渗要求为：</w:t>
            </w:r>
            <w:r>
              <w:rPr>
                <w:rFonts w:hint="default" w:ascii="Times New Roman" w:hAnsi="Times New Roman" w:eastAsia="宋体" w:cs="Times New Roman"/>
                <w:color w:val="auto"/>
                <w:sz w:val="24"/>
                <w:szCs w:val="24"/>
                <w:highlight w:val="none"/>
                <w:lang w:val="en-US" w:eastAsia="zh-CN"/>
              </w:rPr>
              <w:t>防渗层为至少1m厚黏土层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cm/s），或至少2mm厚高密度聚乙烯膜等人工防渗材料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渗透系数不大于10</w:t>
            </w:r>
            <w:r>
              <w:rPr>
                <w:rFonts w:hint="default" w:ascii="Times New Roman" w:hAnsi="Times New Roman" w:eastAsia="宋体" w:cs="Times New Roman"/>
                <w:color w:val="auto"/>
                <w:sz w:val="24"/>
                <w:szCs w:val="24"/>
                <w:highlight w:val="none"/>
                <w:vertAlign w:val="superscript"/>
                <w:lang w:val="en-US" w:eastAsia="zh-CN"/>
              </w:rPr>
              <w:t>-10</w:t>
            </w:r>
            <w:r>
              <w:rPr>
                <w:rFonts w:hint="default" w:ascii="Times New Roman" w:hAnsi="Times New Roman" w:eastAsia="宋体" w:cs="Times New Roman"/>
                <w:color w:val="auto"/>
                <w:sz w:val="24"/>
                <w:szCs w:val="24"/>
                <w:highlight w:val="none"/>
                <w:lang w:val="en-US" w:eastAsia="zh-CN"/>
              </w:rPr>
              <w:t>cm/s），或其他防渗性能等效的材料。按照《危险废物识别标志设置技术规范》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HJ1276-2022）要求设置标志、标签，危险废物</w:t>
            </w:r>
            <w:r>
              <w:rPr>
                <w:rFonts w:hint="eastAsia" w:ascii="Times New Roman" w:hAnsi="Times New Roman" w:eastAsia="宋体" w:cs="Times New Roman"/>
                <w:color w:val="auto"/>
                <w:sz w:val="24"/>
                <w:szCs w:val="24"/>
                <w:highlight w:val="none"/>
                <w:lang w:val="en-US" w:eastAsia="zh-CN"/>
              </w:rPr>
              <w:t>分类</w:t>
            </w:r>
            <w:r>
              <w:rPr>
                <w:rFonts w:hint="default" w:ascii="Times New Roman" w:hAnsi="Times New Roman" w:eastAsia="宋体" w:cs="Times New Roman"/>
                <w:color w:val="auto"/>
                <w:sz w:val="24"/>
                <w:szCs w:val="24"/>
                <w:highlight w:val="none"/>
                <w:lang w:val="en-US" w:eastAsia="zh-CN"/>
              </w:rPr>
              <w:t>收集、处置，并置于专用容器内，不相容的危险废物不堆放在一起，粘贴危险废物标签，做好安全警示标志及相应的记录。</w:t>
            </w:r>
          </w:p>
          <w:p>
            <w:pPr>
              <w:numPr>
                <w:ilvl w:val="0"/>
                <w:numId w:val="0"/>
              </w:numPr>
              <w:spacing w:line="240" w:lineRule="auto"/>
              <w:jc w:val="center"/>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 w:val="21"/>
                <w:szCs w:val="21"/>
                <w:highlight w:val="none"/>
                <w:lang w:val="en-US" w:eastAsia="zh-CN"/>
              </w:rPr>
              <w:t xml:space="preserve">表4-13  </w:t>
            </w:r>
            <w:r>
              <w:rPr>
                <w:rFonts w:hint="default" w:ascii="Times New Roman" w:hAnsi="Times New Roman" w:cs="Times New Roman"/>
                <w:b/>
                <w:bCs/>
                <w:color w:val="auto"/>
                <w:szCs w:val="21"/>
                <w:highlight w:val="none"/>
              </w:rPr>
              <w:t>项目</w:t>
            </w:r>
            <w:r>
              <w:rPr>
                <w:rFonts w:hint="default" w:ascii="Times New Roman" w:hAnsi="Times New Roman" w:cs="Times New Roman"/>
                <w:b/>
                <w:bCs/>
                <w:color w:val="auto"/>
                <w:szCs w:val="21"/>
                <w:highlight w:val="none"/>
                <w:lang w:val="en-US" w:eastAsia="zh-CN"/>
              </w:rPr>
              <w:t>危废暂存间基本情况表</w:t>
            </w:r>
          </w:p>
          <w:tbl>
            <w:tblPr>
              <w:tblStyle w:val="42"/>
              <w:tblW w:w="82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902"/>
              <w:gridCol w:w="1270"/>
              <w:gridCol w:w="852"/>
              <w:gridCol w:w="1275"/>
              <w:gridCol w:w="680"/>
              <w:gridCol w:w="918"/>
              <w:gridCol w:w="919"/>
              <w:gridCol w:w="9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4" w:type="pct"/>
                  <w:tcBorders>
                    <w:tl2br w:val="nil"/>
                  </w:tcBorders>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546"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贮存场所名称</w:t>
                  </w:r>
                </w:p>
              </w:tc>
              <w:tc>
                <w:tcPr>
                  <w:tcW w:w="769"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危废</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516"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废物</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类别</w:t>
                  </w:r>
                </w:p>
              </w:tc>
              <w:tc>
                <w:tcPr>
                  <w:tcW w:w="772"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废物</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代码</w:t>
                  </w:r>
                </w:p>
              </w:tc>
              <w:tc>
                <w:tcPr>
                  <w:tcW w:w="411"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占地</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w:t>
                  </w:r>
                </w:p>
              </w:tc>
              <w:tc>
                <w:tcPr>
                  <w:tcW w:w="556"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方式</w:t>
                  </w:r>
                </w:p>
              </w:tc>
              <w:tc>
                <w:tcPr>
                  <w:tcW w:w="556"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能力</w:t>
                  </w:r>
                </w:p>
              </w:tc>
              <w:tc>
                <w:tcPr>
                  <w:tcW w:w="556" w:type="pct"/>
                  <w:noWrap w:val="0"/>
                  <w:vAlign w:val="center"/>
                </w:tcPr>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w:t>
                  </w:r>
                </w:p>
                <w:p>
                  <w:pPr>
                    <w:adjustRightIn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周期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4" w:type="pct"/>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546" w:type="pct"/>
                  <w:vMerge w:val="restart"/>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危废暂存间</w:t>
                  </w:r>
                </w:p>
              </w:tc>
              <w:tc>
                <w:tcPr>
                  <w:tcW w:w="769" w:type="pct"/>
                  <w:noWrap w:val="0"/>
                  <w:vAlign w:val="center"/>
                </w:tcPr>
                <w:p>
                  <w:pPr>
                    <w:widowControl/>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color w:val="auto"/>
                      <w:sz w:val="21"/>
                      <w:szCs w:val="21"/>
                      <w:lang w:val="en-US" w:eastAsia="zh-CN"/>
                    </w:rPr>
                    <w:t>实验室检验废液</w:t>
                  </w:r>
                </w:p>
              </w:tc>
              <w:tc>
                <w:tcPr>
                  <w:tcW w:w="516" w:type="pct"/>
                  <w:noWrap w:val="0"/>
                  <w:vAlign w:val="center"/>
                </w:tcPr>
                <w:p>
                  <w:pPr>
                    <w:widowControl/>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color w:val="auto"/>
                      <w:sz w:val="21"/>
                      <w:szCs w:val="21"/>
                    </w:rPr>
                    <w:t>HW49</w:t>
                  </w:r>
                </w:p>
              </w:tc>
              <w:tc>
                <w:tcPr>
                  <w:tcW w:w="772" w:type="pct"/>
                  <w:noWrap w:val="0"/>
                  <w:vAlign w:val="center"/>
                </w:tcPr>
                <w:p>
                  <w:pPr>
                    <w:adjustRightInd w:val="0"/>
                    <w:spacing w:line="240" w:lineRule="auto"/>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color w:val="auto"/>
                      <w:sz w:val="21"/>
                      <w:szCs w:val="21"/>
                    </w:rPr>
                    <w:t>900-0</w:t>
                  </w:r>
                  <w:r>
                    <w:rPr>
                      <w:rFonts w:hint="eastAsia" w:ascii="Times New Roman" w:hAnsi="Times New Roman" w:cs="Times New Roman"/>
                      <w:b w:val="0"/>
                      <w:color w:val="auto"/>
                      <w:sz w:val="21"/>
                      <w:szCs w:val="21"/>
                      <w:lang w:val="en-US" w:eastAsia="zh-CN"/>
                    </w:rPr>
                    <w:t>47</w:t>
                  </w:r>
                  <w:r>
                    <w:rPr>
                      <w:rFonts w:hint="default" w:ascii="Times New Roman" w:hAnsi="Times New Roman" w:cs="Times New Roman"/>
                      <w:b w:val="0"/>
                      <w:color w:val="auto"/>
                      <w:sz w:val="21"/>
                      <w:szCs w:val="21"/>
                    </w:rPr>
                    <w:t>-49</w:t>
                  </w:r>
                </w:p>
              </w:tc>
              <w:tc>
                <w:tcPr>
                  <w:tcW w:w="411" w:type="pct"/>
                  <w:vMerge w:val="restart"/>
                  <w:noWrap w:val="0"/>
                  <w:vAlign w:val="center"/>
                </w:tcPr>
                <w:p>
                  <w:pPr>
                    <w:adjustRightInd w:val="0"/>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10</w:t>
                  </w:r>
                  <w:r>
                    <w:rPr>
                      <w:rFonts w:hint="default" w:ascii="Times New Roman" w:hAnsi="Times New Roman" w:eastAsia="宋体" w:cs="Times New Roman"/>
                      <w:b w:val="0"/>
                      <w:bCs/>
                      <w:color w:val="auto"/>
                      <w:sz w:val="21"/>
                      <w:szCs w:val="21"/>
                      <w:highlight w:val="none"/>
                      <w:lang w:val="en-US" w:eastAsia="zh-CN"/>
                    </w:rPr>
                    <w:t>m</w:t>
                  </w:r>
                  <w:r>
                    <w:rPr>
                      <w:rFonts w:hint="default" w:ascii="Times New Roman" w:hAnsi="Times New Roman" w:eastAsia="宋体" w:cs="Times New Roman"/>
                      <w:b w:val="0"/>
                      <w:bCs/>
                      <w:color w:val="auto"/>
                      <w:sz w:val="21"/>
                      <w:szCs w:val="21"/>
                      <w:highlight w:val="none"/>
                      <w:vertAlign w:val="superscript"/>
                      <w:lang w:val="en-US" w:eastAsia="zh-CN"/>
                    </w:rPr>
                    <w:t>2</w:t>
                  </w:r>
                </w:p>
              </w:tc>
              <w:tc>
                <w:tcPr>
                  <w:tcW w:w="556" w:type="pct"/>
                  <w:noWrap w:val="0"/>
                  <w:vAlign w:val="center"/>
                </w:tcPr>
                <w:p>
                  <w:pPr>
                    <w:adjustRightInd w:val="0"/>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桶装</w:t>
                  </w:r>
                </w:p>
              </w:tc>
              <w:tc>
                <w:tcPr>
                  <w:tcW w:w="556" w:type="pct"/>
                  <w:noWrap w:val="0"/>
                  <w:vAlign w:val="center"/>
                </w:tcPr>
                <w:p>
                  <w:pPr>
                    <w:widowControl/>
                    <w:jc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color w:val="auto"/>
                      <w:sz w:val="21"/>
                      <w:szCs w:val="21"/>
                      <w:lang w:val="en-US" w:eastAsia="zh-CN"/>
                    </w:rPr>
                    <w:t>0.1</w:t>
                  </w:r>
                </w:p>
              </w:tc>
              <w:tc>
                <w:tcPr>
                  <w:tcW w:w="556" w:type="pct"/>
                  <w:vMerge w:val="restart"/>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半年~一</w:t>
                  </w:r>
                  <w:r>
                    <w:rPr>
                      <w:rFonts w:hint="default" w:ascii="Times New Roman" w:hAnsi="Times New Roman" w:eastAsia="宋体" w:cs="Times New Roman"/>
                      <w:b w:val="0"/>
                      <w:bCs/>
                      <w:color w:val="auto"/>
                      <w:sz w:val="21"/>
                      <w:szCs w:val="21"/>
                      <w:highlight w:val="none"/>
                      <w:lang w:val="en-US" w:eastAsia="zh-CN"/>
                    </w:rPr>
                    <w:t>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14" w:type="pct"/>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546" w:type="pct"/>
                  <w:vMerge w:val="continue"/>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769" w:type="pct"/>
                  <w:noWrap w:val="0"/>
                  <w:vAlign w:val="center"/>
                </w:tcPr>
                <w:p>
                  <w:pPr>
                    <w:widowControl/>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废润滑油</w:t>
                  </w:r>
                </w:p>
              </w:tc>
              <w:tc>
                <w:tcPr>
                  <w:tcW w:w="516" w:type="pct"/>
                  <w:noWrap w:val="0"/>
                  <w:vAlign w:val="center"/>
                </w:tcPr>
                <w:p>
                  <w:pPr>
                    <w:widowControl/>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HW08</w:t>
                  </w:r>
                </w:p>
              </w:tc>
              <w:tc>
                <w:tcPr>
                  <w:tcW w:w="772" w:type="pct"/>
                  <w:noWrap w:val="0"/>
                  <w:vAlign w:val="center"/>
                </w:tcPr>
                <w:p>
                  <w:pPr>
                    <w:widowControl/>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900-249-08</w:t>
                  </w:r>
                </w:p>
              </w:tc>
              <w:tc>
                <w:tcPr>
                  <w:tcW w:w="411" w:type="pct"/>
                  <w:vMerge w:val="continue"/>
                  <w:noWrap w:val="0"/>
                  <w:vAlign w:val="center"/>
                </w:tcPr>
                <w:p>
                  <w:pPr>
                    <w:adjustRightInd w:val="0"/>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p>
              </w:tc>
              <w:tc>
                <w:tcPr>
                  <w:tcW w:w="556" w:type="pct"/>
                  <w:noWrap w:val="0"/>
                  <w:vAlign w:val="center"/>
                </w:tcPr>
                <w:p>
                  <w:pPr>
                    <w:adjustRightInd w:val="0"/>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桶装</w:t>
                  </w:r>
                </w:p>
              </w:tc>
              <w:tc>
                <w:tcPr>
                  <w:tcW w:w="556" w:type="pct"/>
                  <w:noWrap w:val="0"/>
                  <w:vAlign w:val="center"/>
                </w:tcPr>
                <w:p>
                  <w:pPr>
                    <w:widowControl/>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0.1</w:t>
                  </w:r>
                </w:p>
              </w:tc>
              <w:tc>
                <w:tcPr>
                  <w:tcW w:w="556" w:type="pct"/>
                  <w:vMerge w:val="continue"/>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14" w:type="pct"/>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546" w:type="pct"/>
                  <w:vMerge w:val="continue"/>
                  <w:noWrap w:val="0"/>
                  <w:vAlign w:val="center"/>
                </w:tcPr>
                <w:p>
                  <w:pPr>
                    <w:jc w:val="center"/>
                    <w:rPr>
                      <w:rFonts w:hint="default" w:ascii="Times New Roman" w:hAnsi="Times New Roman" w:eastAsia="宋体" w:cs="Times New Roman"/>
                      <w:b w:val="0"/>
                      <w:bCs/>
                      <w:color w:val="auto"/>
                      <w:sz w:val="21"/>
                      <w:szCs w:val="21"/>
                      <w:highlight w:val="none"/>
                      <w:lang w:val="en-US" w:eastAsia="zh-CN"/>
                    </w:rPr>
                  </w:pPr>
                </w:p>
              </w:tc>
              <w:tc>
                <w:tcPr>
                  <w:tcW w:w="769" w:type="pct"/>
                  <w:noWrap w:val="0"/>
                  <w:vAlign w:val="center"/>
                </w:tcPr>
                <w:p>
                  <w:pPr>
                    <w:widowControl/>
                    <w:jc w:val="center"/>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lang w:val="en-US" w:eastAsia="zh-CN"/>
                    </w:rPr>
                    <w:t>废油桶</w:t>
                  </w:r>
                </w:p>
              </w:tc>
              <w:tc>
                <w:tcPr>
                  <w:tcW w:w="516" w:type="pct"/>
                  <w:noWrap w:val="0"/>
                  <w:vAlign w:val="center"/>
                </w:tcPr>
                <w:p>
                  <w:pPr>
                    <w:widowControl/>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HW08</w:t>
                  </w:r>
                </w:p>
              </w:tc>
              <w:tc>
                <w:tcPr>
                  <w:tcW w:w="772" w:type="pct"/>
                  <w:noWrap w:val="0"/>
                  <w:vAlign w:val="center"/>
                </w:tcPr>
                <w:p>
                  <w:pPr>
                    <w:widowControl/>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900-249-08</w:t>
                  </w:r>
                </w:p>
              </w:tc>
              <w:tc>
                <w:tcPr>
                  <w:tcW w:w="411" w:type="pct"/>
                  <w:vMerge w:val="continue"/>
                  <w:noWrap w:val="0"/>
                  <w:vAlign w:val="center"/>
                </w:tcPr>
                <w:p>
                  <w:pPr>
                    <w:adjustRightInd w:val="0"/>
                    <w:jc w:val="center"/>
                    <w:textAlignment w:val="baseline"/>
                    <w:rPr>
                      <w:rFonts w:hint="default" w:ascii="Times New Roman" w:hAnsi="Times New Roman" w:eastAsia="宋体" w:cs="Times New Roman"/>
                      <w:b w:val="0"/>
                      <w:bCs/>
                      <w:color w:val="auto"/>
                      <w:kern w:val="2"/>
                      <w:sz w:val="21"/>
                      <w:szCs w:val="21"/>
                      <w:highlight w:val="none"/>
                      <w:lang w:val="en-US" w:eastAsia="zh-CN" w:bidi="ar-SA"/>
                    </w:rPr>
                  </w:pPr>
                </w:p>
              </w:tc>
              <w:tc>
                <w:tcPr>
                  <w:tcW w:w="556" w:type="pct"/>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556" w:type="pct"/>
                  <w:noWrap w:val="0"/>
                  <w:vAlign w:val="center"/>
                </w:tcPr>
                <w:p>
                  <w:pPr>
                    <w:widowControl/>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0.01</w:t>
                  </w:r>
                </w:p>
              </w:tc>
              <w:tc>
                <w:tcPr>
                  <w:tcW w:w="556" w:type="pct"/>
                  <w:vMerge w:val="continue"/>
                  <w:noWrap w:val="0"/>
                  <w:vAlign w:val="center"/>
                </w:tcPr>
                <w:p>
                  <w:pPr>
                    <w:adjustRightInd w:val="0"/>
                    <w:jc w:val="center"/>
                    <w:textAlignment w:val="baseline"/>
                    <w:rPr>
                      <w:rFonts w:hint="default" w:ascii="Times New Roman" w:hAnsi="Times New Roman" w:eastAsia="宋体" w:cs="Times New Roman"/>
                      <w:b w:val="0"/>
                      <w:bCs/>
                      <w:color w:val="auto"/>
                      <w:sz w:val="21"/>
                      <w:szCs w:val="21"/>
                      <w:highlight w:val="none"/>
                      <w:lang w:val="en-US" w:eastAsia="zh-CN"/>
                    </w:rPr>
                  </w:pPr>
                </w:p>
              </w:tc>
            </w:tr>
          </w:tbl>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②转运要求</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危险废物的处置需严格按照</w:t>
            </w:r>
            <w:r>
              <w:rPr>
                <w:rFonts w:hint="default" w:ascii="Times New Roman" w:hAnsi="Times New Roman" w:eastAsia="宋体" w:cs="Times New Roman"/>
                <w:color w:val="auto"/>
                <w:sz w:val="24"/>
                <w:szCs w:val="24"/>
                <w:highlight w:val="none"/>
                <w:lang w:eastAsia="zh-CN"/>
              </w:rPr>
              <w:t>《危险废物转移管理办法》</w:t>
            </w:r>
            <w:r>
              <w:rPr>
                <w:rFonts w:hint="default" w:ascii="Times New Roman" w:hAnsi="Times New Roman" w:eastAsia="宋体" w:cs="Times New Roman"/>
                <w:color w:val="auto"/>
                <w:sz w:val="24"/>
                <w:szCs w:val="24"/>
                <w:highlight w:val="none"/>
              </w:rPr>
              <w:t>规定办理危险废物转移手续，并严格执行</w:t>
            </w:r>
            <w:r>
              <w:rPr>
                <w:rFonts w:hint="default" w:ascii="Times New Roman" w:hAnsi="Times New Roman" w:eastAsia="宋体" w:cs="Times New Roman"/>
                <w:color w:val="auto"/>
                <w:sz w:val="24"/>
                <w:szCs w:val="24"/>
                <w:highlight w:val="none"/>
                <w:lang w:eastAsia="zh-CN"/>
              </w:rPr>
              <w:t>《危险废物转移管理办法》</w:t>
            </w:r>
            <w:r>
              <w:rPr>
                <w:rFonts w:hint="default" w:ascii="Times New Roman" w:hAnsi="Times New Roman" w:eastAsia="宋体" w:cs="Times New Roman"/>
                <w:color w:val="auto"/>
                <w:sz w:val="24"/>
                <w:szCs w:val="24"/>
                <w:highlight w:val="none"/>
              </w:rPr>
              <w:t>规定，防止二次污染。</w:t>
            </w:r>
            <w:r>
              <w:rPr>
                <w:rFonts w:hint="default" w:ascii="Times New Roman" w:hAnsi="Times New Roman" w:eastAsia="宋体" w:cs="Times New Roman"/>
                <w:color w:val="auto"/>
                <w:sz w:val="24"/>
                <w:szCs w:val="24"/>
                <w:highlight w:val="none"/>
                <w:lang w:val="en-US" w:eastAsia="zh-CN"/>
              </w:rPr>
              <w:t>危险废物每次外运处置均需做好运输登记，认真填写危险废物转移联单和危险废物管理台账，台账记录需真实填写废物运出的日期、时间、数量、交接的人员等相关信息。</w:t>
            </w:r>
          </w:p>
          <w:p>
            <w:pPr>
              <w:numPr>
                <w:ilvl w:val="0"/>
                <w:numId w:val="0"/>
              </w:numPr>
              <w:spacing w:line="360" w:lineRule="auto"/>
              <w:ind w:firstLine="482" w:firstLineChars="200"/>
              <w:jc w:val="both"/>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lang w:val="en-US" w:eastAsia="zh-CN" w:bidi="ar-SA"/>
              </w:rPr>
              <w:t>五、</w:t>
            </w:r>
            <w:r>
              <w:rPr>
                <w:rFonts w:hint="eastAsia" w:ascii="Times New Roman" w:hAnsi="Times New Roman" w:eastAsia="宋体" w:cs="Times New Roman"/>
                <w:b/>
                <w:bCs/>
                <w:color w:val="auto"/>
                <w:sz w:val="24"/>
                <w:szCs w:val="24"/>
                <w:highlight w:val="none"/>
                <w:lang w:val="en-US" w:eastAsia="zh-CN"/>
              </w:rPr>
              <w:t>地下水、土壤</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项目建成后，项目拟采取以下分区防渗措施：</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1）地下水、土壤污染防治原则</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根据地下水污染防治措施和对策，坚持</w:t>
            </w:r>
            <w:r>
              <w:rPr>
                <w:rFonts w:hint="eastAsia" w:ascii="宋体" w:hAnsi="宋体" w:eastAsia="宋体" w:cs="宋体"/>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源头控制、分区防控、污染监控、应急响应，重点突出饮用水水质安全</w:t>
            </w:r>
            <w:r>
              <w:rPr>
                <w:rFonts w:hint="default" w:ascii="宋体" w:hAnsi="宋体" w:eastAsia="宋体" w:cs="宋体"/>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的原则。</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2）防止地下水、土壤污染的控制措施</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根据国家现行相关规范加强环境管理，采取防止和降低污染物跑、冒、滴、漏的措施。正常生产过程中应加强巡检及时处理污染物跑、冒、滴、漏，同时应加强对防渗工程的检查，若发现防渗密封材料老化或损坏，应及时维修更换；</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②对项目内各构筑物采取分区防渗措施，防止污染物的跑、冒、滴、漏，将污染物泄漏的环境风险事故降到最低限度。为避免本项目污染物渗漏对区域地下水、土壤环境造成影响，需做好厂区内分区防渗工作。</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本项目分区防渗措施见下表</w:t>
            </w:r>
          </w:p>
          <w:p>
            <w:pPr>
              <w:keepNext w:val="0"/>
              <w:keepLines w:val="0"/>
              <w:widowControl/>
              <w:suppressLineNumbers w:val="0"/>
              <w:jc w:val="center"/>
              <w:rPr>
                <w:rFonts w:hint="default" w:ascii="Times New Roman" w:hAnsi="Times New Roman" w:eastAsia="宋体" w:cs="Times New Roman"/>
                <w:b/>
                <w:bCs/>
                <w:color w:val="000000"/>
                <w:kern w:val="0"/>
                <w:sz w:val="21"/>
                <w:szCs w:val="21"/>
                <w:lang w:val="en-US" w:eastAsia="zh-CN" w:bidi="ar"/>
              </w:rPr>
            </w:pPr>
            <w:r>
              <w:rPr>
                <w:rFonts w:hint="default" w:ascii="Times New Roman" w:hAnsi="Times New Roman" w:eastAsia="宋体" w:cs="Times New Roman"/>
                <w:b/>
                <w:bCs/>
                <w:color w:val="auto"/>
                <w:sz w:val="21"/>
                <w:szCs w:val="21"/>
                <w:highlight w:val="none"/>
                <w:lang w:val="en-US" w:eastAsia="zh-CN"/>
              </w:rPr>
              <w:t xml:space="preserve">表4-14  </w:t>
            </w:r>
            <w:r>
              <w:rPr>
                <w:rFonts w:hint="default" w:ascii="Times New Roman" w:hAnsi="Times New Roman" w:eastAsia="宋体" w:cs="Times New Roman"/>
                <w:b/>
                <w:bCs/>
                <w:color w:val="000000"/>
                <w:kern w:val="0"/>
                <w:sz w:val="21"/>
                <w:szCs w:val="21"/>
                <w:lang w:val="en-US" w:eastAsia="zh-CN" w:bidi="ar"/>
              </w:rPr>
              <w:t>分区防渗措施一览表</w:t>
            </w:r>
          </w:p>
          <w:tbl>
            <w:tblPr>
              <w:tblStyle w:val="42"/>
              <w:tblW w:w="82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292"/>
              <w:gridCol w:w="1065"/>
              <w:gridCol w:w="4050"/>
              <w:gridCol w:w="12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5"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eastAsia" w:ascii="Times New Roman" w:hAnsi="Times New Roman" w:eastAsia="宋体" w:cs="Times New Roman"/>
                      <w:b/>
                      <w:bCs/>
                      <w:color w:val="000000"/>
                      <w:kern w:val="0"/>
                      <w:sz w:val="21"/>
                      <w:szCs w:val="21"/>
                      <w:vertAlign w:val="baseline"/>
                      <w:lang w:val="en-US" w:eastAsia="zh-CN" w:bidi="ar"/>
                    </w:rPr>
                    <w:t>序号</w:t>
                  </w:r>
                </w:p>
              </w:tc>
              <w:tc>
                <w:tcPr>
                  <w:tcW w:w="1292"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eastAsia" w:ascii="Times New Roman" w:hAnsi="Times New Roman" w:eastAsia="宋体" w:cs="Times New Roman"/>
                      <w:b/>
                      <w:bCs/>
                      <w:color w:val="000000"/>
                      <w:kern w:val="0"/>
                      <w:sz w:val="21"/>
                      <w:szCs w:val="21"/>
                      <w:vertAlign w:val="baseline"/>
                      <w:lang w:val="en-US" w:eastAsia="zh-CN" w:bidi="ar"/>
                    </w:rPr>
                    <w:t>名称</w:t>
                  </w:r>
                </w:p>
              </w:tc>
              <w:tc>
                <w:tcPr>
                  <w:tcW w:w="1065"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eastAsia" w:ascii="Times New Roman" w:hAnsi="Times New Roman" w:eastAsia="宋体" w:cs="Times New Roman"/>
                      <w:b/>
                      <w:bCs/>
                      <w:color w:val="000000"/>
                      <w:kern w:val="0"/>
                      <w:sz w:val="21"/>
                      <w:szCs w:val="21"/>
                      <w:vertAlign w:val="baseline"/>
                      <w:lang w:val="en-US" w:eastAsia="zh-CN" w:bidi="ar"/>
                    </w:rPr>
                    <w:t>防渗级别</w:t>
                  </w:r>
                </w:p>
              </w:tc>
              <w:tc>
                <w:tcPr>
                  <w:tcW w:w="4050"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eastAsia" w:ascii="Times New Roman" w:hAnsi="Times New Roman" w:eastAsia="宋体" w:cs="Times New Roman"/>
                      <w:b/>
                      <w:bCs/>
                      <w:color w:val="000000"/>
                      <w:kern w:val="0"/>
                      <w:sz w:val="21"/>
                      <w:szCs w:val="21"/>
                      <w:vertAlign w:val="baseline"/>
                      <w:lang w:val="en-US" w:eastAsia="zh-CN" w:bidi="ar"/>
                    </w:rPr>
                    <w:t>防渗要求</w:t>
                  </w:r>
                </w:p>
              </w:tc>
              <w:tc>
                <w:tcPr>
                  <w:tcW w:w="1255"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eastAsia" w:cs="Times New Roman"/>
                      <w:b/>
                      <w:bCs/>
                      <w:color w:val="000000"/>
                      <w:kern w:val="0"/>
                      <w:sz w:val="21"/>
                      <w:szCs w:val="21"/>
                      <w:vertAlign w:val="baseline"/>
                      <w:lang w:val="en-US" w:eastAsia="zh-CN"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57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1</w:t>
                  </w:r>
                </w:p>
              </w:tc>
              <w:tc>
                <w:tcPr>
                  <w:tcW w:w="1292"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设备间、原料库、包装间</w:t>
                  </w:r>
                  <w:r>
                    <w:rPr>
                      <w:rFonts w:hint="eastAsia" w:ascii="Times New Roman" w:hAnsi="Times New Roman" w:eastAsia="宋体" w:cs="Times New Roman"/>
                      <w:b w:val="0"/>
                      <w:bCs w:val="0"/>
                      <w:color w:val="000000"/>
                      <w:kern w:val="0"/>
                      <w:sz w:val="21"/>
                      <w:szCs w:val="21"/>
                      <w:vertAlign w:val="baseline"/>
                      <w:lang w:val="en-US" w:eastAsia="zh-CN" w:bidi="ar"/>
                    </w:rPr>
                    <w:t>、生产车间等</w:t>
                  </w:r>
                </w:p>
              </w:tc>
              <w:tc>
                <w:tcPr>
                  <w:tcW w:w="106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一般防渗</w:t>
                  </w:r>
                </w:p>
              </w:tc>
              <w:tc>
                <w:tcPr>
                  <w:tcW w:w="4050"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cm/s；或参照GB16889执行</w:t>
                  </w:r>
                </w:p>
              </w:tc>
              <w:tc>
                <w:tcPr>
                  <w:tcW w:w="125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2</w:t>
                  </w:r>
                </w:p>
              </w:tc>
              <w:tc>
                <w:tcPr>
                  <w:tcW w:w="1292"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auto"/>
                      <w:sz w:val="21"/>
                      <w:szCs w:val="21"/>
                    </w:rPr>
                    <w:t>办公生活区等</w:t>
                  </w:r>
                  <w:r>
                    <w:rPr>
                      <w:rFonts w:hint="default" w:ascii="Times New Roman" w:hAnsi="Times New Roman" w:cs="Times New Roman"/>
                      <w:b w:val="0"/>
                      <w:bCs w:val="0"/>
                      <w:color w:val="auto"/>
                      <w:sz w:val="21"/>
                      <w:szCs w:val="21"/>
                      <w:lang w:val="en-US" w:eastAsia="zh-CN"/>
                    </w:rPr>
                    <w:t>其他区域</w:t>
                  </w:r>
                </w:p>
              </w:tc>
              <w:tc>
                <w:tcPr>
                  <w:tcW w:w="106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简单防渗</w:t>
                  </w:r>
                </w:p>
              </w:tc>
              <w:tc>
                <w:tcPr>
                  <w:tcW w:w="4050"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cs="Times New Roman"/>
                      <w:color w:val="auto"/>
                      <w:sz w:val="21"/>
                      <w:szCs w:val="21"/>
                    </w:rPr>
                    <w:t>一般地面硬化</w:t>
                  </w:r>
                </w:p>
              </w:tc>
              <w:tc>
                <w:tcPr>
                  <w:tcW w:w="125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3</w:t>
                  </w:r>
                </w:p>
              </w:tc>
              <w:tc>
                <w:tcPr>
                  <w:tcW w:w="1292"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危废暂存间</w:t>
                  </w:r>
                </w:p>
              </w:tc>
              <w:tc>
                <w:tcPr>
                  <w:tcW w:w="106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重点防渗</w:t>
                  </w:r>
                </w:p>
              </w:tc>
              <w:tc>
                <w:tcPr>
                  <w:tcW w:w="4050" w:type="dxa"/>
                  <w:noWrap w:val="0"/>
                  <w:vAlign w:val="center"/>
                </w:tcPr>
                <w:p>
                  <w:pPr>
                    <w:keepNext w:val="0"/>
                    <w:keepLines w:val="0"/>
                    <w:widowControl/>
                    <w:suppressLineNumbers w:val="0"/>
                    <w:jc w:val="center"/>
                    <w:rPr>
                      <w:rFonts w:hint="default" w:ascii="Times New Roman" w:hAnsi="Times New Roman" w:eastAsia="宋体" w:cs="Times New Roman"/>
                      <w:b/>
                      <w:bCs/>
                      <w:color w:val="000000"/>
                      <w:kern w:val="0"/>
                      <w:sz w:val="21"/>
                      <w:szCs w:val="21"/>
                      <w:vertAlign w:val="baseline"/>
                      <w:lang w:val="en-US" w:eastAsia="zh-CN" w:bidi="ar"/>
                    </w:rPr>
                  </w:pPr>
                  <w:r>
                    <w:rPr>
                      <w:rFonts w:hint="default" w:ascii="Times New Roman" w:hAnsi="Times New Roman" w:eastAsia="宋体" w:cs="Times New Roman"/>
                      <w:color w:val="auto"/>
                      <w:sz w:val="21"/>
                      <w:szCs w:val="21"/>
                      <w:lang w:val="en-US" w:eastAsia="zh-CN"/>
                    </w:rPr>
                    <w:t>至少1m厚黏土层</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渗透系数不大于10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cm/s），或至少2mm厚高密度聚乙烯膜等人工防渗材料</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渗透系数不大于10</w:t>
                  </w:r>
                  <w:r>
                    <w:rPr>
                      <w:rFonts w:hint="default" w:ascii="Times New Roman" w:hAnsi="Times New Roman" w:eastAsia="宋体" w:cs="Times New Roman"/>
                      <w:color w:val="auto"/>
                      <w:sz w:val="21"/>
                      <w:szCs w:val="21"/>
                      <w:vertAlign w:val="superscript"/>
                      <w:lang w:val="en-US" w:eastAsia="zh-CN"/>
                    </w:rPr>
                    <w:t>-10</w:t>
                  </w:r>
                  <w:r>
                    <w:rPr>
                      <w:rFonts w:hint="default" w:ascii="Times New Roman" w:hAnsi="Times New Roman" w:eastAsia="宋体" w:cs="Times New Roman"/>
                      <w:color w:val="auto"/>
                      <w:sz w:val="21"/>
                      <w:szCs w:val="21"/>
                      <w:lang w:val="en-US" w:eastAsia="zh-CN"/>
                    </w:rPr>
                    <w:t>cm/s），或其他防渗性能等效的材料</w:t>
                  </w:r>
                </w:p>
              </w:tc>
              <w:tc>
                <w:tcPr>
                  <w:tcW w:w="125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7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4</w:t>
                  </w:r>
                </w:p>
              </w:tc>
              <w:tc>
                <w:tcPr>
                  <w:tcW w:w="1292"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实验室</w:t>
                  </w:r>
                </w:p>
              </w:tc>
              <w:tc>
                <w:tcPr>
                  <w:tcW w:w="1065" w:type="dxa"/>
                  <w:noWrap w:val="0"/>
                  <w:vAlign w:val="center"/>
                </w:tcPr>
                <w:p>
                  <w:pPr>
                    <w:keepNext w:val="0"/>
                    <w:keepLines w:val="0"/>
                    <w:widowControl/>
                    <w:suppressLineNumbers w:val="0"/>
                    <w:jc w:val="center"/>
                    <w:rPr>
                      <w:rFonts w:hint="eastAsia" w:ascii="Times New Roman" w:hAnsi="Times New Roman" w:eastAsia="宋体" w:cs="Times New Roman"/>
                      <w:b w:val="0"/>
                      <w:bCs w:val="0"/>
                      <w:color w:val="000000"/>
                      <w:kern w:val="0"/>
                      <w:sz w:val="21"/>
                      <w:szCs w:val="21"/>
                      <w:vertAlign w:val="baseline"/>
                      <w:lang w:val="en-US" w:eastAsia="zh-CN" w:bidi="ar"/>
                    </w:rPr>
                  </w:pPr>
                  <w:r>
                    <w:rPr>
                      <w:rFonts w:hint="eastAsia" w:ascii="Times New Roman" w:hAnsi="Times New Roman" w:eastAsia="宋体" w:cs="Times New Roman"/>
                      <w:b w:val="0"/>
                      <w:bCs w:val="0"/>
                      <w:color w:val="000000"/>
                      <w:kern w:val="0"/>
                      <w:sz w:val="21"/>
                      <w:szCs w:val="21"/>
                      <w:vertAlign w:val="baseline"/>
                      <w:lang w:val="en-US" w:eastAsia="zh-CN" w:bidi="ar"/>
                    </w:rPr>
                    <w:t>重点防渗</w:t>
                  </w:r>
                </w:p>
              </w:tc>
              <w:tc>
                <w:tcPr>
                  <w:tcW w:w="4050"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等效黏土防渗层MB≥1.5m，K≤1×10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cm/s；或参照GB16889执行</w:t>
                  </w:r>
                </w:p>
              </w:tc>
              <w:tc>
                <w:tcPr>
                  <w:tcW w:w="1255" w:type="dxa"/>
                  <w:noWrap w:val="0"/>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000000"/>
                      <w:kern w:val="0"/>
                      <w:sz w:val="21"/>
                      <w:szCs w:val="21"/>
                      <w:vertAlign w:val="baseline"/>
                      <w:lang w:val="en-US" w:eastAsia="zh-CN" w:bidi="ar"/>
                    </w:rPr>
                    <w:t>新建</w:t>
                  </w:r>
                </w:p>
              </w:tc>
            </w:tr>
          </w:tbl>
          <w:p>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3）跟踪监测要求</w:t>
            </w:r>
          </w:p>
          <w:p>
            <w:pPr>
              <w:numPr>
                <w:ilvl w:val="0"/>
                <w:numId w:val="0"/>
              </w:numPr>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项目按照环评要求采取了</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源头控制、分区防渗</w:t>
            </w:r>
            <w:r>
              <w:rPr>
                <w:rFonts w:hint="default"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的措施，对厂区内可能发生入渗污染的单位元采取了防渗措施，正常运营时，不会对地下水及土壤环境造成影响，因此项目不设置跟踪监测计划。</w:t>
            </w:r>
          </w:p>
          <w:p>
            <w:pPr>
              <w:numPr>
                <w:ilvl w:val="0"/>
                <w:numId w:val="0"/>
              </w:numPr>
              <w:spacing w:line="360" w:lineRule="auto"/>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lang w:val="en-US" w:eastAsia="zh-CN" w:bidi="ar-SA"/>
              </w:rPr>
              <w:t>六、</w:t>
            </w:r>
            <w:r>
              <w:rPr>
                <w:rFonts w:hint="eastAsia" w:ascii="宋体" w:hAnsi="宋体" w:eastAsia="宋体" w:cs="宋体"/>
                <w:b/>
                <w:bCs/>
                <w:color w:val="auto"/>
                <w:sz w:val="24"/>
                <w:szCs w:val="24"/>
                <w:highlight w:val="none"/>
                <w:lang w:val="en-US" w:eastAsia="zh-CN"/>
              </w:rPr>
              <w:t>生态环境</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本项目用地范围内无生态环境保护目标，故不进行生态影响分析。</w:t>
            </w:r>
          </w:p>
          <w:p>
            <w:pPr>
              <w:numPr>
                <w:ilvl w:val="0"/>
                <w:numId w:val="0"/>
              </w:numPr>
              <w:spacing w:line="360" w:lineRule="auto"/>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lang w:val="en-US" w:eastAsia="zh-CN" w:bidi="ar-SA"/>
              </w:rPr>
              <w:t>七、</w:t>
            </w:r>
            <w:r>
              <w:rPr>
                <w:rFonts w:hint="eastAsia" w:ascii="宋体" w:hAnsi="宋体" w:eastAsia="宋体" w:cs="宋体"/>
                <w:b/>
                <w:bCs/>
                <w:color w:val="auto"/>
                <w:sz w:val="24"/>
                <w:szCs w:val="24"/>
                <w:highlight w:val="none"/>
                <w:lang w:val="en-US" w:eastAsia="zh-CN"/>
              </w:rPr>
              <w:t>环境风险</w:t>
            </w:r>
          </w:p>
          <w:p>
            <w:pPr>
              <w:numPr>
                <w:ilvl w:val="0"/>
                <w:numId w:val="0"/>
              </w:numPr>
              <w:spacing w:line="360" w:lineRule="auto"/>
              <w:ind w:firstLine="480" w:firstLineChars="200"/>
              <w:jc w:val="both"/>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1）风险调查</w:t>
            </w:r>
          </w:p>
          <w:p>
            <w:pPr>
              <w:numPr>
                <w:ilvl w:val="0"/>
                <w:numId w:val="0"/>
              </w:numPr>
              <w:spacing w:line="360" w:lineRule="auto"/>
              <w:ind w:firstLine="480" w:firstLineChars="200"/>
              <w:jc w:val="both"/>
              <w:rPr>
                <w:rFonts w:hint="default" w:ascii="宋体" w:hAnsi="宋体" w:eastAsia="宋体" w:cs="宋体"/>
                <w:b/>
                <w:bCs/>
                <w:color w:val="auto"/>
                <w:sz w:val="24"/>
                <w:szCs w:val="24"/>
                <w:highlight w:val="none"/>
                <w:lang w:val="en-US" w:eastAsia="zh-CN"/>
              </w:rPr>
            </w:pPr>
            <w:r>
              <w:rPr>
                <w:rFonts w:hint="default" w:ascii="Times New Roman" w:hAnsi="Times New Roman" w:cs="Times New Roman"/>
                <w:color w:val="auto"/>
                <w:sz w:val="24"/>
                <w:szCs w:val="24"/>
              </w:rPr>
              <w:t>根据《企业突发环境事件风险分级方法》</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HJ 941-2018）以及《建设项目环境风险评价技术导则》</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HJ169-2018）中相关标准，本项目生产过程中，所涉及的</w:t>
            </w:r>
            <w:r>
              <w:rPr>
                <w:rFonts w:hint="default" w:ascii="Times New Roman" w:hAnsi="Times New Roman" w:cs="Times New Roman"/>
                <w:color w:val="auto"/>
                <w:sz w:val="24"/>
                <w:szCs w:val="24"/>
                <w:lang w:val="en-US" w:eastAsia="zh-CN"/>
              </w:rPr>
              <w:t>风险物质主要为：废润滑油、废油桶</w:t>
            </w:r>
            <w:r>
              <w:rPr>
                <w:rFonts w:hint="eastAsia" w:ascii="Times New Roman" w:hAnsi="Times New Roman" w:cs="Times New Roman"/>
                <w:color w:val="auto"/>
                <w:sz w:val="24"/>
                <w:szCs w:val="24"/>
                <w:lang w:val="en-US" w:eastAsia="zh-CN"/>
              </w:rPr>
              <w:t>、乙酸</w:t>
            </w:r>
            <w:r>
              <w:rPr>
                <w:rFonts w:hint="default" w:ascii="Times New Roman" w:hAnsi="Times New Roman" w:cs="Times New Roman"/>
                <w:color w:val="auto"/>
                <w:sz w:val="24"/>
                <w:szCs w:val="24"/>
                <w:lang w:val="en-US" w:eastAsia="zh-CN"/>
              </w:rPr>
              <w:t>。</w:t>
            </w:r>
          </w:p>
          <w:p>
            <w:pPr>
              <w:pStyle w:val="144"/>
              <w:spacing w:afterLines="0"/>
              <w:rPr>
                <w:rFonts w:hint="default" w:ascii="Times New Roman" w:hAnsi="Times New Roman" w:cs="Times New Roman"/>
                <w:color w:val="auto"/>
                <w:sz w:val="18"/>
                <w:szCs w:val="18"/>
                <w:highlight w:val="none"/>
              </w:rPr>
            </w:pPr>
            <w:r>
              <w:rPr>
                <w:rFonts w:hint="default" w:ascii="Times New Roman" w:hAnsi="Times New Roman" w:cs="Times New Roman"/>
                <w:color w:val="auto"/>
                <w:sz w:val="21"/>
                <w:szCs w:val="21"/>
                <w:highlight w:val="none"/>
              </w:rPr>
              <w:t>表4-</w:t>
            </w: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 xml:space="preserve">  企业所涉及的环境风险物质识别统计表</w:t>
            </w:r>
          </w:p>
          <w:tbl>
            <w:tblPr>
              <w:tblStyle w:val="41"/>
              <w:tblW w:w="829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2"/>
              <w:gridCol w:w="1661"/>
              <w:gridCol w:w="1701"/>
              <w:gridCol w:w="1463"/>
              <w:gridCol w:w="1589"/>
              <w:gridCol w:w="12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368" w:type="pct"/>
                  <w:tcBorders>
                    <w:tl2br w:val="nil"/>
                  </w:tcBorders>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序号</w:t>
                  </w:r>
                </w:p>
              </w:tc>
              <w:tc>
                <w:tcPr>
                  <w:tcW w:w="1000"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物质名称</w:t>
                  </w:r>
                </w:p>
              </w:tc>
              <w:tc>
                <w:tcPr>
                  <w:tcW w:w="1024"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最大储存量</w:t>
                  </w:r>
                  <w:r>
                    <w:rPr>
                      <w:rFonts w:hint="eastAsia" w:ascii="Times New Roman" w:hAnsi="Times New Roman" w:cs="Times New Roman"/>
                      <w:b w:val="0"/>
                      <w:color w:val="auto"/>
                      <w:sz w:val="21"/>
                      <w:szCs w:val="21"/>
                      <w:highlight w:val="none"/>
                      <w:lang w:eastAsia="zh-CN"/>
                    </w:rPr>
                    <w:t>（</w:t>
                  </w:r>
                  <w:r>
                    <w:rPr>
                      <w:rFonts w:hint="default" w:ascii="Times New Roman" w:hAnsi="Times New Roman" w:cs="Times New Roman"/>
                      <w:b w:val="0"/>
                      <w:color w:val="auto"/>
                      <w:sz w:val="21"/>
                      <w:szCs w:val="21"/>
                      <w:highlight w:val="none"/>
                    </w:rPr>
                    <w:t>t）</w:t>
                  </w:r>
                </w:p>
              </w:tc>
              <w:tc>
                <w:tcPr>
                  <w:tcW w:w="881"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rPr>
                  </w:pPr>
                  <w:r>
                    <w:rPr>
                      <w:rFonts w:hint="default" w:ascii="Times New Roman" w:hAnsi="Times New Roman" w:cs="Times New Roman"/>
                      <w:b w:val="0"/>
                      <w:color w:val="auto"/>
                      <w:sz w:val="21"/>
                      <w:szCs w:val="21"/>
                      <w:highlight w:val="none"/>
                    </w:rPr>
                    <w:t>临界量</w:t>
                  </w:r>
                  <w:r>
                    <w:rPr>
                      <w:rFonts w:hint="eastAsia" w:ascii="Times New Roman" w:hAnsi="Times New Roman" w:cs="Times New Roman"/>
                      <w:b w:val="0"/>
                      <w:color w:val="auto"/>
                      <w:sz w:val="21"/>
                      <w:szCs w:val="21"/>
                      <w:highlight w:val="none"/>
                      <w:lang w:eastAsia="zh-CN"/>
                    </w:rPr>
                    <w:t>（</w:t>
                  </w:r>
                  <w:r>
                    <w:rPr>
                      <w:rFonts w:hint="default" w:ascii="Times New Roman" w:hAnsi="Times New Roman" w:cs="Times New Roman"/>
                      <w:b w:val="0"/>
                      <w:color w:val="auto"/>
                      <w:sz w:val="21"/>
                      <w:szCs w:val="21"/>
                      <w:highlight w:val="none"/>
                    </w:rPr>
                    <w:t>t）</w:t>
                  </w:r>
                </w:p>
              </w:tc>
              <w:tc>
                <w:tcPr>
                  <w:tcW w:w="957" w:type="pct"/>
                  <w:noWrap w:val="0"/>
                  <w:vAlign w:val="center"/>
                </w:tcPr>
                <w:p>
                  <w:pPr>
                    <w:adjustRightInd w:val="0"/>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cs="Times New Roman"/>
                      <w:b w:val="0"/>
                      <w:color w:val="auto"/>
                      <w:sz w:val="21"/>
                      <w:szCs w:val="21"/>
                      <w:highlight w:val="none"/>
                      <w:lang w:eastAsia="zh-CN"/>
                    </w:rPr>
                    <w:t>贮存位置</w:t>
                  </w:r>
                </w:p>
              </w:tc>
              <w:tc>
                <w:tcPr>
                  <w:tcW w:w="766"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8"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1</w:t>
                  </w:r>
                </w:p>
              </w:tc>
              <w:tc>
                <w:tcPr>
                  <w:tcW w:w="1000" w:type="pct"/>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eastAsia="zh-CN"/>
                    </w:rPr>
                    <w:t>废润滑油</w:t>
                  </w:r>
                </w:p>
              </w:tc>
              <w:tc>
                <w:tcPr>
                  <w:tcW w:w="1024"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0.1</w:t>
                  </w:r>
                </w:p>
              </w:tc>
              <w:tc>
                <w:tcPr>
                  <w:tcW w:w="881"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2500</w:t>
                  </w:r>
                </w:p>
              </w:tc>
              <w:tc>
                <w:tcPr>
                  <w:tcW w:w="957"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危废暂存间</w:t>
                  </w:r>
                </w:p>
              </w:tc>
              <w:tc>
                <w:tcPr>
                  <w:tcW w:w="766" w:type="pct"/>
                  <w:noWrap w:val="0"/>
                  <w:vAlign w:val="center"/>
                </w:tcPr>
                <w:p>
                  <w:pPr>
                    <w:widowControl/>
                    <w:adjustRightInd w:val="0"/>
                    <w:snapToGrid w:val="0"/>
                    <w:jc w:val="center"/>
                    <w:rPr>
                      <w:rFonts w:hint="default" w:ascii="Times New Roman" w:hAnsi="Times New Roman" w:eastAsia="等线" w:cs="Times New Roman"/>
                      <w:b w:val="0"/>
                      <w:color w:val="auto"/>
                      <w:sz w:val="21"/>
                      <w:szCs w:val="21"/>
                      <w:lang w:val="en-US" w:eastAsia="zh-CN"/>
                    </w:rPr>
                  </w:pPr>
                  <w:r>
                    <w:rPr>
                      <w:rFonts w:hint="default" w:ascii="Times New Roman" w:hAnsi="Times New Roman" w:eastAsia="等线" w:cs="Times New Roman"/>
                      <w:b w:val="0"/>
                      <w:color w:val="auto"/>
                      <w:sz w:val="21"/>
                      <w:szCs w:val="21"/>
                      <w:lang w:val="en-US" w:eastAsia="zh-CN"/>
                    </w:rPr>
                    <w:t>0.00004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8"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2</w:t>
                  </w:r>
                </w:p>
              </w:tc>
              <w:tc>
                <w:tcPr>
                  <w:tcW w:w="1000" w:type="pct"/>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eastAsia="zh-CN"/>
                    </w:rPr>
                    <w:t>废油</w:t>
                  </w:r>
                  <w:r>
                    <w:rPr>
                      <w:rFonts w:hint="default" w:ascii="Times New Roman" w:hAnsi="Times New Roman" w:cs="Times New Roman"/>
                      <w:b w:val="0"/>
                      <w:color w:val="auto"/>
                      <w:sz w:val="21"/>
                      <w:szCs w:val="21"/>
                      <w:highlight w:val="none"/>
                      <w:lang w:val="en-US" w:eastAsia="zh-CN"/>
                    </w:rPr>
                    <w:t>桶</w:t>
                  </w:r>
                </w:p>
              </w:tc>
              <w:tc>
                <w:tcPr>
                  <w:tcW w:w="1024"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0.01</w:t>
                  </w:r>
                </w:p>
              </w:tc>
              <w:tc>
                <w:tcPr>
                  <w:tcW w:w="881" w:type="pct"/>
                  <w:noWrap w:val="0"/>
                  <w:vAlign w:val="center"/>
                </w:tcPr>
                <w:p>
                  <w:pPr>
                    <w:widowControl/>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2500</w:t>
                  </w:r>
                </w:p>
              </w:tc>
              <w:tc>
                <w:tcPr>
                  <w:tcW w:w="957" w:type="pct"/>
                  <w:noWrap w:val="0"/>
                  <w:vAlign w:val="center"/>
                </w:tcPr>
                <w:p>
                  <w:pPr>
                    <w:widowControl/>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危废暂存间</w:t>
                  </w:r>
                </w:p>
              </w:tc>
              <w:tc>
                <w:tcPr>
                  <w:tcW w:w="766" w:type="pct"/>
                  <w:noWrap w:val="0"/>
                  <w:vAlign w:val="center"/>
                </w:tcPr>
                <w:p>
                  <w:pPr>
                    <w:widowControl/>
                    <w:adjustRightInd w:val="0"/>
                    <w:snapToGrid w:val="0"/>
                    <w:jc w:val="center"/>
                    <w:rPr>
                      <w:rFonts w:hint="default" w:ascii="Times New Roman" w:hAnsi="Times New Roman" w:eastAsia="等线" w:cs="Times New Roman"/>
                      <w:b w:val="0"/>
                      <w:color w:val="auto"/>
                      <w:sz w:val="21"/>
                      <w:szCs w:val="21"/>
                      <w:highlight w:val="none"/>
                      <w:lang w:val="en-US" w:eastAsia="zh-CN"/>
                    </w:rPr>
                  </w:pPr>
                  <w:r>
                    <w:rPr>
                      <w:rFonts w:hint="default" w:ascii="Times New Roman" w:hAnsi="Times New Roman" w:eastAsia="等线" w:cs="Times New Roman"/>
                      <w:b w:val="0"/>
                      <w:color w:val="auto"/>
                      <w:sz w:val="21"/>
                      <w:szCs w:val="21"/>
                    </w:rPr>
                    <w:t>0.00</w:t>
                  </w:r>
                  <w:r>
                    <w:rPr>
                      <w:rFonts w:hint="default" w:ascii="Times New Roman" w:hAnsi="Times New Roman" w:eastAsia="等线" w:cs="Times New Roman"/>
                      <w:b w:val="0"/>
                      <w:color w:val="auto"/>
                      <w:sz w:val="21"/>
                      <w:szCs w:val="21"/>
                      <w:lang w:val="en-US" w:eastAsia="zh-CN"/>
                    </w:rPr>
                    <w:t>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68"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3</w:t>
                  </w:r>
                </w:p>
              </w:tc>
              <w:tc>
                <w:tcPr>
                  <w:tcW w:w="1000" w:type="pct"/>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乙酸</w:t>
                  </w:r>
                </w:p>
              </w:tc>
              <w:tc>
                <w:tcPr>
                  <w:tcW w:w="1024" w:type="pct"/>
                  <w:noWrap w:val="0"/>
                  <w:vAlign w:val="center"/>
                </w:tcPr>
                <w:p>
                  <w:pPr>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0.0011</w:t>
                  </w:r>
                </w:p>
              </w:tc>
              <w:tc>
                <w:tcPr>
                  <w:tcW w:w="881"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10</w:t>
                  </w:r>
                </w:p>
              </w:tc>
              <w:tc>
                <w:tcPr>
                  <w:tcW w:w="957" w:type="pct"/>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实验室保险柜</w:t>
                  </w:r>
                </w:p>
              </w:tc>
              <w:tc>
                <w:tcPr>
                  <w:tcW w:w="766" w:type="pct"/>
                  <w:noWrap w:val="0"/>
                  <w:vAlign w:val="center"/>
                </w:tcPr>
                <w:p>
                  <w:pPr>
                    <w:widowControl/>
                    <w:adjustRightInd w:val="0"/>
                    <w:snapToGrid w:val="0"/>
                    <w:jc w:val="center"/>
                    <w:rPr>
                      <w:rFonts w:hint="default" w:ascii="Times New Roman" w:hAnsi="Times New Roman" w:eastAsia="等线" w:cs="Times New Roman"/>
                      <w:b w:val="0"/>
                      <w:color w:val="auto"/>
                      <w:sz w:val="21"/>
                      <w:szCs w:val="21"/>
                      <w:lang w:val="en-US" w:eastAsia="zh-CN"/>
                    </w:rPr>
                  </w:pPr>
                  <w:r>
                    <w:rPr>
                      <w:rFonts w:hint="eastAsia" w:ascii="Times New Roman" w:hAnsi="Times New Roman" w:eastAsia="等线" w:cs="Times New Roman"/>
                      <w:b w:val="0"/>
                      <w:color w:val="auto"/>
                      <w:sz w:val="21"/>
                      <w:szCs w:val="21"/>
                      <w:lang w:val="en-US" w:eastAsia="zh-CN"/>
                    </w:rPr>
                    <w:t>0.000011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4233" w:type="pct"/>
                  <w:gridSpan w:val="5"/>
                  <w:noWrap w:val="0"/>
                  <w:vAlign w:val="center"/>
                </w:tcPr>
                <w:p>
                  <w:pPr>
                    <w:widowControl/>
                    <w:adjustRightInd w:val="0"/>
                    <w:jc w:val="center"/>
                    <w:textAlignment w:val="baseline"/>
                    <w:rPr>
                      <w:rFonts w:hint="default" w:ascii="Times New Roman" w:hAnsi="Times New Roman" w:cs="Times New Roman"/>
                      <w:b w:val="0"/>
                      <w:color w:val="auto"/>
                      <w:sz w:val="21"/>
                      <w:szCs w:val="21"/>
                      <w:highlight w:val="none"/>
                      <w:lang w:eastAsia="zh-CN"/>
                    </w:rPr>
                  </w:pPr>
                  <w:r>
                    <w:rPr>
                      <w:rFonts w:hint="default" w:ascii="Times New Roman" w:hAnsi="Times New Roman" w:cs="Times New Roman"/>
                      <w:b w:val="0"/>
                      <w:color w:val="auto"/>
                      <w:sz w:val="21"/>
                      <w:szCs w:val="21"/>
                      <w:highlight w:val="none"/>
                      <w:lang w:val="en-US" w:eastAsia="zh-CN"/>
                    </w:rPr>
                    <w:t>合计</w:t>
                  </w:r>
                </w:p>
              </w:tc>
              <w:tc>
                <w:tcPr>
                  <w:tcW w:w="766" w:type="pct"/>
                  <w:noWrap w:val="0"/>
                  <w:vAlign w:val="center"/>
                </w:tcPr>
                <w:p>
                  <w:pPr>
                    <w:widowControl/>
                    <w:adjustRightInd w:val="0"/>
                    <w:snapToGrid w:val="0"/>
                    <w:jc w:val="center"/>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cs="Times New Roman"/>
                      <w:b w:val="0"/>
                      <w:color w:val="auto"/>
                      <w:kern w:val="0"/>
                      <w:sz w:val="21"/>
                      <w:szCs w:val="21"/>
                    </w:rPr>
                    <w:t>0.00</w:t>
                  </w:r>
                  <w:r>
                    <w:rPr>
                      <w:rFonts w:hint="default" w:ascii="Times New Roman" w:hAnsi="Times New Roman" w:cs="Times New Roman"/>
                      <w:b w:val="0"/>
                      <w:color w:val="auto"/>
                      <w:kern w:val="0"/>
                      <w:sz w:val="21"/>
                      <w:szCs w:val="21"/>
                      <w:lang w:val="en-US" w:eastAsia="zh-CN"/>
                    </w:rPr>
                    <w:t>00</w:t>
                  </w:r>
                  <w:r>
                    <w:rPr>
                      <w:rFonts w:hint="eastAsia" w:ascii="Times New Roman" w:hAnsi="Times New Roman" w:cs="Times New Roman"/>
                      <w:b w:val="0"/>
                      <w:color w:val="auto"/>
                      <w:kern w:val="0"/>
                      <w:sz w:val="21"/>
                      <w:szCs w:val="21"/>
                      <w:lang w:val="en-US" w:eastAsia="zh-CN"/>
                    </w:rPr>
                    <w:t>55</w:t>
                  </w:r>
                </w:p>
              </w:tc>
            </w:tr>
          </w:tbl>
          <w:p>
            <w:pPr>
              <w:spacing w:line="360" w:lineRule="auto"/>
              <w:ind w:firstLine="480" w:firstLineChars="200"/>
              <w:rPr>
                <w:rFonts w:hint="default" w:ascii="Times New Roman" w:hAnsi="Times New Roman" w:eastAsia="宋体" w:cs="Times New Roman"/>
                <w:b/>
                <w:bCs/>
                <w:color w:val="auto"/>
                <w:sz w:val="24"/>
                <w:szCs w:val="24"/>
                <w:highlight w:val="none"/>
              </w:rPr>
            </w:pPr>
            <w:r>
              <w:rPr>
                <w:rFonts w:hint="eastAsia" w:cs="Times New Roman"/>
                <w:snapToGrid w:val="0"/>
                <w:sz w:val="24"/>
                <w:szCs w:val="24"/>
                <w:vertAlign w:val="baseline"/>
                <w:lang w:val="en-US" w:eastAsia="zh-CN"/>
              </w:rPr>
              <w:t>（</w:t>
            </w:r>
            <w:r>
              <w:rPr>
                <w:rFonts w:hint="default" w:ascii="Times New Roman" w:hAnsi="Times New Roman" w:eastAsia="宋体" w:cs="Times New Roman"/>
                <w:snapToGrid w:val="0"/>
                <w:sz w:val="24"/>
                <w:szCs w:val="24"/>
                <w:vertAlign w:val="baseline"/>
                <w:lang w:val="en-US" w:eastAsia="zh-CN"/>
              </w:rPr>
              <w:t>2</w:t>
            </w:r>
            <w:r>
              <w:rPr>
                <w:rFonts w:hint="eastAsia" w:ascii="Times New Roman" w:hAnsi="Times New Roman" w:eastAsia="宋体" w:cs="Times New Roman"/>
                <w:snapToGrid w:val="0"/>
                <w:sz w:val="24"/>
                <w:szCs w:val="24"/>
                <w:vertAlign w:val="baseline"/>
                <w:lang w:val="en-US" w:eastAsia="zh-CN"/>
              </w:rPr>
              <w:t>）</w:t>
            </w:r>
            <w:r>
              <w:rPr>
                <w:rFonts w:hint="default" w:ascii="Times New Roman" w:hAnsi="Times New Roman" w:eastAsia="宋体" w:cs="Times New Roman"/>
                <w:b w:val="0"/>
                <w:bCs w:val="0"/>
                <w:color w:val="auto"/>
                <w:sz w:val="24"/>
                <w:szCs w:val="24"/>
                <w:highlight w:val="none"/>
              </w:rPr>
              <w:t>环境风险潜势初判</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建设项目环境风险潜势划分为Ⅰ、Ⅱ、Ⅲ、Ⅳ/Ⅳ+ 级。根据建设项目涉及的物质和工艺系统的危险性及其所在地的环境敏感程度，结合事故情形下环境影响途径，对建设项目潜在环境危害程度进行概化分析，环境风险潜势划分详见下表。</w:t>
            </w:r>
          </w:p>
          <w:p>
            <w:pPr>
              <w:pStyle w:val="144"/>
              <w:spacing w:afterLines="0"/>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 xml:space="preserve">表4-16  </w:t>
            </w:r>
            <w:r>
              <w:rPr>
                <w:rFonts w:hint="default" w:ascii="Times New Roman" w:hAnsi="Times New Roman" w:cs="Times New Roman"/>
                <w:color w:val="auto"/>
                <w:sz w:val="21"/>
                <w:szCs w:val="21"/>
                <w:highlight w:val="none"/>
              </w:rPr>
              <w:t>建设项目环境风险潜势划分</w:t>
            </w:r>
          </w:p>
          <w:tbl>
            <w:tblPr>
              <w:tblStyle w:val="41"/>
              <w:tblW w:w="82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547"/>
              <w:gridCol w:w="1650"/>
              <w:gridCol w:w="1523"/>
              <w:gridCol w:w="16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28" w:type="pct"/>
                  <w:vMerge w:val="restart"/>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环境敏感程度</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E）</w:t>
                  </w:r>
                </w:p>
              </w:tc>
              <w:tc>
                <w:tcPr>
                  <w:tcW w:w="3871" w:type="pct"/>
                  <w:gridSpan w:val="4"/>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危险物质及工艺系统危险性</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128" w:type="pct"/>
                  <w:vMerge w:val="continue"/>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p>
              </w:tc>
              <w:tc>
                <w:tcPr>
                  <w:tcW w:w="938" w:type="pct"/>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极高危害</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P1）</w:t>
                  </w:r>
                </w:p>
              </w:tc>
              <w:tc>
                <w:tcPr>
                  <w:tcW w:w="1001" w:type="pct"/>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高度危害</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P2）</w:t>
                  </w:r>
                </w:p>
              </w:tc>
              <w:tc>
                <w:tcPr>
                  <w:tcW w:w="924" w:type="pct"/>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中度危害</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P3）</w:t>
                  </w:r>
                </w:p>
              </w:tc>
              <w:tc>
                <w:tcPr>
                  <w:tcW w:w="1007" w:type="pct"/>
                  <w:noWrap w:val="0"/>
                  <w:vAlign w:val="center"/>
                </w:tcPr>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轻度危害</w:t>
                  </w:r>
                  <w:r>
                    <w:rPr>
                      <w:rFonts w:hint="eastAsia"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P4）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03" w:hRule="atLeast"/>
                <w:jc w:val="center"/>
              </w:trPr>
              <w:tc>
                <w:tcPr>
                  <w:tcW w:w="112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E1）</w:t>
                  </w:r>
                </w:p>
              </w:tc>
              <w:tc>
                <w:tcPr>
                  <w:tcW w:w="93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1001"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24"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007"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2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E2）</w:t>
                  </w:r>
                </w:p>
              </w:tc>
              <w:tc>
                <w:tcPr>
                  <w:tcW w:w="93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1001"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924"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007"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12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E3）</w:t>
                  </w:r>
                </w:p>
              </w:tc>
              <w:tc>
                <w:tcPr>
                  <w:tcW w:w="938"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1001"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Ⅲ</w:t>
                  </w:r>
                </w:p>
              </w:tc>
              <w:tc>
                <w:tcPr>
                  <w:tcW w:w="924"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1007" w:type="pct"/>
                  <w:noWrap w:val="0"/>
                  <w:vAlign w:val="center"/>
                </w:tcPr>
                <w:p>
                  <w:pPr>
                    <w:adjustRightIn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0" w:hRule="atLeast"/>
                <w:jc w:val="center"/>
              </w:trPr>
              <w:tc>
                <w:tcPr>
                  <w:tcW w:w="5000" w:type="pct"/>
                  <w:gridSpan w:val="5"/>
                  <w:noWrap w:val="0"/>
                  <w:vAlign w:val="center"/>
                </w:tcPr>
                <w:p>
                  <w:pPr>
                    <w:adjustRightInd w:val="0"/>
                    <w:jc w:val="left"/>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注：Ⅳ+为极高环境风险</w:t>
                  </w:r>
                </w:p>
              </w:tc>
            </w:tr>
          </w:tbl>
          <w:p>
            <w:pPr>
              <w:autoSpaceDE w:val="0"/>
              <w:autoSpaceDN w:val="0"/>
              <w:adjustRightIn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计算所涉及的每种危险物质在厂界内的最大存在总量与其在《建设项目环境风险评价技术导则》</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HJ169-2018）附录B中对应临界量的比值Q：</w:t>
            </w:r>
          </w:p>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INCLUDEPICTURE "C:\\Users\\快盘\\工作（重要）\\正在进行的项目\\2015-01G-83 崇州 成都蜀渝万江塑胶材料有限公司环境风险评估\\AppData\\Roaming\\Tencent\\Users\\651403831\\QQ\\WinTemp\\RichOle\\1RTAZYY$B(CDU50X8A6F`GX.png"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drawing>
                <wp:inline distT="0" distB="0" distL="114300" distR="114300">
                  <wp:extent cx="2077720" cy="668020"/>
                  <wp:effectExtent l="0" t="0" r="17780" b="17780"/>
                  <wp:docPr id="23" name="图片 19" descr="1RTAZYY$B(CDU50X8A6F`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1RTAZYY$B(CDU50X8A6F`GX"/>
                          <pic:cNvPicPr>
                            <a:picLocks noChangeAspect="1"/>
                          </pic:cNvPicPr>
                        </pic:nvPicPr>
                        <pic:blipFill>
                          <a:blip r:embed="rId28"/>
                          <a:stretch>
                            <a:fillRect/>
                          </a:stretch>
                        </pic:blipFill>
                        <pic:spPr>
                          <a:xfrm>
                            <a:off x="0" y="0"/>
                            <a:ext cx="2077720" cy="668020"/>
                          </a:xfrm>
                          <a:prstGeom prst="rect">
                            <a:avLst/>
                          </a:prstGeom>
                          <a:noFill/>
                          <a:ln>
                            <a:noFill/>
                          </a:ln>
                        </pic:spPr>
                      </pic:pic>
                    </a:graphicData>
                  </a:graphic>
                </wp:inline>
              </w:drawing>
            </w:r>
            <w:r>
              <w:rPr>
                <w:rFonts w:hint="default" w:ascii="Times New Roman" w:hAnsi="Times New Roman" w:cs="Times New Roman"/>
                <w:color w:val="auto"/>
                <w:sz w:val="24"/>
                <w:szCs w:val="24"/>
                <w:highlight w:val="none"/>
              </w:rPr>
              <w:fldChar w:fldCharType="end"/>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——每种危险物质的最大存在总量，t；</w:t>
            </w:r>
          </w:p>
          <w:p>
            <w:pPr>
              <w:autoSpaceDE w:val="0"/>
              <w:autoSpaceDN w:val="0"/>
              <w:adjustRightInd w:val="0"/>
              <w:spacing w:line="360" w:lineRule="auto"/>
              <w:ind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Q</w:t>
            </w:r>
            <w:r>
              <w:rPr>
                <w:rFonts w:hint="default" w:ascii="Times New Roman" w:hAnsi="Times New Roman" w:cs="Times New Roman"/>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——每种危险物质的临界量，t。</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当Q＜1</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时，该项目环境风险潜势为Ⅰ。</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当Q≥1 时，将Q值划分为：</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1）1≤Q＜10；</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2）10≤Q＜100；</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3）Q≥100。</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对照</w:t>
            </w:r>
            <w:r>
              <w:rPr>
                <w:rFonts w:hint="default" w:ascii="Times New Roman" w:hAnsi="Times New Roman" w:cs="Times New Roman"/>
                <w:color w:val="auto"/>
                <w:sz w:val="24"/>
                <w:szCs w:val="24"/>
              </w:rPr>
              <w:t>《建设项目环境风险评价技术导则》</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HJ169-2018）</w:t>
            </w:r>
            <w:r>
              <w:rPr>
                <w:rFonts w:hint="default" w:ascii="Times New Roman" w:hAnsi="Times New Roman" w:cs="Times New Roman"/>
                <w:color w:val="auto"/>
                <w:sz w:val="24"/>
                <w:szCs w:val="24"/>
                <w:highlight w:val="none"/>
              </w:rPr>
              <w:t>附录B后，确定本项目Q值</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0.0000</w:t>
            </w:r>
            <w:r>
              <w:rPr>
                <w:rFonts w:hint="eastAsia" w:ascii="Times New Roman" w:hAnsi="Times New Roman" w:eastAsia="宋体" w:cs="Times New Roman"/>
                <w:color w:val="auto"/>
                <w:sz w:val="24"/>
                <w:szCs w:val="24"/>
                <w:highlight w:val="none"/>
                <w:lang w:val="en-US" w:eastAsia="zh-CN"/>
              </w:rPr>
              <w:t>55</w:t>
            </w:r>
            <w:r>
              <w:rPr>
                <w:rFonts w:hint="default" w:ascii="Times New Roman" w:hAnsi="Times New Roman" w:eastAsia="宋体" w:cs="Times New Roman"/>
                <w:color w:val="auto"/>
                <w:sz w:val="24"/>
                <w:szCs w:val="24"/>
                <w:highlight w:val="none"/>
              </w:rPr>
              <w:t>，Q</w:t>
            </w:r>
            <w:r>
              <w:rPr>
                <w:rFonts w:hint="default" w:ascii="Times New Roman" w:hAnsi="Times New Roman" w:cs="Times New Roman"/>
                <w:color w:val="auto"/>
                <w:sz w:val="24"/>
                <w:szCs w:val="24"/>
                <w:highlight w:val="none"/>
              </w:rPr>
              <w:t>＜1，项目环境风险潜势为Ⅰ。</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none"/>
              </w:rPr>
              <w:t>根据《建设项目环境风险评价技术导则》</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HJ169-2018）所规</w:t>
            </w:r>
            <w:r>
              <w:rPr>
                <w:rFonts w:hint="default" w:ascii="Times New Roman" w:hAnsi="Times New Roman" w:cs="Times New Roman"/>
                <w:color w:val="auto"/>
                <w:sz w:val="24"/>
                <w:szCs w:val="24"/>
                <w:highlight w:val="none"/>
                <w:lang w:eastAsia="zh-CN"/>
              </w:rPr>
              <w:t>定的</w:t>
            </w:r>
            <w:r>
              <w:rPr>
                <w:rFonts w:hint="default" w:ascii="Times New Roman" w:hAnsi="Times New Roman" w:cs="Times New Roman"/>
                <w:color w:val="auto"/>
                <w:sz w:val="24"/>
                <w:szCs w:val="24"/>
                <w:highlight w:val="none"/>
              </w:rPr>
              <w:t>风险评价等级划分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本项目环境风险潜势为Ⅰ，评价工作等级为简单分析。</w:t>
            </w:r>
          </w:p>
          <w:p>
            <w:pPr>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风险识别及可能影响途径</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环境风险物质主要为废润滑油、废油桶</w:t>
            </w:r>
            <w:r>
              <w:rPr>
                <w:rFonts w:hint="eastAsia" w:ascii="Times New Roman" w:hAnsi="Times New Roman" w:eastAsia="宋体" w:cs="Times New Roman"/>
                <w:color w:val="auto"/>
                <w:sz w:val="24"/>
                <w:szCs w:val="24"/>
                <w:highlight w:val="none"/>
                <w:lang w:val="en-US" w:eastAsia="zh-CN"/>
              </w:rPr>
              <w:t>、乙酸</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根据项目所涉及的环境风险物质的理化性质和危险特性，可能发生的风险事故类型主要为</w:t>
            </w:r>
            <w:r>
              <w:rPr>
                <w:rFonts w:hint="default" w:ascii="Times New Roman" w:hAnsi="Times New Roman" w:eastAsia="宋体" w:cs="Times New Roman"/>
                <w:color w:val="auto"/>
                <w:sz w:val="24"/>
                <w:szCs w:val="24"/>
                <w:highlight w:val="none"/>
                <w:lang w:val="en-US" w:eastAsia="zh-CN"/>
              </w:rPr>
              <w:t>风险物质泄漏、</w:t>
            </w:r>
            <w:r>
              <w:rPr>
                <w:rFonts w:hint="default" w:ascii="Times New Roman" w:hAnsi="Times New Roman" w:eastAsia="宋体" w:cs="Times New Roman"/>
                <w:color w:val="auto"/>
                <w:sz w:val="24"/>
                <w:szCs w:val="24"/>
                <w:highlight w:val="none"/>
              </w:rPr>
              <w:t>火灾爆炸等引发的伴生/次生污染物排放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废水事故排放</w:t>
            </w:r>
            <w:r>
              <w:rPr>
                <w:rFonts w:hint="default" w:ascii="Times New Roman" w:hAnsi="Times New Roman" w:eastAsia="宋体" w:cs="Times New Roman"/>
                <w:color w:val="auto"/>
                <w:sz w:val="24"/>
                <w:szCs w:val="24"/>
                <w:highlight w:val="none"/>
              </w:rPr>
              <w:t>。运营期</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物质风险事故情况下向环境转移的可能途径主要有：</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火灾、爆炸：润滑油</w:t>
            </w:r>
            <w:r>
              <w:rPr>
                <w:rFonts w:hint="default" w:ascii="Times New Roman" w:hAnsi="Times New Roman" w:eastAsia="宋体" w:cs="Times New Roman"/>
                <w:color w:val="auto"/>
                <w:sz w:val="24"/>
                <w:szCs w:val="24"/>
                <w:highlight w:val="none"/>
                <w:lang w:eastAsia="zh-CN"/>
              </w:rPr>
              <w:t>属于易燃物质，如人员操作失误、设备故障或其他原因可能引发失火事故，</w:t>
            </w:r>
            <w:r>
              <w:rPr>
                <w:rFonts w:hint="default" w:ascii="Times New Roman" w:hAnsi="Times New Roman" w:eastAsia="宋体" w:cs="Times New Roman"/>
                <w:color w:val="auto"/>
                <w:sz w:val="24"/>
                <w:szCs w:val="24"/>
                <w:highlight w:val="none"/>
              </w:rPr>
              <w:t>产生的燃烧废气进入大气环境或消防废水携带危险物质对外界水环境产生影响。</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泄漏：危险废物</w:t>
            </w:r>
            <w:r>
              <w:rPr>
                <w:rFonts w:hint="default" w:ascii="Times New Roman" w:hAnsi="Times New Roman" w:eastAsia="宋体" w:cs="Times New Roman"/>
                <w:color w:val="auto"/>
                <w:sz w:val="24"/>
                <w:szCs w:val="24"/>
                <w:highlight w:val="none"/>
                <w:lang w:eastAsia="zh-CN"/>
              </w:rPr>
              <w:t>储存</w:t>
            </w:r>
            <w:r>
              <w:rPr>
                <w:rFonts w:hint="default" w:ascii="Times New Roman" w:hAnsi="Times New Roman" w:eastAsia="宋体" w:cs="Times New Roman"/>
                <w:color w:val="auto"/>
                <w:sz w:val="24"/>
                <w:szCs w:val="24"/>
                <w:highlight w:val="none"/>
              </w:rPr>
              <w:t>过程中操作不当发生泄漏，若地面不进行防渗、防腐处理，泄漏物料可能下渗污染土壤及地下水。</w:t>
            </w:r>
          </w:p>
          <w:p>
            <w:pPr>
              <w:pStyle w:val="144"/>
              <w:spacing w:afterLine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表4-</w:t>
            </w:r>
            <w:r>
              <w:rPr>
                <w:rFonts w:hint="eastAsia" w:ascii="Times New Roman" w:hAnsi="Times New Roman" w:eastAsia="宋体" w:cs="Times New Roman"/>
                <w:color w:val="auto"/>
                <w:sz w:val="21"/>
                <w:szCs w:val="21"/>
                <w:highlight w:val="none"/>
                <w:lang w:val="en-US" w:eastAsia="zh-CN"/>
              </w:rPr>
              <w:t>17</w:t>
            </w:r>
            <w:r>
              <w:rPr>
                <w:rFonts w:hint="default" w:ascii="Times New Roman" w:hAnsi="Times New Roman" w:eastAsia="宋体" w:cs="Times New Roman"/>
                <w:color w:val="auto"/>
                <w:sz w:val="21"/>
                <w:szCs w:val="21"/>
                <w:highlight w:val="none"/>
              </w:rPr>
              <w:t xml:space="preserve">  风险事故情形</w:t>
            </w:r>
          </w:p>
          <w:tbl>
            <w:tblPr>
              <w:tblStyle w:val="41"/>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477"/>
              <w:gridCol w:w="1194"/>
              <w:gridCol w:w="4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9" w:hRule="atLeast"/>
                <w:jc w:val="center"/>
              </w:trPr>
              <w:tc>
                <w:tcPr>
                  <w:tcW w:w="953" w:type="pct"/>
                  <w:tcBorders>
                    <w:left w:val="nil"/>
                    <w:tl2br w:val="nil"/>
                  </w:tcBorders>
                  <w:noWrap w:val="0"/>
                  <w:vAlign w:val="center"/>
                </w:tcPr>
                <w:p>
                  <w:pPr>
                    <w:autoSpaceDE w:val="0"/>
                    <w:autoSpaceDN w:val="0"/>
                    <w:adjustRightIn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环境风险类型</w:t>
                  </w:r>
                </w:p>
              </w:tc>
              <w:tc>
                <w:tcPr>
                  <w:tcW w:w="892" w:type="pct"/>
                  <w:noWrap w:val="0"/>
                  <w:vAlign w:val="center"/>
                </w:tcPr>
                <w:p>
                  <w:pPr>
                    <w:autoSpaceDE w:val="0"/>
                    <w:autoSpaceDN w:val="0"/>
                    <w:adjustRightIn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风险单元</w:t>
                  </w:r>
                </w:p>
              </w:tc>
              <w:tc>
                <w:tcPr>
                  <w:tcW w:w="721" w:type="pct"/>
                  <w:noWrap w:val="0"/>
                  <w:vAlign w:val="center"/>
                </w:tcPr>
                <w:p>
                  <w:pPr>
                    <w:autoSpaceDE w:val="0"/>
                    <w:autoSpaceDN w:val="0"/>
                    <w:adjustRightIn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风险物质</w:t>
                  </w:r>
                </w:p>
              </w:tc>
              <w:tc>
                <w:tcPr>
                  <w:tcW w:w="2433" w:type="pct"/>
                  <w:tcBorders>
                    <w:righ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3" w:type="pct"/>
                  <w:vMerge w:val="restart"/>
                  <w:tcBorders>
                    <w:lef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火灾爆炸等引发的伴生/次生污染物排放</w:t>
                  </w:r>
                </w:p>
              </w:tc>
              <w:tc>
                <w:tcPr>
                  <w:tcW w:w="892" w:type="pct"/>
                  <w:vMerge w:val="restar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危废暂存间</w:t>
                  </w:r>
                </w:p>
              </w:tc>
              <w:tc>
                <w:tcPr>
                  <w:tcW w:w="721" w:type="pct"/>
                  <w:vMerge w:val="restar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lang w:val="en-US" w:eastAsia="zh-CN"/>
                    </w:rPr>
                    <w:t>废润滑油、废油桶</w:t>
                  </w:r>
                </w:p>
              </w:tc>
              <w:tc>
                <w:tcPr>
                  <w:tcW w:w="2433" w:type="pct"/>
                  <w:tcBorders>
                    <w:right w:val="nil"/>
                  </w:tcBorders>
                  <w:noWrap w:val="0"/>
                  <w:vAlign w:val="center"/>
                </w:tcPr>
                <w:p>
                  <w:pPr>
                    <w:autoSpaceDE w:val="0"/>
                    <w:autoSpaceDN w:val="0"/>
                    <w:adjustRightInd w:val="0"/>
                    <w:jc w:val="left"/>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大气环境：易燃物质燃烧或爆炸产生的伴生/次生污染物排放大气环境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3" w:type="pct"/>
                  <w:vMerge w:val="continue"/>
                  <w:tcBorders>
                    <w:lef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892" w:type="pct"/>
                  <w:vMerge w:val="continue"/>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721" w:type="pct"/>
                  <w:vMerge w:val="continue"/>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2433" w:type="pct"/>
                  <w:tcBorders>
                    <w:right w:val="nil"/>
                  </w:tcBorders>
                  <w:noWrap w:val="0"/>
                  <w:vAlign w:val="center"/>
                </w:tcPr>
                <w:p>
                  <w:pPr>
                    <w:autoSpaceDE w:val="0"/>
                    <w:autoSpaceDN w:val="0"/>
                    <w:adjustRightInd w:val="0"/>
                    <w:jc w:val="left"/>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地表水环境：火灾消防过程废水通过地表径流进入地表水环境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953" w:type="pct"/>
                  <w:vMerge w:val="continue"/>
                  <w:tcBorders>
                    <w:lef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892" w:type="pct"/>
                  <w:vMerge w:val="continue"/>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721" w:type="pct"/>
                  <w:vMerge w:val="continue"/>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rPr>
                  </w:pPr>
                </w:p>
              </w:tc>
              <w:tc>
                <w:tcPr>
                  <w:tcW w:w="2433" w:type="pct"/>
                  <w:tcBorders>
                    <w:right w:val="nil"/>
                  </w:tcBorders>
                  <w:noWrap w:val="0"/>
                  <w:vAlign w:val="center"/>
                </w:tcPr>
                <w:p>
                  <w:pPr>
                    <w:autoSpaceDE w:val="0"/>
                    <w:autoSpaceDN w:val="0"/>
                    <w:adjustRightInd w:val="0"/>
                    <w:jc w:val="left"/>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地下水或土壤环境：有害物质泄漏通过垂直渗透进入地下水或土壤环境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53" w:type="pct"/>
                  <w:tcBorders>
                    <w:lef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eastAsia="zh-CN"/>
                    </w:rPr>
                    <w:t>风险物质泄漏</w:t>
                  </w:r>
                </w:p>
              </w:tc>
              <w:tc>
                <w:tcPr>
                  <w:tcW w:w="892" w:type="pc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val="en-US" w:eastAsia="zh-CN"/>
                    </w:rPr>
                    <w:t>危废暂存间</w:t>
                  </w:r>
                </w:p>
              </w:tc>
              <w:tc>
                <w:tcPr>
                  <w:tcW w:w="721" w:type="pc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val="en-US" w:eastAsia="zh-CN"/>
                    </w:rPr>
                    <w:t>废润滑油、废油桶</w:t>
                  </w:r>
                </w:p>
              </w:tc>
              <w:tc>
                <w:tcPr>
                  <w:tcW w:w="2433" w:type="pct"/>
                  <w:tcBorders>
                    <w:right w:val="nil"/>
                  </w:tcBorders>
                  <w:noWrap w:val="0"/>
                  <w:vAlign w:val="center"/>
                </w:tcPr>
                <w:p>
                  <w:pPr>
                    <w:autoSpaceDE w:val="0"/>
                    <w:autoSpaceDN w:val="0"/>
                    <w:adjustRightInd w:val="0"/>
                    <w:jc w:val="left"/>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地下水或土壤环境：有害物质泄漏通过垂直渗透进入地下水或土壤环境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3" w:type="pct"/>
                  <w:vMerge w:val="restart"/>
                  <w:tcBorders>
                    <w:left w:val="nil"/>
                  </w:tcBorders>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eastAsia="zh-CN"/>
                    </w:rPr>
                  </w:pPr>
                  <w:r>
                    <w:rPr>
                      <w:rFonts w:hint="default" w:ascii="Times New Roman" w:hAnsi="Times New Roman" w:eastAsia="宋体" w:cs="Times New Roman"/>
                      <w:b w:val="0"/>
                      <w:color w:val="auto"/>
                      <w:sz w:val="21"/>
                      <w:szCs w:val="21"/>
                      <w:highlight w:val="none"/>
                      <w:lang w:val="en-US" w:eastAsia="zh-CN"/>
                    </w:rPr>
                    <w:t>废</w:t>
                  </w:r>
                  <w:r>
                    <w:rPr>
                      <w:rFonts w:hint="eastAsia" w:ascii="Times New Roman" w:hAnsi="Times New Roman" w:eastAsia="宋体" w:cs="Times New Roman"/>
                      <w:b w:val="0"/>
                      <w:color w:val="auto"/>
                      <w:sz w:val="21"/>
                      <w:szCs w:val="21"/>
                      <w:highlight w:val="none"/>
                      <w:lang w:val="en-US" w:eastAsia="zh-CN"/>
                    </w:rPr>
                    <w:t>水</w:t>
                  </w:r>
                  <w:r>
                    <w:rPr>
                      <w:rFonts w:hint="default" w:ascii="Times New Roman" w:hAnsi="Times New Roman" w:eastAsia="宋体" w:cs="Times New Roman"/>
                      <w:b w:val="0"/>
                      <w:color w:val="auto"/>
                      <w:sz w:val="21"/>
                      <w:szCs w:val="21"/>
                      <w:highlight w:val="none"/>
                      <w:lang w:eastAsia="zh-CN"/>
                    </w:rPr>
                    <w:t>事故排放</w:t>
                  </w:r>
                </w:p>
              </w:tc>
              <w:tc>
                <w:tcPr>
                  <w:tcW w:w="892" w:type="pct"/>
                  <w:vMerge w:val="restar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实验室检验废液</w:t>
                  </w:r>
                </w:p>
              </w:tc>
              <w:tc>
                <w:tcPr>
                  <w:tcW w:w="721" w:type="pct"/>
                  <w:vMerge w:val="restart"/>
                  <w:noWrap w:val="0"/>
                  <w:vAlign w:val="center"/>
                </w:tcPr>
                <w:p>
                  <w:pPr>
                    <w:autoSpaceDE w:val="0"/>
                    <w:autoSpaceDN w:val="0"/>
                    <w:adjustRightInd w:val="0"/>
                    <w:jc w:val="center"/>
                    <w:textAlignment w:val="baseline"/>
                    <w:rPr>
                      <w:rFonts w:hint="default" w:ascii="Times New Roman" w:hAnsi="Times New Roman" w:eastAsia="宋体" w:cs="Times New Roman"/>
                      <w:b w:val="0"/>
                      <w:color w:val="auto"/>
                      <w:sz w:val="21"/>
                      <w:szCs w:val="21"/>
                      <w:highlight w:val="none"/>
                      <w:lang w:val="en-US" w:eastAsia="zh-CN"/>
                    </w:rPr>
                  </w:pPr>
                  <w:r>
                    <w:rPr>
                      <w:rFonts w:hint="eastAsia" w:ascii="Times New Roman" w:hAnsi="Times New Roman" w:eastAsia="宋体" w:cs="Times New Roman"/>
                      <w:b w:val="0"/>
                      <w:color w:val="auto"/>
                      <w:sz w:val="21"/>
                      <w:szCs w:val="21"/>
                      <w:highlight w:val="none"/>
                      <w:lang w:val="en-US" w:eastAsia="zh-CN"/>
                    </w:rPr>
                    <w:t>废液中的化学试剂</w:t>
                  </w:r>
                </w:p>
              </w:tc>
              <w:tc>
                <w:tcPr>
                  <w:tcW w:w="2433" w:type="pct"/>
                  <w:tcBorders>
                    <w:right w:val="nil"/>
                  </w:tcBorders>
                  <w:noWrap w:val="0"/>
                  <w:vAlign w:val="center"/>
                </w:tcPr>
                <w:p>
                  <w:pPr>
                    <w:autoSpaceDE w:val="0"/>
                    <w:autoSpaceDN w:val="0"/>
                    <w:adjustRightInd w:val="0"/>
                    <w:jc w:val="left"/>
                    <w:textAlignment w:val="baseline"/>
                    <w:rPr>
                      <w:rFonts w:hint="eastAsia" w:ascii="Times New Roman" w:hAnsi="Times New Roman" w:eastAsia="宋体" w:cs="Times New Roman"/>
                      <w:b w:val="0"/>
                      <w:color w:val="auto"/>
                      <w:sz w:val="21"/>
                      <w:szCs w:val="21"/>
                      <w:highlight w:val="none"/>
                      <w:lang w:val="en-US" w:eastAsia="zh-CN"/>
                    </w:rPr>
                  </w:pPr>
                  <w:r>
                    <w:rPr>
                      <w:rFonts w:hint="default" w:ascii="Times New Roman" w:hAnsi="Times New Roman" w:eastAsia="宋体" w:cs="Times New Roman"/>
                      <w:b w:val="0"/>
                      <w:color w:val="auto"/>
                      <w:sz w:val="21"/>
                      <w:szCs w:val="21"/>
                      <w:highlight w:val="none"/>
                    </w:rPr>
                    <w:t>地表水环境</w:t>
                  </w:r>
                  <w:r>
                    <w:rPr>
                      <w:rFonts w:hint="eastAsia" w:ascii="Times New Roman" w:hAnsi="Times New Roman" w:eastAsia="宋体" w:cs="Times New Roman"/>
                      <w:b w:val="0"/>
                      <w:color w:val="auto"/>
                      <w:sz w:val="21"/>
                      <w:szCs w:val="21"/>
                      <w:highlight w:val="none"/>
                      <w:lang w:eastAsia="zh-CN"/>
                    </w:rPr>
                    <w:t>：</w:t>
                  </w:r>
                  <w:r>
                    <w:rPr>
                      <w:rFonts w:hint="default" w:ascii="Times New Roman" w:hAnsi="Times New Roman" w:eastAsia="宋体" w:cs="Times New Roman"/>
                      <w:b w:val="0"/>
                      <w:color w:val="auto"/>
                      <w:sz w:val="21"/>
                      <w:szCs w:val="21"/>
                      <w:highlight w:val="none"/>
                    </w:rPr>
                    <w:t>废水通过地表径流进入地表水环境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53" w:type="pct"/>
                  <w:vMerge w:val="continue"/>
                  <w:tcBorders>
                    <w:left w:val="nil"/>
                  </w:tcBorders>
                  <w:noWrap w:val="0"/>
                  <w:vAlign w:val="center"/>
                </w:tcPr>
                <w:p>
                  <w:pPr>
                    <w:autoSpaceDE w:val="0"/>
                    <w:autoSpaceDN w:val="0"/>
                    <w:adjustRightInd w:val="0"/>
                    <w:jc w:val="left"/>
                    <w:textAlignment w:val="baseline"/>
                  </w:pPr>
                </w:p>
              </w:tc>
              <w:tc>
                <w:tcPr>
                  <w:tcW w:w="892" w:type="pct"/>
                  <w:vMerge w:val="continue"/>
                  <w:noWrap w:val="0"/>
                  <w:vAlign w:val="center"/>
                </w:tcPr>
                <w:p>
                  <w:pPr>
                    <w:autoSpaceDE w:val="0"/>
                    <w:autoSpaceDN w:val="0"/>
                    <w:adjustRightInd w:val="0"/>
                    <w:jc w:val="left"/>
                    <w:textAlignment w:val="baseline"/>
                  </w:pPr>
                </w:p>
              </w:tc>
              <w:tc>
                <w:tcPr>
                  <w:tcW w:w="721" w:type="pct"/>
                  <w:vMerge w:val="continue"/>
                  <w:noWrap w:val="0"/>
                  <w:vAlign w:val="center"/>
                </w:tcPr>
                <w:p>
                  <w:pPr>
                    <w:autoSpaceDE w:val="0"/>
                    <w:autoSpaceDN w:val="0"/>
                    <w:adjustRightInd w:val="0"/>
                    <w:jc w:val="left"/>
                    <w:textAlignment w:val="baseline"/>
                  </w:pPr>
                </w:p>
              </w:tc>
              <w:tc>
                <w:tcPr>
                  <w:tcW w:w="2433" w:type="pct"/>
                  <w:tcBorders>
                    <w:right w:val="nil"/>
                  </w:tcBorders>
                  <w:noWrap w:val="0"/>
                  <w:vAlign w:val="center"/>
                </w:tcPr>
                <w:p>
                  <w:pPr>
                    <w:autoSpaceDE w:val="0"/>
                    <w:autoSpaceDN w:val="0"/>
                    <w:adjustRightInd w:val="0"/>
                    <w:jc w:val="left"/>
                    <w:textAlignment w:val="baseline"/>
                    <w:rPr>
                      <w:rFonts w:hint="default" w:ascii="Times New Roman" w:hAnsi="Times New Roman" w:eastAsia="宋体" w:cs="Times New Roman"/>
                      <w:b w:val="0"/>
                      <w:color w:val="auto"/>
                      <w:sz w:val="21"/>
                      <w:szCs w:val="21"/>
                      <w:highlight w:val="none"/>
                    </w:rPr>
                  </w:pPr>
                  <w:r>
                    <w:rPr>
                      <w:rFonts w:hint="default" w:ascii="Times New Roman" w:hAnsi="Times New Roman" w:eastAsia="宋体" w:cs="Times New Roman"/>
                      <w:b w:val="0"/>
                      <w:color w:val="auto"/>
                      <w:sz w:val="21"/>
                      <w:szCs w:val="21"/>
                      <w:highlight w:val="none"/>
                    </w:rPr>
                    <w:t>地下水或土壤环境：有害物质泄漏通过垂直渗透进入地下水或土壤环境</w:t>
                  </w:r>
                </w:p>
              </w:tc>
            </w:tr>
          </w:tbl>
          <w:p>
            <w:pPr>
              <w:spacing w:line="360" w:lineRule="auto"/>
              <w:ind w:firstLine="480" w:firstLineChars="200"/>
              <w:rPr>
                <w:rFonts w:hint="default" w:ascii="Times New Roman" w:hAnsi="Times New Roman" w:cs="Times New Roman"/>
                <w:b w:val="0"/>
                <w:bCs w:val="0"/>
                <w:color w:val="auto"/>
                <w:sz w:val="24"/>
                <w:szCs w:val="24"/>
                <w:highlight w:val="none"/>
              </w:rPr>
            </w:pPr>
            <w:r>
              <w:rPr>
                <w:rFonts w:hint="eastAsia"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4）</w:t>
            </w:r>
            <w:r>
              <w:rPr>
                <w:rFonts w:hint="default" w:ascii="Times New Roman" w:hAnsi="Times New Roman" w:cs="Times New Roman"/>
                <w:b w:val="0"/>
                <w:bCs w:val="0"/>
                <w:color w:val="auto"/>
                <w:sz w:val="24"/>
                <w:szCs w:val="24"/>
                <w:highlight w:val="none"/>
              </w:rPr>
              <w:t>环境风险防范措施</w:t>
            </w:r>
          </w:p>
          <w:p>
            <w:pPr>
              <w:overflowPunct w:val="0"/>
              <w:adjustRightInd w:val="0"/>
              <w:snapToGrid w:val="0"/>
              <w:spacing w:line="360" w:lineRule="auto"/>
              <w:ind w:firstLine="480" w:firstLineChars="200"/>
              <w:rPr>
                <w:rFonts w:hint="default" w:ascii="Times New Roman" w:hAnsi="Times New Roman" w:cs="Times New Roman"/>
                <w:b w:val="0"/>
                <w:bCs w:val="0"/>
                <w:color w:val="auto"/>
                <w:kern w:val="24"/>
                <w:sz w:val="24"/>
                <w:szCs w:val="24"/>
              </w:rPr>
            </w:pPr>
            <w:r>
              <w:rPr>
                <w:rFonts w:hint="eastAsia" w:ascii="Times New Roman" w:hAnsi="Times New Roman" w:eastAsia="宋体" w:cs="Times New Roman"/>
                <w:b w:val="0"/>
                <w:bCs w:val="0"/>
                <w:color w:val="auto"/>
                <w:sz w:val="24"/>
                <w:szCs w:val="24"/>
                <w:highlight w:val="none"/>
                <w:lang w:val="en-US" w:eastAsia="zh-CN"/>
              </w:rPr>
              <w:t>①</w:t>
            </w:r>
            <w:r>
              <w:rPr>
                <w:rFonts w:hint="default" w:ascii="Times New Roman" w:hAnsi="Times New Roman" w:cs="Times New Roman"/>
                <w:b w:val="0"/>
                <w:bCs w:val="0"/>
                <w:color w:val="auto"/>
                <w:kern w:val="24"/>
                <w:sz w:val="24"/>
                <w:szCs w:val="24"/>
                <w:lang w:val="en-US" w:eastAsia="zh-CN"/>
              </w:rPr>
              <w:t>火灾、爆炸</w:t>
            </w:r>
            <w:r>
              <w:rPr>
                <w:rFonts w:hint="default" w:ascii="Times New Roman" w:hAnsi="Times New Roman" w:cs="Times New Roman"/>
                <w:b w:val="0"/>
                <w:bCs w:val="0"/>
                <w:color w:val="auto"/>
                <w:kern w:val="24"/>
                <w:sz w:val="24"/>
                <w:szCs w:val="24"/>
              </w:rPr>
              <w:t>风险防范措施</w:t>
            </w:r>
          </w:p>
          <w:p>
            <w:pPr>
              <w:overflowPunct w:val="0"/>
              <w:adjustRightInd w:val="0"/>
              <w:snapToGrid w:val="0"/>
              <w:spacing w:line="360" w:lineRule="auto"/>
              <w:ind w:firstLine="480" w:firstLineChars="200"/>
              <w:rPr>
                <w:rFonts w:hint="default" w:ascii="Times New Roman" w:hAnsi="Times New Roman" w:cs="Times New Roman"/>
                <w:color w:val="auto"/>
                <w:kern w:val="24"/>
                <w:sz w:val="24"/>
                <w:szCs w:val="24"/>
                <w:lang w:val="en-US" w:eastAsia="zh-CN"/>
              </w:rPr>
            </w:pP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kern w:val="24"/>
                <w:sz w:val="24"/>
                <w:szCs w:val="24"/>
                <w:lang w:val="en-US" w:eastAsia="zh-CN"/>
              </w:rPr>
              <w:t>配备一定量的消防器材，远离火种、热源，定期对车间内电气设备进行检修。</w:t>
            </w:r>
            <w:r>
              <w:rPr>
                <w:rFonts w:hint="default" w:ascii="Times New Roman" w:hAnsi="Times New Roman" w:eastAsia="宋体" w:cs="Times New Roman"/>
                <w:color w:val="auto"/>
                <w:sz w:val="24"/>
                <w:szCs w:val="24"/>
              </w:rPr>
              <w:t>消防器材设置在明显和便于取用的地点，周围未堆放物品和杂物。消防设施、器材，由专人管理，负责检查、维修、保养、更换和添置，保证完好有效，严禁圈占、埋压和挪用。配备消防器材</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如干粉灭火器等）和消防设施；</w:t>
            </w:r>
            <w:r>
              <w:rPr>
                <w:rFonts w:hint="eastAsia" w:ascii="Times New Roman" w:hAnsi="Times New Roman" w:eastAsia="宋体" w:cs="Times New Roman"/>
                <w:color w:val="auto"/>
                <w:sz w:val="24"/>
                <w:szCs w:val="24"/>
                <w:lang w:eastAsia="zh-CN"/>
              </w:rPr>
              <w:t>标识</w:t>
            </w:r>
            <w:r>
              <w:rPr>
                <w:rFonts w:hint="default" w:ascii="Times New Roman" w:hAnsi="Times New Roman" w:eastAsia="宋体" w:cs="Times New Roman"/>
                <w:color w:val="auto"/>
                <w:sz w:val="24"/>
                <w:szCs w:val="24"/>
              </w:rPr>
              <w:t>明确，使用方便。</w:t>
            </w:r>
          </w:p>
          <w:p>
            <w:pPr>
              <w:overflowPunct w:val="0"/>
              <w:adjustRightInd w:val="0"/>
              <w:snapToGrid w:val="0"/>
              <w:spacing w:line="360" w:lineRule="auto"/>
              <w:ind w:firstLine="480" w:firstLineChars="200"/>
              <w:rPr>
                <w:rFonts w:hint="default" w:ascii="Times New Roman" w:hAnsi="Times New Roman" w:cs="Times New Roman"/>
                <w:color w:val="auto"/>
                <w:kern w:val="24"/>
                <w:sz w:val="24"/>
                <w:szCs w:val="24"/>
                <w:lang w:eastAsia="zh-CN"/>
              </w:rPr>
            </w:pPr>
            <w:r>
              <w:rPr>
                <w:rFonts w:hint="eastAsia" w:ascii="Times New Roman" w:hAnsi="Times New Roman" w:cs="Times New Roman"/>
                <w:color w:val="auto"/>
                <w:kern w:val="24"/>
                <w:sz w:val="24"/>
                <w:szCs w:val="24"/>
                <w:lang w:val="en-US" w:eastAsia="zh-CN"/>
              </w:rPr>
              <w:t>B.</w:t>
            </w:r>
            <w:r>
              <w:rPr>
                <w:rFonts w:hint="default" w:ascii="Times New Roman" w:hAnsi="Times New Roman" w:cs="Times New Roman"/>
                <w:color w:val="auto"/>
                <w:kern w:val="24"/>
                <w:sz w:val="24"/>
                <w:szCs w:val="24"/>
                <w:lang w:eastAsia="zh-CN"/>
              </w:rPr>
              <w:t>项目在运营中应确保正确操作和正常运行，在操作运行方面要求工作人员必须进行岗前专业培训，严格执行安全生产操作规程，进行安全性专业维护和保养，对安全设备进行定期校验，确保安全生产。</w:t>
            </w:r>
          </w:p>
          <w:p>
            <w:pPr>
              <w:overflowPunct w:val="0"/>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C</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加强消防的管理，</w:t>
            </w:r>
            <w:r>
              <w:rPr>
                <w:rFonts w:hint="default" w:ascii="Times New Roman" w:hAnsi="Times New Roman" w:eastAsia="宋体" w:cs="Times New Roman"/>
                <w:color w:val="auto"/>
                <w:sz w:val="24"/>
                <w:szCs w:val="24"/>
                <w:lang w:val="en-US" w:eastAsia="zh-CN"/>
              </w:rPr>
              <w:t>做好</w:t>
            </w:r>
            <w:r>
              <w:rPr>
                <w:rFonts w:hint="default" w:ascii="Times New Roman" w:hAnsi="Times New Roman" w:eastAsia="宋体" w:cs="Times New Roman"/>
                <w:color w:val="auto"/>
                <w:sz w:val="24"/>
                <w:szCs w:val="24"/>
                <w:lang w:eastAsia="zh-CN"/>
              </w:rPr>
              <w:t>防火知识宣传，加强对防火安全的检查，严禁向工区内带入易燃、易爆物品，严禁在厂区吸烟。</w:t>
            </w:r>
          </w:p>
          <w:p>
            <w:pPr>
              <w:overflowPunct w:val="0"/>
              <w:adjustRightInd w:val="0"/>
              <w:snapToGrid w:val="0"/>
              <w:spacing w:line="360" w:lineRule="auto"/>
              <w:ind w:firstLine="482" w:firstLineChars="200"/>
              <w:rPr>
                <w:rFonts w:hint="default" w:ascii="Times New Roman" w:hAnsi="Times New Roman" w:eastAsia="宋体" w:cs="Times New Roman"/>
                <w:b/>
                <w:bCs/>
                <w:color w:val="auto"/>
                <w:kern w:val="24"/>
                <w:sz w:val="24"/>
                <w:szCs w:val="24"/>
                <w:lang w:val="en-US" w:eastAsia="zh-CN"/>
              </w:rPr>
            </w:pPr>
            <w:r>
              <w:rPr>
                <w:rFonts w:hint="default" w:ascii="Times New Roman" w:hAnsi="Times New Roman" w:eastAsia="宋体" w:cs="Times New Roman"/>
                <w:b/>
                <w:bCs/>
                <w:color w:val="auto"/>
                <w:kern w:val="24"/>
                <w:sz w:val="24"/>
                <w:szCs w:val="24"/>
                <w:lang w:val="en-US" w:eastAsia="zh-CN"/>
              </w:rPr>
              <w:t>②危险废物泄漏风险防范措施</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企业严格按照《危险废物收集、贮存、运输技术规范》</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zh-CN"/>
              </w:rPr>
              <w:t>HJ2025-2012）、</w:t>
            </w:r>
            <w:r>
              <w:rPr>
                <w:rFonts w:hint="default" w:ascii="Times New Roman" w:hAnsi="Times New Roman" w:eastAsia="宋体" w:cs="Times New Roman"/>
                <w:color w:val="auto"/>
                <w:sz w:val="24"/>
                <w:szCs w:val="24"/>
              </w:rPr>
              <w:t>《危险废物贮存污染控制标准》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GB18597-2023）</w:t>
            </w:r>
            <w:r>
              <w:rPr>
                <w:rFonts w:hint="default" w:ascii="Times New Roman" w:hAnsi="Times New Roman" w:eastAsia="宋体" w:cs="Times New Roman"/>
                <w:color w:val="auto"/>
                <w:sz w:val="24"/>
                <w:szCs w:val="24"/>
                <w:highlight w:val="none"/>
                <w:lang w:eastAsia="zh-CN"/>
              </w:rPr>
              <w:t>的要求，加强对危险废物的管理，</w:t>
            </w:r>
            <w:r>
              <w:rPr>
                <w:rFonts w:hint="default" w:ascii="Times New Roman" w:hAnsi="Times New Roman" w:eastAsia="宋体" w:cs="Times New Roman"/>
                <w:color w:val="auto"/>
                <w:sz w:val="24"/>
                <w:szCs w:val="24"/>
                <w:highlight w:val="none"/>
                <w:lang w:val="en-US" w:eastAsia="zh-CN"/>
              </w:rPr>
              <w:t>危废暂存间重点防渗</w:t>
            </w:r>
            <w:r>
              <w:rPr>
                <w:rFonts w:hint="default" w:ascii="Times New Roman" w:hAnsi="Times New Roman" w:eastAsia="宋体" w:cs="Times New Roman"/>
                <w:color w:val="auto"/>
                <w:sz w:val="24"/>
                <w:szCs w:val="24"/>
                <w:highlight w:val="none"/>
                <w:lang w:eastAsia="zh-CN"/>
              </w:rPr>
              <w:t>；对相关人员定期进行安全培训教育；经常性对危险废物暂存区和作业场所进行安全检查。</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B</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建立健全安全规程及执勤制度，设置通讯、报警装置，并确保其处于完好状态；</w:t>
            </w:r>
            <w:r>
              <w:rPr>
                <w:rFonts w:hint="default" w:ascii="Times New Roman" w:hAnsi="Times New Roman" w:eastAsia="宋体" w:cs="Times New Roman"/>
                <w:color w:val="auto"/>
                <w:sz w:val="24"/>
                <w:szCs w:val="24"/>
                <w:highlight w:val="none"/>
                <w:lang w:val="en-US" w:eastAsia="zh-CN"/>
              </w:rPr>
              <w:t>按照《危险废物识别标志设置技术规范》</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HJ1276-2022）要求</w:t>
            </w:r>
            <w:r>
              <w:rPr>
                <w:rFonts w:hint="default" w:ascii="Times New Roman" w:hAnsi="Times New Roman" w:eastAsia="宋体" w:cs="Times New Roman"/>
                <w:color w:val="auto"/>
                <w:sz w:val="24"/>
                <w:szCs w:val="24"/>
                <w:highlight w:val="none"/>
                <w:lang w:eastAsia="zh-CN"/>
              </w:rPr>
              <w:t>设置明显的标识及警示牌；危险废物的存放和转移都</w:t>
            </w:r>
            <w:r>
              <w:rPr>
                <w:rFonts w:hint="eastAsia" w:ascii="Times New Roman" w:hAnsi="Times New Roman" w:eastAsia="宋体" w:cs="Times New Roman"/>
                <w:color w:val="auto"/>
                <w:sz w:val="24"/>
                <w:szCs w:val="24"/>
                <w:highlight w:val="none"/>
                <w:lang w:eastAsia="zh-CN"/>
              </w:rPr>
              <w:t>派</w:t>
            </w:r>
            <w:r>
              <w:rPr>
                <w:rFonts w:hint="default" w:ascii="Times New Roman" w:hAnsi="Times New Roman" w:eastAsia="宋体" w:cs="Times New Roman"/>
                <w:color w:val="auto"/>
                <w:sz w:val="24"/>
                <w:szCs w:val="24"/>
                <w:highlight w:val="none"/>
                <w:lang w:eastAsia="zh-CN"/>
              </w:rPr>
              <w:t>专门负责人进行记录登记，其中包括存放和转移</w:t>
            </w:r>
            <w:r>
              <w:rPr>
                <w:rFonts w:hint="eastAsia" w:ascii="Times New Roman" w:hAnsi="Times New Roman" w:eastAsia="宋体" w:cs="Times New Roman"/>
                <w:color w:val="auto"/>
                <w:sz w:val="24"/>
                <w:szCs w:val="24"/>
                <w:highlight w:val="none"/>
                <w:lang w:eastAsia="zh-CN"/>
              </w:rPr>
              <w:t>的数</w:t>
            </w:r>
            <w:r>
              <w:rPr>
                <w:rFonts w:hint="default" w:ascii="Times New Roman" w:hAnsi="Times New Roman" w:eastAsia="宋体" w:cs="Times New Roman"/>
                <w:color w:val="auto"/>
                <w:sz w:val="24"/>
                <w:szCs w:val="24"/>
                <w:highlight w:val="none"/>
                <w:lang w:eastAsia="zh-CN"/>
              </w:rPr>
              <w:t>量及日期等，及时联系厂家进行回收。</w:t>
            </w:r>
          </w:p>
          <w:p>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C</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不同物料存储区之间保持足够防火间距，并配备相应灭火器；在同一存储区内，宜布置火灾危险性类别相同或相近的物料。</w:t>
            </w:r>
          </w:p>
          <w:p>
            <w:pPr>
              <w:spacing w:line="360" w:lineRule="auto"/>
              <w:ind w:firstLine="480" w:firstLineChars="200"/>
              <w:rPr>
                <w:rFonts w:hint="default" w:ascii="Times New Roman" w:hAnsi="Times New Roman" w:cs="Times New Roman"/>
                <w:b/>
                <w:bCs/>
                <w:color w:val="auto"/>
                <w:sz w:val="24"/>
                <w:szCs w:val="24"/>
                <w:highlight w:val="none"/>
              </w:rPr>
            </w:pP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cs="Times New Roman"/>
                <w:b w:val="0"/>
                <w:bCs w:val="0"/>
                <w:color w:val="auto"/>
                <w:sz w:val="24"/>
                <w:szCs w:val="24"/>
                <w:highlight w:val="none"/>
                <w:lang w:val="en-US" w:eastAsia="zh-CN"/>
              </w:rPr>
              <w:t>环境风险预测与评价</w:t>
            </w:r>
          </w:p>
          <w:p>
            <w:pPr>
              <w:keepNext w:val="0"/>
              <w:keepLines w:val="0"/>
              <w:suppressLineNumbers w:val="0"/>
              <w:adjustRightInd w:val="0"/>
              <w:snapToGrid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根据前文所述，本项目的环境风险评价工作等级为简单分析，根据《建设项目环境风险评价技术导则》</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HJ169-2018）的要求，只需进行简要分析，见下表。</w:t>
            </w:r>
          </w:p>
          <w:p>
            <w:pPr>
              <w:autoSpaceDE w:val="0"/>
              <w:autoSpaceDN w:val="0"/>
              <w:adjustRightInd w:val="0"/>
              <w:spacing w:line="240" w:lineRule="auto"/>
              <w:ind w:firstLine="422" w:firstLineChars="20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 xml:space="preserve">表4-18  </w:t>
            </w:r>
            <w:r>
              <w:rPr>
                <w:rFonts w:hint="default" w:ascii="Times New Roman" w:hAnsi="Times New Roman" w:cs="Times New Roman"/>
                <w:b/>
                <w:bCs/>
                <w:color w:val="auto"/>
                <w:sz w:val="21"/>
                <w:szCs w:val="21"/>
                <w:highlight w:val="none"/>
                <w:lang w:val="en-US" w:eastAsia="zh-CN"/>
              </w:rPr>
              <w:t>项目环境风险评价简单分析内容表</w:t>
            </w:r>
          </w:p>
          <w:tbl>
            <w:tblPr>
              <w:tblStyle w:val="42"/>
              <w:tblW w:w="8319" w:type="dxa"/>
              <w:jc w:val="center"/>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164"/>
              <w:gridCol w:w="1761"/>
              <w:gridCol w:w="1443"/>
              <w:gridCol w:w="1720"/>
            </w:tblGrid>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建设项目名称</w:t>
                  </w:r>
                </w:p>
              </w:tc>
              <w:tc>
                <w:tcPr>
                  <w:tcW w:w="6088" w:type="dxa"/>
                  <w:gridSpan w:val="4"/>
                  <w:tcBorders>
                    <w:righ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sz w:val="21"/>
                      <w:szCs w:val="21"/>
                      <w:lang w:val="en-US" w:eastAsia="zh-CN"/>
                    </w:rPr>
                    <w:t>四川程锦自热方便食品生产基地项目</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建设地点</w:t>
                  </w:r>
                </w:p>
              </w:tc>
              <w:tc>
                <w:tcPr>
                  <w:tcW w:w="6088" w:type="dxa"/>
                  <w:gridSpan w:val="4"/>
                  <w:tcBorders>
                    <w:righ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bCs w:val="0"/>
                      <w:sz w:val="21"/>
                      <w:szCs w:val="21"/>
                      <w:u w:val="none"/>
                      <w:lang w:val="en-US" w:eastAsia="zh-CN"/>
                    </w:rPr>
                    <w:t>四川</w:t>
                  </w:r>
                  <w:r>
                    <w:rPr>
                      <w:rFonts w:hint="default" w:ascii="Times New Roman" w:hAnsi="Times New Roman" w:cs="Times New Roman"/>
                      <w:sz w:val="21"/>
                      <w:szCs w:val="21"/>
                    </w:rPr>
                    <w:t>省</w:t>
                  </w:r>
                  <w:r>
                    <w:rPr>
                      <w:rFonts w:hint="default" w:ascii="Times New Roman" w:hAnsi="Times New Roman" w:cs="Times New Roman"/>
                      <w:sz w:val="21"/>
                      <w:szCs w:val="21"/>
                      <w:lang w:val="en-US" w:eastAsia="zh-CN"/>
                    </w:rPr>
                    <w:t>乐山市市中区全福街道石农村</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乐山味道食品饮料产业园）</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地理坐标</w:t>
                  </w:r>
                </w:p>
              </w:tc>
              <w:tc>
                <w:tcPr>
                  <w:tcW w:w="1164"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经度</w:t>
                  </w:r>
                </w:p>
              </w:tc>
              <w:tc>
                <w:tcPr>
                  <w:tcW w:w="1761"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E103°</w:t>
                  </w:r>
                  <w:r>
                    <w:rPr>
                      <w:rFonts w:hint="eastAsia" w:ascii="Times New Roman" w:hAnsi="Times New Roman" w:cs="Times New Roman"/>
                      <w:b w:val="0"/>
                      <w:color w:val="auto"/>
                      <w:sz w:val="21"/>
                      <w:szCs w:val="21"/>
                      <w:highlight w:val="none"/>
                      <w:lang w:val="en-US" w:eastAsia="zh-CN"/>
                    </w:rPr>
                    <w:t>48</w:t>
                  </w:r>
                  <w:r>
                    <w:rPr>
                      <w:rFonts w:hint="default" w:ascii="Times New Roman" w:hAnsi="Times New Roman" w:cs="Times New Roman"/>
                      <w:b w:val="0"/>
                      <w:color w:val="auto"/>
                      <w:sz w:val="21"/>
                      <w:szCs w:val="21"/>
                      <w:highlight w:val="none"/>
                      <w:lang w:val="en-US" w:eastAsia="zh-CN"/>
                    </w:rPr>
                    <w:t>′</w:t>
                  </w:r>
                  <w:r>
                    <w:rPr>
                      <w:rFonts w:hint="eastAsia" w:ascii="Times New Roman" w:hAnsi="Times New Roman" w:cs="Times New Roman"/>
                      <w:b w:val="0"/>
                      <w:color w:val="auto"/>
                      <w:sz w:val="21"/>
                      <w:szCs w:val="21"/>
                      <w:highlight w:val="none"/>
                      <w:lang w:val="en-US" w:eastAsia="zh-CN"/>
                    </w:rPr>
                    <w:t>59.328</w:t>
                  </w:r>
                  <w:r>
                    <w:rPr>
                      <w:rFonts w:hint="default" w:ascii="Times New Roman" w:hAnsi="Times New Roman" w:cs="Times New Roman"/>
                      <w:b w:val="0"/>
                      <w:color w:val="auto"/>
                      <w:sz w:val="21"/>
                      <w:szCs w:val="21"/>
                      <w:highlight w:val="none"/>
                      <w:lang w:val="en-US" w:eastAsia="zh-CN"/>
                    </w:rPr>
                    <w:t>″</w:t>
                  </w:r>
                </w:p>
              </w:tc>
              <w:tc>
                <w:tcPr>
                  <w:tcW w:w="1443" w:type="dxa"/>
                  <w:tcBorders>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纬度</w:t>
                  </w:r>
                </w:p>
              </w:tc>
              <w:tc>
                <w:tcPr>
                  <w:tcW w:w="1720" w:type="dxa"/>
                  <w:tcBorders>
                    <w:righ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N2</w:t>
                  </w:r>
                  <w:r>
                    <w:rPr>
                      <w:rFonts w:hint="eastAsia" w:ascii="Times New Roman" w:hAnsi="Times New Roman" w:cs="Times New Roman"/>
                      <w:b w:val="0"/>
                      <w:color w:val="auto"/>
                      <w:sz w:val="21"/>
                      <w:szCs w:val="21"/>
                      <w:highlight w:val="none"/>
                      <w:lang w:val="en-US" w:eastAsia="zh-CN"/>
                    </w:rPr>
                    <w:t>9</w:t>
                  </w:r>
                  <w:r>
                    <w:rPr>
                      <w:rFonts w:hint="default" w:ascii="Times New Roman" w:hAnsi="Times New Roman" w:cs="Times New Roman"/>
                      <w:b w:val="0"/>
                      <w:color w:val="auto"/>
                      <w:sz w:val="21"/>
                      <w:szCs w:val="21"/>
                      <w:highlight w:val="none"/>
                      <w:lang w:val="en-US" w:eastAsia="zh-CN"/>
                    </w:rPr>
                    <w:t>°</w:t>
                  </w:r>
                  <w:r>
                    <w:rPr>
                      <w:rFonts w:hint="eastAsia" w:ascii="Times New Roman" w:hAnsi="Times New Roman" w:cs="Times New Roman"/>
                      <w:b w:val="0"/>
                      <w:color w:val="auto"/>
                      <w:sz w:val="21"/>
                      <w:szCs w:val="21"/>
                      <w:highlight w:val="none"/>
                      <w:lang w:val="en-US" w:eastAsia="zh-CN"/>
                    </w:rPr>
                    <w:t>37</w:t>
                  </w:r>
                  <w:r>
                    <w:rPr>
                      <w:rFonts w:hint="default" w:ascii="Times New Roman" w:hAnsi="Times New Roman" w:cs="Times New Roman"/>
                      <w:b w:val="0"/>
                      <w:color w:val="auto"/>
                      <w:sz w:val="21"/>
                      <w:szCs w:val="21"/>
                      <w:highlight w:val="none"/>
                      <w:lang w:val="en-US" w:eastAsia="zh-CN"/>
                    </w:rPr>
                    <w:t>′</w:t>
                  </w:r>
                  <w:r>
                    <w:rPr>
                      <w:rFonts w:hint="eastAsia" w:ascii="Times New Roman" w:hAnsi="Times New Roman" w:cs="Times New Roman"/>
                      <w:b w:val="0"/>
                      <w:color w:val="auto"/>
                      <w:sz w:val="21"/>
                      <w:szCs w:val="21"/>
                      <w:highlight w:val="none"/>
                      <w:lang w:val="en-US" w:eastAsia="zh-CN"/>
                    </w:rPr>
                    <w:t>50.7324</w:t>
                  </w:r>
                  <w:r>
                    <w:rPr>
                      <w:rFonts w:hint="default" w:ascii="Times New Roman" w:hAnsi="Times New Roman" w:cs="Times New Roman"/>
                      <w:b w:val="0"/>
                      <w:color w:val="auto"/>
                      <w:sz w:val="21"/>
                      <w:szCs w:val="21"/>
                      <w:highlight w:val="none"/>
                      <w:lang w:val="en-US" w:eastAsia="zh-CN"/>
                    </w:rPr>
                    <w:t>″</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主要危险物质及分布</w:t>
                  </w:r>
                </w:p>
              </w:tc>
              <w:tc>
                <w:tcPr>
                  <w:tcW w:w="6088" w:type="dxa"/>
                  <w:gridSpan w:val="4"/>
                  <w:tcBorders>
                    <w:righ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危废暂存间</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废润滑油、废油桶</w:t>
                  </w:r>
                  <w:r>
                    <w:rPr>
                      <w:rFonts w:hint="eastAsia" w:ascii="Times New Roman" w:hAnsi="Times New Roman" w:cs="Times New Roman"/>
                      <w:b w:val="0"/>
                      <w:color w:val="auto"/>
                      <w:sz w:val="21"/>
                      <w:szCs w:val="21"/>
                      <w:highlight w:val="none"/>
                      <w:lang w:val="en-US" w:eastAsia="zh-CN"/>
                    </w:rPr>
                    <w:t>、实验室检验废液</w:t>
                  </w:r>
                  <w:r>
                    <w:rPr>
                      <w:rFonts w:hint="default" w:ascii="Times New Roman" w:hAnsi="Times New Roman" w:cs="Times New Roman"/>
                      <w:b w:val="0"/>
                      <w:color w:val="auto"/>
                      <w:sz w:val="21"/>
                      <w:szCs w:val="21"/>
                      <w:highlight w:val="none"/>
                      <w:lang w:val="en-US" w:eastAsia="zh-CN"/>
                    </w:rPr>
                    <w:t>）</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PrEx>
              <w:trPr>
                <w:trHeight w:val="1946"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环境影响途径及危害后果</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大气、地表水、地下水等）</w:t>
                  </w:r>
                </w:p>
              </w:tc>
              <w:tc>
                <w:tcPr>
                  <w:tcW w:w="6088" w:type="dxa"/>
                  <w:gridSpan w:val="4"/>
                  <w:tcBorders>
                    <w:right w:val="nil"/>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1）大气环境：恶臭直接排入大气环境；火灾爆炸产生的次生污染物排入大气环境；</w:t>
                  </w:r>
                </w:p>
                <w:p>
                  <w:pPr>
                    <w:autoSpaceDE w:val="0"/>
                    <w:autoSpaceDN w:val="0"/>
                    <w:adjustRightInd w:val="0"/>
                    <w:jc w:val="left"/>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2）地表水环境：废水事故排放、火灾消防过程废水通过地表径流进入地表水环境；</w:t>
                  </w:r>
                </w:p>
                <w:p>
                  <w:pPr>
                    <w:autoSpaceDE w:val="0"/>
                    <w:autoSpaceDN w:val="0"/>
                    <w:adjustRightInd w:val="0"/>
                    <w:jc w:val="left"/>
                    <w:textAlignment w:val="baseline"/>
                    <w:rPr>
                      <w:rFonts w:hint="default" w:ascii="Times New Roman" w:hAnsi="Times New Roman" w:cs="Times New Roman"/>
                      <w:b w:val="0"/>
                      <w:color w:val="auto"/>
                      <w:sz w:val="21"/>
                      <w:szCs w:val="21"/>
                      <w:highlight w:val="none"/>
                      <w:lang w:val="en-US" w:eastAsia="zh-CN"/>
                    </w:rPr>
                  </w:pP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3）地下水或土壤环境：有害物质或废水泄漏通过垂直渗透进入。</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风险防范措施要求</w:t>
                  </w:r>
                </w:p>
              </w:tc>
              <w:tc>
                <w:tcPr>
                  <w:tcW w:w="6088" w:type="dxa"/>
                  <w:gridSpan w:val="4"/>
                  <w:tcBorders>
                    <w:right w:val="nil"/>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设置危废暂存间，做好分区防渗，加强设施设备运维管理，及时发现问题并处理。</w:t>
                  </w:r>
                </w:p>
              </w:tc>
            </w:tr>
            <w:tr>
              <w:tblPrEx>
                <w:tblBorders>
                  <w:top w:val="single" w:color="auto" w:sz="4" w:space="0"/>
                  <w:left w:val="single" w:color="auto" w:sz="12" w:space="0"/>
                  <w:bottom w:val="single" w:color="auto" w:sz="4"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2231" w:type="dxa"/>
                  <w:tcBorders>
                    <w:left w:val="nil"/>
                    <w:tl2br w:val="nil"/>
                    <w:tr2bl w:val="nil"/>
                  </w:tcBorders>
                  <w:noWrap w:val="0"/>
                  <w:vAlign w:val="center"/>
                </w:tcPr>
                <w:p>
                  <w:pPr>
                    <w:autoSpaceDE w:val="0"/>
                    <w:autoSpaceDN w:val="0"/>
                    <w:adjustRightInd w:val="0"/>
                    <w:jc w:val="center"/>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填表说明</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列出项目相关信息及评价说明）</w:t>
                  </w:r>
                </w:p>
              </w:tc>
              <w:tc>
                <w:tcPr>
                  <w:tcW w:w="6088" w:type="dxa"/>
                  <w:gridSpan w:val="4"/>
                  <w:tcBorders>
                    <w:right w:val="nil"/>
                    <w:tl2br w:val="nil"/>
                    <w:tr2bl w:val="nil"/>
                  </w:tcBorders>
                  <w:noWrap w:val="0"/>
                  <w:vAlign w:val="center"/>
                </w:tcPr>
                <w:p>
                  <w:pPr>
                    <w:autoSpaceDE w:val="0"/>
                    <w:autoSpaceDN w:val="0"/>
                    <w:adjustRightInd w:val="0"/>
                    <w:jc w:val="left"/>
                    <w:textAlignment w:val="baseline"/>
                    <w:rPr>
                      <w:rFonts w:hint="default" w:ascii="Times New Roman" w:hAnsi="Times New Roman" w:cs="Times New Roman"/>
                      <w:b w:val="0"/>
                      <w:color w:val="auto"/>
                      <w:sz w:val="21"/>
                      <w:szCs w:val="21"/>
                      <w:highlight w:val="none"/>
                      <w:lang w:val="en-US" w:eastAsia="zh-CN"/>
                    </w:rPr>
                  </w:pPr>
                  <w:r>
                    <w:rPr>
                      <w:rFonts w:hint="default" w:ascii="Times New Roman" w:hAnsi="Times New Roman" w:cs="Times New Roman"/>
                      <w:b w:val="0"/>
                      <w:color w:val="auto"/>
                      <w:sz w:val="21"/>
                      <w:szCs w:val="21"/>
                      <w:highlight w:val="none"/>
                      <w:lang w:val="en-US" w:eastAsia="zh-CN"/>
                    </w:rPr>
                    <w:t>根据《建设项目环境风险评价技术导则》</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HJ169-2018）风险评价规则，本项目环境风险潜势为Ⅰ，根据评价工作等级划分，本项目只需进行简单分析。</w:t>
                  </w:r>
                </w:p>
              </w:tc>
            </w:tr>
          </w:tbl>
          <w:p>
            <w:pPr>
              <w:numPr>
                <w:ilvl w:val="0"/>
                <w:numId w:val="0"/>
              </w:num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sz w:val="24"/>
                <w:szCs w:val="24"/>
                <w:highlight w:val="none"/>
                <w:lang w:val="en-US" w:eastAsia="zh-CN"/>
              </w:rPr>
              <w:t>制定相关应急预案</w:t>
            </w:r>
          </w:p>
          <w:p>
            <w:pPr>
              <w:numPr>
                <w:ilvl w:val="0"/>
                <w:numId w:val="0"/>
              </w:num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根据《四川省突发环境事件应急预案备案行业名录》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2022年版），企业应当制定符合自身实际的突发环境事件应急预案，并按照《企业事业单位突发环境事件应急预案备案管理办法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试行）》要求，</w:t>
            </w:r>
            <w:r>
              <w:rPr>
                <w:rFonts w:hint="eastAsia" w:ascii="Times New Roman" w:hAnsi="Times New Roman" w:eastAsia="宋体" w:cs="Times New Roman"/>
                <w:color w:val="auto"/>
                <w:sz w:val="24"/>
                <w:szCs w:val="24"/>
                <w:highlight w:val="none"/>
                <w:lang w:val="en-US" w:eastAsia="zh-CN"/>
              </w:rPr>
              <w:t>编写相关应急预案</w:t>
            </w:r>
            <w:r>
              <w:rPr>
                <w:rFonts w:hint="default" w:ascii="Times New Roman" w:hAnsi="Times New Roman" w:eastAsia="宋体" w:cs="Times New Roman"/>
                <w:color w:val="auto"/>
                <w:sz w:val="24"/>
                <w:szCs w:val="24"/>
                <w:highlight w:val="none"/>
                <w:lang w:val="en-US" w:eastAsia="zh-CN"/>
              </w:rPr>
              <w:t>。</w:t>
            </w:r>
          </w:p>
          <w:p>
            <w:pPr>
              <w:numPr>
                <w:ilvl w:val="0"/>
                <w:numId w:val="0"/>
              </w:num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（7）</w:t>
            </w:r>
            <w:r>
              <w:rPr>
                <w:rFonts w:hint="eastAsia" w:ascii="Times New Roman" w:hAnsi="Times New Roman" w:eastAsia="宋体" w:cs="Times New Roman"/>
                <w:color w:val="auto"/>
                <w:sz w:val="24"/>
                <w:szCs w:val="24"/>
                <w:highlight w:val="none"/>
                <w:lang w:val="en-US" w:eastAsia="zh-CN"/>
              </w:rPr>
              <w:t>环境风险分析结论</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投入运行后建设单位应组建安全环保管理机构，配备管理人员，加强风险管理，通过相应的技术手段降低风险发生概率，并在风险事故发生后，及时采取风险防范措施及应急预案，可以使风险事故对环境的危害得到有效控制，将事故风险控制在可以接受的范围内。</w:t>
            </w:r>
          </w:p>
          <w:p>
            <w:pPr>
              <w:numPr>
                <w:ilvl w:val="0"/>
                <w:numId w:val="0"/>
              </w:num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八、</w:t>
            </w:r>
            <w:r>
              <w:rPr>
                <w:rFonts w:hint="default" w:ascii="Times New Roman" w:hAnsi="Times New Roman" w:cs="Times New Roman"/>
                <w:b/>
                <w:bCs/>
                <w:color w:val="auto"/>
                <w:sz w:val="24"/>
                <w:szCs w:val="24"/>
                <w:highlight w:val="none"/>
                <w:lang w:val="en-US" w:eastAsia="zh-CN"/>
              </w:rPr>
              <w:t>电磁辐射</w:t>
            </w:r>
          </w:p>
          <w:p>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本项目不涉及电磁辐射源，无电磁辐射影响。</w:t>
            </w:r>
          </w:p>
          <w:p>
            <w:pPr>
              <w:numPr>
                <w:ilvl w:val="0"/>
                <w:numId w:val="0"/>
              </w:numPr>
              <w:spacing w:line="360" w:lineRule="auto"/>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九、</w:t>
            </w:r>
            <w:r>
              <w:rPr>
                <w:rFonts w:hint="eastAsia" w:ascii="Times New Roman" w:hAnsi="Times New Roman" w:cs="Times New Roman"/>
                <w:b/>
                <w:bCs/>
                <w:color w:val="auto"/>
                <w:sz w:val="24"/>
                <w:szCs w:val="24"/>
                <w:highlight w:val="none"/>
                <w:lang w:val="en-US" w:eastAsia="zh-CN"/>
              </w:rPr>
              <w:t>环境管理</w:t>
            </w:r>
          </w:p>
          <w:p>
            <w:pPr>
              <w:autoSpaceDE w:val="0"/>
              <w:autoSpaceDN w:val="0"/>
              <w:adjustRightInd w:val="0"/>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建立和完善环保管理机构</w:t>
            </w:r>
          </w:p>
          <w:p>
            <w:pPr>
              <w:numPr>
                <w:ilvl w:val="0"/>
                <w:numId w:val="0"/>
              </w:numPr>
              <w:spacing w:line="360" w:lineRule="auto"/>
              <w:ind w:firstLine="480"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项目在落实环保审批和措施后，应设置专门环保管理机构，至少配备环保员一名，负责企业环保管理工作，制订环保管理制度，监督、检查环保设施的运行和维护及保养情况与环保制度的执行情况，不断提高全厂环保管理水平</w:t>
            </w:r>
            <w:r>
              <w:rPr>
                <w:rFonts w:hint="eastAsia" w:ascii="Times New Roman" w:hAnsi="Times New Roman" w:eastAsia="宋体" w:cs="Times New Roman"/>
                <w:color w:val="auto"/>
                <w:sz w:val="24"/>
                <w:szCs w:val="24"/>
                <w:lang w:val="en-US" w:eastAsia="zh-CN"/>
              </w:rPr>
              <w:t>。</w:t>
            </w:r>
          </w:p>
          <w:p>
            <w:pPr>
              <w:autoSpaceDE w:val="0"/>
              <w:autoSpaceDN w:val="0"/>
              <w:adjustRightInd w:val="0"/>
              <w:spacing w:line="360" w:lineRule="auto"/>
              <w:ind w:firstLine="482"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建立和完善各项规章制度</w:t>
            </w:r>
          </w:p>
          <w:p>
            <w:pPr>
              <w:pStyle w:val="385"/>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1）</w:t>
            </w:r>
            <w:r>
              <w:rPr>
                <w:rFonts w:hint="eastAsia" w:ascii="宋体" w:hAnsi="宋体" w:eastAsia="宋体" w:cs="宋体"/>
                <w:color w:val="auto"/>
                <w:sz w:val="24"/>
                <w:szCs w:val="24"/>
                <w:lang w:eastAsia="zh-CN"/>
              </w:rPr>
              <w:t>“</w:t>
            </w:r>
            <w:r>
              <w:rPr>
                <w:rFonts w:hint="default" w:ascii="Times New Roman" w:hAnsi="Times New Roman" w:cs="Times New Roman"/>
                <w:color w:val="auto"/>
                <w:sz w:val="24"/>
                <w:szCs w:val="24"/>
              </w:rPr>
              <w:t>三同时</w:t>
            </w:r>
            <w:r>
              <w:rPr>
                <w:rFonts w:hint="eastAsia" w:ascii="宋体" w:hAnsi="宋体" w:eastAsia="宋体" w:cs="宋体"/>
                <w:color w:val="auto"/>
                <w:sz w:val="24"/>
                <w:szCs w:val="24"/>
                <w:lang w:eastAsia="zh-CN"/>
              </w:rPr>
              <w:t>”</w:t>
            </w:r>
            <w:r>
              <w:rPr>
                <w:rFonts w:hint="default" w:ascii="Times New Roman" w:hAnsi="Times New Roman" w:cs="Times New Roman"/>
                <w:color w:val="auto"/>
                <w:sz w:val="24"/>
                <w:szCs w:val="24"/>
              </w:rPr>
              <w:t>制度</w:t>
            </w:r>
          </w:p>
          <w:p>
            <w:pPr>
              <w:pStyle w:val="38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项目配套建设的环境保护设施经验收合格，方可投入生产或者使用。</w:t>
            </w:r>
          </w:p>
          <w:p>
            <w:pPr>
              <w:pStyle w:val="385"/>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2）排污许可证制度</w:t>
            </w:r>
          </w:p>
          <w:p>
            <w:pPr>
              <w:pStyle w:val="385"/>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国民经济行业分类</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GB/T4754-2017</w:t>
            </w:r>
            <w:r>
              <w:rPr>
                <w:rFonts w:hint="default" w:ascii="Times New Roman" w:hAnsi="Times New Roman" w:eastAsia="宋体" w:cs="Times New Roman"/>
                <w:color w:val="auto"/>
                <w:sz w:val="24"/>
                <w:szCs w:val="24"/>
              </w:rPr>
              <w:t>），本项目属于</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C1439</w:t>
            </w:r>
            <w:r>
              <w:rPr>
                <w:rFonts w:hint="default" w:ascii="Times New Roman" w:hAnsi="Times New Roman" w:eastAsia="宋体" w:cs="Times New Roman"/>
                <w:color w:val="auto"/>
                <w:sz w:val="24"/>
                <w:szCs w:val="24"/>
                <w:lang w:val="en-US" w:eastAsia="zh-CN"/>
              </w:rPr>
              <w:t>其他方便食品制造</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《固定污染源排污许可分类管理名录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2019版）》</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生态环境部令2019第11号）</w:t>
            </w:r>
            <w:r>
              <w:rPr>
                <w:rFonts w:hint="default" w:ascii="Times New Roman" w:hAnsi="Times New Roman" w:eastAsia="宋体" w:cs="Times New Roman"/>
                <w:color w:val="auto"/>
                <w:sz w:val="24"/>
                <w:szCs w:val="24"/>
                <w:lang w:val="en-US" w:eastAsia="zh-CN"/>
              </w:rPr>
              <w:t>中</w:t>
            </w:r>
            <w:r>
              <w:rPr>
                <w:rFonts w:hint="eastAsia" w:ascii="Times New Roman" w:hAnsi="Times New Roman" w:eastAsia="宋体" w:cs="Times New Roman"/>
                <w:color w:val="auto"/>
                <w:sz w:val="24"/>
                <w:szCs w:val="24"/>
                <w:lang w:val="en-US" w:eastAsia="zh-CN"/>
              </w:rPr>
              <w:t>九</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食品制造业</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其他食品制造149”</w:t>
            </w:r>
            <w:r>
              <w:rPr>
                <w:rFonts w:hint="default" w:ascii="Times New Roman" w:hAnsi="Times New Roman" w:eastAsia="宋体" w:cs="Times New Roman"/>
                <w:color w:val="auto"/>
                <w:sz w:val="24"/>
                <w:szCs w:val="24"/>
                <w:lang w:val="en-US" w:eastAsia="zh-CN"/>
              </w:rPr>
              <w:t>。具体见下表：</w:t>
            </w:r>
          </w:p>
          <w:p>
            <w:pPr>
              <w:adjustRightInd w:val="0"/>
              <w:jc w:val="center"/>
              <w:textAlignment w:val="baseline"/>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en-US" w:eastAsia="zh-CN"/>
              </w:rPr>
              <w:t>表4-</w:t>
            </w:r>
            <w:r>
              <w:rPr>
                <w:rFonts w:hint="eastAsia" w:ascii="Times New Roman" w:hAnsi="Times New Roman" w:eastAsia="宋体" w:cs="Times New Roman"/>
                <w:b/>
                <w:bCs/>
                <w:color w:val="auto"/>
                <w:sz w:val="21"/>
                <w:szCs w:val="21"/>
                <w:highlight w:val="none"/>
                <w:lang w:val="en-US" w:eastAsia="zh-CN"/>
              </w:rPr>
              <w:t>19</w:t>
            </w:r>
            <w:r>
              <w:rPr>
                <w:rFonts w:hint="default" w:ascii="Times New Roman" w:hAnsi="Times New Roman" w:eastAsia="宋体" w:cs="Times New Roman"/>
                <w:b/>
                <w:bCs/>
                <w:color w:val="auto"/>
                <w:sz w:val="21"/>
                <w:szCs w:val="21"/>
                <w:highlight w:val="none"/>
                <w:lang w:val="en-US" w:eastAsia="zh-CN"/>
              </w:rPr>
              <w:t xml:space="preserve">  项目</w:t>
            </w:r>
            <w:r>
              <w:rPr>
                <w:rFonts w:hint="default" w:ascii="Times New Roman" w:hAnsi="Times New Roman" w:eastAsia="宋体" w:cs="Times New Roman"/>
                <w:b/>
                <w:bCs/>
                <w:color w:val="auto"/>
                <w:sz w:val="21"/>
                <w:szCs w:val="21"/>
                <w:highlight w:val="none"/>
                <w:lang w:val="zh-CN" w:eastAsia="zh-CN"/>
              </w:rPr>
              <w:t>固定污染源排污许可分类管理名录</w:t>
            </w:r>
          </w:p>
          <w:tbl>
            <w:tblPr>
              <w:tblStyle w:val="42"/>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5"/>
              <w:gridCol w:w="1359"/>
              <w:gridCol w:w="2636"/>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13" w:type="pct"/>
                  <w:tcBorders>
                    <w:left w:val="nil"/>
                    <w:tl2br w:val="nil"/>
                  </w:tcBorders>
                  <w:noWrap w:val="0"/>
                  <w:vAlign w:val="center"/>
                </w:tcPr>
                <w:p>
                  <w:pPr>
                    <w:adjustRightInd w:val="0"/>
                    <w:snapToGrid w:val="0"/>
                    <w:spacing w:line="240" w:lineRule="auto"/>
                    <w:jc w:val="center"/>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行业类别</w:t>
                  </w:r>
                </w:p>
              </w:tc>
              <w:tc>
                <w:tcPr>
                  <w:tcW w:w="822" w:type="pct"/>
                  <w:noWrap w:val="0"/>
                  <w:vAlign w:val="center"/>
                </w:tcPr>
                <w:p>
                  <w:pPr>
                    <w:adjustRightInd w:val="0"/>
                    <w:snapToGrid w:val="0"/>
                    <w:spacing w:line="240" w:lineRule="auto"/>
                    <w:jc w:val="center"/>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重点管理</w:t>
                  </w:r>
                </w:p>
              </w:tc>
              <w:tc>
                <w:tcPr>
                  <w:tcW w:w="1595" w:type="pct"/>
                  <w:noWrap w:val="0"/>
                  <w:vAlign w:val="center"/>
                </w:tcPr>
                <w:p>
                  <w:pPr>
                    <w:adjustRightInd w:val="0"/>
                    <w:snapToGrid w:val="0"/>
                    <w:spacing w:line="240" w:lineRule="auto"/>
                    <w:jc w:val="center"/>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简化管理</w:t>
                  </w:r>
                </w:p>
              </w:tc>
              <w:tc>
                <w:tcPr>
                  <w:tcW w:w="1367" w:type="pct"/>
                  <w:tcBorders>
                    <w:right w:val="nil"/>
                  </w:tcBorders>
                  <w:noWrap w:val="0"/>
                  <w:vAlign w:val="center"/>
                </w:tcPr>
                <w:p>
                  <w:pPr>
                    <w:adjustRightInd w:val="0"/>
                    <w:snapToGrid w:val="0"/>
                    <w:spacing w:line="240" w:lineRule="auto"/>
                    <w:jc w:val="center"/>
                    <w:rPr>
                      <w:rFonts w:hint="default" w:ascii="Times New Roman" w:hAnsi="Times New Roman" w:cs="Times New Roman"/>
                      <w:b/>
                      <w:bCs w:val="0"/>
                      <w:color w:val="auto"/>
                      <w:szCs w:val="21"/>
                      <w:highlight w:val="none"/>
                      <w:lang w:val="en-US" w:eastAsia="zh-CN"/>
                    </w:rPr>
                  </w:pPr>
                  <w:r>
                    <w:rPr>
                      <w:rFonts w:hint="default" w:ascii="Times New Roman" w:hAnsi="Times New Roman" w:cs="Times New Roman"/>
                      <w:b/>
                      <w:bCs w:val="0"/>
                      <w:color w:val="auto"/>
                      <w:szCs w:val="21"/>
                      <w:highlight w:val="none"/>
                      <w:lang w:val="en-US" w:eastAsia="zh-CN"/>
                    </w:rPr>
                    <w:t>登记管理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4"/>
                  <w:tcBorders>
                    <w:left w:val="nil"/>
                    <w:right w:val="nil"/>
                  </w:tcBorders>
                  <w:noWrap w:val="0"/>
                  <w:vAlign w:val="center"/>
                </w:tcPr>
                <w:p>
                  <w:pPr>
                    <w:adjustRightInd w:val="0"/>
                    <w:snapToGrid w:val="0"/>
                    <w:spacing w:line="240" w:lineRule="auto"/>
                    <w:jc w:val="both"/>
                    <w:rPr>
                      <w:rFonts w:hint="default" w:ascii="Times New Roman" w:hAnsi="Times New Roman" w:cs="Times New Roman"/>
                      <w:b w:val="0"/>
                      <w:bCs/>
                      <w:color w:val="auto"/>
                      <w:szCs w:val="21"/>
                      <w:highlight w:val="none"/>
                      <w:lang w:val="en-US" w:eastAsia="zh-CN"/>
                    </w:rPr>
                  </w:pPr>
                  <w:r>
                    <w:rPr>
                      <w:rFonts w:hint="eastAsia" w:ascii="Times New Roman" w:hAnsi="Times New Roman" w:eastAsia="宋体" w:cs="Times New Roman"/>
                      <w:b/>
                      <w:bCs/>
                      <w:color w:val="auto"/>
                      <w:sz w:val="21"/>
                      <w:szCs w:val="21"/>
                      <w:lang w:val="en-US" w:eastAsia="zh-CN"/>
                    </w:rPr>
                    <w:t>九</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食品制造业</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1213" w:type="pct"/>
                  <w:tcBorders>
                    <w:left w:val="nil"/>
                  </w:tcBorders>
                  <w:noWrap w:val="0"/>
                  <w:vAlign w:val="center"/>
                </w:tcPr>
                <w:p>
                  <w:pPr>
                    <w:adjustRightInd w:val="0"/>
                    <w:snapToGrid w:val="0"/>
                    <w:spacing w:line="240" w:lineRule="auto"/>
                    <w:jc w:val="center"/>
                    <w:rPr>
                      <w:rFonts w:hint="default" w:ascii="Times New Roman" w:hAnsi="Times New Roman" w:cs="Times New Roman"/>
                      <w:b w:val="0"/>
                      <w:color w:val="auto"/>
                      <w:szCs w:val="21"/>
                      <w:highlight w:val="none"/>
                      <w:lang w:val="en-US" w:eastAsia="zh-CN"/>
                    </w:rPr>
                  </w:pPr>
                  <w:r>
                    <w:rPr>
                      <w:rFonts w:hint="default" w:ascii="Times New Roman" w:hAnsi="Times New Roman" w:cs="Times New Roman"/>
                      <w:b w:val="0"/>
                      <w:color w:val="auto"/>
                      <w:szCs w:val="21"/>
                      <w:highlight w:val="none"/>
                      <w:lang w:val="en-US" w:eastAsia="zh-CN"/>
                    </w:rPr>
                    <w:t>方便食品制造143，其他食品制造149</w:t>
                  </w:r>
                </w:p>
              </w:tc>
              <w:tc>
                <w:tcPr>
                  <w:tcW w:w="822" w:type="pct"/>
                  <w:noWrap w:val="0"/>
                  <w:vAlign w:val="center"/>
                </w:tcPr>
                <w:p>
                  <w:pPr>
                    <w:adjustRightInd w:val="0"/>
                    <w:snapToGrid w:val="0"/>
                    <w:spacing w:line="240" w:lineRule="auto"/>
                    <w:jc w:val="center"/>
                    <w:rPr>
                      <w:rFonts w:hint="default" w:ascii="Times New Roman" w:hAnsi="Times New Roman" w:cs="Times New Roman"/>
                      <w:b w:val="0"/>
                      <w:color w:val="auto"/>
                      <w:szCs w:val="21"/>
                      <w:highlight w:val="none"/>
                      <w:lang w:val="en-US" w:eastAsia="zh-CN"/>
                    </w:rPr>
                  </w:pPr>
                  <w:r>
                    <w:rPr>
                      <w:rFonts w:hint="eastAsia" w:ascii="Times New Roman" w:hAnsi="Times New Roman" w:cs="Times New Roman"/>
                      <w:b w:val="0"/>
                      <w:color w:val="auto"/>
                      <w:szCs w:val="21"/>
                      <w:highlight w:val="none"/>
                      <w:lang w:val="en-US" w:eastAsia="zh-CN"/>
                    </w:rPr>
                    <w:t>/</w:t>
                  </w:r>
                </w:p>
              </w:tc>
              <w:tc>
                <w:tcPr>
                  <w:tcW w:w="1595" w:type="pct"/>
                  <w:noWrap w:val="0"/>
                  <w:vAlign w:val="center"/>
                </w:tcPr>
                <w:p>
                  <w:pPr>
                    <w:adjustRightInd w:val="0"/>
                    <w:snapToGrid w:val="0"/>
                    <w:spacing w:line="240" w:lineRule="auto"/>
                    <w:jc w:val="center"/>
                    <w:rPr>
                      <w:rFonts w:hint="default" w:ascii="Times New Roman" w:hAnsi="Times New Roman" w:cs="Times New Roman"/>
                      <w:b w:val="0"/>
                      <w:color w:val="auto"/>
                      <w:szCs w:val="21"/>
                      <w:highlight w:val="none"/>
                      <w:lang w:val="en-US" w:eastAsia="zh-CN"/>
                    </w:rPr>
                  </w:pPr>
                  <w:r>
                    <w:rPr>
                      <w:rFonts w:hint="default" w:ascii="Times New Roman" w:hAnsi="Times New Roman" w:eastAsia="宋体" w:cs="Times New Roman"/>
                      <w:i w:val="0"/>
                      <w:iCs w:val="0"/>
                      <w:caps w:val="0"/>
                      <w:color w:val="333333"/>
                      <w:spacing w:val="0"/>
                      <w:sz w:val="21"/>
                      <w:szCs w:val="21"/>
                      <w:shd w:val="clear" w:color="auto" w:fill="FFFFFF"/>
                    </w:rPr>
                    <w:t>米、面制品制造1431</w:t>
                  </w:r>
                  <w:r>
                    <w:rPr>
                      <w:rFonts w:hint="default" w:ascii="Times New Roman" w:hAnsi="Times New Roman" w:eastAsia="宋体" w:cs="Times New Roman"/>
                      <w:i w:val="0"/>
                      <w:iCs w:val="0"/>
                      <w:caps w:val="0"/>
                      <w:color w:val="333333"/>
                      <w:spacing w:val="0"/>
                      <w:sz w:val="21"/>
                      <w:szCs w:val="21"/>
                      <w:shd w:val="clear" w:color="auto" w:fill="FFFFFF"/>
                      <w:lang w:val="en-US" w:eastAsia="zh-CN"/>
                    </w:rPr>
                    <w:t>*</w:t>
                  </w:r>
                  <w:r>
                    <w:rPr>
                      <w:rFonts w:hint="default" w:ascii="Times New Roman" w:hAnsi="Times New Roman" w:eastAsia="宋体" w:cs="Times New Roman"/>
                      <w:i w:val="0"/>
                      <w:iCs w:val="0"/>
                      <w:caps w:val="0"/>
                      <w:color w:val="333333"/>
                      <w:spacing w:val="0"/>
                      <w:sz w:val="21"/>
                      <w:szCs w:val="21"/>
                      <w:shd w:val="clear" w:color="auto" w:fill="FFFFFF"/>
                    </w:rPr>
                    <w:t>，速冻食品制造1432</w:t>
                  </w:r>
                  <w:r>
                    <w:rPr>
                      <w:rFonts w:hint="default" w:ascii="Times New Roman" w:hAnsi="Times New Roman" w:eastAsia="宋体" w:cs="Times New Roman"/>
                      <w:i w:val="0"/>
                      <w:iCs w:val="0"/>
                      <w:caps w:val="0"/>
                      <w:color w:val="333333"/>
                      <w:spacing w:val="0"/>
                      <w:sz w:val="21"/>
                      <w:szCs w:val="21"/>
                      <w:shd w:val="clear" w:color="auto" w:fill="FFFFFF"/>
                      <w:lang w:val="en-US" w:eastAsia="zh-CN"/>
                    </w:rPr>
                    <w:t>*</w:t>
                  </w:r>
                  <w:r>
                    <w:rPr>
                      <w:rFonts w:hint="default" w:ascii="Times New Roman" w:hAnsi="Times New Roman" w:eastAsia="宋体" w:cs="Times New Roman"/>
                      <w:i w:val="0"/>
                      <w:iCs w:val="0"/>
                      <w:caps w:val="0"/>
                      <w:color w:val="333333"/>
                      <w:spacing w:val="0"/>
                      <w:sz w:val="21"/>
                      <w:szCs w:val="21"/>
                      <w:shd w:val="clear" w:color="auto" w:fill="FFFFFF"/>
                    </w:rPr>
                    <w:t>，方便面制造1433</w:t>
                  </w:r>
                  <w:r>
                    <w:rPr>
                      <w:rFonts w:hint="default" w:ascii="Times New Roman" w:hAnsi="Times New Roman" w:eastAsia="宋体" w:cs="Times New Roman"/>
                      <w:i w:val="0"/>
                      <w:iCs w:val="0"/>
                      <w:caps w:val="0"/>
                      <w:color w:val="333333"/>
                      <w:spacing w:val="0"/>
                      <w:sz w:val="21"/>
                      <w:szCs w:val="21"/>
                      <w:shd w:val="clear" w:color="auto" w:fill="FFFFFF"/>
                      <w:lang w:val="en-US" w:eastAsia="zh-CN"/>
                    </w:rPr>
                    <w:t>*</w:t>
                  </w:r>
                  <w:r>
                    <w:rPr>
                      <w:rFonts w:hint="default" w:ascii="Times New Roman" w:hAnsi="Times New Roman" w:eastAsia="宋体" w:cs="Times New Roman"/>
                      <w:i w:val="0"/>
                      <w:iCs w:val="0"/>
                      <w:caps w:val="0"/>
                      <w:color w:val="333333"/>
                      <w:spacing w:val="0"/>
                      <w:sz w:val="21"/>
                      <w:szCs w:val="21"/>
                      <w:shd w:val="clear" w:color="auto" w:fill="FFFFFF"/>
                    </w:rPr>
                    <w:t>，其他方便食品制造1439</w:t>
                  </w:r>
                  <w:r>
                    <w:rPr>
                      <w:rFonts w:hint="default" w:ascii="Times New Roman" w:hAnsi="Times New Roman" w:eastAsia="宋体" w:cs="Times New Roman"/>
                      <w:i w:val="0"/>
                      <w:iCs w:val="0"/>
                      <w:caps w:val="0"/>
                      <w:color w:val="333333"/>
                      <w:spacing w:val="0"/>
                      <w:sz w:val="21"/>
                      <w:szCs w:val="21"/>
                      <w:shd w:val="clear" w:color="auto" w:fill="FFFFFF"/>
                      <w:lang w:val="en-US" w:eastAsia="zh-CN"/>
                    </w:rPr>
                    <w:t>*</w:t>
                  </w:r>
                  <w:r>
                    <w:rPr>
                      <w:rFonts w:hint="default" w:ascii="Times New Roman" w:hAnsi="Times New Roman" w:eastAsia="宋体" w:cs="Times New Roman"/>
                      <w:i w:val="0"/>
                      <w:iCs w:val="0"/>
                      <w:caps w:val="0"/>
                      <w:color w:val="333333"/>
                      <w:spacing w:val="0"/>
                      <w:sz w:val="21"/>
                      <w:szCs w:val="21"/>
                      <w:shd w:val="clear" w:color="auto" w:fill="FFFFFF"/>
                    </w:rPr>
                    <w:t>，食品及饲料添加剂制造1495</w:t>
                  </w:r>
                  <w:r>
                    <w:rPr>
                      <w:rFonts w:hint="default" w:ascii="Times New Roman" w:hAnsi="Times New Roman" w:eastAsia="宋体" w:cs="Times New Roman"/>
                      <w:i w:val="0"/>
                      <w:iCs w:val="0"/>
                      <w:caps w:val="0"/>
                      <w:color w:val="333333"/>
                      <w:spacing w:val="0"/>
                      <w:sz w:val="21"/>
                      <w:szCs w:val="21"/>
                      <w:shd w:val="clear" w:color="auto" w:fill="FFFFFF"/>
                      <w:lang w:val="en-US" w:eastAsia="zh-CN"/>
                    </w:rPr>
                    <w:t>*</w:t>
                  </w:r>
                  <w:r>
                    <w:rPr>
                      <w:rFonts w:hint="default" w:ascii="Times New Roman" w:hAnsi="Times New Roman" w:eastAsia="宋体" w:cs="Times New Roman"/>
                      <w:i w:val="0"/>
                      <w:iCs w:val="0"/>
                      <w:caps w:val="0"/>
                      <w:color w:val="333333"/>
                      <w:spacing w:val="0"/>
                      <w:sz w:val="21"/>
                      <w:szCs w:val="21"/>
                      <w:shd w:val="clear" w:color="auto" w:fill="FFFFFF"/>
                    </w:rPr>
                    <w:t>，以上均不含手工制作、单纯混合或者分装的</w:t>
                  </w:r>
                </w:p>
              </w:tc>
              <w:tc>
                <w:tcPr>
                  <w:tcW w:w="1367" w:type="pct"/>
                  <w:tcBorders>
                    <w:right w:val="nil"/>
                  </w:tcBorders>
                  <w:noWrap w:val="0"/>
                  <w:vAlign w:val="center"/>
                </w:tcPr>
                <w:p>
                  <w:pPr>
                    <w:adjustRightInd w:val="0"/>
                    <w:snapToGrid w:val="0"/>
                    <w:spacing w:line="240" w:lineRule="auto"/>
                    <w:jc w:val="center"/>
                    <w:rPr>
                      <w:rFonts w:hint="default" w:ascii="Times New Roman" w:hAnsi="Times New Roman" w:cs="Times New Roman"/>
                      <w:b w:val="0"/>
                      <w:color w:val="auto"/>
                      <w:szCs w:val="21"/>
                      <w:highlight w:val="none"/>
                      <w:lang w:val="en-US" w:eastAsia="zh-CN"/>
                    </w:rPr>
                  </w:pPr>
                  <w:r>
                    <w:rPr>
                      <w:rFonts w:hint="default" w:ascii="Times New Roman" w:hAnsi="Times New Roman" w:cs="Times New Roman"/>
                      <w:b w:val="0"/>
                      <w:color w:val="auto"/>
                      <w:szCs w:val="21"/>
                      <w:highlight w:val="none"/>
                      <w:lang w:val="en-US" w:eastAsia="zh-CN"/>
                    </w:rPr>
                    <w:t>其他</w:t>
                  </w:r>
                  <w:r>
                    <w:rPr>
                      <w:rFonts w:hint="eastAsia" w:ascii="Times New Roman" w:hAnsi="Times New Roman" w:cs="Times New Roman"/>
                      <w:b w:val="0"/>
                      <w:color w:val="auto"/>
                      <w:szCs w:val="21"/>
                      <w:highlight w:val="none"/>
                      <w:lang w:val="en-US" w:eastAsia="zh-CN"/>
                    </w:rPr>
                    <w:t>*</w:t>
                  </w:r>
                </w:p>
              </w:tc>
            </w:tr>
          </w:tbl>
          <w:p>
            <w:pPr>
              <w:pStyle w:val="385"/>
              <w:rPr>
                <w:rFonts w:hint="default" w:ascii="Times New Roman" w:hAnsi="Times New Roman" w:cs="Times New Roman"/>
                <w:color w:val="auto"/>
                <w:sz w:val="24"/>
                <w:szCs w:val="24"/>
              </w:rPr>
            </w:pPr>
            <w:r>
              <w:rPr>
                <w:rFonts w:hint="default" w:ascii="Times New Roman" w:hAnsi="Times New Roman" w:eastAsia="宋体" w:cs="Times New Roman"/>
                <w:b/>
                <w:bCs/>
                <w:color w:val="auto"/>
                <w:sz w:val="24"/>
                <w:szCs w:val="24"/>
                <w:lang w:val="en-US" w:eastAsia="zh-CN"/>
              </w:rPr>
              <w:t>本项目</w:t>
            </w:r>
            <w:r>
              <w:rPr>
                <w:rFonts w:hint="eastAsia" w:ascii="Times New Roman" w:hAnsi="Times New Roman" w:eastAsia="宋体" w:cs="Times New Roman"/>
                <w:b/>
                <w:bCs/>
                <w:color w:val="auto"/>
                <w:sz w:val="24"/>
                <w:szCs w:val="24"/>
                <w:lang w:val="en-US" w:eastAsia="zh-CN"/>
              </w:rPr>
              <w:t>为其他方便食品制造</w:t>
            </w:r>
            <w:r>
              <w:rPr>
                <w:rFonts w:hint="default" w:ascii="Times New Roman" w:hAnsi="Times New Roman" w:eastAsia="宋体" w:cs="Times New Roman"/>
                <w:b/>
                <w:bCs/>
                <w:color w:val="auto"/>
                <w:sz w:val="24"/>
                <w:szCs w:val="24"/>
                <w:lang w:val="en-US" w:eastAsia="zh-CN"/>
              </w:rPr>
              <w:t>实行</w:t>
            </w:r>
            <w:r>
              <w:rPr>
                <w:rFonts w:hint="eastAsia" w:ascii="Times New Roman" w:hAnsi="Times New Roman" w:eastAsia="宋体" w:cs="Times New Roman"/>
                <w:b/>
                <w:bCs/>
                <w:color w:val="auto"/>
                <w:sz w:val="24"/>
                <w:szCs w:val="24"/>
                <w:lang w:val="en-US" w:eastAsia="zh-CN"/>
              </w:rPr>
              <w:t>简化</w:t>
            </w:r>
            <w:r>
              <w:rPr>
                <w:rFonts w:hint="default" w:ascii="Times New Roman" w:hAnsi="Times New Roman" w:eastAsia="宋体" w:cs="Times New Roman"/>
                <w:b/>
                <w:bCs/>
                <w:color w:val="auto"/>
                <w:sz w:val="24"/>
                <w:szCs w:val="24"/>
                <w:lang w:val="en-US" w:eastAsia="zh-CN"/>
              </w:rPr>
              <w:t>管理</w:t>
            </w:r>
            <w:r>
              <w:rPr>
                <w:rFonts w:hint="default" w:ascii="Times New Roman" w:hAnsi="Times New Roman" w:eastAsia="宋体" w:cs="Times New Roman"/>
                <w:color w:val="auto"/>
                <w:sz w:val="24"/>
                <w:szCs w:val="24"/>
                <w:lang w:val="en-US" w:eastAsia="zh-CN"/>
              </w:rPr>
              <w:t>。</w:t>
            </w:r>
          </w:p>
          <w:p>
            <w:pPr>
              <w:pStyle w:val="385"/>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环保台账制度</w:t>
            </w:r>
          </w:p>
          <w:p>
            <w:pPr>
              <w:pStyle w:val="385"/>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厂内需完善记录制度和档案保存制度，有利于环境管理质量的追踪和持续改进；记录</w:t>
            </w:r>
            <w:r>
              <w:rPr>
                <w:rFonts w:hint="default" w:ascii="Times New Roman" w:hAnsi="Times New Roman" w:cs="Times New Roman"/>
                <w:color w:val="auto"/>
                <w:sz w:val="24"/>
                <w:szCs w:val="24"/>
                <w:lang w:eastAsia="zh-CN"/>
              </w:rPr>
              <w:t>和台账</w:t>
            </w:r>
            <w:r>
              <w:rPr>
                <w:rFonts w:hint="default" w:ascii="Times New Roman" w:hAnsi="Times New Roman" w:cs="Times New Roman"/>
                <w:color w:val="auto"/>
                <w:sz w:val="24"/>
                <w:szCs w:val="24"/>
              </w:rPr>
              <w:t>包括设施运行和维护记录、固体废物进出</w:t>
            </w:r>
            <w:r>
              <w:rPr>
                <w:rFonts w:hint="default" w:ascii="Times New Roman" w:hAnsi="Times New Roman" w:cs="Times New Roman"/>
                <w:color w:val="auto"/>
                <w:sz w:val="24"/>
                <w:szCs w:val="24"/>
                <w:lang w:eastAsia="zh-CN"/>
              </w:rPr>
              <w:t>台账</w:t>
            </w:r>
            <w:r>
              <w:rPr>
                <w:rFonts w:hint="default" w:ascii="Times New Roman" w:hAnsi="Times New Roman" w:cs="Times New Roman"/>
                <w:color w:val="auto"/>
                <w:sz w:val="24"/>
                <w:szCs w:val="24"/>
              </w:rPr>
              <w:t>、污染物监测</w:t>
            </w:r>
            <w:r>
              <w:rPr>
                <w:rFonts w:hint="default" w:ascii="Times New Roman" w:hAnsi="Times New Roman" w:cs="Times New Roman"/>
                <w:color w:val="auto"/>
                <w:sz w:val="24"/>
                <w:szCs w:val="24"/>
                <w:lang w:eastAsia="zh-CN"/>
              </w:rPr>
              <w:t>台账</w:t>
            </w:r>
            <w:r>
              <w:rPr>
                <w:rFonts w:hint="default" w:ascii="Times New Roman" w:hAnsi="Times New Roman" w:cs="Times New Roman"/>
                <w:color w:val="auto"/>
                <w:sz w:val="24"/>
                <w:szCs w:val="24"/>
              </w:rPr>
              <w:t>、所有化学品</w:t>
            </w:r>
            <w:r>
              <w:rPr>
                <w:rFonts w:hint="default" w:ascii="Times New Roman" w:hAnsi="Times New Roman" w:cs="Times New Roman"/>
                <w:color w:val="auto"/>
                <w:sz w:val="24"/>
                <w:szCs w:val="24"/>
                <w:lang w:eastAsia="zh-CN"/>
              </w:rPr>
              <w:t>使用台账</w:t>
            </w:r>
            <w:r>
              <w:rPr>
                <w:rFonts w:hint="default" w:ascii="Times New Roman" w:hAnsi="Times New Roman" w:cs="Times New Roman"/>
                <w:color w:val="auto"/>
                <w:sz w:val="24"/>
                <w:szCs w:val="24"/>
              </w:rPr>
              <w:t>、突发性事件的处理、调查记录等，妥善保存所有记录、</w:t>
            </w:r>
            <w:r>
              <w:rPr>
                <w:rFonts w:hint="default" w:ascii="Times New Roman" w:hAnsi="Times New Roman" w:cs="Times New Roman"/>
                <w:color w:val="auto"/>
                <w:sz w:val="24"/>
                <w:szCs w:val="24"/>
                <w:lang w:eastAsia="zh-CN"/>
              </w:rPr>
              <w:t>台账及</w:t>
            </w:r>
            <w:r>
              <w:rPr>
                <w:rFonts w:hint="default" w:ascii="Times New Roman" w:hAnsi="Times New Roman" w:cs="Times New Roman"/>
                <w:color w:val="auto"/>
                <w:sz w:val="24"/>
                <w:szCs w:val="24"/>
              </w:rPr>
              <w:t>污染物排放监测资料、环境管理档案资料等</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台账保存期限不少于</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p>
          <w:p>
            <w:pPr>
              <w:pStyle w:val="385"/>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报告制度</w:t>
            </w:r>
          </w:p>
          <w:p>
            <w:pPr>
              <w:pStyle w:val="385"/>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建设单位应定</w:t>
            </w:r>
            <w:r>
              <w:rPr>
                <w:rFonts w:hint="default" w:ascii="Times New Roman" w:hAnsi="Times New Roman" w:cs="Times New Roman"/>
                <w:color w:val="auto"/>
                <w:sz w:val="24"/>
                <w:szCs w:val="24"/>
                <w:lang w:eastAsia="zh-CN"/>
              </w:rPr>
              <w:t>期向</w:t>
            </w:r>
            <w:r>
              <w:rPr>
                <w:rFonts w:hint="default" w:ascii="Times New Roman" w:hAnsi="Times New Roman" w:cs="Times New Roman"/>
                <w:color w:val="auto"/>
                <w:sz w:val="24"/>
                <w:szCs w:val="24"/>
              </w:rPr>
              <w:t>属地生态环境部门报告污染治理设施运行情况、污染物排放情况以及污染事故、污染纠纷等情况，便于政府部门及时了解污染动态，以利于采取相应的对策措施。项目的性质、规模、地点、生产工艺和环境保护措施等发生变动的，必须向生态环境部门报告，并履行相关手续，如发生重</w:t>
            </w:r>
            <w:r>
              <w:rPr>
                <w:rFonts w:hint="default" w:ascii="Times New Roman" w:hAnsi="Times New Roman" w:eastAsia="宋体" w:cs="Times New Roman"/>
                <w:color w:val="auto"/>
                <w:sz w:val="24"/>
                <w:szCs w:val="24"/>
              </w:rPr>
              <w:t>大变动并且可能导致环境影响显著变化</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特别是不利环境影响加重）的，应当重新报批环评。</w:t>
            </w:r>
          </w:p>
          <w:p>
            <w:pPr>
              <w:numPr>
                <w:ilvl w:val="0"/>
                <w:numId w:val="0"/>
              </w:numPr>
              <w:autoSpaceDE w:val="0"/>
              <w:autoSpaceDN w:val="0"/>
              <w:adjustRightIn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kern w:val="2"/>
                <w:sz w:val="24"/>
                <w:szCs w:val="24"/>
                <w:lang w:val="en-US" w:eastAsia="zh-CN" w:bidi="ar-SA"/>
              </w:rPr>
              <w:t>十、</w:t>
            </w:r>
            <w:r>
              <w:rPr>
                <w:rFonts w:hint="default" w:ascii="Times New Roman" w:hAnsi="Times New Roman" w:cs="Times New Roman"/>
                <w:b/>
                <w:bCs/>
                <w:color w:val="auto"/>
                <w:sz w:val="24"/>
                <w:szCs w:val="24"/>
                <w:highlight w:val="none"/>
                <w:lang w:val="en-US" w:eastAsia="zh-CN"/>
              </w:rPr>
              <w:t>环保投资估算</w:t>
            </w:r>
          </w:p>
          <w:p>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项目总投资为</w:t>
            </w:r>
            <w:r>
              <w:rPr>
                <w:rFonts w:hint="eastAsia" w:ascii="Times New Roman" w:hAnsi="Times New Roman" w:cs="Times New Roman"/>
                <w:color w:val="auto"/>
                <w:sz w:val="24"/>
                <w:szCs w:val="24"/>
                <w:highlight w:val="none"/>
                <w:lang w:val="en-US" w:eastAsia="zh-CN"/>
              </w:rPr>
              <w:t>5000</w:t>
            </w:r>
            <w:r>
              <w:rPr>
                <w:rFonts w:hint="default" w:ascii="Times New Roman" w:hAnsi="Times New Roman" w:cs="Times New Roman"/>
                <w:color w:val="auto"/>
                <w:sz w:val="24"/>
                <w:szCs w:val="24"/>
                <w:highlight w:val="none"/>
                <w:lang w:val="en-US" w:eastAsia="zh-CN"/>
              </w:rPr>
              <w:t>万元，其中环保投资估算为</w:t>
            </w:r>
            <w:r>
              <w:rPr>
                <w:rFonts w:hint="eastAsia" w:ascii="Times New Roman" w:hAnsi="Times New Roman" w:cs="Times New Roman"/>
                <w:color w:val="auto"/>
                <w:sz w:val="24"/>
                <w:szCs w:val="24"/>
                <w:highlight w:val="none"/>
                <w:lang w:val="en-US" w:eastAsia="zh-CN"/>
              </w:rPr>
              <w:t>117</w:t>
            </w:r>
            <w:r>
              <w:rPr>
                <w:rFonts w:hint="default" w:ascii="Times New Roman" w:hAnsi="Times New Roman" w:cs="Times New Roman"/>
                <w:color w:val="auto"/>
                <w:sz w:val="24"/>
                <w:szCs w:val="24"/>
                <w:highlight w:val="none"/>
                <w:lang w:val="en-US" w:eastAsia="zh-CN"/>
              </w:rPr>
              <w:t>万元，占项目总投资的</w:t>
            </w:r>
            <w:r>
              <w:rPr>
                <w:rFonts w:hint="eastAsia" w:ascii="Times New Roman" w:hAnsi="Times New Roman" w:cs="Times New Roman"/>
                <w:color w:val="auto"/>
                <w:sz w:val="24"/>
                <w:szCs w:val="24"/>
                <w:highlight w:val="none"/>
                <w:lang w:val="en-US" w:eastAsia="zh-CN"/>
              </w:rPr>
              <w:t>2.34</w:t>
            </w:r>
            <w:r>
              <w:rPr>
                <w:rFonts w:hint="default" w:ascii="Times New Roman" w:hAnsi="Times New Roman" w:cs="Times New Roman"/>
                <w:color w:val="auto"/>
                <w:sz w:val="24"/>
                <w:szCs w:val="24"/>
                <w:highlight w:val="none"/>
                <w:lang w:val="en-US" w:eastAsia="zh-CN"/>
              </w:rPr>
              <w:t>%。环保治理措施及投资一览表见下表。</w:t>
            </w:r>
          </w:p>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default" w:ascii="Times New Roman" w:hAns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lang w:val="en-US" w:eastAsia="zh-CN"/>
              </w:rPr>
              <w:t>0</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rPr>
              <w:t xml:space="preserve"> 环保治理措施及投资估算一览表</w:t>
            </w:r>
          </w:p>
          <w:tbl>
            <w:tblPr>
              <w:tblStyle w:val="41"/>
              <w:tblW w:w="86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309"/>
              <w:gridCol w:w="5428"/>
              <w:gridCol w:w="11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77"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754" w:type="pc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污染源</w:t>
                  </w:r>
                </w:p>
              </w:tc>
              <w:tc>
                <w:tcPr>
                  <w:tcW w:w="3126" w:type="pct"/>
                  <w:noWrap w:val="0"/>
                  <w:vAlign w:val="center"/>
                </w:tcPr>
                <w:p>
                  <w:pPr>
                    <w:tabs>
                      <w:tab w:val="left" w:pos="7434"/>
                    </w:tabs>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治理措施</w:t>
                  </w:r>
                </w:p>
              </w:tc>
              <w:tc>
                <w:tcPr>
                  <w:tcW w:w="641" w:type="pct"/>
                  <w:noWrap w:val="0"/>
                  <w:vAlign w:val="center"/>
                </w:tcPr>
                <w:p>
                  <w:pPr>
                    <w:tabs>
                      <w:tab w:val="left" w:pos="7434"/>
                    </w:tabs>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投资</w:t>
                  </w:r>
                </w:p>
                <w:p>
                  <w:pPr>
                    <w:tabs>
                      <w:tab w:val="left" w:pos="7434"/>
                    </w:tabs>
                    <w:jc w:val="center"/>
                    <w:rPr>
                      <w:rFonts w:hint="default"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万元</w:t>
                  </w:r>
                  <w:r>
                    <w:rPr>
                      <w:rFonts w:hint="default" w:ascii="Times New Roman" w:hAnsi="Times New Roman" w:cs="Times New Roman"/>
                      <w:b/>
                      <w:bCs/>
                      <w:color w:val="auto"/>
                      <w:sz w:val="21"/>
                      <w:szCs w:val="21"/>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77"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废气治理</w:t>
                  </w:r>
                </w:p>
              </w:tc>
              <w:tc>
                <w:tcPr>
                  <w:tcW w:w="754" w:type="pct"/>
                  <w:noWrap w:val="0"/>
                  <w:vAlign w:val="center"/>
                </w:tcPr>
                <w:p>
                  <w:pPr>
                    <w:widowControl/>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施工期</w:t>
                  </w:r>
                </w:p>
              </w:tc>
              <w:tc>
                <w:tcPr>
                  <w:tcW w:w="3126" w:type="pct"/>
                  <w:noWrap w:val="0"/>
                  <w:vAlign w:val="center"/>
                </w:tcPr>
                <w:p>
                  <w:pPr>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注意施工设备的维护，使其能够正常的运行</w:t>
                  </w:r>
                </w:p>
              </w:tc>
              <w:tc>
                <w:tcPr>
                  <w:tcW w:w="641" w:type="pct"/>
                  <w:noWrap w:val="0"/>
                  <w:vAlign w:val="center"/>
                </w:tcPr>
                <w:p>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477" w:type="pct"/>
                  <w:vMerge w:val="continue"/>
                  <w:noWrap w:val="0"/>
                  <w:vAlign w:val="center"/>
                </w:tcPr>
                <w:p>
                  <w:pPr>
                    <w:jc w:val="center"/>
                    <w:rPr>
                      <w:rFonts w:hint="default" w:ascii="Times New Roman" w:hAnsi="Times New Roman" w:cs="Times New Roman"/>
                      <w:color w:val="auto"/>
                      <w:sz w:val="21"/>
                      <w:szCs w:val="21"/>
                    </w:rPr>
                  </w:pPr>
                </w:p>
              </w:tc>
              <w:tc>
                <w:tcPr>
                  <w:tcW w:w="754"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营运期</w:t>
                  </w:r>
                </w:p>
              </w:tc>
              <w:tc>
                <w:tcPr>
                  <w:tcW w:w="3126"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锅炉设置低氮燃烧器，烟气经</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米高排气筒</w:t>
                  </w:r>
                </w:p>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w:t>
                  </w:r>
                  <w:r>
                    <w:rPr>
                      <w:rFonts w:hint="eastAsia" w:ascii="Times New Roman" w:hAnsi="Times New Roman" w:eastAsia="宋体" w:cs="Times New Roman"/>
                      <w:color w:val="auto"/>
                      <w:sz w:val="21"/>
                      <w:szCs w:val="21"/>
                      <w:lang w:val="en-US" w:eastAsia="zh-CN"/>
                    </w:rPr>
                    <w:t>（DA001、DA002、DA003）</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77" w:type="pct"/>
                  <w:vMerge w:val="continue"/>
                  <w:noWrap w:val="0"/>
                  <w:vAlign w:val="center"/>
                </w:tcPr>
                <w:p>
                  <w:pPr>
                    <w:snapToGrid w:val="0"/>
                    <w:jc w:val="center"/>
                  </w:pPr>
                </w:p>
              </w:tc>
              <w:tc>
                <w:tcPr>
                  <w:tcW w:w="754" w:type="pct"/>
                  <w:vMerge w:val="continue"/>
                  <w:noWrap w:val="0"/>
                  <w:vAlign w:val="center"/>
                </w:tcPr>
                <w:p>
                  <w:pPr>
                    <w:snapToGrid w:val="0"/>
                    <w:jc w:val="center"/>
                  </w:pPr>
                </w:p>
              </w:tc>
              <w:tc>
                <w:tcPr>
                  <w:tcW w:w="3126"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设置一套油烟净化器，油烟废气</w:t>
                  </w:r>
                  <w:r>
                    <w:rPr>
                      <w:rFonts w:hint="eastAsia" w:ascii="Times New Roman" w:hAnsi="Times New Roman" w:eastAsia="宋体" w:cs="Times New Roman"/>
                      <w:color w:val="auto"/>
                      <w:sz w:val="21"/>
                      <w:szCs w:val="21"/>
                      <w:lang w:val="en-US" w:eastAsia="zh-CN"/>
                    </w:rPr>
                    <w:t>引至楼</w:t>
                  </w:r>
                  <w:r>
                    <w:rPr>
                      <w:rFonts w:hint="default" w:ascii="Times New Roman" w:hAnsi="Times New Roman" w:eastAsia="宋体" w:cs="Times New Roman"/>
                      <w:color w:val="auto"/>
                      <w:sz w:val="21"/>
                      <w:szCs w:val="21"/>
                      <w:lang w:val="en-US" w:eastAsia="zh-CN"/>
                    </w:rPr>
                    <w:t>顶排放，设计风量为</w:t>
                  </w:r>
                  <w:r>
                    <w:rPr>
                      <w:rFonts w:hint="eastAsia"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477"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废水治理</w:t>
                  </w:r>
                </w:p>
              </w:tc>
              <w:tc>
                <w:tcPr>
                  <w:tcW w:w="754"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施工期</w:t>
                  </w:r>
                </w:p>
              </w:tc>
              <w:tc>
                <w:tcPr>
                  <w:tcW w:w="3126"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rPr>
                  </w:pPr>
                  <w:r>
                    <w:rPr>
                      <w:rFonts w:hint="eastAsia" w:ascii="宋体" w:hAnsi="宋体" w:eastAsia="宋体" w:cs="宋体"/>
                      <w:color w:val="000000"/>
                      <w:kern w:val="0"/>
                      <w:sz w:val="21"/>
                      <w:szCs w:val="21"/>
                      <w:lang w:val="en-US" w:eastAsia="zh-CN" w:bidi="ar"/>
                    </w:rPr>
                    <w:t>生活污水、生产废水、实验室检验废水依托园区内已建一体化设施进行预处理后经污水管网进入全福镇污水处理厂处理达标排放</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477" w:type="pct"/>
                  <w:vMerge w:val="continue"/>
                  <w:noWrap w:val="0"/>
                  <w:vAlign w:val="center"/>
                </w:tcPr>
                <w:p>
                  <w:pPr>
                    <w:snapToGrid w:val="0"/>
                    <w:jc w:val="center"/>
                  </w:pPr>
                </w:p>
              </w:tc>
              <w:tc>
                <w:tcPr>
                  <w:tcW w:w="754"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营运期</w:t>
                  </w:r>
                </w:p>
              </w:tc>
              <w:tc>
                <w:tcPr>
                  <w:tcW w:w="3126"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color w:val="000000"/>
                      <w:kern w:val="0"/>
                      <w:sz w:val="21"/>
                      <w:szCs w:val="21"/>
                      <w:lang w:val="en-US" w:eastAsia="zh-CN" w:bidi="ar"/>
                    </w:rPr>
                    <w:t>园区工业污水处理厂建成之前，生活污水、生产废水、实验室检验废水由园区内一体化设施进行预处理后经污水管网进入全福镇污水处理厂进行处理，园区污水处理厂建成之后，项目废水排入园区污水处理厂处理。</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77"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噪声治理</w:t>
                  </w:r>
                </w:p>
              </w:tc>
              <w:tc>
                <w:tcPr>
                  <w:tcW w:w="754" w:type="pct"/>
                  <w:noWrap w:val="0"/>
                  <w:vAlign w:val="center"/>
                </w:tcPr>
                <w:p>
                  <w:pPr>
                    <w:widowControl/>
                    <w:jc w:val="center"/>
                    <w:rPr>
                      <w:rFonts w:hint="default" w:ascii="Times New Roman" w:hAnsi="Times New Roman" w:cs="Times New Roman"/>
                      <w:color w:val="auto"/>
                      <w:sz w:val="21"/>
                      <w:szCs w:val="21"/>
                    </w:rPr>
                  </w:pPr>
                  <w:r>
                    <w:rPr>
                      <w:rFonts w:hint="eastAsia" w:ascii="Times New Roman" w:hAnsi="Times New Roman" w:cs="Times New Roman"/>
                      <w:color w:val="auto"/>
                      <w:kern w:val="2"/>
                      <w:sz w:val="21"/>
                      <w:szCs w:val="21"/>
                      <w:lang w:val="en-US" w:eastAsia="zh-CN" w:bidi="ar-SA"/>
                    </w:rPr>
                    <w:t>施工期</w:t>
                  </w:r>
                </w:p>
              </w:tc>
              <w:tc>
                <w:tcPr>
                  <w:tcW w:w="3126" w:type="pct"/>
                  <w:noWrap w:val="0"/>
                  <w:vAlign w:val="center"/>
                </w:tcPr>
                <w:p>
                  <w:pPr>
                    <w:keepNext w:val="0"/>
                    <w:keepLines w:val="0"/>
                    <w:widowControl/>
                    <w:suppressLineNumbers w:val="0"/>
                    <w:jc w:val="center"/>
                    <w:rPr>
                      <w:rFonts w:hint="default" w:ascii="Times New Roman" w:hAnsi="Times New Roman" w:cs="Times New Roman"/>
                      <w:color w:val="auto"/>
                      <w:sz w:val="21"/>
                      <w:szCs w:val="21"/>
                    </w:rPr>
                  </w:pPr>
                  <w:r>
                    <w:rPr>
                      <w:rFonts w:hint="eastAsia" w:ascii="宋体" w:hAnsi="宋体" w:eastAsia="宋体" w:cs="宋体"/>
                      <w:color w:val="000000"/>
                      <w:kern w:val="0"/>
                      <w:sz w:val="21"/>
                      <w:szCs w:val="21"/>
                      <w:lang w:val="en-US" w:eastAsia="zh-CN" w:bidi="ar"/>
                    </w:rPr>
                    <w:t>加强管理，合理安排施工时间</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77" w:type="pct"/>
                  <w:vMerge w:val="continue"/>
                  <w:noWrap w:val="0"/>
                  <w:vAlign w:val="center"/>
                </w:tcPr>
                <w:p>
                  <w:pPr>
                    <w:snapToGrid w:val="0"/>
                    <w:jc w:val="center"/>
                  </w:pPr>
                </w:p>
              </w:tc>
              <w:tc>
                <w:tcPr>
                  <w:tcW w:w="754" w:type="pct"/>
                  <w:noWrap w:val="0"/>
                  <w:vAlign w:val="center"/>
                </w:tcPr>
                <w:p>
                  <w:pPr>
                    <w:widowControl/>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营运期</w:t>
                  </w:r>
                </w:p>
              </w:tc>
              <w:tc>
                <w:tcPr>
                  <w:tcW w:w="3126"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选用低噪声设备、基础减震、厂房隔声降噪</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77" w:type="pct"/>
                  <w:vMerge w:val="restar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固废治理</w:t>
                  </w:r>
                </w:p>
              </w:tc>
              <w:tc>
                <w:tcPr>
                  <w:tcW w:w="754"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施工期</w:t>
                  </w:r>
                </w:p>
              </w:tc>
              <w:tc>
                <w:tcPr>
                  <w:tcW w:w="3126" w:type="pct"/>
                  <w:noWrap w:val="0"/>
                  <w:vAlign w:val="center"/>
                </w:tcPr>
                <w:p>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生活垃圾</w:t>
                  </w:r>
                  <w:r>
                    <w:rPr>
                      <w:rFonts w:hint="eastAsia" w:ascii="Times New Roman" w:hAnsi="Times New Roman" w:cs="Times New Roman"/>
                      <w:color w:val="auto"/>
                      <w:sz w:val="21"/>
                      <w:szCs w:val="21"/>
                      <w:lang w:val="en-US" w:eastAsia="zh-CN"/>
                    </w:rPr>
                    <w:t>、生产固废</w:t>
                  </w:r>
                  <w:r>
                    <w:rPr>
                      <w:rFonts w:hint="default" w:ascii="Times New Roman" w:hAnsi="Times New Roman" w:cs="Times New Roman"/>
                      <w:color w:val="auto"/>
                      <w:sz w:val="21"/>
                      <w:szCs w:val="21"/>
                      <w:lang w:val="en-US" w:eastAsia="zh-CN"/>
                    </w:rPr>
                    <w:t>收集后交由环卫部门清运处理，废包装材料经收集后外售资源化利用</w:t>
                  </w:r>
                  <w:r>
                    <w:rPr>
                      <w:rFonts w:hint="eastAsia" w:ascii="Times New Roman" w:hAnsi="Times New Roman" w:cs="Times New Roman"/>
                      <w:color w:val="auto"/>
                      <w:sz w:val="21"/>
                      <w:szCs w:val="21"/>
                      <w:lang w:val="en-US" w:eastAsia="zh-CN"/>
                    </w:rPr>
                    <w:t>。</w:t>
                  </w:r>
                </w:p>
              </w:tc>
              <w:tc>
                <w:tcPr>
                  <w:tcW w:w="641" w:type="pct"/>
                  <w:vMerge w:val="restar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77" w:type="pct"/>
                  <w:vMerge w:val="continue"/>
                  <w:noWrap w:val="0"/>
                  <w:vAlign w:val="center"/>
                </w:tcPr>
                <w:p>
                  <w:pPr>
                    <w:snapToGrid w:val="0"/>
                    <w:jc w:val="center"/>
                  </w:pPr>
                </w:p>
              </w:tc>
              <w:tc>
                <w:tcPr>
                  <w:tcW w:w="754" w:type="pct"/>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营运期</w:t>
                  </w:r>
                </w:p>
              </w:tc>
              <w:tc>
                <w:tcPr>
                  <w:tcW w:w="3126" w:type="pct"/>
                  <w:noWrap w:val="0"/>
                  <w:vAlign w:val="center"/>
                </w:tcPr>
                <w:p>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r>
                    <w:rPr>
                      <w:rFonts w:hint="eastAsia" w:ascii="Times New Roman" w:hAnsi="Times New Roman" w:cs="Times New Roman"/>
                      <w:color w:val="auto"/>
                      <w:sz w:val="21"/>
                      <w:szCs w:val="21"/>
                      <w:lang w:val="en-US" w:eastAsia="zh-CN"/>
                    </w:rPr>
                    <w:t>、生产固废</w:t>
                  </w:r>
                  <w:r>
                    <w:rPr>
                      <w:rFonts w:hint="default" w:ascii="Times New Roman" w:hAnsi="Times New Roman" w:cs="Times New Roman"/>
                      <w:color w:val="auto"/>
                      <w:sz w:val="21"/>
                      <w:szCs w:val="21"/>
                      <w:lang w:val="en-US" w:eastAsia="zh-CN"/>
                    </w:rPr>
                    <w:t>收集后交由环卫部门清运处理</w:t>
                  </w:r>
                  <w:r>
                    <w:rPr>
                      <w:rFonts w:hint="eastAsia" w:ascii="Times New Roman" w:hAnsi="Times New Roman" w:cs="Times New Roman"/>
                      <w:color w:val="auto"/>
                      <w:sz w:val="21"/>
                      <w:szCs w:val="21"/>
                      <w:lang w:val="en-US" w:eastAsia="zh-CN"/>
                    </w:rPr>
                    <w:t>。</w:t>
                  </w:r>
                </w:p>
              </w:tc>
              <w:tc>
                <w:tcPr>
                  <w:tcW w:w="641" w:type="pct"/>
                  <w:vMerge w:val="continue"/>
                  <w:noWrap w:val="0"/>
                  <w:vAlign w:val="center"/>
                </w:tcPr>
                <w:p>
                  <w:pPr>
                    <w:snapToGrid w:val="0"/>
                    <w:jc w:val="center"/>
                    <w:rPr>
                      <w:rFonts w:hint="default" w:ascii="Times New Roman" w:hAnsi="Times New Roman" w:cs="Times New Roman"/>
                      <w:color w:val="auto"/>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77" w:type="pct"/>
                  <w:vMerge w:val="continue"/>
                  <w:noWrap w:val="0"/>
                  <w:vAlign w:val="center"/>
                </w:tcPr>
                <w:p>
                  <w:pPr>
                    <w:jc w:val="center"/>
                    <w:rPr>
                      <w:rFonts w:hint="default" w:ascii="Times New Roman" w:hAnsi="Times New Roman" w:eastAsia="宋体" w:cs="Times New Roman"/>
                      <w:color w:val="auto"/>
                      <w:sz w:val="21"/>
                      <w:szCs w:val="21"/>
                      <w:lang w:val="en-US" w:eastAsia="zh-CN"/>
                    </w:rPr>
                  </w:pPr>
                </w:p>
              </w:tc>
              <w:tc>
                <w:tcPr>
                  <w:tcW w:w="754" w:type="pct"/>
                  <w:noWrap w:val="0"/>
                  <w:vAlign w:val="center"/>
                </w:tcPr>
                <w:p>
                  <w:pPr>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营运期</w:t>
                  </w:r>
                </w:p>
              </w:tc>
              <w:tc>
                <w:tcPr>
                  <w:tcW w:w="3126"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eastAsia="宋体" w:cs="Times New Roman"/>
                      <w:b/>
                      <w:bCs/>
                      <w:color w:val="auto"/>
                      <w:sz w:val="21"/>
                      <w:szCs w:val="21"/>
                      <w:highlight w:val="none"/>
                      <w:lang w:val="en-US" w:eastAsia="zh-CN"/>
                    </w:rPr>
                    <w:t>废离子交换树脂：</w:t>
                  </w:r>
                  <w:r>
                    <w:rPr>
                      <w:rFonts w:hint="default" w:ascii="Times New Roman" w:hAnsi="Times New Roman" w:eastAsia="宋体" w:cs="Times New Roman"/>
                      <w:b w:val="0"/>
                      <w:bCs w:val="0"/>
                      <w:color w:val="auto"/>
                      <w:sz w:val="21"/>
                      <w:szCs w:val="21"/>
                      <w:highlight w:val="none"/>
                      <w:lang w:val="en-US" w:eastAsia="zh-CN"/>
                    </w:rPr>
                    <w:t>厂家定期进行更换回收。</w:t>
                  </w:r>
                </w:p>
              </w:tc>
              <w:tc>
                <w:tcPr>
                  <w:tcW w:w="641" w:type="pct"/>
                  <w:vMerge w:val="continue"/>
                  <w:noWrap w:val="0"/>
                  <w:vAlign w:val="center"/>
                </w:tcPr>
                <w:p>
                  <w:pPr>
                    <w:snapToGrid w:val="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77" w:type="pct"/>
                  <w:vMerge w:val="continue"/>
                  <w:noWrap w:val="0"/>
                  <w:vAlign w:val="center"/>
                </w:tcPr>
                <w:p>
                  <w:pPr>
                    <w:jc w:val="center"/>
                    <w:rPr>
                      <w:rFonts w:hint="default" w:ascii="Times New Roman" w:hAnsi="Times New Roman" w:cs="Times New Roman"/>
                      <w:color w:val="auto"/>
                      <w:sz w:val="21"/>
                      <w:szCs w:val="21"/>
                    </w:rPr>
                  </w:pPr>
                </w:p>
              </w:tc>
              <w:tc>
                <w:tcPr>
                  <w:tcW w:w="754"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tc>
              <w:tc>
                <w:tcPr>
                  <w:tcW w:w="3126" w:type="pct"/>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b w:val="0"/>
                      <w:color w:val="auto"/>
                      <w:sz w:val="21"/>
                      <w:szCs w:val="21"/>
                      <w:highlight w:val="none"/>
                      <w:lang w:eastAsia="zh-CN"/>
                    </w:rPr>
                    <w:t>废润滑油、</w:t>
                  </w:r>
                  <w:r>
                    <w:rPr>
                      <w:rFonts w:hint="default" w:ascii="Times New Roman" w:hAnsi="Times New Roman" w:cs="Times New Roman"/>
                      <w:b w:val="0"/>
                      <w:color w:val="auto"/>
                      <w:sz w:val="21"/>
                      <w:szCs w:val="21"/>
                      <w:highlight w:val="none"/>
                      <w:lang w:val="en-US" w:eastAsia="zh-CN"/>
                    </w:rPr>
                    <w:t>废油桶</w:t>
                  </w:r>
                  <w:r>
                    <w:rPr>
                      <w:rFonts w:hint="default" w:ascii="Times New Roman" w:hAnsi="Times New Roman" w:cs="Times New Roman"/>
                      <w:b w:val="0"/>
                      <w:color w:val="auto"/>
                      <w:sz w:val="21"/>
                      <w:szCs w:val="21"/>
                      <w:highlight w:val="none"/>
                      <w:lang w:eastAsia="zh-CN"/>
                    </w:rPr>
                    <w:t>等危险废物</w:t>
                  </w:r>
                  <w:r>
                    <w:rPr>
                      <w:rFonts w:hint="default" w:ascii="Times New Roman" w:hAnsi="Times New Roman" w:cs="Times New Roman"/>
                      <w:b w:val="0"/>
                      <w:color w:val="auto"/>
                      <w:sz w:val="21"/>
                      <w:szCs w:val="21"/>
                      <w:highlight w:val="none"/>
                      <w:lang w:val="en-US" w:eastAsia="zh-CN"/>
                    </w:rPr>
                    <w:t>厂内暂存</w:t>
                  </w:r>
                  <w:r>
                    <w:rPr>
                      <w:rFonts w:hint="eastAsia" w:ascii="Times New Roman" w:hAnsi="Times New Roman"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危废暂存间10m</w:t>
                  </w:r>
                  <w:r>
                    <w:rPr>
                      <w:rFonts w:hint="default" w:ascii="Times New Roman" w:hAnsi="Times New Roman" w:cs="Times New Roman"/>
                      <w:b w:val="0"/>
                      <w:color w:val="auto"/>
                      <w:sz w:val="21"/>
                      <w:szCs w:val="21"/>
                      <w:highlight w:val="none"/>
                      <w:vertAlign w:val="superscript"/>
                      <w:lang w:val="en-US" w:eastAsia="zh-CN"/>
                    </w:rPr>
                    <w:t>2</w:t>
                  </w:r>
                  <w:r>
                    <w:rPr>
                      <w:rFonts w:hint="default" w:ascii="Times New Roman" w:hAnsi="Times New Roman" w:cs="Times New Roman"/>
                      <w:b w:val="0"/>
                      <w:color w:val="auto"/>
                      <w:sz w:val="21"/>
                      <w:szCs w:val="21"/>
                      <w:highlight w:val="none"/>
                      <w:lang w:val="en-US" w:eastAsia="zh-CN"/>
                    </w:rPr>
                    <w:t>）后</w:t>
                  </w:r>
                  <w:r>
                    <w:rPr>
                      <w:rFonts w:hint="default" w:ascii="Times New Roman" w:hAnsi="Times New Roman" w:cs="Times New Roman"/>
                      <w:b w:val="0"/>
                      <w:color w:val="auto"/>
                      <w:sz w:val="21"/>
                      <w:szCs w:val="21"/>
                      <w:highlight w:val="none"/>
                      <w:lang w:eastAsia="zh-CN"/>
                    </w:rPr>
                    <w:t>交由有资质单位合理处置。</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231" w:type="pct"/>
                  <w:gridSpan w:val="2"/>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3126"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 w:val="0"/>
                      <w:bCs/>
                      <w:color w:val="auto"/>
                      <w:sz w:val="21"/>
                      <w:szCs w:val="21"/>
                      <w:highlight w:val="none"/>
                      <w:lang w:val="en-US" w:eastAsia="zh-CN"/>
                    </w:rPr>
                    <w:t>分区防渗，危废暂存间、</w:t>
                  </w:r>
                  <w:r>
                    <w:rPr>
                      <w:rFonts w:hint="eastAsia" w:ascii="Times New Roman" w:hAnsi="Times New Roman" w:cs="Times New Roman"/>
                      <w:b w:val="0"/>
                      <w:bCs/>
                      <w:color w:val="auto"/>
                      <w:sz w:val="21"/>
                      <w:szCs w:val="21"/>
                      <w:highlight w:val="none"/>
                      <w:lang w:val="en-US" w:eastAsia="zh-CN"/>
                    </w:rPr>
                    <w:t>实验室</w:t>
                  </w:r>
                  <w:r>
                    <w:rPr>
                      <w:rFonts w:hint="default" w:ascii="Times New Roman" w:hAnsi="Times New Roman" w:cs="Times New Roman"/>
                      <w:b w:val="0"/>
                      <w:bCs/>
                      <w:color w:val="auto"/>
                      <w:sz w:val="21"/>
                      <w:szCs w:val="21"/>
                      <w:highlight w:val="none"/>
                      <w:lang w:val="en-US" w:eastAsia="zh-CN"/>
                    </w:rPr>
                    <w:t>作重点防渗；生产车间、化粪池作一般防渗；其他区域简单防渗；配备消防器材；制定应急预案。</w:t>
                  </w:r>
                </w:p>
              </w:tc>
              <w:tc>
                <w:tcPr>
                  <w:tcW w:w="641" w:type="pct"/>
                  <w:noWrap w:val="0"/>
                  <w:vAlign w:val="center"/>
                </w:tcPr>
                <w:p>
                  <w:pPr>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31" w:type="pct"/>
                  <w:gridSpan w:val="2"/>
                  <w:noWrap w:val="0"/>
                  <w:vAlign w:val="center"/>
                </w:tcPr>
                <w:p>
                  <w:pPr>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环境监测及管理</w:t>
                  </w:r>
                </w:p>
              </w:tc>
              <w:tc>
                <w:tcPr>
                  <w:tcW w:w="3126" w:type="pct"/>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建立环境管理和监测体系</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358" w:type="pct"/>
                  <w:gridSpan w:val="3"/>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641" w:type="pct"/>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w:t>
                  </w:r>
                </w:p>
              </w:tc>
            </w:tr>
          </w:tbl>
          <w:p>
            <w:pPr>
              <w:pStyle w:val="37"/>
              <w:jc w:val="both"/>
              <w:outlineLvl w:val="0"/>
              <w:rPr>
                <w:rFonts w:hint="default" w:ascii="黑体" w:hAnsi="黑体" w:eastAsia="黑体"/>
                <w:snapToGrid w:val="0"/>
                <w:sz w:val="30"/>
                <w:szCs w:val="30"/>
                <w:vertAlign w:val="baseline"/>
                <w:lang w:val="en-US" w:eastAsia="zh-CN"/>
              </w:rPr>
            </w:pPr>
          </w:p>
        </w:tc>
      </w:tr>
    </w:tbl>
    <w:p>
      <w:pPr>
        <w:pStyle w:val="37"/>
        <w:jc w:val="center"/>
        <w:outlineLvl w:val="0"/>
        <w:rPr>
          <w:rFonts w:hint="eastAsia" w:ascii="黑体" w:hAnsi="黑体" w:eastAsia="黑体"/>
          <w:snapToGrid w:val="0"/>
          <w:sz w:val="30"/>
          <w:szCs w:val="30"/>
        </w:rPr>
        <w:sectPr>
          <w:pgSz w:w="11906" w:h="16838"/>
          <w:pgMar w:top="1701" w:right="1531" w:bottom="1701" w:left="1531" w:header="851" w:footer="851" w:gutter="0"/>
          <w:pgNumType w:fmt="decimal"/>
          <w:cols w:space="720" w:num="1"/>
          <w:docGrid w:linePitch="312" w:charSpace="0"/>
        </w:sectPr>
      </w:pPr>
    </w:p>
    <w:p>
      <w:pPr>
        <w:pStyle w:val="37"/>
        <w:jc w:val="center"/>
        <w:outlineLvl w:val="0"/>
        <w:rPr>
          <w:rFonts w:ascii="黑体" w:hAnsi="黑体" w:eastAsia="黑体"/>
          <w:snapToGrid w:val="0"/>
          <w:sz w:val="30"/>
          <w:szCs w:val="30"/>
        </w:rPr>
      </w:pPr>
      <w:bookmarkStart w:id="71" w:name="_Toc11908"/>
      <w:r>
        <w:rPr>
          <w:rFonts w:hint="eastAsia" w:ascii="黑体" w:hAnsi="黑体" w:eastAsia="黑体"/>
          <w:snapToGrid w:val="0"/>
          <w:sz w:val="30"/>
          <w:szCs w:val="30"/>
        </w:rPr>
        <w:t>五、</w:t>
      </w:r>
      <w:bookmarkStart w:id="72" w:name="_Hlk54167917"/>
      <w:r>
        <w:rPr>
          <w:rFonts w:hint="eastAsia" w:ascii="黑体" w:hAnsi="黑体" w:eastAsia="黑体"/>
          <w:snapToGrid w:val="0"/>
          <w:sz w:val="30"/>
          <w:szCs w:val="30"/>
        </w:rPr>
        <w:t>环境保护措施监督检查清单</w:t>
      </w:r>
      <w:bookmarkEnd w:id="71"/>
      <w:bookmarkEnd w:id="72"/>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1701"/>
        <w:gridCol w:w="1720"/>
        <w:gridCol w:w="1846"/>
        <w:gridCol w:w="20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tcBorders>
              <w:tl2br w:val="single" w:color="auto" w:sz="4" w:space="0"/>
            </w:tcBorders>
            <w:noWrap w:val="0"/>
            <w:vAlign w:val="center"/>
          </w:tcPr>
          <w:p>
            <w:pPr>
              <w:adjustRightInd w:val="0"/>
              <w:snapToGrid w:val="0"/>
              <w:ind w:firstLine="840"/>
              <w:jc w:val="center"/>
              <w:rPr>
                <w:rFonts w:hint="default" w:ascii="Times New Roman" w:hAnsi="Times New Roman" w:cs="Times New Roman"/>
                <w:sz w:val="21"/>
                <w:szCs w:val="21"/>
              </w:rPr>
            </w:pPr>
            <w:r>
              <w:rPr>
                <w:rFonts w:hint="default" w:ascii="Times New Roman" w:hAnsi="Times New Roman" w:cs="Times New Roman"/>
                <w:sz w:val="21"/>
                <w:szCs w:val="21"/>
              </w:rPr>
              <w:t>内容</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要素</w:t>
            </w:r>
          </w:p>
        </w:tc>
        <w:tc>
          <w:tcPr>
            <w:tcW w:w="1701"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排放口(编号、</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名称</w:t>
            </w:r>
            <w:r>
              <w:rPr>
                <w:rFonts w:hint="eastAsia" w:cs="Times New Roman"/>
                <w:sz w:val="21"/>
                <w:szCs w:val="21"/>
                <w:lang w:eastAsia="zh-CN"/>
              </w:rPr>
              <w:t>）</w:t>
            </w:r>
            <w:r>
              <w:rPr>
                <w:rFonts w:hint="default" w:ascii="Times New Roman" w:hAnsi="Times New Roman" w:cs="Times New Roman"/>
                <w:sz w:val="21"/>
                <w:szCs w:val="21"/>
              </w:rPr>
              <w:t>/污染源</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污染物项目</w:t>
            </w:r>
          </w:p>
        </w:tc>
        <w:tc>
          <w:tcPr>
            <w:tcW w:w="184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环境保护措施</w:t>
            </w:r>
          </w:p>
        </w:tc>
        <w:tc>
          <w:tcPr>
            <w:tcW w:w="204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大气环境</w:t>
            </w:r>
          </w:p>
        </w:tc>
        <w:tc>
          <w:tcPr>
            <w:tcW w:w="1701" w:type="dxa"/>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FZShuSong-Z01" w:cs="Times New Roman"/>
                <w:color w:val="000000"/>
                <w:kern w:val="0"/>
                <w:sz w:val="21"/>
                <w:szCs w:val="21"/>
                <w:lang w:val="en-US" w:eastAsia="zh-CN" w:bidi="ar"/>
              </w:rPr>
              <w:t>天然气锅炉</w:t>
            </w:r>
          </w:p>
        </w:tc>
        <w:tc>
          <w:tcPr>
            <w:tcW w:w="1720" w:type="dxa"/>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FZShuSong-Z01" w:cs="Times New Roman"/>
                <w:color w:val="000000"/>
                <w:kern w:val="0"/>
                <w:sz w:val="21"/>
                <w:szCs w:val="21"/>
                <w:lang w:val="en-US" w:eastAsia="zh-CN" w:bidi="ar"/>
              </w:rPr>
              <w:t>烟尘、</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FZShuSong-Z01"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x</w:t>
            </w:r>
          </w:p>
        </w:tc>
        <w:tc>
          <w:tcPr>
            <w:tcW w:w="184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低氮燃烧，8米高排气筒排放</w:t>
            </w:r>
          </w:p>
        </w:tc>
        <w:tc>
          <w:tcPr>
            <w:tcW w:w="204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《锅炉大气污染物排放标准》</w:t>
            </w:r>
            <w:r>
              <w:rPr>
                <w:rFonts w:hint="eastAsia" w:cs="Times New Roman"/>
                <w:sz w:val="21"/>
                <w:szCs w:val="21"/>
                <w:lang w:eastAsia="zh-CN"/>
              </w:rPr>
              <w:t>（</w:t>
            </w:r>
            <w:r>
              <w:rPr>
                <w:rFonts w:hint="default" w:ascii="Times New Roman" w:hAnsi="Times New Roman" w:cs="Times New Roman"/>
                <w:sz w:val="21"/>
                <w:szCs w:val="21"/>
              </w:rPr>
              <w:t>GB13271-2014）表3大气污染特别排放限值中燃气锅炉排放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炼油房</w:t>
            </w:r>
          </w:p>
        </w:tc>
        <w:tc>
          <w:tcPr>
            <w:tcW w:w="1720" w:type="dxa"/>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FZShuSong-Z01" w:cs="Times New Roman"/>
                <w:color w:val="000000"/>
                <w:kern w:val="0"/>
                <w:sz w:val="21"/>
                <w:szCs w:val="21"/>
                <w:lang w:val="en-US" w:eastAsia="zh-CN" w:bidi="ar"/>
              </w:rPr>
              <w:t>油烟</w:t>
            </w:r>
          </w:p>
        </w:tc>
        <w:tc>
          <w:tcPr>
            <w:tcW w:w="184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油烟净化器处后</w:t>
            </w:r>
            <w:r>
              <w:rPr>
                <w:rFonts w:hint="eastAsia" w:ascii="Times New Roman" w:hAnsi="Times New Roman" w:cs="Times New Roman"/>
                <w:sz w:val="21"/>
                <w:szCs w:val="21"/>
                <w:lang w:val="en-US" w:eastAsia="zh-CN"/>
              </w:rPr>
              <w:t>引至楼</w:t>
            </w:r>
            <w:r>
              <w:rPr>
                <w:rFonts w:hint="default" w:ascii="Times New Roman" w:hAnsi="Times New Roman" w:cs="Times New Roman"/>
                <w:sz w:val="21"/>
                <w:szCs w:val="21"/>
              </w:rPr>
              <w:t>顶排放</w:t>
            </w:r>
          </w:p>
        </w:tc>
        <w:tc>
          <w:tcPr>
            <w:tcW w:w="2040" w:type="dxa"/>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FZShuSong-Z01" w:cs="Times New Roman"/>
                <w:color w:val="000000"/>
                <w:kern w:val="0"/>
                <w:sz w:val="21"/>
                <w:szCs w:val="21"/>
                <w:lang w:val="en-US" w:eastAsia="zh-CN" w:bidi="ar"/>
              </w:rPr>
              <w:t>《饮食业油烟排放标准》</w:t>
            </w:r>
            <w:r>
              <w:rPr>
                <w:rFonts w:hint="default" w:ascii="Times New Roman" w:hAnsi="Times New Roman" w:eastAsia="宋体" w:cs="Times New Roman"/>
                <w:color w:val="000000"/>
                <w:kern w:val="0"/>
                <w:sz w:val="21"/>
                <w:szCs w:val="21"/>
                <w:lang w:val="en-US" w:eastAsia="zh-CN" w:bidi="ar"/>
              </w:rPr>
              <w:t>GB18483-2001</w:t>
            </w:r>
            <w:r>
              <w:rPr>
                <w:rFonts w:hint="default" w:ascii="Times New Roman" w:hAnsi="Times New Roman" w:eastAsia="FZShuSong-Z01" w:cs="Times New Roman"/>
                <w:color w:val="000000"/>
                <w:kern w:val="0"/>
                <w:sz w:val="21"/>
                <w:szCs w:val="21"/>
                <w:lang w:val="en-US" w:eastAsia="zh-CN" w:bidi="ar"/>
              </w:rPr>
              <w:t>）表</w:t>
            </w:r>
            <w:r>
              <w:rPr>
                <w:rFonts w:hint="default" w:ascii="Times New Roman" w:hAnsi="Times New Roman" w:eastAsia="宋体" w:cs="Times New Roman"/>
                <w:color w:val="000000"/>
                <w:kern w:val="0"/>
                <w:sz w:val="21"/>
                <w:szCs w:val="21"/>
                <w:lang w:val="en-US" w:eastAsia="zh-CN" w:bidi="ar"/>
              </w:rPr>
              <w:t>2</w:t>
            </w:r>
            <w:r>
              <w:rPr>
                <w:rFonts w:hint="default" w:ascii="Times New Roman" w:hAnsi="Times New Roman" w:eastAsia="FZShuSong-Z01" w:cs="Times New Roman"/>
                <w:color w:val="000000"/>
                <w:kern w:val="0"/>
                <w:sz w:val="21"/>
                <w:szCs w:val="21"/>
                <w:lang w:val="en-US" w:eastAsia="zh-CN" w:bidi="ar"/>
              </w:rPr>
              <w:t>标准要求限值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1701" w:type="dxa"/>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生活污水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园区工业污水处理厂建成之前，项目废水经厂区预处理后排入</w:t>
            </w:r>
            <w:r>
              <w:rPr>
                <w:rFonts w:hint="eastAsia" w:cs="Times New Roman"/>
                <w:sz w:val="21"/>
                <w:szCs w:val="21"/>
                <w:lang w:eastAsia="zh-CN"/>
              </w:rPr>
              <w:t>全福镇污水处理厂</w:t>
            </w:r>
            <w:r>
              <w:rPr>
                <w:rFonts w:hint="default" w:ascii="Times New Roman" w:hAnsi="Times New Roman" w:cs="Times New Roman"/>
                <w:sz w:val="21"/>
                <w:szCs w:val="21"/>
              </w:rPr>
              <w:t>，园区污水处理厂建成之后，项目废水排入园区污水处理厂处理。</w:t>
            </w:r>
          </w:p>
        </w:tc>
        <w:tc>
          <w:tcPr>
            <w:tcW w:w="2040"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《污水综合排放标准》</w:t>
            </w:r>
            <w:r>
              <w:rPr>
                <w:rFonts w:hint="eastAsia" w:ascii="Times New Roman" w:hAnsi="Times New Roman" w:cs="Times New Roman"/>
                <w:sz w:val="21"/>
                <w:szCs w:val="21"/>
                <w:lang w:eastAsia="zh-CN"/>
              </w:rPr>
              <w:t>（</w:t>
            </w:r>
            <w:r>
              <w:rPr>
                <w:rFonts w:hint="default" w:ascii="Times New Roman" w:hAnsi="Times New Roman" w:cs="Times New Roman"/>
                <w:sz w:val="21"/>
                <w:szCs w:val="21"/>
              </w:rPr>
              <w:t>GB8978-1996）三级标准</w:t>
            </w:r>
            <w:r>
              <w:rPr>
                <w:rFonts w:hint="eastAsia" w:ascii="Times New Roman" w:hAnsi="Times New Roman" w:cs="Times New Roman"/>
                <w:sz w:val="21"/>
                <w:szCs w:val="21"/>
                <w:lang w:eastAsia="zh-CN"/>
              </w:rPr>
              <w:t>，</w:t>
            </w:r>
            <w:r>
              <w:rPr>
                <w:rFonts w:hint="default" w:ascii="Times New Roman" w:hAnsi="Times New Roman" w:eastAsia="宋体" w:cs="Times New Roman"/>
                <w:b w:val="0"/>
                <w:bCs w:val="0"/>
                <w:color w:val="auto"/>
                <w:sz w:val="21"/>
                <w:szCs w:val="21"/>
                <w:u w:val="none"/>
                <w:lang w:val="en-US" w:eastAsia="zh-CN"/>
              </w:rPr>
              <w:t>其中氨氮</w:t>
            </w:r>
            <w:r>
              <w:rPr>
                <w:rFonts w:hint="eastAsia" w:ascii="Times New Roman" w:hAnsi="Times New Roman" w:eastAsia="宋体" w:cs="Times New Roman"/>
                <w:b w:val="0"/>
                <w:bCs w:val="0"/>
                <w:color w:val="auto"/>
                <w:sz w:val="21"/>
                <w:szCs w:val="21"/>
                <w:u w:val="none"/>
                <w:lang w:val="en-US" w:eastAsia="zh-CN"/>
              </w:rPr>
              <w:t>执行</w:t>
            </w:r>
            <w:r>
              <w:rPr>
                <w:rFonts w:hint="default" w:ascii="Times New Roman" w:hAnsi="Times New Roman" w:eastAsia="宋体" w:cs="Times New Roman"/>
                <w:b w:val="0"/>
                <w:bCs w:val="0"/>
                <w:color w:val="auto"/>
                <w:sz w:val="21"/>
                <w:szCs w:val="21"/>
                <w:u w:val="none"/>
                <w:lang w:val="en-US" w:eastAsia="zh-CN"/>
              </w:rPr>
              <w:t>《污水排入城镇下水道水质标准》</w:t>
            </w:r>
            <w:r>
              <w:rPr>
                <w:rFonts w:hint="eastAsia" w:ascii="Times New Roman" w:hAnsi="Times New Roman" w:eastAsia="宋体"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u w:val="none"/>
                <w:lang w:val="en-US" w:eastAsia="zh-CN"/>
              </w:rPr>
              <w:t>GB/T31962-2015）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keepNext w:val="0"/>
              <w:keepLines w:val="0"/>
              <w:widowControl/>
              <w:suppressLineNumbers w:val="0"/>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蒸煮废水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锅炉废水</w:t>
            </w:r>
          </w:p>
        </w:tc>
        <w:tc>
          <w:tcPr>
            <w:tcW w:w="1720" w:type="dxa"/>
            <w:noWrap w:val="0"/>
            <w:vAlign w:val="center"/>
          </w:tcPr>
          <w:p>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原料冲洗</w:t>
            </w:r>
            <w:r>
              <w:rPr>
                <w:rFonts w:hint="default" w:ascii="Times New Roman" w:hAnsi="Times New Roman" w:eastAsia="宋体" w:cs="Times New Roman"/>
                <w:color w:val="000000"/>
                <w:kern w:val="0"/>
                <w:sz w:val="21"/>
                <w:szCs w:val="21"/>
                <w:lang w:val="en-US" w:eastAsia="zh-CN" w:bidi="ar"/>
              </w:rPr>
              <w:t>废水</w:t>
            </w:r>
          </w:p>
        </w:tc>
        <w:tc>
          <w:tcPr>
            <w:tcW w:w="1720"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动植物油</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清洗</w:t>
            </w:r>
            <w:r>
              <w:rPr>
                <w:rFonts w:hint="default" w:ascii="Times New Roman" w:hAnsi="Times New Roman" w:eastAsia="宋体" w:cs="Times New Roman"/>
                <w:color w:val="000000"/>
                <w:kern w:val="0"/>
                <w:sz w:val="21"/>
                <w:szCs w:val="21"/>
                <w:lang w:val="en-US" w:eastAsia="zh-CN" w:bidi="ar"/>
              </w:rPr>
              <w:t>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冷却</w:t>
            </w:r>
            <w:r>
              <w:rPr>
                <w:rFonts w:hint="default" w:ascii="Times New Roman" w:hAnsi="Times New Roman" w:eastAsia="宋体" w:cs="Times New Roman"/>
                <w:color w:val="000000"/>
                <w:kern w:val="0"/>
                <w:sz w:val="21"/>
                <w:szCs w:val="21"/>
                <w:lang w:val="en-US" w:eastAsia="zh-CN" w:bidi="ar"/>
              </w:rPr>
              <w:t>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漂烫废水</w:t>
            </w:r>
          </w:p>
        </w:tc>
        <w:tc>
          <w:tcPr>
            <w:tcW w:w="1720"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设备清洗</w:t>
            </w:r>
            <w:r>
              <w:rPr>
                <w:rFonts w:hint="default" w:ascii="Times New Roman" w:hAnsi="Times New Roman" w:eastAsia="宋体" w:cs="Times New Roman"/>
                <w:color w:val="000000"/>
                <w:kern w:val="0"/>
                <w:sz w:val="21"/>
                <w:szCs w:val="21"/>
                <w:lang w:val="en-US" w:eastAsia="zh-CN" w:bidi="ar"/>
              </w:rPr>
              <w:t>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地坪清洗废水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kern w:val="0"/>
                <w:sz w:val="21"/>
                <w:szCs w:val="21"/>
                <w:lang w:val="en-US" w:eastAsia="zh-CN" w:bidi="ar"/>
              </w:rPr>
              <w:t>实验室清洗</w:t>
            </w:r>
            <w:r>
              <w:rPr>
                <w:rFonts w:hint="default" w:ascii="Times New Roman" w:hAnsi="Times New Roman" w:eastAsia="宋体" w:cs="Times New Roman"/>
                <w:color w:val="000000"/>
                <w:kern w:val="0"/>
                <w:sz w:val="21"/>
                <w:szCs w:val="21"/>
                <w:lang w:val="en-US" w:eastAsia="zh-CN" w:bidi="ar"/>
              </w:rPr>
              <w:t>废水</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w:t>
            </w:r>
          </w:p>
        </w:tc>
        <w:tc>
          <w:tcPr>
            <w:tcW w:w="1846"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2040" w:type="dxa"/>
            <w:vMerge w:val="continue"/>
            <w:noWrap w:val="0"/>
            <w:vAlign w:val="center"/>
          </w:tcPr>
          <w:p>
            <w:pPr>
              <w:adjustRightInd w:val="0"/>
              <w:snapToGrid w:val="0"/>
              <w:jc w:val="center"/>
              <w:rPr>
                <w:rFonts w:hint="default" w:ascii="Times New Roman" w:hAnsi="Times New Roman"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175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1701"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sz w:val="21"/>
                <w:szCs w:val="21"/>
                <w:lang w:val="en-US" w:eastAsia="zh-CN"/>
              </w:rPr>
              <w:t>厂界噪声</w:t>
            </w:r>
          </w:p>
        </w:tc>
        <w:tc>
          <w:tcPr>
            <w:tcW w:w="172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选用低噪声设备、基座减震，设备位于生产车间内，利用建筑隔声，加强管理，夜间禁止生产</w:t>
            </w:r>
          </w:p>
        </w:tc>
        <w:tc>
          <w:tcPr>
            <w:tcW w:w="1846"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w:t>
            </w:r>
            <w:r>
              <w:rPr>
                <w:rFonts w:hint="eastAsia" w:cs="Times New Roman"/>
                <w:sz w:val="21"/>
                <w:szCs w:val="21"/>
                <w:lang w:eastAsia="zh-CN"/>
              </w:rPr>
              <w:t>（</w:t>
            </w:r>
            <w:r>
              <w:rPr>
                <w:rFonts w:hint="default" w:ascii="Times New Roman" w:hAnsi="Times New Roman" w:cs="Times New Roman"/>
                <w:sz w:val="21"/>
                <w:szCs w:val="21"/>
              </w:rPr>
              <w:t>GB12348-2008）</w:t>
            </w:r>
            <w:r>
              <w:rPr>
                <w:rFonts w:hint="eastAsia" w:cs="Times New Roman"/>
                <w:sz w:val="21"/>
                <w:szCs w:val="21"/>
                <w:lang w:val="en-US" w:eastAsia="zh-CN"/>
              </w:rPr>
              <w:t>3</w:t>
            </w:r>
            <w:r>
              <w:rPr>
                <w:rFonts w:hint="default" w:ascii="Times New Roman" w:hAnsi="Times New Roman" w:cs="Times New Roman"/>
                <w:sz w:val="21"/>
                <w:szCs w:val="21"/>
              </w:rPr>
              <w:t xml:space="preserve"> 类标准</w:t>
            </w:r>
          </w:p>
        </w:tc>
        <w:tc>
          <w:tcPr>
            <w:tcW w:w="2040"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w:t>
            </w:r>
            <w:r>
              <w:rPr>
                <w:rFonts w:hint="eastAsia" w:cs="Times New Roman"/>
                <w:sz w:val="21"/>
                <w:szCs w:val="21"/>
                <w:lang w:eastAsia="zh-CN"/>
              </w:rPr>
              <w:t>（</w:t>
            </w:r>
            <w:r>
              <w:rPr>
                <w:rFonts w:hint="default" w:ascii="Times New Roman" w:hAnsi="Times New Roman" w:cs="Times New Roman"/>
                <w:sz w:val="21"/>
                <w:szCs w:val="21"/>
              </w:rPr>
              <w:t>GB12348-2008）</w:t>
            </w:r>
            <w:r>
              <w:rPr>
                <w:rFonts w:hint="eastAsia" w:cs="Times New Roman"/>
                <w:sz w:val="21"/>
                <w:szCs w:val="21"/>
                <w:lang w:val="en-US" w:eastAsia="zh-CN"/>
              </w:rPr>
              <w:t>3</w:t>
            </w:r>
            <w:r>
              <w:rPr>
                <w:rFonts w:hint="default" w:ascii="Times New Roman" w:hAnsi="Times New Roman" w:cs="Times New Roman"/>
                <w:sz w:val="21"/>
                <w:szCs w:val="21"/>
              </w:rPr>
              <w:t xml:space="preserve"> 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75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电磁辐射</w:t>
            </w:r>
          </w:p>
        </w:tc>
        <w:tc>
          <w:tcPr>
            <w:tcW w:w="7307" w:type="dxa"/>
            <w:gridSpan w:val="4"/>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53"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固体废物</w:t>
            </w: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生活垃圾</w:t>
            </w:r>
          </w:p>
        </w:tc>
        <w:tc>
          <w:tcPr>
            <w:tcW w:w="5606" w:type="dxa"/>
            <w:gridSpan w:val="3"/>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b w:val="0"/>
                <w:bCs w:val="0"/>
                <w:color w:val="auto"/>
                <w:sz w:val="21"/>
                <w:szCs w:val="21"/>
                <w:highlight w:val="none"/>
                <w:lang w:val="en-US" w:eastAsia="zh-CN"/>
              </w:rPr>
              <w:t>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53" w:type="dxa"/>
            <w:vMerge w:val="continue"/>
            <w:noWrap w:val="0"/>
            <w:vAlign w:val="center"/>
          </w:tcPr>
          <w:p>
            <w:pPr>
              <w:adjustRightInd w:val="0"/>
              <w:snapToGrid w:val="0"/>
              <w:jc w:val="center"/>
              <w:rPr>
                <w:sz w:val="21"/>
                <w:szCs w:val="21"/>
              </w:rPr>
            </w:pPr>
          </w:p>
        </w:tc>
        <w:tc>
          <w:tcPr>
            <w:tcW w:w="1701" w:type="dxa"/>
            <w:vMerge w:val="restart"/>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color w:val="auto"/>
                <w:sz w:val="21"/>
                <w:szCs w:val="21"/>
              </w:rPr>
              <w:t>一般固废</w:t>
            </w:r>
          </w:p>
        </w:tc>
        <w:tc>
          <w:tcPr>
            <w:tcW w:w="5606" w:type="dxa"/>
            <w:gridSpan w:val="3"/>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b/>
                <w:bCs/>
                <w:color w:val="auto"/>
                <w:sz w:val="21"/>
                <w:szCs w:val="21"/>
                <w:highlight w:val="none"/>
                <w:lang w:val="en-US" w:eastAsia="zh-CN"/>
              </w:rPr>
              <w:t>原料边角料：</w:t>
            </w:r>
            <w:r>
              <w:rPr>
                <w:rFonts w:hint="default" w:ascii="Times New Roman" w:hAnsi="Times New Roman" w:eastAsia="宋体" w:cs="Times New Roman"/>
                <w:b w:val="0"/>
                <w:bCs w:val="0"/>
                <w:color w:val="auto"/>
                <w:sz w:val="21"/>
                <w:szCs w:val="21"/>
                <w:highlight w:val="none"/>
                <w:lang w:val="en-US" w:eastAsia="zh-CN"/>
              </w:rPr>
              <w:t>环卫部门清运处理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5606" w:type="dxa"/>
            <w:gridSpan w:val="3"/>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b/>
                <w:bCs/>
                <w:color w:val="auto"/>
                <w:sz w:val="21"/>
                <w:szCs w:val="21"/>
                <w:highlight w:val="none"/>
                <w:lang w:val="en-US" w:eastAsia="zh-CN"/>
              </w:rPr>
              <w:t>废离子交换树脂：</w:t>
            </w:r>
            <w:r>
              <w:rPr>
                <w:rFonts w:hint="default" w:ascii="Times New Roman" w:hAnsi="Times New Roman" w:eastAsia="宋体" w:cs="Times New Roman"/>
                <w:b w:val="0"/>
                <w:bCs w:val="0"/>
                <w:color w:val="auto"/>
                <w:sz w:val="21"/>
                <w:szCs w:val="21"/>
                <w:highlight w:val="none"/>
                <w:lang w:val="en-US" w:eastAsia="zh-CN"/>
              </w:rPr>
              <w:t>厂家定期进行更换回收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753" w:type="dxa"/>
            <w:vMerge w:val="continue"/>
            <w:noWrap w:val="0"/>
            <w:vAlign w:val="center"/>
          </w:tcPr>
          <w:p>
            <w:pPr>
              <w:adjustRightInd w:val="0"/>
              <w:snapToGrid w:val="0"/>
              <w:jc w:val="center"/>
              <w:rPr>
                <w:rFonts w:hint="default" w:ascii="Times New Roman" w:hAnsi="Times New Roman" w:cs="Times New Roman"/>
                <w:sz w:val="21"/>
                <w:szCs w:val="21"/>
              </w:rPr>
            </w:pPr>
          </w:p>
        </w:tc>
        <w:tc>
          <w:tcPr>
            <w:tcW w:w="1701" w:type="dxa"/>
            <w:noWrap w:val="0"/>
            <w:vAlign w:val="center"/>
          </w:tcPr>
          <w:p>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危险固废</w:t>
            </w:r>
          </w:p>
        </w:tc>
        <w:tc>
          <w:tcPr>
            <w:tcW w:w="5606" w:type="dxa"/>
            <w:gridSpan w:val="3"/>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b w:val="0"/>
                <w:color w:val="auto"/>
                <w:sz w:val="21"/>
                <w:szCs w:val="21"/>
                <w:highlight w:val="none"/>
                <w:lang w:eastAsia="zh-CN"/>
              </w:rPr>
              <w:t>废润滑油、</w:t>
            </w:r>
            <w:r>
              <w:rPr>
                <w:rFonts w:hint="default" w:ascii="Times New Roman" w:hAnsi="Times New Roman" w:cs="Times New Roman"/>
                <w:b w:val="0"/>
                <w:color w:val="auto"/>
                <w:sz w:val="21"/>
                <w:szCs w:val="21"/>
                <w:highlight w:val="none"/>
                <w:lang w:val="en-US" w:eastAsia="zh-CN"/>
              </w:rPr>
              <w:t>废油桶</w:t>
            </w:r>
            <w:r>
              <w:rPr>
                <w:rFonts w:hint="default" w:ascii="Times New Roman" w:hAnsi="Times New Roman" w:cs="Times New Roman"/>
                <w:b w:val="0"/>
                <w:color w:val="auto"/>
                <w:sz w:val="21"/>
                <w:szCs w:val="21"/>
                <w:highlight w:val="none"/>
                <w:lang w:eastAsia="zh-CN"/>
              </w:rPr>
              <w:t>等危险废物</w:t>
            </w:r>
            <w:r>
              <w:rPr>
                <w:rFonts w:hint="default" w:ascii="Times New Roman" w:hAnsi="Times New Roman" w:cs="Times New Roman"/>
                <w:b w:val="0"/>
                <w:color w:val="auto"/>
                <w:sz w:val="21"/>
                <w:szCs w:val="21"/>
                <w:highlight w:val="none"/>
                <w:lang w:val="en-US" w:eastAsia="zh-CN"/>
              </w:rPr>
              <w:t>厂内暂存</w:t>
            </w:r>
            <w:r>
              <w:rPr>
                <w:rFonts w:hint="eastAsia" w:cs="Times New Roman"/>
                <w:b w:val="0"/>
                <w:color w:val="auto"/>
                <w:sz w:val="21"/>
                <w:szCs w:val="21"/>
                <w:highlight w:val="none"/>
                <w:lang w:val="en-US" w:eastAsia="zh-CN"/>
              </w:rPr>
              <w:t>（</w:t>
            </w:r>
            <w:r>
              <w:rPr>
                <w:rFonts w:hint="default" w:ascii="Times New Roman" w:hAnsi="Times New Roman" w:cs="Times New Roman"/>
                <w:b w:val="0"/>
                <w:color w:val="auto"/>
                <w:sz w:val="21"/>
                <w:szCs w:val="21"/>
                <w:highlight w:val="none"/>
                <w:lang w:val="en-US" w:eastAsia="zh-CN"/>
              </w:rPr>
              <w:t>危废暂存间10m</w:t>
            </w:r>
            <w:r>
              <w:rPr>
                <w:rFonts w:hint="default" w:ascii="Times New Roman" w:hAnsi="Times New Roman" w:cs="Times New Roman"/>
                <w:b w:val="0"/>
                <w:color w:val="auto"/>
                <w:sz w:val="21"/>
                <w:szCs w:val="21"/>
                <w:highlight w:val="none"/>
                <w:vertAlign w:val="superscript"/>
                <w:lang w:val="en-US" w:eastAsia="zh-CN"/>
              </w:rPr>
              <w:t>2</w:t>
            </w:r>
            <w:r>
              <w:rPr>
                <w:rFonts w:hint="default" w:ascii="Times New Roman" w:hAnsi="Times New Roman" w:cs="Times New Roman"/>
                <w:b w:val="0"/>
                <w:color w:val="auto"/>
                <w:sz w:val="21"/>
                <w:szCs w:val="21"/>
                <w:highlight w:val="none"/>
                <w:lang w:val="en-US" w:eastAsia="zh-CN"/>
              </w:rPr>
              <w:t>）后</w:t>
            </w:r>
            <w:r>
              <w:rPr>
                <w:rFonts w:hint="default" w:ascii="Times New Roman" w:hAnsi="Times New Roman" w:cs="Times New Roman"/>
                <w:b w:val="0"/>
                <w:color w:val="auto"/>
                <w:sz w:val="21"/>
                <w:szCs w:val="21"/>
                <w:highlight w:val="none"/>
                <w:lang w:eastAsia="zh-CN"/>
              </w:rPr>
              <w:t>交由有资质单位合理处置。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75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土壤及地下水</w:t>
            </w:r>
          </w:p>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污染防治措施</w:t>
            </w:r>
          </w:p>
        </w:tc>
        <w:tc>
          <w:tcPr>
            <w:tcW w:w="7307" w:type="dxa"/>
            <w:gridSpan w:val="4"/>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b w:val="0"/>
                <w:bCs/>
                <w:color w:val="auto"/>
                <w:sz w:val="21"/>
                <w:szCs w:val="21"/>
                <w:highlight w:val="none"/>
                <w:lang w:val="en-US" w:eastAsia="zh-CN"/>
              </w:rPr>
              <w:t>分区防渗，危废暂存间、实验室作重点防渗；生产车间、包装车间作一般防渗；其他生活办公区域简单防渗</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753" w:type="dxa"/>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生态保护措施</w:t>
            </w:r>
          </w:p>
        </w:tc>
        <w:tc>
          <w:tcPr>
            <w:tcW w:w="7307" w:type="dxa"/>
            <w:gridSpan w:val="4"/>
            <w:noWrap w:val="0"/>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rPr>
              <w:t>本项目区域内无野生动物及珍稀植物，</w:t>
            </w:r>
            <w:r>
              <w:rPr>
                <w:rFonts w:hint="default" w:ascii="Times New Roman" w:hAnsi="Times New Roman" w:eastAsia="宋体" w:cs="Times New Roman"/>
                <w:color w:val="auto"/>
                <w:sz w:val="21"/>
                <w:szCs w:val="21"/>
                <w:highlight w:val="none"/>
                <w:lang w:eastAsia="zh-CN"/>
              </w:rPr>
              <w:t>自然保护区</w:t>
            </w:r>
            <w:r>
              <w:rPr>
                <w:rFonts w:hint="default" w:ascii="Times New Roman" w:hAnsi="Times New Roman" w:eastAsia="宋体" w:cs="Times New Roman"/>
                <w:color w:val="auto"/>
                <w:sz w:val="21"/>
                <w:szCs w:val="21"/>
                <w:highlight w:val="none"/>
              </w:rPr>
              <w:t>等需特殊保护的目标，对周围生态环境不会产生明显的影响。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1753" w:type="dxa"/>
            <w:noWrap w:val="0"/>
            <w:vAlign w:val="center"/>
          </w:tcPr>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环境风险</w:t>
            </w:r>
          </w:p>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防范措施</w:t>
            </w:r>
          </w:p>
        </w:tc>
        <w:tc>
          <w:tcPr>
            <w:tcW w:w="7307" w:type="dxa"/>
            <w:gridSpan w:val="4"/>
            <w:noWrap w:val="0"/>
            <w:vAlign w:val="center"/>
          </w:tcPr>
          <w:p>
            <w:pPr>
              <w:adjustRightInd w:val="0"/>
              <w:snapToGrid w:val="0"/>
              <w:jc w:val="center"/>
              <w:rPr>
                <w:rFonts w:hint="default" w:ascii="Times New Roman" w:hAnsi="Times New Roman" w:cs="Times New Roman"/>
                <w:sz w:val="21"/>
                <w:szCs w:val="21"/>
              </w:rPr>
            </w:pP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严格划分防渗区域，针对各防渗区采取相应的防渗措施；</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配备消防器材</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eastAsia="zh-CN"/>
              </w:rPr>
              <w:t>设置</w:t>
            </w:r>
            <w:r>
              <w:rPr>
                <w:rFonts w:hint="default" w:ascii="Times New Roman" w:hAnsi="Times New Roman" w:eastAsia="宋体" w:cs="Times New Roman"/>
                <w:color w:val="auto"/>
                <w:sz w:val="21"/>
                <w:szCs w:val="21"/>
                <w:highlight w:val="none"/>
                <w:lang w:val="en-US" w:eastAsia="zh-CN"/>
              </w:rPr>
              <w:t>健全的环境管理机构，制定完善环境风险管理制度，制定应急预案。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53" w:type="dxa"/>
            <w:noWrap w:val="0"/>
            <w:vAlign w:val="center"/>
          </w:tcPr>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其他环境</w:t>
            </w:r>
          </w:p>
          <w:p>
            <w:pPr>
              <w:adjustRightInd w:val="0"/>
              <w:snapToGrid w:val="0"/>
              <w:jc w:val="center"/>
              <w:rPr>
                <w:rFonts w:hint="default" w:ascii="Times New Roman" w:hAnsi="Times New Roman" w:cs="Times New Roman"/>
                <w:spacing w:val="-8"/>
                <w:sz w:val="21"/>
                <w:szCs w:val="21"/>
              </w:rPr>
            </w:pPr>
            <w:r>
              <w:rPr>
                <w:rFonts w:hint="default" w:ascii="Times New Roman" w:hAnsi="Times New Roman" w:cs="Times New Roman"/>
                <w:spacing w:val="-8"/>
                <w:sz w:val="21"/>
                <w:szCs w:val="21"/>
              </w:rPr>
              <w:t>管理要求</w:t>
            </w:r>
          </w:p>
        </w:tc>
        <w:tc>
          <w:tcPr>
            <w:tcW w:w="7307" w:type="dxa"/>
            <w:gridSpan w:val="4"/>
            <w:noWrap w:val="0"/>
            <w:vAlign w:val="center"/>
          </w:tcPr>
          <w:p>
            <w:pPr>
              <w:adjustRightInd w:val="0"/>
              <w:snapToGrid w:val="0"/>
              <w:spacing w:line="240" w:lineRule="auto"/>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设置专人负责项目环保设施的运行和管理工作；</w:t>
            </w:r>
          </w:p>
          <w:p>
            <w:pPr>
              <w:adjustRightInd w:val="0"/>
              <w:snapToGrid w:val="0"/>
              <w:spacing w:line="240" w:lineRule="auto"/>
              <w:jc w:val="left"/>
              <w:rPr>
                <w:rFonts w:hint="default" w:ascii="Times New Roman" w:hAnsi="Times New Roman" w:eastAsia="宋体" w:cs="Times New Roman"/>
                <w:color w:val="auto"/>
                <w:sz w:val="21"/>
                <w:szCs w:val="21"/>
              </w:rPr>
            </w:pP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建设单位应当在本项目启动生产设施或发生实际排污前，按照国家排污许可有关管理规定要求，进行排污许可证相关手续办理，不得无证排污或不按证排污；</w:t>
            </w:r>
          </w:p>
          <w:p>
            <w:pPr>
              <w:adjustRightInd w:val="0"/>
              <w:snapToGrid w:val="0"/>
              <w:spacing w:line="240" w:lineRule="auto"/>
              <w:jc w:val="left"/>
              <w:rPr>
                <w:rFonts w:hint="default" w:ascii="Times New Roman" w:hAnsi="Times New Roman" w:eastAsia="宋体" w:cs="Times New Roman"/>
                <w:color w:val="auto"/>
                <w:sz w:val="21"/>
                <w:szCs w:val="21"/>
                <w:lang w:eastAsia="zh-CN"/>
              </w:rPr>
            </w:pP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项目建设过程中主体工程、环保设施应同时设计、同时施工、同时投产使用；项目建成后按照《建设项目竣工环境保护验收暂行办法》要求开展环境保护验收工作</w:t>
            </w:r>
            <w:r>
              <w:rPr>
                <w:rFonts w:hint="default" w:ascii="Times New Roman" w:hAnsi="Times New Roman" w:eastAsia="宋体" w:cs="Times New Roman"/>
                <w:color w:val="auto"/>
                <w:sz w:val="21"/>
                <w:szCs w:val="21"/>
                <w:lang w:eastAsia="zh-CN"/>
              </w:rPr>
              <w:t>。</w:t>
            </w:r>
          </w:p>
          <w:p>
            <w:pPr>
              <w:keepNext w:val="0"/>
              <w:keepLines w:val="0"/>
              <w:widowControl/>
              <w:suppressLineNumbers w:val="0"/>
              <w:spacing w:line="240" w:lineRule="auto"/>
              <w:jc w:val="both"/>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设置标志牌要求，一切排污者的排污口</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源）和固体废物贮存、处置场所，必须按照国家标准《环境保护图形标志》</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GB15562.1-1995、GB15562.2-1995）的规定，设置与之相适应的环境保护图形标志牌。标志牌按标准制作，各地可按管理需求设置辅助内容，辅助内容由当地环保部门规定。</w:t>
            </w:r>
          </w:p>
          <w:p>
            <w:pPr>
              <w:keepNext w:val="0"/>
              <w:keepLines w:val="0"/>
              <w:widowControl/>
              <w:suppressLineNumbers w:val="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表5-1  各排污口（源、场）提示标志牌示意图</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112"/>
              <w:gridCol w:w="1701"/>
              <w:gridCol w:w="1716"/>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1112"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标志名称</w:t>
                  </w:r>
                </w:p>
              </w:tc>
              <w:tc>
                <w:tcPr>
                  <w:tcW w:w="1701"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提示图形符号</w:t>
                  </w:r>
                </w:p>
              </w:tc>
              <w:tc>
                <w:tcPr>
                  <w:tcW w:w="1716"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警告图形符号</w:t>
                  </w:r>
                </w:p>
              </w:tc>
              <w:tc>
                <w:tcPr>
                  <w:tcW w:w="2009"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112"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废气排放口</w:t>
                  </w:r>
                </w:p>
              </w:tc>
              <w:tc>
                <w:tcPr>
                  <w:tcW w:w="1701"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sz w:val="21"/>
                      <w:szCs w:val="21"/>
                    </w:rPr>
                    <w:drawing>
                      <wp:inline distT="0" distB="0" distL="114300" distR="114300">
                        <wp:extent cx="942975" cy="942975"/>
                        <wp:effectExtent l="0" t="0" r="9525"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9"/>
                                <a:stretch>
                                  <a:fillRect/>
                                </a:stretch>
                              </pic:blipFill>
                              <pic:spPr>
                                <a:xfrm>
                                  <a:off x="0" y="0"/>
                                  <a:ext cx="942975" cy="942975"/>
                                </a:xfrm>
                                <a:prstGeom prst="rect">
                                  <a:avLst/>
                                </a:prstGeom>
                                <a:noFill/>
                                <a:ln>
                                  <a:noFill/>
                                </a:ln>
                              </pic:spPr>
                            </pic:pic>
                          </a:graphicData>
                        </a:graphic>
                      </wp:inline>
                    </w:drawing>
                  </w:r>
                </w:p>
              </w:tc>
              <w:tc>
                <w:tcPr>
                  <w:tcW w:w="1716"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sz w:val="21"/>
                      <w:szCs w:val="21"/>
                    </w:rPr>
                    <w:drawing>
                      <wp:inline distT="0" distB="0" distL="114300" distR="114300">
                        <wp:extent cx="942975" cy="839470"/>
                        <wp:effectExtent l="0" t="0" r="9525" b="177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0"/>
                                <a:stretch>
                                  <a:fillRect/>
                                </a:stretch>
                              </pic:blipFill>
                              <pic:spPr>
                                <a:xfrm>
                                  <a:off x="0" y="0"/>
                                  <a:ext cx="942975" cy="839470"/>
                                </a:xfrm>
                                <a:prstGeom prst="rect">
                                  <a:avLst/>
                                </a:prstGeom>
                                <a:noFill/>
                                <a:ln>
                                  <a:noFill/>
                                </a:ln>
                              </pic:spPr>
                            </pic:pic>
                          </a:graphicData>
                        </a:graphic>
                      </wp:inline>
                    </w:drawing>
                  </w:r>
                </w:p>
              </w:tc>
              <w:tc>
                <w:tcPr>
                  <w:tcW w:w="2009" w:type="dxa"/>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112"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噪声排放源</w:t>
                  </w:r>
                </w:p>
              </w:tc>
              <w:tc>
                <w:tcPr>
                  <w:tcW w:w="1701"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sz w:val="21"/>
                      <w:szCs w:val="21"/>
                    </w:rPr>
                    <w:drawing>
                      <wp:inline distT="0" distB="0" distL="114300" distR="114300">
                        <wp:extent cx="942975" cy="942975"/>
                        <wp:effectExtent l="0" t="0" r="9525" b="952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31"/>
                                <a:stretch>
                                  <a:fillRect/>
                                </a:stretch>
                              </pic:blipFill>
                              <pic:spPr>
                                <a:xfrm>
                                  <a:off x="0" y="0"/>
                                  <a:ext cx="942975" cy="942975"/>
                                </a:xfrm>
                                <a:prstGeom prst="rect">
                                  <a:avLst/>
                                </a:prstGeom>
                                <a:noFill/>
                                <a:ln>
                                  <a:noFill/>
                                </a:ln>
                              </pic:spPr>
                            </pic:pic>
                          </a:graphicData>
                        </a:graphic>
                      </wp:inline>
                    </w:drawing>
                  </w:r>
                </w:p>
              </w:tc>
              <w:tc>
                <w:tcPr>
                  <w:tcW w:w="1716"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sz w:val="21"/>
                      <w:szCs w:val="21"/>
                    </w:rPr>
                    <w:drawing>
                      <wp:inline distT="0" distB="0" distL="114300" distR="114300">
                        <wp:extent cx="942975" cy="839470"/>
                        <wp:effectExtent l="0" t="0" r="9525" b="1778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2"/>
                                <a:stretch>
                                  <a:fillRect/>
                                </a:stretch>
                              </pic:blipFill>
                              <pic:spPr>
                                <a:xfrm>
                                  <a:off x="0" y="0"/>
                                  <a:ext cx="942975" cy="839470"/>
                                </a:xfrm>
                                <a:prstGeom prst="rect">
                                  <a:avLst/>
                                </a:prstGeom>
                                <a:noFill/>
                                <a:ln>
                                  <a:noFill/>
                                </a:ln>
                              </pic:spPr>
                            </pic:pic>
                          </a:graphicData>
                        </a:graphic>
                      </wp:inline>
                    </w:drawing>
                  </w:r>
                </w:p>
              </w:tc>
              <w:tc>
                <w:tcPr>
                  <w:tcW w:w="2009" w:type="dxa"/>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112"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w:t>
                  </w:r>
                </w:p>
              </w:tc>
              <w:tc>
                <w:tcPr>
                  <w:tcW w:w="1701" w:type="dxa"/>
                  <w:noWrap w:val="0"/>
                  <w:vAlign w:val="center"/>
                </w:tcPr>
                <w:p>
                  <w:pPr>
                    <w:adjustRightInd w:val="0"/>
                    <w:snapToGrid w:val="0"/>
                    <w:jc w:val="center"/>
                    <w:rPr>
                      <w:rFonts w:hint="eastAsia" w:eastAsia="宋体"/>
                      <w:sz w:val="21"/>
                      <w:szCs w:val="21"/>
                      <w:lang w:val="en-US" w:eastAsia="zh-CN"/>
                    </w:rPr>
                  </w:pPr>
                  <w:r>
                    <w:rPr>
                      <w:rFonts w:hint="eastAsia"/>
                      <w:sz w:val="21"/>
                      <w:szCs w:val="21"/>
                      <w:lang w:val="en-US" w:eastAsia="zh-CN"/>
                    </w:rPr>
                    <w:t>/</w:t>
                  </w:r>
                </w:p>
              </w:tc>
              <w:tc>
                <w:tcPr>
                  <w:tcW w:w="1716" w:type="dxa"/>
                  <w:noWrap w:val="0"/>
                  <w:vAlign w:val="center"/>
                </w:tcPr>
                <w:p>
                  <w:pPr>
                    <w:adjustRightInd w:val="0"/>
                    <w:snapToGrid w:val="0"/>
                    <w:jc w:val="center"/>
                    <w:rPr>
                      <w:sz w:val="21"/>
                      <w:szCs w:val="21"/>
                    </w:rPr>
                  </w:pPr>
                  <w:r>
                    <w:rPr>
                      <w:sz w:val="21"/>
                      <w:szCs w:val="21"/>
                    </w:rPr>
                    <w:drawing>
                      <wp:inline distT="0" distB="0" distL="114300" distR="114300">
                        <wp:extent cx="942975" cy="896620"/>
                        <wp:effectExtent l="0" t="0" r="9525" b="177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3"/>
                                <a:stretch>
                                  <a:fillRect/>
                                </a:stretch>
                              </pic:blipFill>
                              <pic:spPr>
                                <a:xfrm>
                                  <a:off x="0" y="0"/>
                                  <a:ext cx="942975" cy="896620"/>
                                </a:xfrm>
                                <a:prstGeom prst="rect">
                                  <a:avLst/>
                                </a:prstGeom>
                                <a:noFill/>
                                <a:ln>
                                  <a:noFill/>
                                </a:ln>
                              </pic:spPr>
                            </pic:pic>
                          </a:graphicData>
                        </a:graphic>
                      </wp:inline>
                    </w:drawing>
                  </w:r>
                </w:p>
              </w:tc>
              <w:tc>
                <w:tcPr>
                  <w:tcW w:w="2009" w:type="dxa"/>
                  <w:noWrap w:val="0"/>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表示危险废物贮存、处置场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 w:type="dxa"/>
                  <w:noWrap w:val="0"/>
                  <w:vAlign w:val="center"/>
                </w:tcPr>
                <w:p>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112" w:type="dxa"/>
                  <w:noWrap w:val="0"/>
                  <w:vAlign w:val="center"/>
                </w:tcPr>
                <w:p>
                  <w:pPr>
                    <w:adjustRightInd w:val="0"/>
                    <w:snapToGrid w:val="0"/>
                    <w:jc w:val="center"/>
                    <w:rPr>
                      <w:rFonts w:hint="eastAsia" w:ascii="Times New Roman" w:hAnsi="Times New Roman" w:eastAsia="宋体" w:cs="Times New Roman"/>
                      <w:color w:val="auto"/>
                      <w:sz w:val="21"/>
                      <w:szCs w:val="21"/>
                      <w:vertAlign w:val="baseline"/>
                      <w:lang w:val="en-US" w:eastAsia="zh-CN"/>
                    </w:rPr>
                  </w:pPr>
                  <w:r>
                    <w:rPr>
                      <w:rFonts w:hint="eastAsia"/>
                      <w:sz w:val="21"/>
                      <w:szCs w:val="21"/>
                      <w:lang w:val="en-US" w:eastAsia="zh-CN"/>
                    </w:rPr>
                    <w:t>一般固体废物</w:t>
                  </w:r>
                </w:p>
              </w:tc>
              <w:tc>
                <w:tcPr>
                  <w:tcW w:w="1701" w:type="dxa"/>
                  <w:noWrap w:val="0"/>
                  <w:vAlign w:val="center"/>
                </w:tcPr>
                <w:p>
                  <w:pPr>
                    <w:adjustRightInd w:val="0"/>
                    <w:snapToGrid w:val="0"/>
                    <w:jc w:val="center"/>
                    <w:rPr>
                      <w:sz w:val="21"/>
                      <w:szCs w:val="21"/>
                    </w:rPr>
                  </w:pPr>
                  <w:r>
                    <w:rPr>
                      <w:sz w:val="21"/>
                      <w:szCs w:val="21"/>
                    </w:rPr>
                    <w:drawing>
                      <wp:inline distT="0" distB="0" distL="114300" distR="114300">
                        <wp:extent cx="942975" cy="1006475"/>
                        <wp:effectExtent l="0" t="0" r="9525" b="317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4"/>
                                <a:stretch>
                                  <a:fillRect/>
                                </a:stretch>
                              </pic:blipFill>
                              <pic:spPr>
                                <a:xfrm>
                                  <a:off x="0" y="0"/>
                                  <a:ext cx="942975" cy="1006475"/>
                                </a:xfrm>
                                <a:prstGeom prst="rect">
                                  <a:avLst/>
                                </a:prstGeom>
                                <a:noFill/>
                                <a:ln>
                                  <a:noFill/>
                                </a:ln>
                              </pic:spPr>
                            </pic:pic>
                          </a:graphicData>
                        </a:graphic>
                      </wp:inline>
                    </w:drawing>
                  </w:r>
                </w:p>
              </w:tc>
              <w:tc>
                <w:tcPr>
                  <w:tcW w:w="1716" w:type="dxa"/>
                  <w:noWrap w:val="0"/>
                  <w:vAlign w:val="center"/>
                </w:tcPr>
                <w:p>
                  <w:pPr>
                    <w:adjustRightInd w:val="0"/>
                    <w:snapToGrid w:val="0"/>
                    <w:jc w:val="center"/>
                    <w:rPr>
                      <w:sz w:val="21"/>
                      <w:szCs w:val="21"/>
                    </w:rPr>
                  </w:pPr>
                  <w:r>
                    <w:rPr>
                      <w:sz w:val="21"/>
                      <w:szCs w:val="21"/>
                    </w:rPr>
                    <w:drawing>
                      <wp:inline distT="0" distB="0" distL="114300" distR="114300">
                        <wp:extent cx="952500" cy="847725"/>
                        <wp:effectExtent l="0" t="0" r="0" b="952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5"/>
                                <a:stretch>
                                  <a:fillRect/>
                                </a:stretch>
                              </pic:blipFill>
                              <pic:spPr>
                                <a:xfrm>
                                  <a:off x="0" y="0"/>
                                  <a:ext cx="952500" cy="847725"/>
                                </a:xfrm>
                                <a:prstGeom prst="rect">
                                  <a:avLst/>
                                </a:prstGeom>
                                <a:noFill/>
                                <a:ln>
                                  <a:noFill/>
                                </a:ln>
                              </pic:spPr>
                            </pic:pic>
                          </a:graphicData>
                        </a:graphic>
                      </wp:inline>
                    </w:drawing>
                  </w:r>
                </w:p>
              </w:tc>
              <w:tc>
                <w:tcPr>
                  <w:tcW w:w="2009" w:type="dxa"/>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表示一般固体废物贮存场</w:t>
                  </w:r>
                </w:p>
              </w:tc>
            </w:tr>
          </w:tbl>
          <w:p>
            <w:pPr>
              <w:adjustRightInd w:val="0"/>
              <w:snapToGrid w:val="0"/>
              <w:jc w:val="center"/>
              <w:rPr>
                <w:rFonts w:hint="default" w:ascii="Times New Roman" w:hAnsi="Times New Roman" w:eastAsia="宋体" w:cs="Times New Roman"/>
                <w:color w:val="auto"/>
                <w:sz w:val="21"/>
                <w:szCs w:val="21"/>
                <w:lang w:val="en-US" w:eastAsia="zh-CN"/>
              </w:rPr>
            </w:pPr>
          </w:p>
          <w:p>
            <w:pPr>
              <w:adjustRightInd w:val="0"/>
              <w:snapToGrid w:val="0"/>
              <w:jc w:val="both"/>
              <w:rPr>
                <w:rFonts w:hint="default" w:ascii="Times New Roman" w:hAnsi="Times New Roman" w:eastAsia="宋体" w:cs="Times New Roman"/>
                <w:color w:val="auto"/>
                <w:sz w:val="21"/>
                <w:szCs w:val="21"/>
                <w:lang w:val="en-US" w:eastAsia="zh-CN"/>
              </w:rPr>
            </w:pPr>
          </w:p>
        </w:tc>
      </w:tr>
    </w:tbl>
    <w:p>
      <w:pPr>
        <w:pStyle w:val="37"/>
        <w:jc w:val="center"/>
        <w:outlineLvl w:val="0"/>
        <w:rPr>
          <w:rFonts w:ascii="黑体" w:hAnsi="黑体" w:eastAsia="黑体"/>
          <w:snapToGrid w:val="0"/>
          <w:sz w:val="30"/>
          <w:szCs w:val="30"/>
        </w:rPr>
      </w:pPr>
      <w:r>
        <w:rPr>
          <w:snapToGrid w:val="0"/>
        </w:rPr>
        <w:br w:type="page"/>
      </w:r>
      <w:bookmarkStart w:id="73" w:name="_Toc26128"/>
      <w:r>
        <w:rPr>
          <w:rFonts w:hint="eastAsia" w:ascii="黑体" w:hAnsi="黑体" w:eastAsia="黑体"/>
          <w:snapToGrid w:val="0"/>
          <w:sz w:val="30"/>
          <w:szCs w:val="30"/>
        </w:rPr>
        <w:t>六、结论</w:t>
      </w:r>
      <w:bookmarkEnd w:id="73"/>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widowControl/>
              <w:suppressLineNumbers w:val="0"/>
              <w:spacing w:line="360" w:lineRule="auto"/>
              <w:ind w:firstLine="480" w:firstLineChars="200"/>
              <w:jc w:val="both"/>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评价认为，本项目符合国家现行产业政策、符合乐山市生态环境分区管控要求、符合乐山市市中区土地利用规划；项目采取的污染治理措施成熟可靠且技术经济可行，排放污染物能够达到国家和行业规定的标准，对评价区域环境质量不会造成明显影响。项目环境风险影响处于可接受水平，风险防范措施及应急预案切实可行。只要严格落实环境影响报告表提出的环保对策及措施，严格执行“三同时”制度，确保项目污染物达标排放，认真落实环境风险的防范措施及应急预案，本项目的建设从环保角度可行。</w:t>
            </w:r>
          </w:p>
          <w:p>
            <w:pPr>
              <w:spacing w:line="360" w:lineRule="auto"/>
              <w:jc w:val="both"/>
              <w:rPr>
                <w:rFonts w:ascii="宋体" w:cs="宋体"/>
                <w:sz w:val="24"/>
              </w:rPr>
            </w:pPr>
          </w:p>
        </w:tc>
      </w:tr>
    </w:tbl>
    <w:p>
      <w:pPr>
        <w:rPr>
          <w:rFonts w:ascii="宋体"/>
        </w:rPr>
        <w:sectPr>
          <w:pgSz w:w="11906" w:h="16838"/>
          <w:pgMar w:top="1701" w:right="1531" w:bottom="1701" w:left="1531" w:header="851" w:footer="851" w:gutter="0"/>
          <w:pgNumType w:fmt="decimal"/>
          <w:cols w:space="720" w:num="1"/>
          <w:docGrid w:linePitch="312" w:charSpace="0"/>
        </w:sectPr>
      </w:pPr>
    </w:p>
    <w:p>
      <w:pPr>
        <w:pStyle w:val="37"/>
        <w:keepNext w:val="0"/>
        <w:keepLines w:val="0"/>
        <w:pageBreakBefore w:val="0"/>
        <w:widowControl/>
        <w:kinsoku/>
        <w:wordWrap/>
        <w:overflowPunct/>
        <w:topLinePunct w:val="0"/>
        <w:autoSpaceDE/>
        <w:autoSpaceDN/>
        <w:bidi w:val="0"/>
        <w:adjustRightInd w:val="0"/>
        <w:snapToGrid w:val="0"/>
        <w:spacing w:before="0" w:beforeAutospacing="0" w:after="0" w:afterAutospacing="0" w:line="400" w:lineRule="exact"/>
        <w:textAlignment w:val="auto"/>
        <w:outlineLvl w:val="0"/>
        <w:rPr>
          <w:rFonts w:ascii="黑体" w:hAnsi="黑体" w:eastAsia="黑体"/>
          <w:snapToGrid w:val="0"/>
          <w:sz w:val="32"/>
          <w:szCs w:val="32"/>
        </w:rPr>
      </w:pPr>
      <w:bookmarkStart w:id="74" w:name="_Toc24020"/>
      <w:r>
        <w:rPr>
          <w:rFonts w:hint="eastAsia" w:ascii="黑体" w:hAnsi="黑体" w:eastAsia="黑体"/>
          <w:snapToGrid w:val="0"/>
          <w:sz w:val="32"/>
          <w:szCs w:val="32"/>
        </w:rPr>
        <w:t>附表</w:t>
      </w:r>
      <w:bookmarkEnd w:id="74"/>
    </w:p>
    <w:p>
      <w:pPr>
        <w:pStyle w:val="37"/>
        <w:keepNext w:val="0"/>
        <w:keepLines w:val="0"/>
        <w:pageBreakBefore w:val="0"/>
        <w:kinsoku/>
        <w:wordWrap/>
        <w:overflowPunct/>
        <w:topLinePunct w:val="0"/>
        <w:autoSpaceDE/>
        <w:autoSpaceDN/>
        <w:bidi w:val="0"/>
        <w:adjustRightInd w:val="0"/>
        <w:snapToGrid w:val="0"/>
        <w:spacing w:before="0" w:beforeAutospacing="0" w:after="0" w:afterAutospacing="0" w:line="400" w:lineRule="exact"/>
        <w:jc w:val="center"/>
        <w:textAlignment w:val="auto"/>
        <w:outlineLvl w:val="0"/>
        <w:rPr>
          <w:rFonts w:hint="eastAsia" w:ascii="方正小标宋_GBK" w:hAnsi="黑体" w:eastAsia="方正小标宋_GBK"/>
          <w:snapToGrid w:val="0"/>
          <w:sz w:val="38"/>
          <w:szCs w:val="38"/>
        </w:rPr>
      </w:pPr>
      <w:bookmarkStart w:id="75" w:name="_Toc11841"/>
      <w:r>
        <w:rPr>
          <w:rFonts w:hint="eastAsia" w:ascii="方正小标宋_GBK" w:hAnsi="黑体" w:eastAsia="方正小标宋_GBK"/>
          <w:snapToGrid w:val="0"/>
          <w:sz w:val="38"/>
          <w:szCs w:val="38"/>
        </w:rPr>
        <w:t>建设项目污染物排放量汇总表</w:t>
      </w:r>
      <w:bookmarkEnd w:id="75"/>
    </w:p>
    <w:tbl>
      <w:tblPr>
        <w:tblStyle w:val="41"/>
        <w:tblW w:w="5003"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1934"/>
        <w:gridCol w:w="1586"/>
        <w:gridCol w:w="1201"/>
        <w:gridCol w:w="1633"/>
        <w:gridCol w:w="1487"/>
        <w:gridCol w:w="1692"/>
        <w:gridCol w:w="1897"/>
        <w:gridCol w:w="16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 w:hRule="atLeast"/>
        </w:trPr>
        <w:tc>
          <w:tcPr>
            <w:tcW w:w="347" w:type="pct"/>
            <w:tcBorders>
              <w:tl2br w:val="single" w:color="auto" w:sz="4" w:space="0"/>
            </w:tcBorders>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right"/>
              <w:textAlignment w:val="auto"/>
              <w:rPr>
                <w:rFonts w:hint="eastAsia" w:ascii="黑体" w:hAnsi="黑体" w:eastAsia="黑体" w:cs="宋体"/>
                <w:snapToGrid w:val="0"/>
                <w:color w:val="000000"/>
                <w:spacing w:val="-6"/>
                <w:kern w:val="21"/>
                <w:sz w:val="21"/>
                <w:szCs w:val="21"/>
              </w:rPr>
            </w:pPr>
            <w:bookmarkStart w:id="76" w:name="_GoBack"/>
            <w:r>
              <w:rPr>
                <w:rFonts w:hint="eastAsia" w:ascii="黑体" w:hAnsi="黑体" w:eastAsia="黑体" w:cs="宋体"/>
                <w:snapToGrid w:val="0"/>
                <w:color w:val="000000"/>
                <w:spacing w:val="-6"/>
                <w:kern w:val="21"/>
                <w:sz w:val="21"/>
                <w:szCs w:val="21"/>
              </w:rPr>
              <w:t>项目</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left"/>
              <w:textAlignment w:val="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分类</w:t>
            </w:r>
          </w:p>
        </w:tc>
        <w:tc>
          <w:tcPr>
            <w:tcW w:w="689"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污染物名称</w:t>
            </w:r>
          </w:p>
        </w:tc>
        <w:tc>
          <w:tcPr>
            <w:tcW w:w="565"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w:t>
            </w:r>
            <w:r>
              <w:rPr>
                <w:rFonts w:hint="eastAsia" w:ascii="黑体" w:hAnsi="黑体" w:eastAsia="黑体"/>
                <w:snapToGrid w:val="0"/>
                <w:color w:val="000000"/>
                <w:spacing w:val="-6"/>
                <w:kern w:val="21"/>
                <w:sz w:val="21"/>
                <w:szCs w:val="21"/>
                <w:lang w:eastAsia="zh-CN"/>
              </w:rPr>
              <w:t>（</w:t>
            </w:r>
            <w:r>
              <w:rPr>
                <w:rFonts w:ascii="黑体" w:hAnsi="黑体" w:eastAsia="黑体"/>
                <w:snapToGrid w:val="0"/>
                <w:color w:val="000000"/>
                <w:spacing w:val="-6"/>
                <w:kern w:val="21"/>
                <w:sz w:val="21"/>
                <w:szCs w:val="21"/>
              </w:rPr>
              <w:t>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1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①</w:t>
            </w:r>
            <w:r>
              <w:rPr>
                <w:rFonts w:ascii="黑体" w:hAnsi="黑体" w:eastAsia="黑体"/>
                <w:snapToGrid w:val="0"/>
                <w:color w:val="000000"/>
                <w:spacing w:val="-6"/>
                <w:kern w:val="21"/>
                <w:sz w:val="21"/>
                <w:szCs w:val="21"/>
              </w:rPr>
              <w:fldChar w:fldCharType="end"/>
            </w:r>
          </w:p>
        </w:tc>
        <w:tc>
          <w:tcPr>
            <w:tcW w:w="428"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许可排放量</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2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napToGrid w:val="0"/>
                <w:color w:val="000000"/>
                <w:spacing w:val="-6"/>
                <w:kern w:val="21"/>
                <w:sz w:val="21"/>
                <w:szCs w:val="21"/>
              </w:rPr>
              <w:t>②</w:t>
            </w:r>
            <w:r>
              <w:rPr>
                <w:rFonts w:ascii="黑体" w:hAnsi="黑体" w:eastAsia="黑体"/>
                <w:snapToGrid w:val="0"/>
                <w:color w:val="000000"/>
                <w:spacing w:val="-6"/>
                <w:kern w:val="21"/>
                <w:sz w:val="21"/>
                <w:szCs w:val="21"/>
              </w:rPr>
              <w:fldChar w:fldCharType="end"/>
            </w:r>
          </w:p>
        </w:tc>
        <w:tc>
          <w:tcPr>
            <w:tcW w:w="582"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在建工程</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w:t>
            </w:r>
            <w:r>
              <w:rPr>
                <w:rFonts w:hint="eastAsia" w:ascii="黑体" w:hAnsi="黑体" w:eastAsia="黑体"/>
                <w:snapToGrid w:val="0"/>
                <w:color w:val="000000"/>
                <w:spacing w:val="-6"/>
                <w:kern w:val="21"/>
                <w:sz w:val="21"/>
                <w:szCs w:val="21"/>
                <w:lang w:eastAsia="zh-CN"/>
              </w:rPr>
              <w:t>（</w:t>
            </w:r>
            <w:r>
              <w:rPr>
                <w:rFonts w:ascii="黑体" w:hAnsi="黑体" w:eastAsia="黑体"/>
                <w:snapToGrid w:val="0"/>
                <w:color w:val="000000"/>
                <w:spacing w:val="-6"/>
                <w:kern w:val="21"/>
                <w:sz w:val="21"/>
                <w:szCs w:val="21"/>
              </w:rPr>
              <w:t>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3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③</w:t>
            </w:r>
            <w:r>
              <w:rPr>
                <w:rFonts w:ascii="黑体" w:hAnsi="黑体" w:eastAsia="黑体"/>
                <w:snapToGrid w:val="0"/>
                <w:color w:val="000000"/>
                <w:spacing w:val="-6"/>
                <w:kern w:val="21"/>
                <w:sz w:val="21"/>
                <w:szCs w:val="21"/>
              </w:rPr>
              <w:fldChar w:fldCharType="end"/>
            </w:r>
          </w:p>
        </w:tc>
        <w:tc>
          <w:tcPr>
            <w:tcW w:w="530"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本项目</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w:t>
            </w:r>
            <w:r>
              <w:rPr>
                <w:rFonts w:hint="eastAsia" w:ascii="黑体" w:hAnsi="黑体" w:eastAsia="黑体"/>
                <w:snapToGrid w:val="0"/>
                <w:color w:val="000000"/>
                <w:spacing w:val="-6"/>
                <w:kern w:val="21"/>
                <w:sz w:val="21"/>
                <w:szCs w:val="21"/>
                <w:lang w:eastAsia="zh-CN"/>
              </w:rPr>
              <w:t>（</w:t>
            </w:r>
            <w:r>
              <w:rPr>
                <w:rFonts w:ascii="黑体" w:hAnsi="黑体" w:eastAsia="黑体"/>
                <w:snapToGrid w:val="0"/>
                <w:color w:val="000000"/>
                <w:spacing w:val="-6"/>
                <w:kern w:val="21"/>
                <w:sz w:val="21"/>
                <w:szCs w:val="21"/>
              </w:rPr>
              <w:t>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4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④</w:t>
            </w:r>
            <w:r>
              <w:rPr>
                <w:rFonts w:ascii="黑体" w:hAnsi="黑体" w:eastAsia="黑体"/>
                <w:snapToGrid w:val="0"/>
                <w:color w:val="000000"/>
                <w:spacing w:val="-6"/>
                <w:kern w:val="21"/>
                <w:sz w:val="21"/>
                <w:szCs w:val="21"/>
              </w:rPr>
              <w:fldChar w:fldCharType="end"/>
            </w:r>
          </w:p>
        </w:tc>
        <w:tc>
          <w:tcPr>
            <w:tcW w:w="603"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以新带老削减量</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16"/>
                <w:kern w:val="21"/>
                <w:sz w:val="21"/>
                <w:szCs w:val="21"/>
              </w:rPr>
            </w:pPr>
            <w:r>
              <w:rPr>
                <w:rFonts w:hint="eastAsia" w:ascii="黑体" w:hAnsi="黑体" w:eastAsia="黑体"/>
                <w:snapToGrid w:val="0"/>
                <w:color w:val="000000"/>
                <w:spacing w:val="-16"/>
                <w:kern w:val="21"/>
                <w:sz w:val="21"/>
                <w:szCs w:val="21"/>
                <w:lang w:eastAsia="zh-CN"/>
              </w:rPr>
              <w:t>（</w:t>
            </w:r>
            <w:r>
              <w:rPr>
                <w:rFonts w:ascii="黑体" w:hAnsi="黑体" w:eastAsia="黑体"/>
                <w:snapToGrid w:val="0"/>
                <w:color w:val="000000"/>
                <w:spacing w:val="-16"/>
                <w:kern w:val="21"/>
                <w:sz w:val="21"/>
                <w:szCs w:val="21"/>
              </w:rPr>
              <w:t>新建项目不填）</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5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⑤</w:t>
            </w:r>
            <w:r>
              <w:rPr>
                <w:rFonts w:ascii="黑体" w:hAnsi="黑体" w:eastAsia="黑体"/>
                <w:snapToGrid w:val="0"/>
                <w:color w:val="000000"/>
                <w:spacing w:val="-16"/>
                <w:kern w:val="21"/>
                <w:sz w:val="21"/>
                <w:szCs w:val="21"/>
              </w:rPr>
              <w:fldChar w:fldCharType="end"/>
            </w:r>
          </w:p>
        </w:tc>
        <w:tc>
          <w:tcPr>
            <w:tcW w:w="676"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本项目建成后</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16"/>
                <w:kern w:val="21"/>
                <w:sz w:val="21"/>
                <w:szCs w:val="21"/>
              </w:rPr>
            </w:pPr>
            <w:r>
              <w:rPr>
                <w:rFonts w:hint="eastAsia" w:ascii="黑体" w:hAnsi="黑体" w:eastAsia="黑体"/>
                <w:snapToGrid w:val="0"/>
                <w:color w:val="000000"/>
                <w:spacing w:val="-16"/>
                <w:kern w:val="21"/>
                <w:sz w:val="21"/>
                <w:szCs w:val="21"/>
              </w:rPr>
              <w:t>全厂</w:t>
            </w:r>
            <w:r>
              <w:rPr>
                <w:rFonts w:ascii="黑体" w:hAnsi="黑体" w:eastAsia="黑体"/>
                <w:snapToGrid w:val="0"/>
                <w:color w:val="000000"/>
                <w:spacing w:val="-16"/>
                <w:kern w:val="21"/>
                <w:sz w:val="21"/>
                <w:szCs w:val="21"/>
              </w:rPr>
              <w:t>排放量</w:t>
            </w:r>
            <w:r>
              <w:rPr>
                <w:rFonts w:hint="eastAsia" w:ascii="黑体" w:hAnsi="黑体" w:eastAsia="黑体"/>
                <w:snapToGrid w:val="0"/>
                <w:color w:val="000000"/>
                <w:spacing w:val="-16"/>
                <w:kern w:val="21"/>
                <w:sz w:val="21"/>
                <w:szCs w:val="21"/>
                <w:lang w:eastAsia="zh-CN"/>
              </w:rPr>
              <w:t>（</w:t>
            </w:r>
            <w:r>
              <w:rPr>
                <w:rFonts w:ascii="黑体" w:hAnsi="黑体" w:eastAsia="黑体"/>
                <w:snapToGrid w:val="0"/>
                <w:color w:val="000000"/>
                <w:spacing w:val="-16"/>
                <w:kern w:val="21"/>
                <w:sz w:val="21"/>
                <w:szCs w:val="21"/>
              </w:rPr>
              <w:t>固</w:t>
            </w:r>
            <w:r>
              <w:rPr>
                <w:rFonts w:hint="eastAsia" w:ascii="黑体" w:hAnsi="黑体" w:eastAsia="黑体"/>
                <w:snapToGrid w:val="0"/>
                <w:color w:val="000000"/>
                <w:spacing w:val="-16"/>
                <w:kern w:val="21"/>
                <w:sz w:val="21"/>
                <w:szCs w:val="21"/>
              </w:rPr>
              <w:t>体</w:t>
            </w:r>
            <w:r>
              <w:rPr>
                <w:rFonts w:ascii="黑体" w:hAnsi="黑体" w:eastAsia="黑体"/>
                <w:snapToGrid w:val="0"/>
                <w:color w:val="000000"/>
                <w:spacing w:val="-16"/>
                <w:kern w:val="21"/>
                <w:sz w:val="21"/>
                <w:szCs w:val="21"/>
              </w:rPr>
              <w:t>废</w:t>
            </w:r>
            <w:r>
              <w:rPr>
                <w:rFonts w:hint="eastAsia" w:ascii="黑体" w:hAnsi="黑体" w:eastAsia="黑体"/>
                <w:snapToGrid w:val="0"/>
                <w:color w:val="000000"/>
                <w:spacing w:val="-16"/>
                <w:kern w:val="21"/>
                <w:sz w:val="21"/>
                <w:szCs w:val="21"/>
              </w:rPr>
              <w:t>物</w:t>
            </w:r>
            <w:r>
              <w:rPr>
                <w:rFonts w:ascii="黑体" w:hAnsi="黑体" w:eastAsia="黑体"/>
                <w:snapToGrid w:val="0"/>
                <w:color w:val="000000"/>
                <w:spacing w:val="-16"/>
                <w:kern w:val="21"/>
                <w:sz w:val="21"/>
                <w:szCs w:val="21"/>
              </w:rPr>
              <w:t>产生量）</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6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kern w:val="2"/>
                <w:sz w:val="21"/>
                <w:szCs w:val="21"/>
              </w:rPr>
              <w:t>⑥</w:t>
            </w:r>
            <w:r>
              <w:rPr>
                <w:rFonts w:ascii="黑体" w:hAnsi="黑体" w:eastAsia="黑体"/>
                <w:snapToGrid w:val="0"/>
                <w:color w:val="000000"/>
                <w:spacing w:val="-16"/>
                <w:kern w:val="21"/>
                <w:sz w:val="21"/>
                <w:szCs w:val="21"/>
              </w:rPr>
              <w:fldChar w:fldCharType="end"/>
            </w:r>
          </w:p>
        </w:tc>
        <w:tc>
          <w:tcPr>
            <w:tcW w:w="576" w:type="pct"/>
            <w:noWrap w:val="0"/>
            <w:tcMar>
              <w:left w:w="28" w:type="dxa"/>
              <w:right w:w="28" w:type="dxa"/>
            </w:tcMar>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变化量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7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kern w:val="2"/>
                <w:sz w:val="21"/>
                <w:szCs w:val="21"/>
              </w:rPr>
              <w:t>⑦</w:t>
            </w:r>
            <w:r>
              <w:rPr>
                <w:rFonts w:ascii="黑体" w:hAnsi="黑体" w:eastAsia="黑体"/>
                <w:snapToGrid w:val="0"/>
                <w:color w:val="00000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47" w:type="pct"/>
            <w:vMerge w:val="restar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hAnsi="宋体" w:cs="宋体"/>
                <w:snapToGrid w:val="0"/>
                <w:color w:val="000000"/>
                <w:kern w:val="21"/>
                <w:sz w:val="21"/>
                <w:szCs w:val="21"/>
              </w:rPr>
            </w:pPr>
            <w:r>
              <w:rPr>
                <w:rFonts w:hint="eastAsia" w:hAnsi="宋体" w:cs="宋体"/>
                <w:snapToGrid w:val="0"/>
                <w:color w:val="000000"/>
                <w:kern w:val="21"/>
                <w:sz w:val="21"/>
                <w:szCs w:val="21"/>
              </w:rPr>
              <w:t>废气</w:t>
            </w: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ascii="Times New Roman" w:hAnsi="Times New Roman" w:eastAsia="宋体" w:cs="Times New Roman"/>
                <w:bCs/>
                <w:spacing w:val="-10"/>
                <w:sz w:val="21"/>
                <w:szCs w:val="21"/>
                <w:vertAlign w:val="baseline"/>
                <w:lang w:val="en-US" w:eastAsia="zh-CN"/>
              </w:rPr>
              <w:t>SO</w:t>
            </w:r>
            <w:r>
              <w:rPr>
                <w:rFonts w:hint="eastAsia" w:ascii="Times New Roman" w:hAnsi="Times New Roman" w:eastAsia="宋体" w:cs="Times New Roman"/>
                <w:bCs/>
                <w:spacing w:val="-10"/>
                <w:sz w:val="21"/>
                <w:szCs w:val="21"/>
                <w:vertAlign w:val="subscript"/>
                <w:lang w:val="en-US" w:eastAsia="zh-CN"/>
              </w:rPr>
              <w:t>2</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0.216t/a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0.216t/a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+0.216t/a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ascii="Times New Roman" w:hAnsi="Times New Roman" w:eastAsia="宋体" w:cs="Times New Roman"/>
                <w:bCs/>
                <w:spacing w:val="-10"/>
                <w:sz w:val="21"/>
                <w:szCs w:val="21"/>
                <w:vertAlign w:val="baseline"/>
                <w:lang w:val="en-US" w:eastAsia="zh-CN"/>
              </w:rPr>
              <w:t>NO</w:t>
            </w:r>
            <w:r>
              <w:rPr>
                <w:rFonts w:hint="eastAsia" w:ascii="Times New Roman" w:hAnsi="Times New Roman" w:eastAsia="宋体" w:cs="Times New Roman"/>
                <w:bCs/>
                <w:spacing w:val="-10"/>
                <w:sz w:val="21"/>
                <w:szCs w:val="21"/>
                <w:vertAlign w:val="subscript"/>
                <w:lang w:val="en-US" w:eastAsia="zh-CN"/>
              </w:rPr>
              <w:t>X</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1.01t/a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1.01t/a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+1.01t/a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颗粒物</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0.31t/a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0.31t/a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+0.31t/a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油烟</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ascii="Times New Roman" w:hAnsi="Times New Roman" w:eastAsia="宋体" w:cs="Times New Roman"/>
                <w:bCs/>
                <w:spacing w:val="-10"/>
                <w:sz w:val="21"/>
                <w:szCs w:val="21"/>
                <w:vertAlign w:val="baseline"/>
                <w:lang w:val="en-US" w:eastAsia="zh-CN"/>
              </w:rPr>
              <w:t>0.2594t/a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0.2594t/a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eastAsia" w:ascii="Times New Roman" w:hAnsi="Times New Roman" w:eastAsia="宋体" w:cs="Times New Roman"/>
                <w:bCs/>
                <w:spacing w:val="-10"/>
                <w:sz w:val="21"/>
                <w:szCs w:val="21"/>
                <w:vertAlign w:val="baseline"/>
                <w:lang w:val="en-US" w:eastAsia="zh-CN"/>
              </w:rPr>
              <w:t>0.2594t/a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7" w:type="pct"/>
            <w:vMerge w:val="restar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hAnsi="宋体" w:cs="宋体"/>
                <w:snapToGrid w:val="0"/>
                <w:color w:val="000000"/>
                <w:kern w:val="21"/>
                <w:sz w:val="21"/>
                <w:szCs w:val="21"/>
              </w:rPr>
            </w:pPr>
            <w:r>
              <w:rPr>
                <w:rFonts w:hint="eastAsia" w:hAnsi="宋体" w:cs="宋体"/>
                <w:snapToGrid w:val="0"/>
                <w:color w:val="000000"/>
                <w:kern w:val="21"/>
                <w:sz w:val="21"/>
                <w:szCs w:val="21"/>
              </w:rPr>
              <w:t>废水</w:t>
            </w: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宋体" w:hAnsi="宋体" w:eastAsia="宋体" w:cs="宋体"/>
                <w:snapToGrid w:val="0"/>
                <w:color w:val="000000"/>
                <w:kern w:val="21"/>
                <w:sz w:val="21"/>
                <w:szCs w:val="21"/>
                <w:lang w:val="en-US" w:eastAsia="zh-CN"/>
              </w:rPr>
            </w:pPr>
            <w:r>
              <w:rPr>
                <w:rFonts w:hint="default" w:ascii="Times New Roman" w:hAnsi="Times New Roman" w:eastAsia="宋体" w:cs="Times New Roman"/>
                <w:snapToGrid w:val="0"/>
                <w:color w:val="000000"/>
                <w:kern w:val="21"/>
                <w:sz w:val="21"/>
                <w:szCs w:val="21"/>
                <w:lang w:val="en-US" w:eastAsia="zh-CN"/>
              </w:rPr>
              <w:t>COD</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bCs/>
                <w:spacing w:val="-10"/>
                <w:sz w:val="21"/>
                <w:szCs w:val="21"/>
                <w:vertAlign w:val="baseline"/>
                <w:lang w:val="en-US" w:eastAsia="zh-CN"/>
              </w:rPr>
            </w:pPr>
            <w:r>
              <w:rPr>
                <w:rFonts w:hint="eastAsia" w:ascii="Times New Roman" w:hAnsi="Times New Roman" w:eastAsia="宋体" w:cs="Times New Roman"/>
                <w:bCs/>
                <w:spacing w:val="-10"/>
                <w:sz w:val="21"/>
                <w:szCs w:val="21"/>
                <w:vertAlign w:val="baseline"/>
                <w:lang w:val="en-US" w:eastAsia="zh-CN"/>
              </w:rPr>
              <w:t>0.535t/a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0.535t/a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+0.535t/a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氨氮</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ascii="Times New Roman" w:hAnsi="Times New Roman" w:eastAsia="宋体" w:cs="Times New Roman"/>
                <w:bCs/>
                <w:spacing w:val="-10"/>
                <w:sz w:val="21"/>
                <w:szCs w:val="21"/>
                <w:vertAlign w:val="baseline"/>
                <w:lang w:val="en-US" w:eastAsia="zh-CN"/>
              </w:rPr>
            </w:pPr>
            <w:r>
              <w:rPr>
                <w:rFonts w:hint="eastAsia" w:ascii="Times New Roman" w:hAnsi="Times New Roman" w:eastAsia="宋体" w:cs="Times New Roman"/>
                <w:bCs/>
                <w:spacing w:val="-10"/>
                <w:sz w:val="21"/>
                <w:szCs w:val="21"/>
                <w:vertAlign w:val="baseline"/>
                <w:lang w:val="en-US" w:eastAsia="zh-CN"/>
              </w:rPr>
              <w:t>0.027t/a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0.027t/a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+0.027t/a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宋体" w:hAnsi="宋体" w:eastAsia="宋体" w:cs="宋体"/>
                <w:snapToGrid w:val="0"/>
                <w:color w:val="000000"/>
                <w:kern w:val="21"/>
                <w:sz w:val="21"/>
                <w:szCs w:val="21"/>
                <w:lang w:val="en-US" w:eastAsia="zh-CN"/>
              </w:rPr>
            </w:pPr>
            <w:r>
              <w:rPr>
                <w:rFonts w:hint="eastAsia" w:ascii="宋体" w:hAnsi="宋体" w:eastAsia="宋体" w:cs="宋体"/>
                <w:snapToGrid w:val="0"/>
                <w:color w:val="000000"/>
                <w:kern w:val="21"/>
                <w:sz w:val="21"/>
                <w:szCs w:val="21"/>
                <w:lang w:val="en-US" w:eastAsia="zh-CN"/>
              </w:rPr>
              <w:t>总磷</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bCs/>
                <w:spacing w:val="-10"/>
                <w:sz w:val="21"/>
                <w:szCs w:val="21"/>
                <w:vertAlign w:val="baseline"/>
                <w:lang w:val="en-US" w:eastAsia="zh-CN"/>
              </w:rPr>
            </w:pPr>
            <w:r>
              <w:rPr>
                <w:rFonts w:hint="default" w:ascii="Times New Roman" w:hAnsi="Times New Roman" w:eastAsia="宋体" w:cs="Times New Roman"/>
                <w:bCs/>
                <w:spacing w:val="-10"/>
                <w:sz w:val="21"/>
                <w:szCs w:val="21"/>
                <w:vertAlign w:val="baseline"/>
                <w:lang w:val="en-US" w:eastAsia="zh-CN"/>
              </w:rPr>
              <w:t>0.0</w:t>
            </w:r>
            <w:r>
              <w:rPr>
                <w:rFonts w:hint="eastAsia" w:ascii="Times New Roman" w:hAnsi="Times New Roman" w:eastAsia="宋体" w:cs="Times New Roman"/>
                <w:bCs/>
                <w:spacing w:val="-10"/>
                <w:sz w:val="21"/>
                <w:szCs w:val="21"/>
                <w:vertAlign w:val="baseline"/>
                <w:lang w:val="en-US" w:eastAsia="zh-CN"/>
              </w:rPr>
              <w:t>05</w:t>
            </w:r>
            <w:r>
              <w:rPr>
                <w:rFonts w:hint="default" w:ascii="Times New Roman" w:hAnsi="Times New Roman" w:eastAsia="宋体" w:cs="Times New Roman"/>
                <w:bCs/>
                <w:spacing w:val="-10"/>
                <w:sz w:val="21"/>
                <w:szCs w:val="21"/>
                <w:vertAlign w:val="baseline"/>
                <w:lang w:val="en-US" w:eastAsia="zh-CN"/>
              </w:rPr>
              <w:t>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eastAsia="宋体" w:cs="Times New Roman"/>
                <w:bCs/>
                <w:spacing w:val="-10"/>
                <w:sz w:val="21"/>
                <w:szCs w:val="21"/>
                <w:vertAlign w:val="baseline"/>
                <w:lang w:val="en-US" w:eastAsia="zh-CN"/>
              </w:rPr>
              <w:t>0.0</w:t>
            </w:r>
            <w:r>
              <w:rPr>
                <w:rFonts w:hint="eastAsia" w:ascii="Times New Roman" w:hAnsi="Times New Roman" w:eastAsia="宋体" w:cs="Times New Roman"/>
                <w:bCs/>
                <w:spacing w:val="-10"/>
                <w:sz w:val="21"/>
                <w:szCs w:val="21"/>
                <w:vertAlign w:val="baseline"/>
                <w:lang w:val="en-US" w:eastAsia="zh-CN"/>
              </w:rPr>
              <w:t>05</w:t>
            </w:r>
            <w:r>
              <w:rPr>
                <w:rFonts w:hint="default" w:ascii="Times New Roman" w:hAnsi="Times New Roman" w:eastAsia="宋体" w:cs="Times New Roman"/>
                <w:bCs/>
                <w:spacing w:val="-10"/>
                <w:sz w:val="21"/>
                <w:szCs w:val="21"/>
                <w:vertAlign w:val="baseline"/>
                <w:lang w:val="en-US" w:eastAsia="zh-CN"/>
              </w:rPr>
              <w:t>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eastAsia="宋体" w:cs="Times New Roman"/>
                <w:bCs/>
                <w:spacing w:val="-10"/>
                <w:sz w:val="21"/>
                <w:szCs w:val="21"/>
                <w:vertAlign w:val="baseline"/>
                <w:lang w:val="en-US" w:eastAsia="zh-CN"/>
              </w:rPr>
              <w:t>+</w:t>
            </w:r>
            <w:r>
              <w:rPr>
                <w:rFonts w:hint="default" w:ascii="Times New Roman" w:hAnsi="Times New Roman" w:eastAsia="宋体" w:cs="Times New Roman"/>
                <w:bCs/>
                <w:spacing w:val="-10"/>
                <w:sz w:val="21"/>
                <w:szCs w:val="21"/>
                <w:vertAlign w:val="baseline"/>
                <w:lang w:val="en-US" w:eastAsia="zh-CN"/>
              </w:rPr>
              <w:t>0.0</w:t>
            </w:r>
            <w:r>
              <w:rPr>
                <w:rFonts w:hint="eastAsia" w:ascii="Times New Roman" w:hAnsi="Times New Roman" w:eastAsia="宋体" w:cs="Times New Roman"/>
                <w:bCs/>
                <w:spacing w:val="-10"/>
                <w:sz w:val="21"/>
                <w:szCs w:val="21"/>
                <w:vertAlign w:val="baseline"/>
                <w:lang w:val="en-US" w:eastAsia="zh-CN"/>
              </w:rPr>
              <w:t>05</w:t>
            </w:r>
            <w:r>
              <w:rPr>
                <w:rFonts w:hint="default" w:ascii="Times New Roman" w:hAnsi="Times New Roman" w:eastAsia="宋体" w:cs="Times New Roman"/>
                <w:bCs/>
                <w:spacing w:val="-10"/>
                <w:sz w:val="21"/>
                <w:szCs w:val="21"/>
                <w:vertAlign w:val="baseli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47" w:type="pct"/>
            <w:vMerge w:val="restar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Ansi="宋体" w:cs="宋体"/>
                <w:snapToGrid w:val="0"/>
                <w:color w:val="000000"/>
                <w:kern w:val="21"/>
                <w:sz w:val="21"/>
                <w:szCs w:val="21"/>
              </w:rPr>
            </w:pPr>
            <w:r>
              <w:rPr>
                <w:rFonts w:hint="eastAsia" w:hAnsi="宋体" w:cs="宋体"/>
                <w:snapToGrid w:val="0"/>
                <w:color w:val="000000"/>
                <w:kern w:val="21"/>
                <w:sz w:val="21"/>
                <w:szCs w:val="21"/>
              </w:rPr>
              <w:t>一般工业</w:t>
            </w:r>
          </w:p>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r>
              <w:rPr>
                <w:rFonts w:hint="eastAsia" w:hAnsi="宋体" w:cs="宋体"/>
                <w:snapToGrid w:val="0"/>
                <w:color w:val="000000"/>
                <w:kern w:val="21"/>
                <w:sz w:val="21"/>
                <w:szCs w:val="21"/>
              </w:rPr>
              <w:t>固体废物</w:t>
            </w: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生活垃圾</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45</w:t>
            </w:r>
            <w:r>
              <w:rPr>
                <w:rFonts w:hint="default" w:ascii="Times New Roman" w:hAnsi="Times New Roman" w:eastAsia="宋体" w:cs="Times New Roman"/>
                <w:bCs/>
                <w:spacing w:val="-10"/>
                <w:sz w:val="21"/>
                <w:szCs w:val="21"/>
                <w:vertAlign w:val="baseline"/>
                <w:lang w:val="en-US" w:eastAsia="zh-CN"/>
              </w:rPr>
              <w:t>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45</w:t>
            </w:r>
            <w:r>
              <w:rPr>
                <w:rFonts w:hint="default" w:ascii="Times New Roman" w:hAnsi="Times New Roman" w:eastAsia="宋体" w:cs="Times New Roman"/>
                <w:bCs/>
                <w:spacing w:val="-10"/>
                <w:sz w:val="21"/>
                <w:szCs w:val="21"/>
                <w:vertAlign w:val="baseline"/>
                <w:lang w:val="en-US" w:eastAsia="zh-CN"/>
              </w:rPr>
              <w:t>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default" w:ascii="Times New Roman" w:hAnsi="Times New Roman" w:cs="Times New Roman"/>
                <w:snapToGrid w:val="0"/>
                <w:color w:val="000000"/>
                <w:kern w:val="21"/>
                <w:sz w:val="21"/>
                <w:szCs w:val="21"/>
                <w:lang w:val="en-US" w:eastAsia="zh-CN"/>
              </w:rPr>
              <w:t>45</w:t>
            </w:r>
            <w:r>
              <w:rPr>
                <w:rFonts w:hint="default" w:ascii="Times New Roman" w:hAnsi="Times New Roman" w:eastAsia="宋体" w:cs="Times New Roman"/>
                <w:bCs/>
                <w:spacing w:val="-10"/>
                <w:sz w:val="21"/>
                <w:szCs w:val="21"/>
                <w:vertAlign w:val="baseli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原料边角料</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eastAsia" w:ascii="Times New Roman" w:hAnsi="Times New Roman" w:cs="Times New Roman"/>
                <w:snapToGrid w:val="0"/>
                <w:color w:val="000000"/>
                <w:kern w:val="21"/>
                <w:sz w:val="21"/>
                <w:szCs w:val="21"/>
                <w:lang w:val="en-US" w:eastAsia="zh-CN"/>
              </w:rPr>
              <w:t>393</w:t>
            </w:r>
            <w:r>
              <w:rPr>
                <w:rFonts w:hint="default" w:ascii="Times New Roman" w:hAnsi="Times New Roman" w:cs="Times New Roman"/>
                <w:snapToGrid w:val="0"/>
                <w:color w:val="000000"/>
                <w:kern w:val="21"/>
                <w:sz w:val="21"/>
                <w:szCs w:val="21"/>
                <w:lang w:val="en-US" w:eastAsia="zh-CN"/>
              </w:rPr>
              <w:t>.5</w:t>
            </w:r>
            <w:r>
              <w:rPr>
                <w:rFonts w:hint="default" w:ascii="Times New Roman" w:hAnsi="Times New Roman" w:eastAsia="宋体" w:cs="Times New Roman"/>
                <w:bCs/>
                <w:spacing w:val="-10"/>
                <w:sz w:val="21"/>
                <w:szCs w:val="21"/>
                <w:vertAlign w:val="baseline"/>
                <w:lang w:val="en-US" w:eastAsia="zh-CN"/>
              </w:rPr>
              <w:t>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snapToGrid w:val="0"/>
                <w:color w:val="000000"/>
                <w:kern w:val="21"/>
                <w:sz w:val="21"/>
                <w:szCs w:val="21"/>
                <w:lang w:val="en-US" w:eastAsia="zh-CN"/>
              </w:rPr>
              <w:t>393</w:t>
            </w:r>
            <w:r>
              <w:rPr>
                <w:rFonts w:hint="default" w:ascii="Times New Roman" w:hAnsi="Times New Roman" w:cs="Times New Roman"/>
                <w:snapToGrid w:val="0"/>
                <w:color w:val="000000"/>
                <w:kern w:val="21"/>
                <w:sz w:val="21"/>
                <w:szCs w:val="21"/>
                <w:lang w:val="en-US" w:eastAsia="zh-CN"/>
              </w:rPr>
              <w:t>.5</w:t>
            </w:r>
            <w:r>
              <w:rPr>
                <w:rFonts w:hint="default" w:ascii="Times New Roman" w:hAnsi="Times New Roman" w:eastAsia="宋体" w:cs="Times New Roman"/>
                <w:bCs/>
                <w:spacing w:val="-10"/>
                <w:sz w:val="21"/>
                <w:szCs w:val="21"/>
                <w:vertAlign w:val="baseline"/>
                <w:lang w:val="en-US" w:eastAsia="zh-CN"/>
              </w:rPr>
              <w:t>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snapToGrid w:val="0"/>
                <w:color w:val="000000"/>
                <w:kern w:val="21"/>
                <w:sz w:val="21"/>
                <w:szCs w:val="21"/>
                <w:lang w:val="en-US" w:eastAsia="zh-CN"/>
              </w:rPr>
              <w:t>+393</w:t>
            </w:r>
            <w:r>
              <w:rPr>
                <w:rFonts w:hint="default" w:ascii="Times New Roman" w:hAnsi="Times New Roman" w:cs="Times New Roman"/>
                <w:snapToGrid w:val="0"/>
                <w:color w:val="000000"/>
                <w:kern w:val="21"/>
                <w:sz w:val="21"/>
                <w:szCs w:val="21"/>
                <w:lang w:val="en-US" w:eastAsia="zh-CN"/>
              </w:rPr>
              <w:t>.5</w:t>
            </w:r>
            <w:r>
              <w:rPr>
                <w:rFonts w:hint="default" w:ascii="Times New Roman" w:hAnsi="Times New Roman" w:eastAsia="宋体" w:cs="Times New Roman"/>
                <w:bCs/>
                <w:spacing w:val="-10"/>
                <w:sz w:val="21"/>
                <w:szCs w:val="21"/>
                <w:vertAlign w:val="baseli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jc w:val="center"/>
              <w:textAlignment w:val="auto"/>
              <w:rPr>
                <w:rFonts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default"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废离子交换树脂</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0.5t/次</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0.5t/次</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default" w:ascii="Times New Roman" w:hAnsi="Times New Roman" w:cs="Times New Roman"/>
                <w:snapToGrid w:val="0"/>
                <w:color w:val="000000"/>
                <w:kern w:val="21"/>
                <w:sz w:val="21"/>
                <w:szCs w:val="21"/>
                <w:lang w:val="en-US" w:eastAsia="zh-CN"/>
              </w:rPr>
              <w:t>0.5t/次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47" w:type="pct"/>
            <w:vMerge w:val="restar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eastAsia" w:hAnsi="宋体" w:cs="宋体"/>
                <w:snapToGrid w:val="0"/>
                <w:color w:val="000000"/>
                <w:kern w:val="21"/>
                <w:sz w:val="21"/>
                <w:szCs w:val="21"/>
              </w:rPr>
            </w:pPr>
            <w:r>
              <w:rPr>
                <w:rFonts w:hint="eastAsia" w:hAnsi="宋体" w:cs="宋体"/>
                <w:snapToGrid w:val="0"/>
                <w:color w:val="000000"/>
                <w:kern w:val="21"/>
                <w:sz w:val="21"/>
                <w:szCs w:val="21"/>
              </w:rPr>
              <w:t>危险废物</w:t>
            </w: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ind w:left="0" w:leftChars="0" w:firstLine="0" w:firstLineChars="0"/>
              <w:jc w:val="center"/>
              <w:textAlignment w:val="auto"/>
              <w:rPr>
                <w:rFonts w:hint="default"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实验室检验废液</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0.1t/a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0.1t/a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default" w:ascii="Times New Roman" w:hAnsi="Times New Roman" w:cs="Times New Roman"/>
                <w:snapToGrid w:val="0"/>
                <w:color w:val="000000"/>
                <w:kern w:val="21"/>
                <w:sz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废润滑油</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0.1t/a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0.1t/a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default" w:ascii="Times New Roman" w:hAnsi="Times New Roman" w:cs="Times New Roman"/>
                <w:snapToGrid w:val="0"/>
                <w:color w:val="000000"/>
                <w:kern w:val="21"/>
                <w:sz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47" w:type="pct"/>
            <w:vMerge w:val="continue"/>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p>
        </w:tc>
        <w:tc>
          <w:tcPr>
            <w:tcW w:w="689"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eastAsia" w:hAnsi="宋体" w:eastAsia="宋体" w:cs="宋体"/>
                <w:snapToGrid w:val="0"/>
                <w:color w:val="000000"/>
                <w:kern w:val="21"/>
                <w:sz w:val="21"/>
                <w:szCs w:val="21"/>
                <w:lang w:val="en-US" w:eastAsia="zh-CN"/>
              </w:rPr>
            </w:pPr>
            <w:r>
              <w:rPr>
                <w:rFonts w:hint="eastAsia" w:hAnsi="宋体" w:cs="宋体"/>
                <w:snapToGrid w:val="0"/>
                <w:color w:val="000000"/>
                <w:kern w:val="21"/>
                <w:sz w:val="21"/>
                <w:szCs w:val="21"/>
                <w:lang w:val="en-US" w:eastAsia="zh-CN"/>
              </w:rPr>
              <w:t>废油桶</w:t>
            </w:r>
          </w:p>
        </w:tc>
        <w:tc>
          <w:tcPr>
            <w:tcW w:w="565"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428"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82"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530"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int="default" w:ascii="Times New Roman" w:hAnsi="Times New Roman" w:eastAsia="宋体" w:cs="Times New Roman"/>
                <w:snapToGrid w:val="0"/>
                <w:color w:val="000000"/>
                <w:kern w:val="21"/>
                <w:sz w:val="21"/>
                <w:szCs w:val="21"/>
                <w:lang w:val="en-US" w:eastAsia="zh-CN"/>
              </w:rPr>
            </w:pPr>
            <w:r>
              <w:rPr>
                <w:rFonts w:hint="default" w:ascii="Times New Roman" w:hAnsi="Times New Roman" w:cs="Times New Roman"/>
                <w:snapToGrid w:val="0"/>
                <w:color w:val="000000"/>
                <w:kern w:val="21"/>
                <w:sz w:val="21"/>
                <w:szCs w:val="21"/>
                <w:lang w:val="en-US" w:eastAsia="zh-CN"/>
              </w:rPr>
              <w:t>0.01t/a</w:t>
            </w:r>
          </w:p>
        </w:tc>
        <w:tc>
          <w:tcPr>
            <w:tcW w:w="603"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hAnsi="宋体" w:cs="宋体"/>
                <w:snapToGrid w:val="0"/>
                <w:color w:val="000000"/>
                <w:kern w:val="21"/>
                <w:sz w:val="21"/>
                <w:szCs w:val="21"/>
                <w:lang w:val="en-US" w:eastAsia="zh-CN"/>
              </w:rPr>
              <w:t>/</w:t>
            </w:r>
          </w:p>
        </w:tc>
        <w:tc>
          <w:tcPr>
            <w:tcW w:w="6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default" w:ascii="Times New Roman" w:hAnsi="Times New Roman" w:cs="Times New Roman"/>
                <w:snapToGrid w:val="0"/>
                <w:color w:val="000000"/>
                <w:kern w:val="21"/>
                <w:sz w:val="21"/>
                <w:szCs w:val="21"/>
                <w:lang w:val="en-US" w:eastAsia="zh-CN"/>
              </w:rPr>
              <w:t>0.01t/a</w:t>
            </w:r>
          </w:p>
        </w:tc>
        <w:tc>
          <w:tcPr>
            <w:tcW w:w="576" w:type="pct"/>
            <w:noWrap w:val="0"/>
            <w:vAlign w:val="center"/>
          </w:tcPr>
          <w:p>
            <w:pPr>
              <w:pStyle w:val="109"/>
              <w:keepNext w:val="0"/>
              <w:keepLines w:val="0"/>
              <w:pageBreakBefore w:val="0"/>
              <w:widowControl w:val="0"/>
              <w:kinsoku/>
              <w:wordWrap/>
              <w:overflowPunct/>
              <w:topLinePunct w:val="0"/>
              <w:autoSpaceDE/>
              <w:autoSpaceDN/>
              <w:bidi w:val="0"/>
              <w:adjustRightInd w:val="0"/>
              <w:snapToGrid w:val="0"/>
              <w:spacing w:beforeLines="0" w:afterLines="0" w:line="400" w:lineRule="exact"/>
              <w:textAlignment w:val="auto"/>
              <w:rPr>
                <w:rFonts w:hAnsi="宋体" w:cs="宋体"/>
                <w:snapToGrid w:val="0"/>
                <w:color w:val="000000"/>
                <w:kern w:val="21"/>
                <w:sz w:val="21"/>
                <w:szCs w:val="21"/>
              </w:rPr>
            </w:pPr>
            <w:r>
              <w:rPr>
                <w:rFonts w:hint="eastAsia" w:ascii="Times New Roman" w:hAnsi="Times New Roman" w:cs="Times New Roman"/>
                <w:bCs/>
                <w:spacing w:val="-10"/>
                <w:sz w:val="21"/>
                <w:szCs w:val="21"/>
                <w:vertAlign w:val="baseline"/>
                <w:lang w:val="en-US" w:eastAsia="zh-CN"/>
              </w:rPr>
              <w:t>+</w:t>
            </w:r>
            <w:r>
              <w:rPr>
                <w:rFonts w:hint="default" w:ascii="Times New Roman" w:hAnsi="Times New Roman" w:cs="Times New Roman"/>
                <w:snapToGrid w:val="0"/>
                <w:color w:val="000000"/>
                <w:kern w:val="21"/>
                <w:sz w:val="21"/>
                <w:szCs w:val="21"/>
                <w:lang w:val="en-US" w:eastAsia="zh-CN"/>
              </w:rPr>
              <w:t>0.01t/a</w:t>
            </w:r>
          </w:p>
        </w:tc>
      </w:tr>
      <w:bookmarkEnd w:id="76"/>
    </w:tbl>
    <w:p>
      <w:pPr>
        <w:pStyle w:val="109"/>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jc w:val="left"/>
        <w:textAlignment w:val="auto"/>
        <w:rPr>
          <w:rFonts w:hint="default"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headerReference r:id="rId8" w:type="default"/>
      <w:footerReference r:id="rId9" w:type="default"/>
      <w:pgSz w:w="16838" w:h="11906" w:orient="landscape"/>
      <w:pgMar w:top="1800" w:right="1440" w:bottom="1800" w:left="144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ˎ̥">
    <w:altName w:val="微软雅黑"/>
    <w:panose1 w:val="00000000000000000000"/>
    <w:charset w:val="00"/>
    <w:family w:val="roman"/>
    <w:pitch w:val="default"/>
    <w:sig w:usb0="00000000" w:usb1="00000000" w:usb2="00000000" w:usb3="00000000" w:csb0="00040001" w:csb1="00000000"/>
  </w:font>
  <w:font w:name="FLGPEK+TimesNewRoman,Italic">
    <w:altName w:val="宋体"/>
    <w:panose1 w:val="00000000000000000000"/>
    <w:charset w:val="86"/>
    <w:family w:val="roma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60409020205020404"/>
    <w:charset w:val="00"/>
    <w:family w:val="modern"/>
    <w:pitch w:val="default"/>
    <w:sig w:usb0="00000000" w:usb1="00000000" w:usb2="00000000" w:usb3="00000000" w:csb0="00000093" w:csb1="00000000"/>
  </w:font>
  <w:font w:name="PMingLiU">
    <w:altName w:val="PMingLiU-ExtB"/>
    <w:panose1 w:val="02020500000000000000"/>
    <w:charset w:val="88"/>
    <w:family w:val="roman"/>
    <w:pitch w:val="default"/>
    <w:sig w:usb0="00000000" w:usb1="00000000"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altName w:val="PMingLiU-ExtB"/>
    <w:panose1 w:val="02020509000000000000"/>
    <w:charset w:val="88"/>
    <w:family w:val="moder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方正小标宋_GBK">
    <w:altName w:val="Microsoft YaHei UI"/>
    <w:panose1 w:val="00000000000000000000"/>
    <w:charset w:val="86"/>
    <w:family w:val="script"/>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仿宋_GBK">
    <w:panose1 w:val="03000509000000000000"/>
    <w:charset w:val="86"/>
    <w:family w:val="auto"/>
    <w:pitch w:val="default"/>
    <w:sig w:usb0="00000001" w:usb1="080E0000" w:usb2="0000000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Wingdings 2">
    <w:altName w:val="Wingdings"/>
    <w:panose1 w:val="050201020105070707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0" w:usb3="00000000" w:csb0="00000001" w:csb1="00000000"/>
  </w:font>
  <w:font w:name="FZShuSong-Z01">
    <w:altName w:val="微软雅黑"/>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5"/>
      </w:rPr>
    </w:pPr>
    <w:r>
      <w:fldChar w:fldCharType="begin"/>
    </w:r>
    <w:r>
      <w:rPr>
        <w:rStyle w:val="45"/>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MAwmbStAQAASwMA&#10;AA4AAAAAAAAAAQAgAAAAHgEAAGRycy9lMm9Eb2MueG1sUEsFBgAAAAAGAAYAWQEAAD0FA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yOdNq4BAABNAwAADgAAAGRycy9lMm9Eb2MueG1srVNNrhMxDN4jcYco&#10;e5p5R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3I502rgEAAE0D&#10;AAAOAAAAAAAAAAEAIAAAAB4BAABkcnMvZTJvRG9jLnhtbFBLBQYAAAAABgAGAFkBAAA+BQAAAAA=&#10;">
              <v:fill on="f" focussize="0,0"/>
              <v:stroke on="f"/>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fldChar w:fldCharType="begin"/>
    </w:r>
    <w:r>
      <w:instrText xml:space="preserve">PAGE   \* MERGEFORMAT</w:instrText>
    </w:r>
    <w:r>
      <w:fldChar w:fldCharType="separate"/>
    </w:r>
    <w:r>
      <w:rPr>
        <w:lang w:val="zh-CN"/>
      </w:rPr>
      <w:t>27</w:t>
    </w:r>
    <w:r>
      <w:rPr>
        <w:lang w:val="zh-CN"/>
      </w:rPr>
      <w:fldChar w:fldCharType="end"/>
    </w:r>
  </w:p>
  <w:p>
    <w:pPr>
      <w:pStyle w:val="2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hint="default" w:eastAsia="幼圆"/>
        <w:lang w:val="en-US" w:eastAsia="zh-CN"/>
      </w:rPr>
    </w:pPr>
    <w:r>
      <w:rPr>
        <w:rFonts w:hint="eastAsia"/>
        <w:lang w:val="en-US" w:eastAsia="zh-CN"/>
      </w:rPr>
      <w:t>乐山市市中区青衣路交叉口跨线桥工程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8273669"/>
    <w:multiLevelType w:val="multilevel"/>
    <w:tmpl w:val="48273669"/>
    <w:lvl w:ilvl="0" w:tentative="0">
      <w:start w:val="1"/>
      <w:numFmt w:val="decimal"/>
      <w:pStyle w:val="253"/>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90C3712"/>
    <w:multiLevelType w:val="multilevel"/>
    <w:tmpl w:val="590C3712"/>
    <w:lvl w:ilvl="0" w:tentative="0">
      <w:start w:val="0"/>
      <w:numFmt w:val="none"/>
      <w:pStyle w:val="283"/>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7ED14685"/>
    <w:multiLevelType w:val="singleLevel"/>
    <w:tmpl w:val="7ED14685"/>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U3MGM1YjYyNTZiNDkyOGFhMTZjNTVjZDM0NjgifQ=="/>
  </w:docVars>
  <w:rsids>
    <w:rsidRoot w:val="4CC51681"/>
    <w:rsid w:val="00143723"/>
    <w:rsid w:val="00150902"/>
    <w:rsid w:val="0025035E"/>
    <w:rsid w:val="006A2EAD"/>
    <w:rsid w:val="00854F9C"/>
    <w:rsid w:val="00955394"/>
    <w:rsid w:val="00B4697A"/>
    <w:rsid w:val="00CE1CF4"/>
    <w:rsid w:val="00D34727"/>
    <w:rsid w:val="00EA480F"/>
    <w:rsid w:val="00F53CD5"/>
    <w:rsid w:val="01130FED"/>
    <w:rsid w:val="01392CC3"/>
    <w:rsid w:val="01594742"/>
    <w:rsid w:val="015E0AA1"/>
    <w:rsid w:val="01962E2B"/>
    <w:rsid w:val="01C74BCA"/>
    <w:rsid w:val="01D62705"/>
    <w:rsid w:val="020D522E"/>
    <w:rsid w:val="021F4145"/>
    <w:rsid w:val="02405F8A"/>
    <w:rsid w:val="024E3BCD"/>
    <w:rsid w:val="02805672"/>
    <w:rsid w:val="02D87096"/>
    <w:rsid w:val="02E14E4B"/>
    <w:rsid w:val="02E2183C"/>
    <w:rsid w:val="0307687D"/>
    <w:rsid w:val="031C0EAC"/>
    <w:rsid w:val="033C77D8"/>
    <w:rsid w:val="035C6859"/>
    <w:rsid w:val="035D21FD"/>
    <w:rsid w:val="03DF2239"/>
    <w:rsid w:val="043A56B2"/>
    <w:rsid w:val="045A08B2"/>
    <w:rsid w:val="045D3736"/>
    <w:rsid w:val="04AE0DC8"/>
    <w:rsid w:val="04B97B11"/>
    <w:rsid w:val="04C55C41"/>
    <w:rsid w:val="04E747C2"/>
    <w:rsid w:val="050A70B6"/>
    <w:rsid w:val="05180283"/>
    <w:rsid w:val="055C7BF2"/>
    <w:rsid w:val="05804E48"/>
    <w:rsid w:val="05892F41"/>
    <w:rsid w:val="059C7B24"/>
    <w:rsid w:val="06383F6B"/>
    <w:rsid w:val="06614682"/>
    <w:rsid w:val="067512AC"/>
    <w:rsid w:val="0779268E"/>
    <w:rsid w:val="077A1855"/>
    <w:rsid w:val="07B3017B"/>
    <w:rsid w:val="08097BA4"/>
    <w:rsid w:val="08195139"/>
    <w:rsid w:val="082D180C"/>
    <w:rsid w:val="08352131"/>
    <w:rsid w:val="083B1DE4"/>
    <w:rsid w:val="084F0D5C"/>
    <w:rsid w:val="08560496"/>
    <w:rsid w:val="087375D9"/>
    <w:rsid w:val="08932046"/>
    <w:rsid w:val="0898532E"/>
    <w:rsid w:val="08D07CD7"/>
    <w:rsid w:val="08D609C0"/>
    <w:rsid w:val="090C184A"/>
    <w:rsid w:val="09223322"/>
    <w:rsid w:val="093D7238"/>
    <w:rsid w:val="09AC3BA4"/>
    <w:rsid w:val="09D23B5C"/>
    <w:rsid w:val="0A043C87"/>
    <w:rsid w:val="0A08197E"/>
    <w:rsid w:val="0A300F3E"/>
    <w:rsid w:val="0A690A42"/>
    <w:rsid w:val="0ABA277E"/>
    <w:rsid w:val="0AD304EE"/>
    <w:rsid w:val="0B0D5A73"/>
    <w:rsid w:val="0B100C28"/>
    <w:rsid w:val="0B641641"/>
    <w:rsid w:val="0B737DFC"/>
    <w:rsid w:val="0B8E420A"/>
    <w:rsid w:val="0C0D41DD"/>
    <w:rsid w:val="0C0D4E82"/>
    <w:rsid w:val="0C1E1312"/>
    <w:rsid w:val="0C266E4F"/>
    <w:rsid w:val="0C2A3F33"/>
    <w:rsid w:val="0C7F6F4E"/>
    <w:rsid w:val="0C946F6B"/>
    <w:rsid w:val="0CC777E5"/>
    <w:rsid w:val="0CDB0707"/>
    <w:rsid w:val="0D075FD0"/>
    <w:rsid w:val="0D74314E"/>
    <w:rsid w:val="0D780132"/>
    <w:rsid w:val="0D892EDB"/>
    <w:rsid w:val="0DDD7799"/>
    <w:rsid w:val="0DFD3960"/>
    <w:rsid w:val="0E146EF9"/>
    <w:rsid w:val="0E1657E1"/>
    <w:rsid w:val="0E172295"/>
    <w:rsid w:val="0EBF382D"/>
    <w:rsid w:val="0EC7142F"/>
    <w:rsid w:val="0EE4486D"/>
    <w:rsid w:val="0EF0007C"/>
    <w:rsid w:val="0F2A6253"/>
    <w:rsid w:val="0F4946D0"/>
    <w:rsid w:val="0FB93538"/>
    <w:rsid w:val="103E0C78"/>
    <w:rsid w:val="106E6281"/>
    <w:rsid w:val="10D83537"/>
    <w:rsid w:val="10EE4DAA"/>
    <w:rsid w:val="10FB3257"/>
    <w:rsid w:val="1110129F"/>
    <w:rsid w:val="1116403C"/>
    <w:rsid w:val="11336141"/>
    <w:rsid w:val="11A744E6"/>
    <w:rsid w:val="11B00A36"/>
    <w:rsid w:val="11B524F0"/>
    <w:rsid w:val="11CF60C1"/>
    <w:rsid w:val="11E051E0"/>
    <w:rsid w:val="11F47B5E"/>
    <w:rsid w:val="1208464E"/>
    <w:rsid w:val="12614BA6"/>
    <w:rsid w:val="126857B5"/>
    <w:rsid w:val="128B36DF"/>
    <w:rsid w:val="12AB4D6B"/>
    <w:rsid w:val="13707CF2"/>
    <w:rsid w:val="13B97613"/>
    <w:rsid w:val="13C51721"/>
    <w:rsid w:val="14521FBF"/>
    <w:rsid w:val="14AE4611"/>
    <w:rsid w:val="14E77B40"/>
    <w:rsid w:val="150E5154"/>
    <w:rsid w:val="15154853"/>
    <w:rsid w:val="154D01F0"/>
    <w:rsid w:val="15707787"/>
    <w:rsid w:val="159A2B43"/>
    <w:rsid w:val="15AA5CF1"/>
    <w:rsid w:val="15D657FC"/>
    <w:rsid w:val="16223187"/>
    <w:rsid w:val="170718E6"/>
    <w:rsid w:val="175627CE"/>
    <w:rsid w:val="17A24F79"/>
    <w:rsid w:val="18047AE0"/>
    <w:rsid w:val="186D1916"/>
    <w:rsid w:val="18A62013"/>
    <w:rsid w:val="18C97015"/>
    <w:rsid w:val="18CA0832"/>
    <w:rsid w:val="18F92579"/>
    <w:rsid w:val="1903352E"/>
    <w:rsid w:val="192C0E0C"/>
    <w:rsid w:val="194B3136"/>
    <w:rsid w:val="197E6AA6"/>
    <w:rsid w:val="19903300"/>
    <w:rsid w:val="199155F1"/>
    <w:rsid w:val="19AB256E"/>
    <w:rsid w:val="19C42626"/>
    <w:rsid w:val="19F53607"/>
    <w:rsid w:val="1A1B7E99"/>
    <w:rsid w:val="1A2E4B26"/>
    <w:rsid w:val="1A3E41FA"/>
    <w:rsid w:val="1AA1295A"/>
    <w:rsid w:val="1AF12A44"/>
    <w:rsid w:val="1B1A26E2"/>
    <w:rsid w:val="1B306FCF"/>
    <w:rsid w:val="1B3D691D"/>
    <w:rsid w:val="1B4C7724"/>
    <w:rsid w:val="1BAC6712"/>
    <w:rsid w:val="1BED4E39"/>
    <w:rsid w:val="1C1F0578"/>
    <w:rsid w:val="1C28039D"/>
    <w:rsid w:val="1C2A451B"/>
    <w:rsid w:val="1C705992"/>
    <w:rsid w:val="1D0B32E5"/>
    <w:rsid w:val="1D4650ED"/>
    <w:rsid w:val="1D753DB0"/>
    <w:rsid w:val="1D8D2F92"/>
    <w:rsid w:val="1D915310"/>
    <w:rsid w:val="1D9251E1"/>
    <w:rsid w:val="1D962123"/>
    <w:rsid w:val="1DC70DEC"/>
    <w:rsid w:val="1DDF4CD2"/>
    <w:rsid w:val="1DE629E1"/>
    <w:rsid w:val="1E042A1B"/>
    <w:rsid w:val="1E25248A"/>
    <w:rsid w:val="1E3F2025"/>
    <w:rsid w:val="1EBD64E3"/>
    <w:rsid w:val="1EE53CE9"/>
    <w:rsid w:val="1F282554"/>
    <w:rsid w:val="1F460C2C"/>
    <w:rsid w:val="1F5E0B95"/>
    <w:rsid w:val="1F5E41C7"/>
    <w:rsid w:val="1F805B86"/>
    <w:rsid w:val="1F9A238D"/>
    <w:rsid w:val="1F9F20EA"/>
    <w:rsid w:val="1FDC1987"/>
    <w:rsid w:val="1FDE7D08"/>
    <w:rsid w:val="20036B1D"/>
    <w:rsid w:val="203F12C3"/>
    <w:rsid w:val="206146C8"/>
    <w:rsid w:val="20645E17"/>
    <w:rsid w:val="20C71CD9"/>
    <w:rsid w:val="21000432"/>
    <w:rsid w:val="211D50C8"/>
    <w:rsid w:val="216A4C05"/>
    <w:rsid w:val="21863D0D"/>
    <w:rsid w:val="2216046A"/>
    <w:rsid w:val="223B4BFE"/>
    <w:rsid w:val="22644AB9"/>
    <w:rsid w:val="22876AFD"/>
    <w:rsid w:val="22B248D1"/>
    <w:rsid w:val="23163EB2"/>
    <w:rsid w:val="2427107E"/>
    <w:rsid w:val="242E1C8E"/>
    <w:rsid w:val="245A3DCA"/>
    <w:rsid w:val="245D4600"/>
    <w:rsid w:val="24AE5C66"/>
    <w:rsid w:val="24B94350"/>
    <w:rsid w:val="253F118A"/>
    <w:rsid w:val="2578310B"/>
    <w:rsid w:val="25D8356A"/>
    <w:rsid w:val="25E71BEC"/>
    <w:rsid w:val="25EC6ED5"/>
    <w:rsid w:val="25F015C5"/>
    <w:rsid w:val="265674C4"/>
    <w:rsid w:val="26571D40"/>
    <w:rsid w:val="266F149F"/>
    <w:rsid w:val="27804D47"/>
    <w:rsid w:val="28145128"/>
    <w:rsid w:val="282805A6"/>
    <w:rsid w:val="282838DA"/>
    <w:rsid w:val="28571D32"/>
    <w:rsid w:val="28A15125"/>
    <w:rsid w:val="294D084D"/>
    <w:rsid w:val="29933722"/>
    <w:rsid w:val="29AA51F0"/>
    <w:rsid w:val="29B53947"/>
    <w:rsid w:val="29DA4EBE"/>
    <w:rsid w:val="29E27057"/>
    <w:rsid w:val="2A1B4A63"/>
    <w:rsid w:val="2A3253DE"/>
    <w:rsid w:val="2A356872"/>
    <w:rsid w:val="2A546059"/>
    <w:rsid w:val="2A5D2D01"/>
    <w:rsid w:val="2A807A09"/>
    <w:rsid w:val="2AF27BEF"/>
    <w:rsid w:val="2B0077CF"/>
    <w:rsid w:val="2B01741F"/>
    <w:rsid w:val="2B052F2B"/>
    <w:rsid w:val="2B1C040B"/>
    <w:rsid w:val="2B1F6EF2"/>
    <w:rsid w:val="2B2D0EF2"/>
    <w:rsid w:val="2B71731C"/>
    <w:rsid w:val="2BB0437F"/>
    <w:rsid w:val="2C184214"/>
    <w:rsid w:val="2C3D5164"/>
    <w:rsid w:val="2C7A39F4"/>
    <w:rsid w:val="2CD261A7"/>
    <w:rsid w:val="2D091275"/>
    <w:rsid w:val="2D321CC8"/>
    <w:rsid w:val="2D6477FE"/>
    <w:rsid w:val="2D833FE8"/>
    <w:rsid w:val="2D85397D"/>
    <w:rsid w:val="2DEE303D"/>
    <w:rsid w:val="2DF7769F"/>
    <w:rsid w:val="2DFF55A7"/>
    <w:rsid w:val="2E6A638D"/>
    <w:rsid w:val="2EAE0106"/>
    <w:rsid w:val="2EC652B2"/>
    <w:rsid w:val="2F344423"/>
    <w:rsid w:val="301B3A0F"/>
    <w:rsid w:val="3021778D"/>
    <w:rsid w:val="305212CF"/>
    <w:rsid w:val="30CF1B19"/>
    <w:rsid w:val="30FD7924"/>
    <w:rsid w:val="31010E56"/>
    <w:rsid w:val="31046251"/>
    <w:rsid w:val="311E24FD"/>
    <w:rsid w:val="315A5151"/>
    <w:rsid w:val="31746F9C"/>
    <w:rsid w:val="31873AFA"/>
    <w:rsid w:val="31E45D99"/>
    <w:rsid w:val="325B6989"/>
    <w:rsid w:val="326351F9"/>
    <w:rsid w:val="32B722E3"/>
    <w:rsid w:val="32E55AEF"/>
    <w:rsid w:val="331A1D5C"/>
    <w:rsid w:val="336C325E"/>
    <w:rsid w:val="33FE7770"/>
    <w:rsid w:val="34C60C67"/>
    <w:rsid w:val="350E0B57"/>
    <w:rsid w:val="353321F9"/>
    <w:rsid w:val="353C3345"/>
    <w:rsid w:val="353C3CAC"/>
    <w:rsid w:val="354B7504"/>
    <w:rsid w:val="354D3DF5"/>
    <w:rsid w:val="35610C3B"/>
    <w:rsid w:val="35935DF5"/>
    <w:rsid w:val="35A35FAD"/>
    <w:rsid w:val="36106FD5"/>
    <w:rsid w:val="36117FE0"/>
    <w:rsid w:val="369343FB"/>
    <w:rsid w:val="36AD2EE7"/>
    <w:rsid w:val="36B01313"/>
    <w:rsid w:val="36B93809"/>
    <w:rsid w:val="36C631E8"/>
    <w:rsid w:val="36F5579D"/>
    <w:rsid w:val="371F41A4"/>
    <w:rsid w:val="3788036E"/>
    <w:rsid w:val="37A924CB"/>
    <w:rsid w:val="37B2576D"/>
    <w:rsid w:val="37EF4A19"/>
    <w:rsid w:val="383F1698"/>
    <w:rsid w:val="38534CB7"/>
    <w:rsid w:val="38A24CCD"/>
    <w:rsid w:val="38A56D41"/>
    <w:rsid w:val="38B54033"/>
    <w:rsid w:val="39064A6F"/>
    <w:rsid w:val="39212C99"/>
    <w:rsid w:val="39740B10"/>
    <w:rsid w:val="398639BF"/>
    <w:rsid w:val="39A26D13"/>
    <w:rsid w:val="39AE25A1"/>
    <w:rsid w:val="39F914CF"/>
    <w:rsid w:val="3A147AAC"/>
    <w:rsid w:val="3A2E248B"/>
    <w:rsid w:val="3A3E2FC1"/>
    <w:rsid w:val="3AFE72DB"/>
    <w:rsid w:val="3B2565A9"/>
    <w:rsid w:val="3B39603A"/>
    <w:rsid w:val="3B993EB6"/>
    <w:rsid w:val="3BE15BA1"/>
    <w:rsid w:val="3C1B6DEE"/>
    <w:rsid w:val="3C4D31A2"/>
    <w:rsid w:val="3CAD29AD"/>
    <w:rsid w:val="3CCF454A"/>
    <w:rsid w:val="3CE25A6A"/>
    <w:rsid w:val="3D167A38"/>
    <w:rsid w:val="3D632551"/>
    <w:rsid w:val="3D6852CB"/>
    <w:rsid w:val="3D6D7D79"/>
    <w:rsid w:val="3D9D1094"/>
    <w:rsid w:val="3E3D6F14"/>
    <w:rsid w:val="3E576F63"/>
    <w:rsid w:val="3E6A3F16"/>
    <w:rsid w:val="3E7E1783"/>
    <w:rsid w:val="3EC314F9"/>
    <w:rsid w:val="3F0223F3"/>
    <w:rsid w:val="3F281E38"/>
    <w:rsid w:val="3F3423F7"/>
    <w:rsid w:val="3FC6242C"/>
    <w:rsid w:val="3FD35A41"/>
    <w:rsid w:val="3FDC4DBB"/>
    <w:rsid w:val="40061E82"/>
    <w:rsid w:val="405E0770"/>
    <w:rsid w:val="40616FB3"/>
    <w:rsid w:val="406850C2"/>
    <w:rsid w:val="40722C94"/>
    <w:rsid w:val="40994365"/>
    <w:rsid w:val="40C8628A"/>
    <w:rsid w:val="40FF6E50"/>
    <w:rsid w:val="410950B6"/>
    <w:rsid w:val="41104488"/>
    <w:rsid w:val="414A56C0"/>
    <w:rsid w:val="4162197F"/>
    <w:rsid w:val="41722AF1"/>
    <w:rsid w:val="41962EF5"/>
    <w:rsid w:val="41DD508C"/>
    <w:rsid w:val="41E225DE"/>
    <w:rsid w:val="41FA0834"/>
    <w:rsid w:val="422506BA"/>
    <w:rsid w:val="425303BA"/>
    <w:rsid w:val="427174BE"/>
    <w:rsid w:val="428E3330"/>
    <w:rsid w:val="42AB7666"/>
    <w:rsid w:val="42BB005F"/>
    <w:rsid w:val="42BC36B5"/>
    <w:rsid w:val="42C72DDD"/>
    <w:rsid w:val="42CB3B56"/>
    <w:rsid w:val="42F51E9D"/>
    <w:rsid w:val="42F97BDF"/>
    <w:rsid w:val="43244623"/>
    <w:rsid w:val="43811983"/>
    <w:rsid w:val="441F2B8F"/>
    <w:rsid w:val="444B7C62"/>
    <w:rsid w:val="44B5606C"/>
    <w:rsid w:val="454113CA"/>
    <w:rsid w:val="456316C1"/>
    <w:rsid w:val="45921F5E"/>
    <w:rsid w:val="459A4837"/>
    <w:rsid w:val="45C83899"/>
    <w:rsid w:val="45F770A4"/>
    <w:rsid w:val="46037574"/>
    <w:rsid w:val="463A687E"/>
    <w:rsid w:val="465E7AF3"/>
    <w:rsid w:val="46756B4D"/>
    <w:rsid w:val="467B7704"/>
    <w:rsid w:val="467E26A2"/>
    <w:rsid w:val="468A57EA"/>
    <w:rsid w:val="46CC0674"/>
    <w:rsid w:val="472C7DB9"/>
    <w:rsid w:val="473B76F4"/>
    <w:rsid w:val="478A6064"/>
    <w:rsid w:val="47DB3EB5"/>
    <w:rsid w:val="47DD5A16"/>
    <w:rsid w:val="47F30BAC"/>
    <w:rsid w:val="480C6E96"/>
    <w:rsid w:val="489F51E6"/>
    <w:rsid w:val="48B67D09"/>
    <w:rsid w:val="48C800AD"/>
    <w:rsid w:val="49033AA7"/>
    <w:rsid w:val="49053025"/>
    <w:rsid w:val="493F5993"/>
    <w:rsid w:val="49605F29"/>
    <w:rsid w:val="496A1820"/>
    <w:rsid w:val="49A447B0"/>
    <w:rsid w:val="49AE2C09"/>
    <w:rsid w:val="49F03E63"/>
    <w:rsid w:val="4A276A00"/>
    <w:rsid w:val="4A3D2AA8"/>
    <w:rsid w:val="4A4302F3"/>
    <w:rsid w:val="4A9D7730"/>
    <w:rsid w:val="4A9F4ED2"/>
    <w:rsid w:val="4AEB31A1"/>
    <w:rsid w:val="4B35253D"/>
    <w:rsid w:val="4B3F5B3D"/>
    <w:rsid w:val="4B484E83"/>
    <w:rsid w:val="4B545AC1"/>
    <w:rsid w:val="4B564475"/>
    <w:rsid w:val="4B896F14"/>
    <w:rsid w:val="4BAC2D11"/>
    <w:rsid w:val="4BF55372"/>
    <w:rsid w:val="4C103274"/>
    <w:rsid w:val="4C2F4549"/>
    <w:rsid w:val="4C3E3B1C"/>
    <w:rsid w:val="4C4A104E"/>
    <w:rsid w:val="4C756707"/>
    <w:rsid w:val="4CA11C08"/>
    <w:rsid w:val="4CB730C8"/>
    <w:rsid w:val="4CBB7CB4"/>
    <w:rsid w:val="4CC51681"/>
    <w:rsid w:val="4D682EF0"/>
    <w:rsid w:val="4D886208"/>
    <w:rsid w:val="4D8B1D7C"/>
    <w:rsid w:val="4DAB0432"/>
    <w:rsid w:val="4DCA4FE5"/>
    <w:rsid w:val="4DCE2983"/>
    <w:rsid w:val="4DDE2F1F"/>
    <w:rsid w:val="4E0232B1"/>
    <w:rsid w:val="4E8F764A"/>
    <w:rsid w:val="4E9F2A5D"/>
    <w:rsid w:val="4ED35788"/>
    <w:rsid w:val="4F38594F"/>
    <w:rsid w:val="4F4320DA"/>
    <w:rsid w:val="4F512B51"/>
    <w:rsid w:val="4F515FE9"/>
    <w:rsid w:val="4F604B42"/>
    <w:rsid w:val="4F9414B9"/>
    <w:rsid w:val="4FA12AF2"/>
    <w:rsid w:val="4FB6324E"/>
    <w:rsid w:val="4FD16792"/>
    <w:rsid w:val="4FD620C8"/>
    <w:rsid w:val="4FE55BDC"/>
    <w:rsid w:val="502425D9"/>
    <w:rsid w:val="50BA4FC9"/>
    <w:rsid w:val="50BC6D86"/>
    <w:rsid w:val="50E02679"/>
    <w:rsid w:val="50FA58BC"/>
    <w:rsid w:val="51382F51"/>
    <w:rsid w:val="518C53D4"/>
    <w:rsid w:val="51A279A6"/>
    <w:rsid w:val="51A92E83"/>
    <w:rsid w:val="51C31DA4"/>
    <w:rsid w:val="51EB4B97"/>
    <w:rsid w:val="522A5EA0"/>
    <w:rsid w:val="523650DE"/>
    <w:rsid w:val="525A30E0"/>
    <w:rsid w:val="52652E77"/>
    <w:rsid w:val="5287222E"/>
    <w:rsid w:val="52912564"/>
    <w:rsid w:val="52BB6384"/>
    <w:rsid w:val="52DE77D4"/>
    <w:rsid w:val="52E96F1C"/>
    <w:rsid w:val="52EF4BF8"/>
    <w:rsid w:val="532A43C2"/>
    <w:rsid w:val="533E09D9"/>
    <w:rsid w:val="534A733C"/>
    <w:rsid w:val="53702B43"/>
    <w:rsid w:val="54467018"/>
    <w:rsid w:val="54B92662"/>
    <w:rsid w:val="550D2678"/>
    <w:rsid w:val="5586388A"/>
    <w:rsid w:val="55DA22E2"/>
    <w:rsid w:val="563B3990"/>
    <w:rsid w:val="568360A8"/>
    <w:rsid w:val="568371C3"/>
    <w:rsid w:val="568B2EA3"/>
    <w:rsid w:val="56A277AC"/>
    <w:rsid w:val="56C660B4"/>
    <w:rsid w:val="56CB1DE5"/>
    <w:rsid w:val="5704485E"/>
    <w:rsid w:val="575D3FBB"/>
    <w:rsid w:val="57C06D11"/>
    <w:rsid w:val="57D263DD"/>
    <w:rsid w:val="58107F8D"/>
    <w:rsid w:val="581C7926"/>
    <w:rsid w:val="584A7F36"/>
    <w:rsid w:val="587A1A63"/>
    <w:rsid w:val="587A54B2"/>
    <w:rsid w:val="588952F4"/>
    <w:rsid w:val="59074BA6"/>
    <w:rsid w:val="592D7C8F"/>
    <w:rsid w:val="594A0BE1"/>
    <w:rsid w:val="594D7F0C"/>
    <w:rsid w:val="595B6AA6"/>
    <w:rsid w:val="598835F0"/>
    <w:rsid w:val="59A86B12"/>
    <w:rsid w:val="59E978B5"/>
    <w:rsid w:val="5A1C3EC8"/>
    <w:rsid w:val="5AA90DF1"/>
    <w:rsid w:val="5AAD1584"/>
    <w:rsid w:val="5AC121E6"/>
    <w:rsid w:val="5AF13DA4"/>
    <w:rsid w:val="5B82786A"/>
    <w:rsid w:val="5B8B5CB2"/>
    <w:rsid w:val="5BDA7218"/>
    <w:rsid w:val="5BF276B4"/>
    <w:rsid w:val="5C3C7AB7"/>
    <w:rsid w:val="5C724977"/>
    <w:rsid w:val="5C8F3A65"/>
    <w:rsid w:val="5CF45604"/>
    <w:rsid w:val="5CF8060D"/>
    <w:rsid w:val="5D467400"/>
    <w:rsid w:val="5D695F64"/>
    <w:rsid w:val="5DAA141C"/>
    <w:rsid w:val="5DDB1CC1"/>
    <w:rsid w:val="5E203E1A"/>
    <w:rsid w:val="5E491B7D"/>
    <w:rsid w:val="5EC1721C"/>
    <w:rsid w:val="5ED04E54"/>
    <w:rsid w:val="5EDF2450"/>
    <w:rsid w:val="5F5373F4"/>
    <w:rsid w:val="5F600113"/>
    <w:rsid w:val="5F8B122C"/>
    <w:rsid w:val="5F9D7EB8"/>
    <w:rsid w:val="5FAB07B6"/>
    <w:rsid w:val="5FEB54B0"/>
    <w:rsid w:val="60130582"/>
    <w:rsid w:val="60316FEB"/>
    <w:rsid w:val="60432D29"/>
    <w:rsid w:val="60476C9F"/>
    <w:rsid w:val="608C29D5"/>
    <w:rsid w:val="60912DAE"/>
    <w:rsid w:val="60BA0BE9"/>
    <w:rsid w:val="60D64C64"/>
    <w:rsid w:val="60DC0262"/>
    <w:rsid w:val="61157D57"/>
    <w:rsid w:val="616E3CD7"/>
    <w:rsid w:val="61755907"/>
    <w:rsid w:val="61926F26"/>
    <w:rsid w:val="61E20692"/>
    <w:rsid w:val="621041A6"/>
    <w:rsid w:val="62285994"/>
    <w:rsid w:val="62995E01"/>
    <w:rsid w:val="62CF0CE3"/>
    <w:rsid w:val="62ED2CC5"/>
    <w:rsid w:val="63334C22"/>
    <w:rsid w:val="633D0FCB"/>
    <w:rsid w:val="636276DD"/>
    <w:rsid w:val="637D16D3"/>
    <w:rsid w:val="639867C6"/>
    <w:rsid w:val="64286496"/>
    <w:rsid w:val="6442109A"/>
    <w:rsid w:val="644F43BE"/>
    <w:rsid w:val="646A5445"/>
    <w:rsid w:val="648C47B0"/>
    <w:rsid w:val="649E470F"/>
    <w:rsid w:val="64A47949"/>
    <w:rsid w:val="64E03700"/>
    <w:rsid w:val="655638E5"/>
    <w:rsid w:val="655A2533"/>
    <w:rsid w:val="656761A5"/>
    <w:rsid w:val="65CD7172"/>
    <w:rsid w:val="65CF2F89"/>
    <w:rsid w:val="65D67186"/>
    <w:rsid w:val="65D82B84"/>
    <w:rsid w:val="66157F1F"/>
    <w:rsid w:val="664C4D6D"/>
    <w:rsid w:val="66676C64"/>
    <w:rsid w:val="666A4FEF"/>
    <w:rsid w:val="66A12197"/>
    <w:rsid w:val="671E5E43"/>
    <w:rsid w:val="67AA3780"/>
    <w:rsid w:val="685052AC"/>
    <w:rsid w:val="685755C8"/>
    <w:rsid w:val="68B067B8"/>
    <w:rsid w:val="69BA63AE"/>
    <w:rsid w:val="69CE253D"/>
    <w:rsid w:val="69F11EE7"/>
    <w:rsid w:val="6A12081F"/>
    <w:rsid w:val="6A1D516C"/>
    <w:rsid w:val="6A4F3A38"/>
    <w:rsid w:val="6A9E1BFD"/>
    <w:rsid w:val="6B5E338D"/>
    <w:rsid w:val="6B8F0760"/>
    <w:rsid w:val="6BC978E4"/>
    <w:rsid w:val="6BD21C54"/>
    <w:rsid w:val="6BEE2099"/>
    <w:rsid w:val="6C25268D"/>
    <w:rsid w:val="6C6A4035"/>
    <w:rsid w:val="6D0C15D0"/>
    <w:rsid w:val="6D0C615C"/>
    <w:rsid w:val="6D1E1452"/>
    <w:rsid w:val="6D36105C"/>
    <w:rsid w:val="6D3D1711"/>
    <w:rsid w:val="6D8343C6"/>
    <w:rsid w:val="6DCE6A58"/>
    <w:rsid w:val="6E403CB0"/>
    <w:rsid w:val="6E636184"/>
    <w:rsid w:val="6ECD4F45"/>
    <w:rsid w:val="6EDB28FB"/>
    <w:rsid w:val="6F186B7B"/>
    <w:rsid w:val="6F287A1E"/>
    <w:rsid w:val="6F5F241C"/>
    <w:rsid w:val="6F931BF6"/>
    <w:rsid w:val="6FBE275D"/>
    <w:rsid w:val="6FD33BE4"/>
    <w:rsid w:val="6FF84BF7"/>
    <w:rsid w:val="700B3E3B"/>
    <w:rsid w:val="70462742"/>
    <w:rsid w:val="707A0433"/>
    <w:rsid w:val="708E3E12"/>
    <w:rsid w:val="70A34247"/>
    <w:rsid w:val="711638E1"/>
    <w:rsid w:val="71AF1FEF"/>
    <w:rsid w:val="71C20FB4"/>
    <w:rsid w:val="71F73062"/>
    <w:rsid w:val="71FB7042"/>
    <w:rsid w:val="722C4FFE"/>
    <w:rsid w:val="727D3B15"/>
    <w:rsid w:val="728C6699"/>
    <w:rsid w:val="72B2437C"/>
    <w:rsid w:val="73051FF0"/>
    <w:rsid w:val="735A50DF"/>
    <w:rsid w:val="73A05C9A"/>
    <w:rsid w:val="73CB008F"/>
    <w:rsid w:val="73EF2596"/>
    <w:rsid w:val="7406705E"/>
    <w:rsid w:val="743E795A"/>
    <w:rsid w:val="748C5134"/>
    <w:rsid w:val="748C52D0"/>
    <w:rsid w:val="748D2974"/>
    <w:rsid w:val="74BE4E6C"/>
    <w:rsid w:val="74EA2D75"/>
    <w:rsid w:val="75784937"/>
    <w:rsid w:val="75956B13"/>
    <w:rsid w:val="75EF3A7E"/>
    <w:rsid w:val="75F37958"/>
    <w:rsid w:val="75FD1D9B"/>
    <w:rsid w:val="76394AFB"/>
    <w:rsid w:val="768728EF"/>
    <w:rsid w:val="76A1624D"/>
    <w:rsid w:val="76CF0CDE"/>
    <w:rsid w:val="76EF20B0"/>
    <w:rsid w:val="776275E7"/>
    <w:rsid w:val="776F0544"/>
    <w:rsid w:val="7774199C"/>
    <w:rsid w:val="77AF4A80"/>
    <w:rsid w:val="77D07096"/>
    <w:rsid w:val="77F51434"/>
    <w:rsid w:val="78126A72"/>
    <w:rsid w:val="781B2AFE"/>
    <w:rsid w:val="7835040A"/>
    <w:rsid w:val="78692CD8"/>
    <w:rsid w:val="78A2151A"/>
    <w:rsid w:val="78C30C27"/>
    <w:rsid w:val="790C7AD8"/>
    <w:rsid w:val="79103DC6"/>
    <w:rsid w:val="79474801"/>
    <w:rsid w:val="79752E15"/>
    <w:rsid w:val="799E0609"/>
    <w:rsid w:val="79D15063"/>
    <w:rsid w:val="79E562A1"/>
    <w:rsid w:val="7AAD61DE"/>
    <w:rsid w:val="7AD711F4"/>
    <w:rsid w:val="7ADA12B7"/>
    <w:rsid w:val="7B603DFE"/>
    <w:rsid w:val="7BAE0131"/>
    <w:rsid w:val="7BB650AE"/>
    <w:rsid w:val="7BEA2E51"/>
    <w:rsid w:val="7D354F24"/>
    <w:rsid w:val="7D397C15"/>
    <w:rsid w:val="7D823B8A"/>
    <w:rsid w:val="7D841250"/>
    <w:rsid w:val="7E5777A9"/>
    <w:rsid w:val="7E5F22E5"/>
    <w:rsid w:val="7E62389E"/>
    <w:rsid w:val="7E623D4C"/>
    <w:rsid w:val="7E6A5CE2"/>
    <w:rsid w:val="7E942C4C"/>
    <w:rsid w:val="7EAD0578"/>
    <w:rsid w:val="7EC501EE"/>
    <w:rsid w:val="7F286B17"/>
    <w:rsid w:val="7F5964BB"/>
    <w:rsid w:val="7FDE0654"/>
    <w:rsid w:val="7FF31989"/>
    <w:rsid w:val="7FFEF811"/>
    <w:rsid w:val="97F6AAFE"/>
    <w:rsid w:val="BFFF2AFE"/>
    <w:rsid w:val="FB9E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04"/>
    <w:qFormat/>
    <w:uiPriority w:val="0"/>
    <w:pPr>
      <w:keepNext/>
      <w:keepLines/>
      <w:adjustRightInd w:val="0"/>
      <w:snapToGrid w:val="0"/>
      <w:spacing w:before="50" w:beforeLines="50" w:after="50" w:afterLines="50" w:line="360" w:lineRule="auto"/>
      <w:jc w:val="center"/>
      <w:outlineLvl w:val="0"/>
    </w:pPr>
    <w:rPr>
      <w:rFonts w:ascii="黑体" w:hAnsi="黑体" w:eastAsia="黑体"/>
      <w:snapToGrid w:val="0"/>
      <w:color w:val="000000"/>
      <w:sz w:val="32"/>
    </w:rPr>
  </w:style>
  <w:style w:type="paragraph" w:styleId="4">
    <w:name w:val="heading 2"/>
    <w:basedOn w:val="1"/>
    <w:next w:val="1"/>
    <w:link w:val="201"/>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5">
    <w:name w:val="heading 3"/>
    <w:basedOn w:val="1"/>
    <w:next w:val="1"/>
    <w:link w:val="293"/>
    <w:qFormat/>
    <w:uiPriority w:val="0"/>
    <w:pPr>
      <w:keepNext/>
      <w:keepLines/>
      <w:spacing w:line="360" w:lineRule="auto"/>
      <w:outlineLvl w:val="2"/>
    </w:pPr>
    <w:rPr>
      <w:rFonts w:ascii="黑体" w:hAnsi="宋体" w:eastAsia="Times New Roman"/>
      <w:bCs/>
      <w:snapToGrid w:val="0"/>
      <w:kern w:val="0"/>
      <w:szCs w:val="20"/>
    </w:rPr>
  </w:style>
  <w:style w:type="paragraph" w:styleId="6">
    <w:name w:val="heading 4"/>
    <w:basedOn w:val="1"/>
    <w:next w:val="1"/>
    <w:link w:val="272"/>
    <w:qFormat/>
    <w:uiPriority w:val="0"/>
    <w:pPr>
      <w:keepNext/>
      <w:keepLines/>
      <w:numPr>
        <w:ilvl w:val="3"/>
        <w:numId w:val="1"/>
      </w:numPr>
      <w:snapToGrid w:val="0"/>
      <w:spacing w:line="460" w:lineRule="atLeast"/>
      <w:outlineLvl w:val="3"/>
    </w:pPr>
    <w:rPr>
      <w:b/>
      <w:szCs w:val="20"/>
    </w:rPr>
  </w:style>
  <w:style w:type="paragraph" w:styleId="7">
    <w:name w:val="heading 5"/>
    <w:basedOn w:val="1"/>
    <w:next w:val="1"/>
    <w:link w:val="118"/>
    <w:qFormat/>
    <w:uiPriority w:val="0"/>
    <w:pPr>
      <w:ind w:firstLine="482" w:firstLineChars="0"/>
      <w:jc w:val="center"/>
      <w:outlineLvl w:val="4"/>
    </w:pPr>
    <w:rPr>
      <w:b/>
      <w:bCs/>
      <w:sz w:val="21"/>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rPr>
      <w:rFonts w:ascii="黑体" w:hAnsi="黑体"/>
      <w:spacing w:val="10"/>
      <w:sz w:val="21"/>
    </w:rPr>
  </w:style>
  <w:style w:type="paragraph" w:styleId="8">
    <w:name w:val="Normal Indent"/>
    <w:basedOn w:val="1"/>
    <w:next w:val="1"/>
    <w:link w:val="88"/>
    <w:qFormat/>
    <w:uiPriority w:val="0"/>
    <w:pPr>
      <w:ind w:firstLine="420"/>
    </w:pPr>
    <w:rPr>
      <w:szCs w:val="20"/>
    </w:rPr>
  </w:style>
  <w:style w:type="paragraph" w:styleId="9">
    <w:name w:val="caption"/>
    <w:basedOn w:val="1"/>
    <w:next w:val="1"/>
    <w:qFormat/>
    <w:uiPriority w:val="0"/>
    <w:pPr>
      <w:adjustRightInd w:val="0"/>
      <w:spacing w:before="152" w:after="160" w:line="240" w:lineRule="exact"/>
      <w:jc w:val="center"/>
      <w:textAlignment w:val="baseline"/>
    </w:pPr>
    <w:rPr>
      <w:kern w:val="0"/>
    </w:rPr>
  </w:style>
  <w:style w:type="paragraph" w:styleId="10">
    <w:name w:val="index 5"/>
    <w:basedOn w:val="1"/>
    <w:next w:val="1"/>
    <w:semiHidden/>
    <w:qFormat/>
    <w:uiPriority w:val="0"/>
    <w:pPr>
      <w:spacing w:line="240" w:lineRule="auto"/>
      <w:ind w:left="1250" w:hanging="250" w:firstLineChars="0"/>
      <w:jc w:val="left"/>
    </w:pPr>
    <w:rPr>
      <w:rFonts w:ascii="ˎ̥" w:hAnsi="ˎ̥" w:eastAsia="FLGPEK+TimesNewRoman,Italic" w:cs="ˎ̥"/>
      <w:spacing w:val="5"/>
      <w:sz w:val="20"/>
      <w:szCs w:val="20"/>
    </w:rPr>
  </w:style>
  <w:style w:type="paragraph" w:styleId="11">
    <w:name w:val="toa heading"/>
    <w:basedOn w:val="1"/>
    <w:next w:val="1"/>
    <w:qFormat/>
    <w:uiPriority w:val="0"/>
    <w:pPr>
      <w:spacing w:before="120"/>
    </w:pPr>
    <w:rPr>
      <w:rFonts w:ascii="Arial" w:hAnsi="Arial" w:cs="Arial"/>
    </w:rPr>
  </w:style>
  <w:style w:type="paragraph" w:styleId="12">
    <w:name w:val="annotation text"/>
    <w:basedOn w:val="1"/>
    <w:link w:val="99"/>
    <w:qFormat/>
    <w:uiPriority w:val="0"/>
    <w:pPr>
      <w:jc w:val="left"/>
    </w:pPr>
  </w:style>
  <w:style w:type="paragraph" w:styleId="13">
    <w:name w:val="Salutation"/>
    <w:basedOn w:val="1"/>
    <w:next w:val="1"/>
    <w:qFormat/>
    <w:uiPriority w:val="0"/>
    <w:pPr>
      <w:jc w:val="left"/>
    </w:pPr>
    <w:rPr>
      <w:rFonts w:ascii="Times New Roman" w:hAnsi="Times New Roman" w:eastAsia="仿宋_GB2312"/>
      <w:sz w:val="32"/>
    </w:rPr>
  </w:style>
  <w:style w:type="paragraph" w:styleId="14">
    <w:name w:val="Body Text 3"/>
    <w:basedOn w:val="1"/>
    <w:qFormat/>
    <w:uiPriority w:val="0"/>
    <w:pPr>
      <w:spacing w:line="360" w:lineRule="auto"/>
    </w:pPr>
    <w:rPr>
      <w:rFonts w:ascii="仿宋_GB2312" w:eastAsia="仿宋_GB2312"/>
      <w:sz w:val="24"/>
    </w:rPr>
  </w:style>
  <w:style w:type="paragraph" w:styleId="15">
    <w:name w:val="Body Text"/>
    <w:basedOn w:val="1"/>
    <w:next w:val="1"/>
    <w:qFormat/>
    <w:uiPriority w:val="0"/>
    <w:pPr>
      <w:spacing w:after="120"/>
    </w:pPr>
  </w:style>
  <w:style w:type="paragraph" w:styleId="16">
    <w:name w:val="Body Text Indent"/>
    <w:basedOn w:val="1"/>
    <w:next w:val="1"/>
    <w:qFormat/>
    <w:uiPriority w:val="0"/>
    <w:pPr>
      <w:adjustRightInd w:val="0"/>
      <w:snapToGrid w:val="0"/>
      <w:spacing w:line="360" w:lineRule="auto"/>
      <w:ind w:firstLine="480"/>
    </w:pPr>
    <w:rPr>
      <w:bCs/>
      <w:kern w:val="0"/>
    </w:rPr>
  </w:style>
  <w:style w:type="paragraph" w:styleId="17">
    <w:name w:val="Block Text"/>
    <w:basedOn w:val="1"/>
    <w:qFormat/>
    <w:uiPriority w:val="0"/>
    <w:pPr>
      <w:spacing w:after="120"/>
      <w:ind w:left="1440" w:leftChars="700" w:right="700" w:rightChars="700"/>
    </w:pPr>
    <w:rPr>
      <w:rFonts w:ascii="Calibri" w:hAnsi="Calibri"/>
      <w:szCs w:val="20"/>
    </w:rPr>
  </w:style>
  <w:style w:type="paragraph" w:styleId="18">
    <w:name w:val="toc 3"/>
    <w:basedOn w:val="1"/>
    <w:next w:val="1"/>
    <w:qFormat/>
    <w:uiPriority w:val="0"/>
    <w:pPr>
      <w:ind w:left="840" w:leftChars="400"/>
    </w:pPr>
  </w:style>
  <w:style w:type="paragraph" w:styleId="19">
    <w:name w:val="Plain Text"/>
    <w:basedOn w:val="1"/>
    <w:qFormat/>
    <w:uiPriority w:val="0"/>
    <w:rPr>
      <w:rFonts w:ascii="宋体" w:hAnsi="Courier New"/>
      <w:szCs w:val="20"/>
    </w:rPr>
  </w:style>
  <w:style w:type="paragraph" w:styleId="20">
    <w:name w:val="List Bullet 5"/>
    <w:basedOn w:val="1"/>
    <w:qFormat/>
    <w:uiPriority w:val="0"/>
    <w:pPr>
      <w:numPr>
        <w:ilvl w:val="0"/>
        <w:numId w:val="2"/>
      </w:numPr>
    </w:pPr>
  </w:style>
  <w:style w:type="paragraph" w:styleId="21">
    <w:name w:val="Date"/>
    <w:basedOn w:val="1"/>
    <w:next w:val="1"/>
    <w:qFormat/>
    <w:uiPriority w:val="0"/>
    <w:rPr>
      <w:szCs w:val="20"/>
    </w:rPr>
  </w:style>
  <w:style w:type="paragraph" w:styleId="22">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23">
    <w:name w:val="Balloon Text"/>
    <w:basedOn w:val="1"/>
    <w:semiHidden/>
    <w:qFormat/>
    <w:uiPriority w:val="0"/>
    <w:rPr>
      <w:kern w:val="0"/>
      <w:sz w:val="18"/>
      <w:szCs w:val="20"/>
      <w:lang w:val="zh-CN" w:eastAsia="zh-CN"/>
    </w:rPr>
  </w:style>
  <w:style w:type="paragraph" w:styleId="24">
    <w:name w:val="footer"/>
    <w:basedOn w:val="1"/>
    <w:qFormat/>
    <w:uiPriority w:val="0"/>
    <w:pPr>
      <w:tabs>
        <w:tab w:val="center" w:pos="4153"/>
        <w:tab w:val="right" w:pos="8306"/>
      </w:tabs>
      <w:snapToGrid w:val="0"/>
      <w:jc w:val="left"/>
    </w:pPr>
    <w:rPr>
      <w:sz w:val="18"/>
      <w:szCs w:val="18"/>
    </w:rPr>
  </w:style>
  <w:style w:type="paragraph" w:styleId="25">
    <w:name w:val="header"/>
    <w:basedOn w:val="1"/>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styleId="26">
    <w:name w:val="toc 1"/>
    <w:basedOn w:val="1"/>
    <w:next w:val="1"/>
    <w:qFormat/>
    <w:uiPriority w:val="39"/>
    <w:pPr>
      <w:spacing w:before="120" w:after="120"/>
      <w:jc w:val="left"/>
    </w:pPr>
    <w:rPr>
      <w:rFonts w:ascii="Calibri" w:hAnsi="Calibri" w:cs="Calibri"/>
      <w:b/>
      <w:bCs/>
      <w:caps/>
      <w:sz w:val="20"/>
      <w:szCs w:val="20"/>
    </w:rPr>
  </w:style>
  <w:style w:type="paragraph" w:styleId="27">
    <w:name w:val="toc 4"/>
    <w:basedOn w:val="1"/>
    <w:next w:val="1"/>
    <w:qFormat/>
    <w:uiPriority w:val="0"/>
    <w:pPr>
      <w:ind w:left="1260" w:leftChars="600"/>
    </w:pPr>
  </w:style>
  <w:style w:type="paragraph" w:styleId="28">
    <w:name w:val="index heading"/>
    <w:basedOn w:val="1"/>
    <w:next w:val="29"/>
    <w:qFormat/>
    <w:uiPriority w:val="0"/>
    <w:rPr>
      <w:szCs w:val="20"/>
    </w:rPr>
  </w:style>
  <w:style w:type="paragraph" w:styleId="29">
    <w:name w:val="index 1"/>
    <w:basedOn w:val="1"/>
    <w:next w:val="1"/>
    <w:qFormat/>
    <w:uiPriority w:val="0"/>
    <w:pPr>
      <w:adjustRightInd w:val="0"/>
      <w:spacing w:before="60"/>
      <w:textAlignment w:val="baseline"/>
    </w:pPr>
    <w:rPr>
      <w:sz w:val="24"/>
      <w:szCs w:val="20"/>
    </w:rPr>
  </w:style>
  <w:style w:type="paragraph" w:styleId="30">
    <w:name w:val="Subtitle"/>
    <w:basedOn w:val="1"/>
    <w:qFormat/>
    <w:uiPriority w:val="0"/>
    <w:pPr>
      <w:adjustRightInd w:val="0"/>
      <w:spacing w:line="360" w:lineRule="auto"/>
      <w:jc w:val="left"/>
      <w:textAlignment w:val="baseline"/>
      <w:outlineLvl w:val="1"/>
    </w:pPr>
    <w:rPr>
      <w:rFonts w:ascii="Arial" w:hAnsi="Arial" w:eastAsia="Times New Roman" w:cs="Arial"/>
      <w:b/>
      <w:bCs/>
      <w:kern w:val="28"/>
      <w:sz w:val="28"/>
      <w:szCs w:val="32"/>
    </w:rPr>
  </w:style>
  <w:style w:type="paragraph" w:styleId="31">
    <w:name w:val="List"/>
    <w:basedOn w:val="1"/>
    <w:next w:val="1"/>
    <w:qFormat/>
    <w:uiPriority w:val="99"/>
    <w:pPr>
      <w:ind w:left="200" w:hanging="200" w:hangingChars="200"/>
    </w:pPr>
    <w:rPr>
      <w:szCs w:val="20"/>
    </w:rPr>
  </w:style>
  <w:style w:type="paragraph" w:styleId="32">
    <w:name w:val="Body Text Indent 3"/>
    <w:basedOn w:val="1"/>
    <w:qFormat/>
    <w:uiPriority w:val="0"/>
    <w:pPr>
      <w:spacing w:line="360" w:lineRule="auto"/>
      <w:ind w:firstLine="480" w:firstLineChars="200"/>
    </w:pPr>
    <w:rPr>
      <w:rFonts w:ascii="宋体"/>
      <w:sz w:val="24"/>
    </w:rPr>
  </w:style>
  <w:style w:type="paragraph" w:styleId="33">
    <w:name w:val="table of figures"/>
    <w:basedOn w:val="1"/>
    <w:next w:val="1"/>
    <w:semiHidden/>
    <w:qFormat/>
    <w:uiPriority w:val="0"/>
    <w:pPr>
      <w:ind w:left="200" w:leftChars="200" w:hanging="200" w:hangingChars="200"/>
    </w:pPr>
  </w:style>
  <w:style w:type="paragraph" w:styleId="34">
    <w:name w:val="toc 2"/>
    <w:basedOn w:val="1"/>
    <w:next w:val="1"/>
    <w:qFormat/>
    <w:uiPriority w:val="39"/>
    <w:pPr>
      <w:ind w:left="240"/>
      <w:jc w:val="left"/>
    </w:pPr>
    <w:rPr>
      <w:rFonts w:ascii="Calibri" w:hAnsi="Calibri" w:cs="Calibri"/>
      <w:smallCaps/>
      <w:sz w:val="20"/>
      <w:szCs w:val="20"/>
    </w:rPr>
  </w:style>
  <w:style w:type="paragraph" w:styleId="35">
    <w:name w:val="Body Text 2"/>
    <w:basedOn w:val="1"/>
    <w:qFormat/>
    <w:uiPriority w:val="0"/>
    <w:pPr>
      <w:spacing w:after="120" w:line="480" w:lineRule="auto"/>
    </w:pPr>
  </w:style>
  <w:style w:type="paragraph" w:styleId="3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7">
    <w:name w:val="Normal (Web)"/>
    <w:basedOn w:val="1"/>
    <w:qFormat/>
    <w:uiPriority w:val="99"/>
  </w:style>
  <w:style w:type="paragraph" w:styleId="38">
    <w:name w:val="Title"/>
    <w:basedOn w:val="1"/>
    <w:next w:val="1"/>
    <w:qFormat/>
    <w:uiPriority w:val="0"/>
    <w:pPr>
      <w:spacing w:before="240" w:after="60"/>
      <w:jc w:val="center"/>
      <w:outlineLvl w:val="0"/>
    </w:pPr>
    <w:rPr>
      <w:rFonts w:ascii="Cambria" w:hAnsi="Cambria"/>
      <w:b/>
      <w:bCs/>
      <w:sz w:val="32"/>
      <w:szCs w:val="32"/>
    </w:rPr>
  </w:style>
  <w:style w:type="paragraph" w:styleId="39">
    <w:name w:val="annotation subject"/>
    <w:basedOn w:val="12"/>
    <w:next w:val="12"/>
    <w:link w:val="100"/>
    <w:qFormat/>
    <w:uiPriority w:val="0"/>
    <w:rPr>
      <w:b/>
      <w:bCs/>
    </w:rPr>
  </w:style>
  <w:style w:type="paragraph" w:styleId="40">
    <w:name w:val="Body Text First Indent 2"/>
    <w:basedOn w:val="16"/>
    <w:next w:val="2"/>
    <w:qFormat/>
    <w:uiPriority w:val="0"/>
    <w:pPr>
      <w:adjustRightInd/>
      <w:snapToGrid/>
      <w:spacing w:after="120" w:line="240" w:lineRule="auto"/>
      <w:ind w:left="420" w:leftChars="200" w:firstLine="420" w:firstLineChars="200"/>
    </w:pPr>
    <w:rPr>
      <w:bCs w:val="0"/>
      <w:kern w:val="2"/>
      <w:sz w:val="21"/>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basedOn w:val="43"/>
    <w:qFormat/>
    <w:uiPriority w:val="0"/>
    <w:rPr>
      <w:rFonts w:ascii="宋体" w:hAnsi="宋体" w:eastAsia="宋体" w:cs="宋体"/>
      <w:kern w:val="2"/>
      <w:sz w:val="24"/>
      <w:szCs w:val="24"/>
      <w:lang w:val="en-US" w:eastAsia="zh-CN" w:bidi="ar-SA"/>
    </w:rPr>
  </w:style>
  <w:style w:type="character" w:styleId="46">
    <w:name w:val="Emphasis"/>
    <w:basedOn w:val="43"/>
    <w:qFormat/>
    <w:uiPriority w:val="0"/>
    <w:rPr>
      <w:i/>
      <w:iCs/>
    </w:rPr>
  </w:style>
  <w:style w:type="character" w:styleId="47">
    <w:name w:val="Hyperlink"/>
    <w:basedOn w:val="43"/>
    <w:qFormat/>
    <w:uiPriority w:val="99"/>
    <w:rPr>
      <w:rFonts w:ascii="宋体" w:hAnsi="宋体" w:eastAsia="宋体" w:cs="宋体"/>
      <w:color w:val="0000FF"/>
      <w:kern w:val="2"/>
      <w:sz w:val="24"/>
      <w:szCs w:val="24"/>
      <w:u w:val="single"/>
      <w:lang w:val="en-US" w:eastAsia="zh-CN" w:bidi="ar-SA"/>
    </w:rPr>
  </w:style>
  <w:style w:type="character" w:styleId="48">
    <w:name w:val="annotation reference"/>
    <w:basedOn w:val="43"/>
    <w:qFormat/>
    <w:uiPriority w:val="0"/>
    <w:rPr>
      <w:sz w:val="21"/>
      <w:szCs w:val="21"/>
    </w:rPr>
  </w:style>
  <w:style w:type="paragraph" w:customStyle="1" w:styleId="49">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customStyle="1" w:styleId="50">
    <w:name w:val="文本"/>
    <w:basedOn w:val="1"/>
    <w:qFormat/>
    <w:uiPriority w:val="0"/>
    <w:pPr>
      <w:adjustRightInd w:val="0"/>
      <w:snapToGrid w:val="0"/>
      <w:spacing w:line="360" w:lineRule="auto"/>
      <w:ind w:firstLine="480" w:firstLineChars="200"/>
      <w:jc w:val="left"/>
    </w:pPr>
    <w:rPr>
      <w:sz w:val="24"/>
      <w:szCs w:val="24"/>
    </w:rPr>
  </w:style>
  <w:style w:type="paragraph" w:customStyle="1" w:styleId="51">
    <w:name w:val="Default"/>
    <w:basedOn w:val="52"/>
    <w:next w:val="1"/>
    <w:link w:val="23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2">
    <w:name w:val="标题 段落4级"/>
    <w:basedOn w:val="53"/>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53">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54">
    <w:name w:val="纯文本1"/>
    <w:basedOn w:val="1"/>
    <w:qFormat/>
    <w:uiPriority w:val="0"/>
    <w:rPr>
      <w:rFonts w:ascii="宋体" w:hAnsi="Courier New"/>
      <w:kern w:val="0"/>
      <w:sz w:val="20"/>
      <w:szCs w:val="20"/>
    </w:rPr>
  </w:style>
  <w:style w:type="paragraph" w:customStyle="1" w:styleId="55">
    <w:name w:val="引用1"/>
    <w:basedOn w:val="1"/>
    <w:next w:val="1"/>
    <w:qFormat/>
    <w:uiPriority w:val="0"/>
    <w:rPr>
      <w:rFonts w:ascii="Calibri" w:hAnsi="Calibri" w:eastAsia="宋体" w:cs="Times New Roman"/>
      <w:i/>
      <w:iCs/>
      <w:color w:val="000000"/>
    </w:rPr>
  </w:style>
  <w:style w:type="paragraph" w:styleId="56">
    <w:name w:val="No Spacing"/>
    <w:basedOn w:val="1"/>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57">
    <w:name w:val="a-文本缩2"/>
    <w:next w:val="1"/>
    <w:qFormat/>
    <w:uiPriority w:val="0"/>
    <w:pPr>
      <w:widowControl/>
      <w:autoSpaceDE/>
      <w:autoSpaceDN/>
      <w:spacing w:before="0" w:after="0" w:line="360" w:lineRule="auto"/>
      <w:ind w:left="200" w:firstLine="4296"/>
      <w:jc w:val="both"/>
    </w:pPr>
    <w:rPr>
      <w:rFonts w:ascii="Times New Roman" w:hAnsi="Times New Roman" w:eastAsia="宋体" w:cs="Times New Roman"/>
    </w:rPr>
  </w:style>
  <w:style w:type="paragraph" w:customStyle="1" w:styleId="58">
    <w:name w:val="样式 标题 2"/>
    <w:basedOn w:val="4"/>
    <w:qFormat/>
    <w:uiPriority w:val="0"/>
    <w:pPr>
      <w:spacing w:before="50" w:after="50"/>
      <w:jc w:val="both"/>
    </w:pPr>
    <w:rPr>
      <w:szCs w:val="28"/>
    </w:rPr>
  </w:style>
  <w:style w:type="paragraph" w:customStyle="1" w:styleId="59">
    <w:name w:val="简单回函地址"/>
    <w:basedOn w:val="1"/>
    <w:next w:val="60"/>
    <w:qFormat/>
    <w:uiPriority w:val="0"/>
    <w:rPr>
      <w:szCs w:val="20"/>
    </w:rPr>
  </w:style>
  <w:style w:type="paragraph" w:customStyle="1" w:styleId="60">
    <w:name w:val="正文2"/>
    <w:basedOn w:val="1"/>
    <w:qFormat/>
    <w:uiPriority w:val="0"/>
    <w:pPr>
      <w:ind w:firstLine="200"/>
    </w:pPr>
  </w:style>
  <w:style w:type="paragraph" w:customStyle="1" w:styleId="6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2">
    <w:name w:val="样式1"/>
    <w:basedOn w:val="28"/>
    <w:next w:val="10"/>
    <w:qFormat/>
    <w:uiPriority w:val="0"/>
    <w:pPr>
      <w:tabs>
        <w:tab w:val="left" w:pos="864"/>
      </w:tabs>
      <w:ind w:left="90" w:leftChars="32"/>
    </w:pPr>
    <w:rPr>
      <w:rFonts w:ascii="宋体" w:hAnsi="宋体"/>
      <w:sz w:val="23"/>
      <w:szCs w:val="20"/>
    </w:rPr>
  </w:style>
  <w:style w:type="paragraph" w:customStyle="1" w:styleId="63">
    <w:name w:val="样式 正文文本缩进 + Times New Roman"/>
    <w:basedOn w:val="16"/>
    <w:next w:val="1"/>
    <w:qFormat/>
    <w:uiPriority w:val="0"/>
    <w:pPr>
      <w:tabs>
        <w:tab w:val="left" w:pos="7654"/>
      </w:tabs>
      <w:autoSpaceDE w:val="0"/>
      <w:autoSpaceDN w:val="0"/>
      <w:snapToGrid w:val="0"/>
      <w:ind w:firstLine="560"/>
    </w:pPr>
    <w:rPr>
      <w:szCs w:val="28"/>
    </w:rPr>
  </w:style>
  <w:style w:type="paragraph" w:customStyle="1" w:styleId="64">
    <w:name w:val="样式5"/>
    <w:basedOn w:val="65"/>
    <w:link w:val="286"/>
    <w:qFormat/>
    <w:uiPriority w:val="0"/>
    <w:pPr>
      <w:spacing w:line="360" w:lineRule="auto"/>
      <w:ind w:firstLine="1446" w:firstLineChars="200"/>
      <w:jc w:val="both"/>
    </w:pPr>
    <w:rPr>
      <w:sz w:val="24"/>
    </w:rPr>
  </w:style>
  <w:style w:type="paragraph" w:customStyle="1" w:styleId="65">
    <w:name w:val="样式3"/>
    <w:basedOn w:val="31"/>
    <w:next w:val="62"/>
    <w:qFormat/>
    <w:uiPriority w:val="0"/>
    <w:pPr>
      <w:snapToGrid/>
      <w:spacing w:line="520" w:lineRule="atLeast"/>
      <w:ind w:firstLine="560"/>
      <w:jc w:val="left"/>
    </w:pPr>
    <w:rPr>
      <w:kern w:val="0"/>
      <w:sz w:val="28"/>
    </w:rPr>
  </w:style>
  <w:style w:type="paragraph" w:customStyle="1" w:styleId="66">
    <w:name w:val="样式 标题 4 + 段前: 0.5 行 段后: 0.5 行"/>
    <w:basedOn w:val="6"/>
    <w:qFormat/>
    <w:uiPriority w:val="0"/>
    <w:pPr>
      <w:numPr>
        <w:ilvl w:val="0"/>
        <w:numId w:val="0"/>
      </w:numPr>
      <w:spacing w:line="440" w:lineRule="exact"/>
    </w:pPr>
    <w:rPr>
      <w:rFonts w:eastAsia="华文中宋" w:cs="宋体"/>
      <w:szCs w:val="24"/>
    </w:rPr>
  </w:style>
  <w:style w:type="paragraph" w:customStyle="1" w:styleId="67">
    <w:name w:val="Default1"/>
    <w:basedOn w:val="68"/>
    <w:next w:val="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68">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69">
    <w:name w:val="Char4 Char Char Char Char Char Char1"/>
    <w:basedOn w:val="1"/>
    <w:qFormat/>
    <w:uiPriority w:val="0"/>
    <w:pPr>
      <w:spacing w:line="360" w:lineRule="auto"/>
      <w:ind w:firstLine="200" w:firstLineChars="200"/>
    </w:pPr>
    <w:rPr>
      <w:rFonts w:ascii="宋体" w:cs="宋体"/>
      <w:sz w:val="24"/>
    </w:rPr>
  </w:style>
  <w:style w:type="paragraph" w:customStyle="1" w:styleId="70">
    <w:name w:val="0正文"/>
    <w:basedOn w:val="16"/>
    <w:unhideWhenUsed/>
    <w:qFormat/>
    <w:uiPriority w:val="0"/>
    <w:pPr>
      <w:ind w:firstLine="720"/>
    </w:pPr>
  </w:style>
  <w:style w:type="paragraph" w:customStyle="1" w:styleId="71">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72">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73">
    <w:name w:val="报告"/>
    <w:basedOn w:val="1"/>
    <w:qFormat/>
    <w:uiPriority w:val="0"/>
    <w:pPr>
      <w:adjustRightInd w:val="0"/>
      <w:spacing w:line="360" w:lineRule="auto"/>
      <w:ind w:firstLine="505"/>
      <w:textAlignment w:val="baseline"/>
    </w:pPr>
    <w:rPr>
      <w:kern w:val="0"/>
      <w:szCs w:val="20"/>
    </w:rPr>
  </w:style>
  <w:style w:type="paragraph" w:customStyle="1" w:styleId="74">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75">
    <w:name w:val="fontstyle11"/>
    <w:qFormat/>
    <w:uiPriority w:val="0"/>
    <w:rPr>
      <w:rFonts w:ascii="TimesNewRomanPSMT" w:hAnsi="TimesNewRomanPSMT" w:eastAsia="TimesNewRomanPSMT" w:cs="TimesNewRomanPSMT"/>
      <w:color w:val="000000"/>
      <w:kern w:val="0"/>
      <w:sz w:val="24"/>
      <w:szCs w:val="24"/>
    </w:rPr>
  </w:style>
  <w:style w:type="table" w:customStyle="1" w:styleId="76">
    <w:name w:val="报告表格式新建"/>
    <w:basedOn w:val="41"/>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77">
    <w:name w:val="样式 首行缩进:  2 字符"/>
    <w:basedOn w:val="1"/>
    <w:qFormat/>
    <w:uiPriority w:val="0"/>
    <w:pPr>
      <w:ind w:right="11" w:firstLine="480" w:firstLineChars="200"/>
    </w:pPr>
    <w:rPr>
      <w:bCs/>
    </w:rPr>
  </w:style>
  <w:style w:type="paragraph" w:customStyle="1" w:styleId="78">
    <w:name w:val="1文章"/>
    <w:basedOn w:val="1"/>
    <w:qFormat/>
    <w:uiPriority w:val="0"/>
    <w:pPr>
      <w:snapToGrid w:val="0"/>
      <w:spacing w:line="360" w:lineRule="auto"/>
      <w:ind w:firstLine="573"/>
    </w:pPr>
    <w:rPr>
      <w:rFonts w:eastAsia="仿宋_GB2312"/>
      <w:sz w:val="28"/>
    </w:rPr>
  </w:style>
  <w:style w:type="paragraph" w:customStyle="1" w:styleId="79">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80">
    <w:name w:val="填表内容"/>
    <w:basedOn w:val="1"/>
    <w:qFormat/>
    <w:uiPriority w:val="0"/>
    <w:pPr>
      <w:adjustRightInd w:val="0"/>
      <w:jc w:val="center"/>
    </w:pPr>
    <w:rPr>
      <w:kern w:val="0"/>
      <w:sz w:val="21"/>
      <w:szCs w:val="20"/>
    </w:rPr>
  </w:style>
  <w:style w:type="character" w:customStyle="1" w:styleId="81">
    <w:name w:val="fontstyle01"/>
    <w:basedOn w:val="43"/>
    <w:qFormat/>
    <w:uiPriority w:val="0"/>
    <w:rPr>
      <w:rFonts w:ascii="宋体" w:hAnsi="宋体" w:eastAsia="宋体" w:cs="宋体"/>
      <w:color w:val="000000"/>
      <w:kern w:val="0"/>
      <w:sz w:val="24"/>
      <w:szCs w:val="24"/>
    </w:rPr>
  </w:style>
  <w:style w:type="paragraph" w:customStyle="1" w:styleId="82">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83">
    <w:name w:val="列表段落1"/>
    <w:basedOn w:val="1"/>
    <w:qFormat/>
    <w:uiPriority w:val="0"/>
    <w:pPr>
      <w:ind w:firstLine="420" w:firstLineChars="200"/>
    </w:pPr>
    <w:rPr>
      <w:rFonts w:ascii="Calibri" w:hAnsi="Calibri"/>
      <w:szCs w:val="22"/>
    </w:rPr>
  </w:style>
  <w:style w:type="paragraph" w:customStyle="1" w:styleId="84">
    <w:name w:val="Zw"/>
    <w:basedOn w:val="1"/>
    <w:next w:val="1"/>
    <w:qFormat/>
    <w:uiPriority w:val="0"/>
    <w:pPr>
      <w:spacing w:line="360" w:lineRule="auto"/>
      <w:ind w:firstLine="200" w:firstLineChars="200"/>
    </w:pPr>
    <w:rPr>
      <w:rFonts w:ascii="宋体" w:hAnsi="宋体" w:cs="宋体"/>
    </w:rPr>
  </w:style>
  <w:style w:type="character" w:customStyle="1" w:styleId="85">
    <w:name w:val="fontstyle21"/>
    <w:basedOn w:val="43"/>
    <w:qFormat/>
    <w:uiPriority w:val="0"/>
    <w:rPr>
      <w:rFonts w:ascii="TimesNewRomanPSMT" w:hAnsi="TimesNewRomanPSMT" w:eastAsia="TimesNewRomanPSMT" w:cs="TimesNewRomanPSMT"/>
      <w:color w:val="000000"/>
      <w:kern w:val="0"/>
      <w:sz w:val="24"/>
      <w:szCs w:val="24"/>
    </w:rPr>
  </w:style>
  <w:style w:type="paragraph" w:customStyle="1" w:styleId="86">
    <w:name w:val="样式2"/>
    <w:basedOn w:val="4"/>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87">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88">
    <w:name w:val="正文缩进 字符"/>
    <w:link w:val="8"/>
    <w:qFormat/>
    <w:uiPriority w:val="0"/>
    <w:rPr>
      <w:szCs w:val="20"/>
    </w:rPr>
  </w:style>
  <w:style w:type="paragraph" w:customStyle="1" w:styleId="89">
    <w:name w:val="表格标题"/>
    <w:basedOn w:val="9"/>
    <w:link w:val="367"/>
    <w:qFormat/>
    <w:uiPriority w:val="0"/>
    <w:pPr>
      <w:spacing w:before="120"/>
    </w:pPr>
    <w:rPr>
      <w:rFonts w:eastAsia="仿宋_GB2312"/>
    </w:rPr>
  </w:style>
  <w:style w:type="paragraph" w:customStyle="1" w:styleId="90">
    <w:name w:val="表格内容"/>
    <w:basedOn w:val="89"/>
    <w:next w:val="1"/>
    <w:link w:val="281"/>
    <w:qFormat/>
    <w:uiPriority w:val="0"/>
    <w:pPr>
      <w:spacing w:line="360" w:lineRule="auto"/>
      <w:jc w:val="center"/>
    </w:pPr>
    <w:rPr>
      <w:color w:val="000000"/>
    </w:rPr>
  </w:style>
  <w:style w:type="paragraph" w:customStyle="1" w:styleId="91">
    <w:name w:val="我的正文"/>
    <w:basedOn w:val="1"/>
    <w:qFormat/>
    <w:uiPriority w:val="0"/>
    <w:pPr>
      <w:widowControl/>
      <w:kinsoku w:val="0"/>
      <w:overflowPunct w:val="0"/>
      <w:autoSpaceDE w:val="0"/>
      <w:autoSpaceDN w:val="0"/>
      <w:spacing w:line="360" w:lineRule="auto"/>
      <w:ind w:firstLine="200" w:firstLineChars="200"/>
    </w:pPr>
    <w:rPr>
      <w:sz w:val="24"/>
    </w:rPr>
  </w:style>
  <w:style w:type="paragraph" w:customStyle="1" w:styleId="92">
    <w:name w:val="表格文字"/>
    <w:basedOn w:val="93"/>
    <w:next w:val="1"/>
    <w:qFormat/>
    <w:uiPriority w:val="99"/>
    <w:pPr>
      <w:tabs>
        <w:tab w:val="left" w:pos="7590"/>
      </w:tabs>
      <w:snapToGrid w:val="0"/>
      <w:jc w:val="center"/>
    </w:pPr>
    <w:rPr>
      <w:sz w:val="21"/>
      <w:lang w:val="zh-CN"/>
    </w:rPr>
  </w:style>
  <w:style w:type="paragraph" w:customStyle="1" w:styleId="93">
    <w:name w:val="正文1"/>
    <w:basedOn w:val="51"/>
    <w:qFormat/>
    <w:uiPriority w:val="0"/>
    <w:pPr>
      <w:adjustRightInd w:val="0"/>
      <w:snapToGrid w:val="0"/>
    </w:pPr>
  </w:style>
  <w:style w:type="paragraph" w:customStyle="1" w:styleId="94">
    <w:name w:val="表格文字2"/>
    <w:basedOn w:val="92"/>
    <w:qFormat/>
    <w:uiPriority w:val="0"/>
    <w:pPr>
      <w:spacing w:before="60"/>
    </w:pPr>
  </w:style>
  <w:style w:type="paragraph" w:customStyle="1" w:styleId="95">
    <w:name w:val="标题1"/>
    <w:basedOn w:val="1"/>
    <w:next w:val="1"/>
    <w:qFormat/>
    <w:uiPriority w:val="0"/>
    <w:pPr>
      <w:spacing w:line="500" w:lineRule="exact"/>
    </w:pPr>
    <w:rPr>
      <w:rFonts w:eastAsia="楷体_GB2312"/>
      <w:b/>
      <w:color w:val="000000"/>
      <w:spacing w:val="10"/>
      <w:sz w:val="28"/>
    </w:rPr>
  </w:style>
  <w:style w:type="paragraph" w:customStyle="1" w:styleId="96">
    <w:name w:val="正文-蓝色"/>
    <w:basedOn w:val="97"/>
    <w:qFormat/>
    <w:uiPriority w:val="0"/>
    <w:pPr>
      <w:ind w:firstLine="480"/>
    </w:pPr>
    <w:rPr>
      <w:color w:val="0000FF"/>
    </w:rPr>
  </w:style>
  <w:style w:type="paragraph" w:customStyle="1" w:styleId="97">
    <w:name w:val="正文-欣欣"/>
    <w:basedOn w:val="1"/>
    <w:next w:val="1"/>
    <w:qFormat/>
    <w:uiPriority w:val="0"/>
    <w:pPr>
      <w:ind w:firstLine="200" w:firstLineChars="200"/>
    </w:pPr>
    <w:rPr>
      <w:rFonts w:cs="Courier New"/>
      <w:szCs w:val="21"/>
    </w:rPr>
  </w:style>
  <w:style w:type="paragraph" w:customStyle="1" w:styleId="98">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99">
    <w:name w:val="批注文字 字符"/>
    <w:basedOn w:val="43"/>
    <w:link w:val="12"/>
    <w:qFormat/>
    <w:uiPriority w:val="0"/>
    <w:rPr>
      <w:kern w:val="2"/>
      <w:sz w:val="24"/>
      <w:szCs w:val="24"/>
    </w:rPr>
  </w:style>
  <w:style w:type="character" w:customStyle="1" w:styleId="100">
    <w:name w:val="批注主题 字符"/>
    <w:basedOn w:val="99"/>
    <w:link w:val="39"/>
    <w:qFormat/>
    <w:uiPriority w:val="0"/>
    <w:rPr>
      <w:b/>
      <w:bCs/>
      <w:kern w:val="2"/>
      <w:sz w:val="24"/>
      <w:szCs w:val="24"/>
    </w:rPr>
  </w:style>
  <w:style w:type="paragraph" w:customStyle="1" w:styleId="101">
    <w:name w:val="WPSOffice手动目录 1"/>
    <w:qFormat/>
    <w:uiPriority w:val="0"/>
    <w:pPr>
      <w:ind w:leftChars="0"/>
    </w:pPr>
    <w:rPr>
      <w:rFonts w:ascii="Times New Roman" w:hAnsi="Times New Roman" w:eastAsia="宋体" w:cs="Times New Roman"/>
      <w:sz w:val="20"/>
      <w:szCs w:val="20"/>
    </w:rPr>
  </w:style>
  <w:style w:type="paragraph" w:customStyle="1" w:styleId="102">
    <w:name w:val="WPSOffice手动目录 2"/>
    <w:qFormat/>
    <w:uiPriority w:val="0"/>
    <w:pPr>
      <w:ind w:leftChars="200"/>
    </w:pPr>
    <w:rPr>
      <w:rFonts w:ascii="Times New Roman" w:hAnsi="Times New Roman" w:eastAsia="宋体" w:cs="Times New Roman"/>
      <w:sz w:val="20"/>
      <w:szCs w:val="20"/>
    </w:rPr>
  </w:style>
  <w:style w:type="paragraph" w:customStyle="1" w:styleId="103">
    <w:name w:val="正文文本缩进1"/>
    <w:basedOn w:val="1"/>
    <w:qFormat/>
    <w:uiPriority w:val="0"/>
    <w:pPr>
      <w:spacing w:after="120"/>
      <w:ind w:left="420" w:leftChars="200"/>
    </w:pPr>
    <w:rPr>
      <w:kern w:val="0"/>
      <w:sz w:val="20"/>
    </w:rPr>
  </w:style>
  <w:style w:type="character" w:customStyle="1" w:styleId="104">
    <w:name w:val="标题 1 Char"/>
    <w:link w:val="3"/>
    <w:qFormat/>
    <w:uiPriority w:val="0"/>
    <w:rPr>
      <w:rFonts w:ascii="黑体" w:hAnsi="黑体" w:eastAsia="黑体"/>
      <w:b/>
      <w:snapToGrid w:val="0"/>
      <w:color w:val="000000"/>
      <w:sz w:val="32"/>
    </w:rPr>
  </w:style>
  <w:style w:type="paragraph" w:customStyle="1" w:styleId="105">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customStyle="1" w:styleId="106">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107">
    <w:name w:val="font61"/>
    <w:basedOn w:val="43"/>
    <w:qFormat/>
    <w:uiPriority w:val="0"/>
    <w:rPr>
      <w:rFonts w:hint="eastAsia" w:ascii="宋体" w:hAnsi="宋体" w:eastAsia="宋体" w:cs="宋体"/>
      <w:color w:val="000000"/>
      <w:sz w:val="20"/>
      <w:szCs w:val="20"/>
      <w:u w:val="none"/>
    </w:rPr>
  </w:style>
  <w:style w:type="paragraph" w:customStyle="1" w:styleId="108">
    <w:name w:val="表头"/>
    <w:basedOn w:val="19"/>
    <w:next w:val="1"/>
    <w:qFormat/>
    <w:uiPriority w:val="0"/>
    <w:pPr>
      <w:widowControl/>
      <w:ind w:firstLine="0" w:firstLineChars="0"/>
      <w:jc w:val="center"/>
    </w:pPr>
    <w:rPr>
      <w:b/>
      <w:kern w:val="0"/>
      <w:sz w:val="20"/>
      <w:szCs w:val="20"/>
    </w:rPr>
  </w:style>
  <w:style w:type="paragraph" w:customStyle="1" w:styleId="109">
    <w:name w:val="表格"/>
    <w:basedOn w:val="92"/>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110">
    <w:name w:val="表格内容数据报告"/>
    <w:basedOn w:val="1"/>
    <w:qFormat/>
    <w:uiPriority w:val="0"/>
    <w:pPr>
      <w:jc w:val="center"/>
      <w:textAlignment w:val="baseline"/>
    </w:pPr>
    <w:rPr>
      <w:rFonts w:ascii="Calibri" w:hAnsi="Calibri" w:cs="黑体"/>
      <w:kern w:val="0"/>
      <w:sz w:val="18"/>
      <w:szCs w:val="20"/>
    </w:rPr>
  </w:style>
  <w:style w:type="paragraph" w:customStyle="1" w:styleId="111">
    <w:name w:val="表格内表格正文"/>
    <w:basedOn w:val="112"/>
    <w:qFormat/>
    <w:uiPriority w:val="0"/>
    <w:pPr>
      <w:spacing w:line="240" w:lineRule="auto"/>
      <w:ind w:firstLine="0"/>
      <w:jc w:val="center"/>
    </w:pPr>
    <w:rPr>
      <w:spacing w:val="0"/>
      <w:sz w:val="21"/>
      <w:szCs w:val="21"/>
    </w:rPr>
  </w:style>
  <w:style w:type="paragraph" w:customStyle="1" w:styleId="112">
    <w:name w:val="表格内正文"/>
    <w:basedOn w:val="1"/>
    <w:next w:val="113"/>
    <w:qFormat/>
    <w:uiPriority w:val="0"/>
    <w:pPr>
      <w:spacing w:line="360" w:lineRule="auto"/>
      <w:ind w:firstLine="493"/>
    </w:pPr>
    <w:rPr>
      <w:rFonts w:ascii="宋体" w:hAnsi="宋体"/>
      <w:spacing w:val="4"/>
      <w:kern w:val="18"/>
      <w:sz w:val="24"/>
    </w:rPr>
  </w:style>
  <w:style w:type="paragraph" w:customStyle="1" w:styleId="113">
    <w:name w:val="A 正文"/>
    <w:basedOn w:val="1"/>
    <w:next w:val="1"/>
    <w:qFormat/>
    <w:uiPriority w:val="0"/>
    <w:pPr>
      <w:spacing w:line="360" w:lineRule="auto"/>
      <w:ind w:firstLine="200" w:firstLineChars="200"/>
    </w:pPr>
    <w:rPr>
      <w:sz w:val="24"/>
    </w:rPr>
  </w:style>
  <w:style w:type="paragraph" w:customStyle="1" w:styleId="114">
    <w:name w:val="表格式"/>
    <w:basedOn w:val="115"/>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115">
    <w:name w:val="列表1"/>
    <w:basedOn w:val="1"/>
    <w:qFormat/>
    <w:uiPriority w:val="0"/>
    <w:pPr>
      <w:ind w:left="200" w:hanging="200" w:hangingChars="200"/>
    </w:pPr>
  </w:style>
  <w:style w:type="paragraph" w:customStyle="1" w:styleId="116">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17">
    <w:name w:val="0表格"/>
    <w:basedOn w:val="1"/>
    <w:qFormat/>
    <w:uiPriority w:val="0"/>
    <w:pPr>
      <w:widowControl/>
      <w:jc w:val="center"/>
    </w:pPr>
    <w:rPr>
      <w:kern w:val="0"/>
      <w:szCs w:val="21"/>
    </w:rPr>
  </w:style>
  <w:style w:type="character" w:customStyle="1" w:styleId="118">
    <w:name w:val="标题 5 Char"/>
    <w:link w:val="7"/>
    <w:qFormat/>
    <w:uiPriority w:val="0"/>
    <w:rPr>
      <w:b/>
      <w:bCs/>
      <w:sz w:val="21"/>
      <w:szCs w:val="28"/>
    </w:rPr>
  </w:style>
  <w:style w:type="paragraph" w:customStyle="1" w:styleId="119">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120">
    <w:name w:val="【表中文字】"/>
    <w:basedOn w:val="1"/>
    <w:qFormat/>
    <w:uiPriority w:val="0"/>
    <w:pPr>
      <w:adjustRightInd w:val="0"/>
      <w:snapToGrid w:val="0"/>
      <w:jc w:val="center"/>
    </w:pPr>
    <w:rPr>
      <w:kern w:val="0"/>
      <w:sz w:val="20"/>
      <w:szCs w:val="20"/>
    </w:rPr>
  </w:style>
  <w:style w:type="paragraph" w:customStyle="1" w:styleId="121">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122">
    <w:name w:val="p0"/>
    <w:basedOn w:val="1"/>
    <w:qFormat/>
    <w:uiPriority w:val="0"/>
    <w:pPr>
      <w:widowControl/>
      <w:spacing w:before="100" w:beforeAutospacing="1" w:after="100" w:afterAutospacing="1"/>
      <w:jc w:val="left"/>
    </w:pPr>
    <w:rPr>
      <w:rFonts w:ascii="宋体" w:hAnsi="宋体" w:cs="宋体"/>
      <w:kern w:val="0"/>
    </w:rPr>
  </w:style>
  <w:style w:type="paragraph" w:customStyle="1" w:styleId="123">
    <w:name w:val="表头样式"/>
    <w:basedOn w:val="1"/>
    <w:qFormat/>
    <w:uiPriority w:val="0"/>
    <w:pPr>
      <w:spacing w:beforeLines="50" w:afterLines="50"/>
      <w:jc w:val="center"/>
    </w:pPr>
    <w:rPr>
      <w:b/>
      <w:szCs w:val="21"/>
    </w:rPr>
  </w:style>
  <w:style w:type="paragraph" w:customStyle="1" w:styleId="124">
    <w:name w:val="正文01"/>
    <w:basedOn w:val="1"/>
    <w:link w:val="147"/>
    <w:qFormat/>
    <w:uiPriority w:val="0"/>
    <w:pPr>
      <w:ind w:firstLine="482"/>
    </w:pPr>
    <w:rPr>
      <w:szCs w:val="20"/>
    </w:rPr>
  </w:style>
  <w:style w:type="paragraph" w:customStyle="1" w:styleId="125">
    <w:name w:val="【正文】"/>
    <w:basedOn w:val="1"/>
    <w:link w:val="424"/>
    <w:qFormat/>
    <w:uiPriority w:val="0"/>
    <w:pPr>
      <w:spacing w:line="440" w:lineRule="exact"/>
      <w:ind w:firstLine="544" w:firstLineChars="200"/>
    </w:pPr>
    <w:rPr>
      <w:sz w:val="24"/>
      <w:szCs w:val="20"/>
    </w:rPr>
  </w:style>
  <w:style w:type="paragraph" w:customStyle="1" w:styleId="126">
    <w:name w:val="fcc正文"/>
    <w:basedOn w:val="1"/>
    <w:qFormat/>
    <w:uiPriority w:val="0"/>
    <w:pPr>
      <w:ind w:firstLine="200" w:firstLineChars="200"/>
    </w:pPr>
    <w:rPr>
      <w:rFonts w:ascii="Calibri" w:hAnsi="Calibri" w:cs="Times New Roman"/>
      <w:szCs w:val="20"/>
      <w:lang w:val="zh-CN"/>
    </w:rPr>
  </w:style>
  <w:style w:type="character" w:customStyle="1" w:styleId="127">
    <w:name w:val="页码1"/>
    <w:basedOn w:val="43"/>
    <w:qFormat/>
    <w:uiPriority w:val="0"/>
  </w:style>
  <w:style w:type="paragraph" w:customStyle="1" w:styleId="128">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29">
    <w:name w:val="Normal (Web)"/>
    <w:basedOn w:val="1"/>
    <w:qFormat/>
    <w:uiPriority w:val="0"/>
    <w:pPr>
      <w:spacing w:before="100" w:beforeAutospacing="1" w:after="100" w:afterAutospacing="1"/>
    </w:pPr>
    <w:rPr>
      <w:rFonts w:ascii="宋体" w:hAnsi="宋体" w:cs="宋体"/>
      <w:sz w:val="24"/>
    </w:rPr>
  </w:style>
  <w:style w:type="paragraph" w:customStyle="1" w:styleId="130">
    <w:name w:val="List Paragraph"/>
    <w:basedOn w:val="1"/>
    <w:qFormat/>
    <w:uiPriority w:val="0"/>
    <w:pPr>
      <w:autoSpaceDE w:val="0"/>
      <w:autoSpaceDN w:val="0"/>
      <w:jc w:val="center"/>
    </w:pPr>
    <w:rPr>
      <w:szCs w:val="20"/>
    </w:rPr>
  </w:style>
  <w:style w:type="paragraph" w:customStyle="1" w:styleId="131">
    <w:name w:val="正文-1"/>
    <w:link w:val="200"/>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32">
    <w:name w:val="表题"/>
    <w:basedOn w:val="31"/>
    <w:next w:val="109"/>
    <w:link w:val="197"/>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33">
    <w:name w:val="-正文"/>
    <w:basedOn w:val="1"/>
    <w:link w:val="198"/>
    <w:qFormat/>
    <w:uiPriority w:val="0"/>
    <w:pPr>
      <w:widowControl w:val="0"/>
      <w:spacing w:line="480" w:lineRule="exact"/>
      <w:ind w:firstLine="200" w:firstLineChars="200"/>
      <w:jc w:val="both"/>
    </w:pPr>
    <w:rPr>
      <w:rFonts w:cs="宋体"/>
      <w:kern w:val="2"/>
      <w:sz w:val="24"/>
    </w:rPr>
  </w:style>
  <w:style w:type="paragraph" w:customStyle="1" w:styleId="134">
    <w:name w:val="-表格"/>
    <w:basedOn w:val="109"/>
    <w:next w:val="1"/>
    <w:qFormat/>
    <w:uiPriority w:val="0"/>
    <w:pPr>
      <w:widowControl/>
      <w:tabs>
        <w:tab w:val="left" w:pos="3696"/>
      </w:tabs>
      <w:jc w:val="center"/>
    </w:pPr>
    <w:rPr>
      <w:rFonts w:ascii="宋体" w:hAnsi="宋体" w:cs="宋体"/>
      <w:snapToGrid w:val="0"/>
      <w:szCs w:val="20"/>
    </w:rPr>
  </w:style>
  <w:style w:type="paragraph" w:customStyle="1" w:styleId="135">
    <w:name w:val="GTR报告书表头"/>
    <w:basedOn w:val="1"/>
    <w:qFormat/>
    <w:uiPriority w:val="0"/>
    <w:pPr>
      <w:spacing w:line="500" w:lineRule="exact"/>
      <w:jc w:val="center"/>
    </w:pPr>
    <w:rPr>
      <w:rFonts w:eastAsia="黑体"/>
    </w:rPr>
  </w:style>
  <w:style w:type="paragraph" w:customStyle="1" w:styleId="136">
    <w:name w:val="GTR表格内容"/>
    <w:basedOn w:val="135"/>
    <w:qFormat/>
    <w:uiPriority w:val="0"/>
    <w:pPr>
      <w:spacing w:line="240" w:lineRule="auto"/>
    </w:pPr>
    <w:rPr>
      <w:rFonts w:eastAsia="宋体"/>
    </w:rPr>
  </w:style>
  <w:style w:type="paragraph" w:customStyle="1" w:styleId="137">
    <w:name w:val="小四正文格式"/>
    <w:basedOn w:val="1"/>
    <w:qFormat/>
    <w:uiPriority w:val="0"/>
    <w:pPr>
      <w:spacing w:line="360" w:lineRule="auto"/>
      <w:ind w:firstLine="200" w:firstLineChars="200"/>
    </w:pPr>
    <w:rPr>
      <w:rFonts w:ascii="宋体" w:hAnsi="宋体"/>
      <w:sz w:val="24"/>
    </w:rPr>
  </w:style>
  <w:style w:type="paragraph" w:customStyle="1" w:styleId="138">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39">
    <w:name w:val="表标题"/>
    <w:basedOn w:val="1"/>
    <w:next w:val="109"/>
    <w:semiHidden/>
    <w:qFormat/>
    <w:uiPriority w:val="0"/>
    <w:pPr>
      <w:adjustRightInd w:val="0"/>
      <w:jc w:val="center"/>
      <w:textAlignment w:val="baseline"/>
    </w:pPr>
    <w:rPr>
      <w:b/>
      <w:bCs/>
      <w:sz w:val="24"/>
      <w:szCs w:val="20"/>
    </w:rPr>
  </w:style>
  <w:style w:type="paragraph" w:customStyle="1" w:styleId="140">
    <w:name w:val=" Char Char Char Char Char Char Char Char Char1 Char Char Char Char"/>
    <w:basedOn w:val="1"/>
    <w:qFormat/>
    <w:uiPriority w:val="0"/>
    <w:rPr>
      <w:sz w:val="24"/>
    </w:rPr>
  </w:style>
  <w:style w:type="paragraph" w:customStyle="1" w:styleId="141">
    <w:name w:val="报告正文"/>
    <w:basedOn w:val="1"/>
    <w:link w:val="156"/>
    <w:semiHidden/>
    <w:qFormat/>
    <w:uiPriority w:val="0"/>
    <w:pPr>
      <w:adjustRightInd w:val="0"/>
      <w:snapToGrid w:val="0"/>
      <w:spacing w:line="480" w:lineRule="exact"/>
      <w:ind w:firstLine="560" w:firstLineChars="200"/>
    </w:pPr>
    <w:rPr>
      <w:sz w:val="28"/>
    </w:rPr>
  </w:style>
  <w:style w:type="paragraph" w:customStyle="1" w:styleId="142">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43">
    <w:name w:val="样式4"/>
    <w:basedOn w:val="1"/>
    <w:qFormat/>
    <w:uiPriority w:val="0"/>
    <w:pPr>
      <w:spacing w:line="440" w:lineRule="exact"/>
    </w:pPr>
    <w:rPr>
      <w:sz w:val="24"/>
      <w:szCs w:val="20"/>
    </w:rPr>
  </w:style>
  <w:style w:type="paragraph" w:customStyle="1" w:styleId="144">
    <w:name w:val="表格头"/>
    <w:basedOn w:val="1"/>
    <w:qFormat/>
    <w:uiPriority w:val="0"/>
    <w:pPr>
      <w:widowControl w:val="0"/>
      <w:jc w:val="center"/>
    </w:pPr>
    <w:rPr>
      <w:rFonts w:ascii="黑体" w:hAnsi="黑体"/>
      <w:b/>
      <w:sz w:val="21"/>
      <w:szCs w:val="24"/>
    </w:rPr>
  </w:style>
  <w:style w:type="paragraph" w:customStyle="1" w:styleId="145">
    <w:name w:val="-表题"/>
    <w:next w:val="133"/>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46">
    <w:name w:val="表中文字"/>
    <w:basedOn w:val="1"/>
    <w:qFormat/>
    <w:uiPriority w:val="0"/>
    <w:pPr>
      <w:widowControl w:val="0"/>
      <w:spacing w:line="300" w:lineRule="exact"/>
      <w:jc w:val="center"/>
    </w:pPr>
    <w:rPr>
      <w:color w:val="000000"/>
      <w:kern w:val="2"/>
      <w:sz w:val="21"/>
      <w:szCs w:val="24"/>
    </w:rPr>
  </w:style>
  <w:style w:type="character" w:customStyle="1" w:styleId="147">
    <w:name w:val="正文01 Char"/>
    <w:link w:val="124"/>
    <w:qFormat/>
    <w:uiPriority w:val="0"/>
    <w:rPr>
      <w:szCs w:val="20"/>
    </w:rPr>
  </w:style>
  <w:style w:type="paragraph" w:customStyle="1" w:styleId="148">
    <w:name w:val="表内容"/>
    <w:basedOn w:val="1"/>
    <w:next w:val="1"/>
    <w:qFormat/>
    <w:uiPriority w:val="0"/>
    <w:pPr>
      <w:jc w:val="center"/>
    </w:pPr>
    <w:rPr>
      <w:sz w:val="21"/>
      <w:szCs w:val="21"/>
    </w:rPr>
  </w:style>
  <w:style w:type="paragraph" w:customStyle="1" w:styleId="149">
    <w:name w:val="表格文字内容"/>
    <w:basedOn w:val="1"/>
    <w:qFormat/>
    <w:uiPriority w:val="0"/>
    <w:pPr>
      <w:spacing w:line="240" w:lineRule="exact"/>
      <w:jc w:val="center"/>
    </w:pPr>
    <w:rPr>
      <w:rFonts w:hAnsi="宋体"/>
      <w:sz w:val="18"/>
    </w:rPr>
  </w:style>
  <w:style w:type="paragraph" w:customStyle="1" w:styleId="150">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51">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52">
    <w:name w:val="CM13"/>
    <w:basedOn w:val="51"/>
    <w:qFormat/>
    <w:uiPriority w:val="0"/>
    <w:rPr>
      <w:color w:val="auto"/>
    </w:rPr>
  </w:style>
  <w:style w:type="paragraph" w:customStyle="1" w:styleId="153">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54">
    <w:name w:val="4"/>
    <w:basedOn w:val="1"/>
    <w:next w:val="16"/>
    <w:qFormat/>
    <w:uiPriority w:val="0"/>
    <w:pPr>
      <w:ind w:firstLine="540"/>
    </w:pPr>
    <w:rPr>
      <w:rFonts w:ascii="宋体"/>
      <w:sz w:val="28"/>
      <w:szCs w:val="20"/>
    </w:rPr>
  </w:style>
  <w:style w:type="paragraph" w:customStyle="1" w:styleId="155">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56">
    <w:name w:val="报告正文 Char"/>
    <w:link w:val="141"/>
    <w:qFormat/>
    <w:uiPriority w:val="0"/>
    <w:rPr>
      <w:sz w:val="28"/>
    </w:rPr>
  </w:style>
  <w:style w:type="paragraph" w:customStyle="1" w:styleId="157">
    <w:name w:val="正文文本报告（报告）"/>
    <w:basedOn w:val="1"/>
    <w:qFormat/>
    <w:uiPriority w:val="0"/>
    <w:pPr>
      <w:spacing w:line="440" w:lineRule="exact"/>
      <w:ind w:firstLine="200" w:firstLineChars="200"/>
    </w:pPr>
    <w:rPr>
      <w:sz w:val="24"/>
    </w:rPr>
  </w:style>
  <w:style w:type="character" w:customStyle="1" w:styleId="158">
    <w:name w:val="font21"/>
    <w:basedOn w:val="43"/>
    <w:qFormat/>
    <w:uiPriority w:val="0"/>
    <w:rPr>
      <w:rFonts w:hint="eastAsia" w:ascii="宋体" w:hAnsi="宋体" w:eastAsia="宋体" w:cs="宋体"/>
      <w:color w:val="000000"/>
      <w:sz w:val="22"/>
      <w:szCs w:val="22"/>
      <w:u w:val="none"/>
    </w:rPr>
  </w:style>
  <w:style w:type="paragraph" w:customStyle="1" w:styleId="159">
    <w:name w:val="章节目录"/>
    <w:basedOn w:val="1"/>
    <w:qFormat/>
    <w:uiPriority w:val="0"/>
    <w:pPr>
      <w:spacing w:line="360" w:lineRule="auto"/>
      <w:outlineLvl w:val="0"/>
    </w:pPr>
    <w:rPr>
      <w:b/>
      <w:sz w:val="28"/>
      <w:szCs w:val="28"/>
    </w:rPr>
  </w:style>
  <w:style w:type="paragraph" w:customStyle="1" w:styleId="160">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61">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62">
    <w:name w:val="表字"/>
    <w:basedOn w:val="1"/>
    <w:qFormat/>
    <w:uiPriority w:val="0"/>
    <w:pPr>
      <w:spacing w:line="240" w:lineRule="auto"/>
      <w:jc w:val="center"/>
    </w:pPr>
    <w:rPr>
      <w:sz w:val="21"/>
      <w:szCs w:val="20"/>
    </w:rPr>
  </w:style>
  <w:style w:type="paragraph" w:customStyle="1" w:styleId="163">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64">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65">
    <w:name w:val="3"/>
    <w:basedOn w:val="166"/>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66">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67">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68">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69">
    <w:name w:val="p"/>
    <w:basedOn w:val="62"/>
    <w:link w:val="243"/>
    <w:qFormat/>
    <w:uiPriority w:val="0"/>
    <w:pPr>
      <w:adjustRightInd w:val="0"/>
      <w:snapToGrid w:val="0"/>
      <w:spacing w:line="360" w:lineRule="auto"/>
      <w:ind w:firstLine="1446" w:firstLineChars="200"/>
      <w:jc w:val="left"/>
    </w:pPr>
    <w:rPr>
      <w:kern w:val="0"/>
      <w:sz w:val="20"/>
      <w:szCs w:val="20"/>
    </w:rPr>
  </w:style>
  <w:style w:type="paragraph" w:customStyle="1" w:styleId="170">
    <w:name w:val="样式 行距: 固定值 24 磅 首行缩进:  2 字符"/>
    <w:basedOn w:val="1"/>
    <w:qFormat/>
    <w:uiPriority w:val="0"/>
    <w:pPr>
      <w:spacing w:line="480" w:lineRule="exact"/>
      <w:ind w:firstLine="480" w:firstLineChars="200"/>
    </w:pPr>
    <w:rPr>
      <w:sz w:val="24"/>
      <w:szCs w:val="20"/>
    </w:rPr>
  </w:style>
  <w:style w:type="paragraph" w:customStyle="1" w:styleId="171">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72">
    <w:name w:val="网格型1"/>
    <w:basedOn w:val="41"/>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3">
    <w:name w:val="p17"/>
    <w:basedOn w:val="1"/>
    <w:qFormat/>
    <w:uiPriority w:val="0"/>
    <w:pPr>
      <w:widowControl/>
      <w:spacing w:line="360" w:lineRule="auto"/>
      <w:ind w:firstLine="420"/>
    </w:pPr>
    <w:rPr>
      <w:rFonts w:ascii="宋体" w:hAnsi="宋体" w:cs="宋体"/>
      <w:color w:val="FF0000"/>
      <w:kern w:val="0"/>
      <w:sz w:val="24"/>
    </w:rPr>
  </w:style>
  <w:style w:type="paragraph" w:customStyle="1" w:styleId="174">
    <w:name w:val="p16"/>
    <w:basedOn w:val="1"/>
    <w:qFormat/>
    <w:uiPriority w:val="0"/>
    <w:pPr>
      <w:widowControl/>
      <w:snapToGrid w:val="0"/>
      <w:spacing w:line="360" w:lineRule="auto"/>
      <w:ind w:firstLine="420"/>
    </w:pPr>
    <w:rPr>
      <w:kern w:val="0"/>
      <w:sz w:val="24"/>
    </w:rPr>
  </w:style>
  <w:style w:type="paragraph" w:customStyle="1" w:styleId="175">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76">
    <w:name w:val="Table Paragraph"/>
    <w:basedOn w:val="1"/>
    <w:next w:val="1"/>
    <w:qFormat/>
    <w:uiPriority w:val="1"/>
    <w:pPr>
      <w:widowControl/>
      <w:jc w:val="left"/>
    </w:pPr>
    <w:rPr>
      <w:rFonts w:ascii="Calibri" w:hAnsi="Calibri" w:cs="宋体"/>
      <w:kern w:val="0"/>
      <w:sz w:val="22"/>
      <w:szCs w:val="22"/>
    </w:rPr>
  </w:style>
  <w:style w:type="paragraph" w:customStyle="1" w:styleId="177">
    <w:name w:val="1表格"/>
    <w:basedOn w:val="1"/>
    <w:next w:val="15"/>
    <w:qFormat/>
    <w:uiPriority w:val="0"/>
    <w:pPr>
      <w:snapToGrid w:val="0"/>
      <w:spacing w:line="160" w:lineRule="atLeast"/>
      <w:jc w:val="center"/>
    </w:pPr>
    <w:rPr>
      <w:rFonts w:eastAsia="仿宋_GB2312"/>
      <w:szCs w:val="20"/>
    </w:rPr>
  </w:style>
  <w:style w:type="paragraph" w:customStyle="1" w:styleId="178">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79">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80">
    <w:name w:val="正文粗"/>
    <w:basedOn w:val="1"/>
    <w:next w:val="106"/>
    <w:qFormat/>
    <w:uiPriority w:val="0"/>
    <w:pPr>
      <w:ind w:firstLine="482"/>
      <w:jc w:val="both"/>
    </w:pPr>
    <w:rPr>
      <w:rFonts w:ascii="Times New Roman" w:hAnsi="Times New Roman" w:eastAsia="宋体"/>
      <w:b/>
      <w:color w:val="000000"/>
      <w:sz w:val="24"/>
      <w:szCs w:val="20"/>
    </w:rPr>
  </w:style>
  <w:style w:type="paragraph" w:customStyle="1" w:styleId="181">
    <w:name w:val="表格粗"/>
    <w:basedOn w:val="106"/>
    <w:qFormat/>
    <w:uiPriority w:val="0"/>
    <w:pPr>
      <w:adjustRightInd w:val="0"/>
      <w:snapToGrid w:val="0"/>
      <w:spacing w:line="240" w:lineRule="auto"/>
      <w:ind w:firstLine="0" w:firstLineChars="0"/>
      <w:jc w:val="center"/>
    </w:pPr>
    <w:rPr>
      <w:b/>
      <w:sz w:val="21"/>
      <w:shd w:val="clear" w:color="auto" w:fill="auto"/>
    </w:rPr>
  </w:style>
  <w:style w:type="paragraph" w:customStyle="1" w:styleId="182">
    <w:name w:val="_Style 10"/>
    <w:basedOn w:val="1"/>
    <w:qFormat/>
    <w:uiPriority w:val="0"/>
    <w:rPr>
      <w:szCs w:val="20"/>
    </w:rPr>
  </w:style>
  <w:style w:type="paragraph" w:customStyle="1" w:styleId="183">
    <w:name w:val="表格1"/>
    <w:basedOn w:val="1"/>
    <w:qFormat/>
    <w:uiPriority w:val="99"/>
    <w:pPr>
      <w:spacing w:line="360" w:lineRule="exact"/>
    </w:pPr>
    <w:rPr>
      <w:rFonts w:hAnsi="宋?"/>
    </w:rPr>
  </w:style>
  <w:style w:type="paragraph" w:customStyle="1" w:styleId="184">
    <w:name w:val="zly-图表"/>
    <w:basedOn w:val="8"/>
    <w:qFormat/>
    <w:uiPriority w:val="0"/>
    <w:pPr>
      <w:jc w:val="center"/>
    </w:pPr>
    <w:rPr>
      <w:rFonts w:ascii="Calibri" w:hAnsi="Calibri"/>
    </w:rPr>
  </w:style>
  <w:style w:type="paragraph" w:customStyle="1" w:styleId="185">
    <w:name w:val="zly-正文"/>
    <w:basedOn w:val="1"/>
    <w:qFormat/>
    <w:uiPriority w:val="99"/>
    <w:pPr>
      <w:spacing w:line="360" w:lineRule="auto"/>
      <w:ind w:firstLine="200" w:firstLineChars="200"/>
    </w:pPr>
    <w:rPr>
      <w:rFonts w:ascii="Calibri" w:hAnsi="Calibri"/>
      <w:kern w:val="0"/>
      <w:sz w:val="24"/>
    </w:rPr>
  </w:style>
  <w:style w:type="paragraph" w:customStyle="1" w:styleId="186">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87">
    <w:name w:val="妇幼正文"/>
    <w:basedOn w:val="1"/>
    <w:qFormat/>
    <w:uiPriority w:val="0"/>
    <w:pPr>
      <w:adjustRightInd w:val="0"/>
      <w:spacing w:line="360" w:lineRule="auto"/>
      <w:ind w:firstLine="480" w:firstLineChars="200"/>
    </w:pPr>
    <w:rPr>
      <w:color w:val="000000"/>
      <w:sz w:val="24"/>
    </w:rPr>
  </w:style>
  <w:style w:type="paragraph" w:customStyle="1" w:styleId="188">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89">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90">
    <w:name w:val="样式7"/>
    <w:basedOn w:val="143"/>
    <w:qFormat/>
    <w:uiPriority w:val="0"/>
    <w:pPr>
      <w:spacing w:before="0" w:beforeLines="0" w:after="0" w:afterLines="0"/>
      <w:ind w:firstLine="420" w:firstLineChars="200"/>
    </w:pPr>
    <w:rPr>
      <w:rFonts w:ascii="Times New Roman" w:eastAsia="华文中宋"/>
      <w:sz w:val="21"/>
      <w:szCs w:val="21"/>
    </w:rPr>
  </w:style>
  <w:style w:type="character" w:customStyle="1" w:styleId="191">
    <w:name w:val="font31"/>
    <w:basedOn w:val="43"/>
    <w:qFormat/>
    <w:uiPriority w:val="0"/>
    <w:rPr>
      <w:rFonts w:hint="default" w:ascii="Times New Roman" w:hAnsi="Times New Roman" w:cs="Times New Roman"/>
      <w:color w:val="000000"/>
      <w:sz w:val="21"/>
      <w:szCs w:val="21"/>
      <w:u w:val="none"/>
    </w:rPr>
  </w:style>
  <w:style w:type="character" w:customStyle="1" w:styleId="192">
    <w:name w:val="font11"/>
    <w:basedOn w:val="43"/>
    <w:qFormat/>
    <w:uiPriority w:val="0"/>
    <w:rPr>
      <w:rFonts w:hint="default" w:ascii="Calibri" w:hAnsi="Calibri" w:cs="Calibri"/>
      <w:color w:val="000000"/>
      <w:sz w:val="21"/>
      <w:szCs w:val="21"/>
      <w:u w:val="none"/>
    </w:rPr>
  </w:style>
  <w:style w:type="paragraph" w:customStyle="1" w:styleId="193">
    <w:name w:val="正文文本1"/>
    <w:basedOn w:val="1"/>
    <w:qFormat/>
    <w:uiPriority w:val="0"/>
    <w:pPr>
      <w:spacing w:line="480" w:lineRule="exact"/>
      <w:ind w:firstLine="200" w:firstLineChars="200"/>
    </w:pPr>
    <w:rPr>
      <w:color w:val="000000"/>
      <w:sz w:val="24"/>
    </w:rPr>
  </w:style>
  <w:style w:type="paragraph" w:customStyle="1" w:styleId="194">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95">
    <w:name w:val="大标题"/>
    <w:basedOn w:val="1"/>
    <w:qFormat/>
    <w:uiPriority w:val="0"/>
    <w:pPr>
      <w:spacing w:line="360" w:lineRule="auto"/>
    </w:pPr>
    <w:rPr>
      <w:rFonts w:ascii="宋体" w:hAnsi="宋体"/>
      <w:b/>
      <w:sz w:val="30"/>
      <w:szCs w:val="24"/>
    </w:rPr>
  </w:style>
  <w:style w:type="paragraph" w:customStyle="1" w:styleId="196">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97">
    <w:name w:val="表题 Char"/>
    <w:link w:val="132"/>
    <w:qFormat/>
    <w:uiPriority w:val="0"/>
    <w:rPr>
      <w:rFonts w:ascii="Times New Roman" w:hAnsi="宋体" w:eastAsia="宋体" w:cs="Times New Roman"/>
      <w:b/>
      <w:kern w:val="2"/>
      <w:sz w:val="21"/>
      <w:szCs w:val="24"/>
      <w:lang w:val="en-US" w:eastAsia="zh-CN" w:bidi="ar-SA"/>
    </w:rPr>
  </w:style>
  <w:style w:type="character" w:customStyle="1" w:styleId="198">
    <w:name w:val="-正文 Char"/>
    <w:link w:val="133"/>
    <w:qFormat/>
    <w:uiPriority w:val="0"/>
    <w:rPr>
      <w:rFonts w:cs="宋体"/>
      <w:kern w:val="2"/>
      <w:sz w:val="24"/>
    </w:rPr>
  </w:style>
  <w:style w:type="paragraph" w:customStyle="1" w:styleId="199">
    <w:name w:val="标题-3"/>
    <w:basedOn w:val="1"/>
    <w:qFormat/>
    <w:uiPriority w:val="0"/>
    <w:pPr>
      <w:spacing w:line="480" w:lineRule="exact"/>
      <w:ind w:firstLine="482" w:firstLineChars="200"/>
    </w:pPr>
    <w:rPr>
      <w:rFonts w:cs="宋体"/>
      <w:b/>
      <w:bCs/>
      <w:sz w:val="24"/>
      <w:szCs w:val="20"/>
    </w:rPr>
  </w:style>
  <w:style w:type="character" w:customStyle="1" w:styleId="200">
    <w:name w:val="正文-1 Char"/>
    <w:link w:val="131"/>
    <w:qFormat/>
    <w:uiPriority w:val="0"/>
    <w:rPr>
      <w:rFonts w:ascii="Times New Roman" w:hAnsi="Times New Roman" w:eastAsia="宋体" w:cs="宋体"/>
      <w:kern w:val="2"/>
      <w:sz w:val="24"/>
      <w:lang w:val="en-US" w:eastAsia="zh-CN" w:bidi="ar-SA"/>
    </w:rPr>
  </w:style>
  <w:style w:type="character" w:customStyle="1" w:styleId="201">
    <w:name w:val="标题 2 Char"/>
    <w:link w:val="4"/>
    <w:qFormat/>
    <w:uiPriority w:val="0"/>
    <w:rPr>
      <w:rFonts w:ascii="黑体" w:hAnsi="宋体" w:eastAsia="Times New Roman"/>
      <w:b/>
      <w:bCs/>
      <w:snapToGrid w:val="0"/>
      <w:kern w:val="0"/>
      <w:szCs w:val="20"/>
    </w:rPr>
  </w:style>
  <w:style w:type="paragraph" w:customStyle="1" w:styleId="202">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203">
    <w:name w:val="12"/>
    <w:basedOn w:val="1"/>
    <w:link w:val="206"/>
    <w:qFormat/>
    <w:uiPriority w:val="0"/>
    <w:pPr>
      <w:wordWrap w:val="0"/>
      <w:topLinePunct/>
      <w:adjustRightInd w:val="0"/>
      <w:snapToGrid w:val="0"/>
      <w:spacing w:line="360" w:lineRule="auto"/>
      <w:ind w:firstLine="200" w:firstLineChars="200"/>
      <w:jc w:val="left"/>
    </w:pPr>
    <w:rPr>
      <w:sz w:val="24"/>
    </w:rPr>
  </w:style>
  <w:style w:type="paragraph" w:customStyle="1" w:styleId="204">
    <w:name w:val="14"/>
    <w:basedOn w:val="1"/>
    <w:qFormat/>
    <w:uiPriority w:val="0"/>
    <w:pPr>
      <w:tabs>
        <w:tab w:val="right" w:pos="8306"/>
      </w:tabs>
      <w:spacing w:line="360" w:lineRule="auto"/>
      <w:jc w:val="center"/>
    </w:pPr>
    <w:rPr>
      <w:b/>
      <w:bCs/>
      <w:color w:val="000000"/>
      <w:szCs w:val="21"/>
    </w:rPr>
  </w:style>
  <w:style w:type="paragraph" w:customStyle="1" w:styleId="205">
    <w:name w:val="表格内容-龙池"/>
    <w:basedOn w:val="1"/>
    <w:qFormat/>
    <w:uiPriority w:val="0"/>
    <w:pPr>
      <w:autoSpaceDE w:val="0"/>
      <w:autoSpaceDN w:val="0"/>
      <w:adjustRightInd w:val="0"/>
      <w:contextualSpacing/>
      <w:jc w:val="center"/>
    </w:pPr>
    <w:rPr>
      <w:kern w:val="0"/>
      <w:szCs w:val="21"/>
    </w:rPr>
  </w:style>
  <w:style w:type="character" w:customStyle="1" w:styleId="206">
    <w:name w:val="12 Char"/>
    <w:basedOn w:val="43"/>
    <w:link w:val="203"/>
    <w:qFormat/>
    <w:uiPriority w:val="0"/>
    <w:rPr>
      <w:sz w:val="24"/>
    </w:rPr>
  </w:style>
  <w:style w:type="paragraph" w:customStyle="1" w:styleId="207">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208">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209">
    <w:name w:val="Body Text Indent"/>
    <w:basedOn w:val="1"/>
    <w:qFormat/>
    <w:uiPriority w:val="0"/>
    <w:pPr>
      <w:spacing w:line="360" w:lineRule="auto"/>
      <w:ind w:firstLine="480"/>
    </w:pPr>
    <w:rPr>
      <w:rFonts w:ascii="宋体"/>
      <w:sz w:val="24"/>
    </w:rPr>
  </w:style>
  <w:style w:type="paragraph" w:customStyle="1" w:styleId="210">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211">
    <w:name w:val="font01"/>
    <w:basedOn w:val="43"/>
    <w:qFormat/>
    <w:uiPriority w:val="0"/>
    <w:rPr>
      <w:rFonts w:hint="eastAsia" w:ascii="宋体" w:hAnsi="宋体" w:eastAsia="宋体" w:cs="宋体"/>
      <w:color w:val="000000"/>
      <w:sz w:val="24"/>
      <w:szCs w:val="24"/>
      <w:u w:val="none"/>
      <w:vertAlign w:val="superscript"/>
    </w:rPr>
  </w:style>
  <w:style w:type="paragraph" w:customStyle="1" w:styleId="212">
    <w:name w:val="表格题目"/>
    <w:basedOn w:val="9"/>
    <w:next w:val="213"/>
    <w:qFormat/>
    <w:uiPriority w:val="0"/>
    <w:pPr>
      <w:keepNext/>
    </w:pPr>
    <w:rPr>
      <w:rFonts w:ascii="黑体" w:hAnsi="黑体" w:eastAsia="黑体"/>
      <w:szCs w:val="24"/>
    </w:rPr>
  </w:style>
  <w:style w:type="paragraph" w:customStyle="1" w:styleId="213">
    <w:name w:val="表名、图名"/>
    <w:basedOn w:val="1"/>
    <w:next w:val="1"/>
    <w:qFormat/>
    <w:uiPriority w:val="0"/>
    <w:pPr>
      <w:ind w:firstLine="0" w:firstLineChars="0"/>
      <w:jc w:val="center"/>
    </w:pPr>
    <w:rPr>
      <w:rFonts w:eastAsia="黑体"/>
    </w:rPr>
  </w:style>
  <w:style w:type="character" w:customStyle="1" w:styleId="214">
    <w:name w:val="font51"/>
    <w:basedOn w:val="43"/>
    <w:qFormat/>
    <w:uiPriority w:val="0"/>
    <w:rPr>
      <w:rFonts w:hint="default" w:ascii="Times New Roman" w:hAnsi="Times New Roman" w:cs="Times New Roman"/>
      <w:color w:val="000000"/>
      <w:sz w:val="21"/>
      <w:szCs w:val="21"/>
      <w:u w:val="none"/>
      <w:vertAlign w:val="superscript"/>
    </w:rPr>
  </w:style>
  <w:style w:type="character" w:customStyle="1" w:styleId="215">
    <w:name w:val="font71"/>
    <w:basedOn w:val="43"/>
    <w:qFormat/>
    <w:uiPriority w:val="0"/>
    <w:rPr>
      <w:rFonts w:hint="eastAsia" w:ascii="宋体" w:hAnsi="宋体" w:eastAsia="宋体" w:cs="宋体"/>
      <w:b/>
      <w:color w:val="000000"/>
      <w:sz w:val="21"/>
      <w:szCs w:val="21"/>
      <w:u w:val="none"/>
    </w:rPr>
  </w:style>
  <w:style w:type="character" w:customStyle="1" w:styleId="216">
    <w:name w:val="font41"/>
    <w:qFormat/>
    <w:uiPriority w:val="0"/>
    <w:rPr>
      <w:rFonts w:hint="eastAsia" w:ascii="宋体" w:hAnsi="宋体" w:eastAsia="宋体" w:cs="宋体"/>
      <w:color w:val="000000"/>
      <w:sz w:val="21"/>
      <w:szCs w:val="21"/>
      <w:u w:val="none"/>
    </w:rPr>
  </w:style>
  <w:style w:type="character" w:customStyle="1" w:styleId="217">
    <w:name w:val="font81"/>
    <w:basedOn w:val="43"/>
    <w:qFormat/>
    <w:uiPriority w:val="0"/>
    <w:rPr>
      <w:rFonts w:hint="eastAsia" w:ascii="宋体" w:hAnsi="宋体" w:eastAsia="宋体" w:cs="宋体"/>
      <w:color w:val="000000"/>
      <w:sz w:val="24"/>
      <w:szCs w:val="24"/>
      <w:u w:val="none"/>
    </w:rPr>
  </w:style>
  <w:style w:type="character" w:customStyle="1" w:styleId="218">
    <w:name w:val="font101"/>
    <w:basedOn w:val="43"/>
    <w:qFormat/>
    <w:uiPriority w:val="0"/>
    <w:rPr>
      <w:rFonts w:hint="default" w:ascii="Times New Roman" w:hAnsi="Times New Roman" w:cs="Times New Roman"/>
      <w:color w:val="000000"/>
      <w:sz w:val="21"/>
      <w:szCs w:val="21"/>
      <w:u w:val="none"/>
      <w:vertAlign w:val="superscript"/>
    </w:rPr>
  </w:style>
  <w:style w:type="paragraph" w:customStyle="1" w:styleId="21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20">
    <w:name w:val="Table Grid_0"/>
    <w:basedOn w:val="4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1">
    <w:name w:val="正文(首行缩进)宋旭峰"/>
    <w:basedOn w:val="8"/>
    <w:qFormat/>
    <w:uiPriority w:val="0"/>
    <w:pPr>
      <w:spacing w:line="360" w:lineRule="auto"/>
      <w:ind w:firstLine="480" w:firstLineChars="200"/>
    </w:pPr>
    <w:rPr>
      <w:snapToGrid w:val="0"/>
      <w:color w:val="0000FF"/>
      <w:kern w:val="0"/>
      <w:sz w:val="24"/>
      <w:szCs w:val="24"/>
    </w:rPr>
  </w:style>
  <w:style w:type="paragraph" w:customStyle="1" w:styleId="222">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23">
    <w:name w:val="a正文"/>
    <w:basedOn w:val="1"/>
    <w:qFormat/>
    <w:uiPriority w:val="0"/>
    <w:pPr>
      <w:spacing w:line="360" w:lineRule="auto"/>
      <w:ind w:firstLine="200" w:firstLineChars="200"/>
    </w:pPr>
    <w:rPr>
      <w:rFonts w:ascii="Times New Roman" w:hAnsi="Times New Roman"/>
      <w:sz w:val="24"/>
      <w:szCs w:val="28"/>
    </w:rPr>
  </w:style>
  <w:style w:type="character" w:customStyle="1" w:styleId="224">
    <w:name w:val="nr1"/>
    <w:qFormat/>
    <w:uiPriority w:val="0"/>
    <w:rPr>
      <w:rFonts w:hint="default" w:ascii="ˎ̥" w:hAnsi="ˎ̥"/>
      <w:color w:val="000000"/>
      <w:sz w:val="21"/>
      <w:szCs w:val="21"/>
      <w:u w:val="none"/>
    </w:rPr>
  </w:style>
  <w:style w:type="paragraph" w:customStyle="1" w:styleId="225">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26">
    <w:name w:val="TOC Heading"/>
    <w:basedOn w:val="3"/>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27">
    <w:name w:val="真·正文"/>
    <w:basedOn w:val="1"/>
    <w:next w:val="1"/>
    <w:qFormat/>
    <w:uiPriority w:val="0"/>
    <w:pPr>
      <w:ind w:firstLine="200"/>
    </w:pPr>
    <w:rPr>
      <w:rFonts w:ascii="Calibri"/>
      <w:sz w:val="24"/>
    </w:rPr>
  </w:style>
  <w:style w:type="paragraph" w:customStyle="1" w:styleId="228">
    <w:name w:val="正文A"/>
    <w:basedOn w:val="1"/>
    <w:qFormat/>
    <w:uiPriority w:val="0"/>
    <w:pPr>
      <w:spacing w:line="500" w:lineRule="exact"/>
      <w:ind w:firstLine="480" w:firstLineChars="200"/>
    </w:pPr>
    <w:rPr>
      <w:rFonts w:eastAsia="华文仿宋" w:cs="华文仿宋"/>
      <w:kern w:val="0"/>
      <w:sz w:val="24"/>
    </w:rPr>
  </w:style>
  <w:style w:type="paragraph" w:customStyle="1" w:styleId="229">
    <w:name w:val="表格正文(康健城)"/>
    <w:basedOn w:val="1"/>
    <w:qFormat/>
    <w:uiPriority w:val="0"/>
    <w:pPr>
      <w:adjustRightInd w:val="0"/>
      <w:snapToGrid w:val="0"/>
      <w:jc w:val="center"/>
    </w:pPr>
    <w:rPr>
      <w:szCs w:val="21"/>
    </w:rPr>
  </w:style>
  <w:style w:type="paragraph" w:customStyle="1" w:styleId="230">
    <w:name w:val="图件标题"/>
    <w:basedOn w:val="1"/>
    <w:qFormat/>
    <w:uiPriority w:val="0"/>
    <w:pPr>
      <w:ind w:firstLine="0" w:firstLineChars="0"/>
      <w:jc w:val="center"/>
    </w:pPr>
    <w:rPr>
      <w:rFonts w:ascii="Times New Roman" w:hAnsi="Times New Roman" w:eastAsia="宋体"/>
      <w:b/>
    </w:rPr>
  </w:style>
  <w:style w:type="character" w:customStyle="1" w:styleId="231">
    <w:name w:val="Default 字符"/>
    <w:link w:val="51"/>
    <w:qFormat/>
    <w:uiPriority w:val="0"/>
    <w:rPr>
      <w:rFonts w:ascii="宋体" w:hAnsi="Times New Roman" w:eastAsia="宋体" w:cs="宋体"/>
      <w:color w:val="000000"/>
      <w:sz w:val="24"/>
      <w:szCs w:val="24"/>
      <w:lang w:val="en-US" w:eastAsia="zh-CN" w:bidi="ar-SA"/>
    </w:rPr>
  </w:style>
  <w:style w:type="paragraph" w:customStyle="1" w:styleId="232">
    <w:name w:val="图表标题"/>
    <w:basedOn w:val="109"/>
    <w:next w:val="1"/>
    <w:qFormat/>
    <w:uiPriority w:val="0"/>
    <w:pPr>
      <w:jc w:val="center"/>
    </w:pPr>
    <w:rPr>
      <w:color w:val="000000"/>
      <w:szCs w:val="21"/>
    </w:rPr>
  </w:style>
  <w:style w:type="paragraph" w:customStyle="1" w:styleId="233">
    <w:name w:val="W正文"/>
    <w:basedOn w:val="1"/>
    <w:qFormat/>
    <w:uiPriority w:val="0"/>
    <w:pPr>
      <w:adjustRightInd w:val="0"/>
      <w:snapToGrid w:val="0"/>
      <w:spacing w:line="360" w:lineRule="auto"/>
      <w:ind w:firstLine="200" w:firstLineChars="200"/>
    </w:pPr>
    <w:rPr>
      <w:kern w:val="0"/>
      <w:sz w:val="24"/>
      <w:szCs w:val="20"/>
    </w:rPr>
  </w:style>
  <w:style w:type="paragraph" w:customStyle="1" w:styleId="234">
    <w:name w:val="标题3"/>
    <w:basedOn w:val="5"/>
    <w:qFormat/>
    <w:uiPriority w:val="0"/>
    <w:pPr>
      <w:keepLines w:val="0"/>
      <w:widowControl/>
      <w:ind w:firstLine="200" w:firstLineChars="200"/>
      <w:jc w:val="center"/>
    </w:pPr>
    <w:rPr>
      <w:bCs w:val="0"/>
      <w:color w:val="000000"/>
      <w:szCs w:val="28"/>
    </w:rPr>
  </w:style>
  <w:style w:type="paragraph" w:customStyle="1" w:styleId="235">
    <w:name w:val="！表格中"/>
    <w:basedOn w:val="1"/>
    <w:next w:val="1"/>
    <w:qFormat/>
    <w:uiPriority w:val="0"/>
    <w:pPr>
      <w:spacing w:line="240" w:lineRule="auto"/>
      <w:ind w:firstLine="0" w:firstLineChars="0"/>
      <w:jc w:val="center"/>
    </w:pPr>
    <w:rPr>
      <w:sz w:val="18"/>
    </w:rPr>
  </w:style>
  <w:style w:type="character" w:customStyle="1" w:styleId="236">
    <w:name w:val="font91"/>
    <w:basedOn w:val="43"/>
    <w:qFormat/>
    <w:uiPriority w:val="0"/>
    <w:rPr>
      <w:rFonts w:hint="eastAsia" w:ascii="宋体" w:hAnsi="宋体" w:eastAsia="宋体" w:cs="宋体"/>
      <w:b/>
      <w:color w:val="000000"/>
      <w:sz w:val="21"/>
      <w:szCs w:val="21"/>
      <w:u w:val="none"/>
    </w:rPr>
  </w:style>
  <w:style w:type="character" w:customStyle="1" w:styleId="237">
    <w:name w:val="font12"/>
    <w:qFormat/>
    <w:uiPriority w:val="0"/>
    <w:rPr>
      <w:rFonts w:hint="default" w:ascii="Times New Roman" w:hAnsi="Times New Roman" w:cs="Times New Roman"/>
      <w:b/>
      <w:color w:val="000000"/>
      <w:sz w:val="21"/>
      <w:szCs w:val="21"/>
      <w:u w:val="none"/>
    </w:rPr>
  </w:style>
  <w:style w:type="character" w:customStyle="1" w:styleId="238">
    <w:name w:val="font111"/>
    <w:basedOn w:val="43"/>
    <w:qFormat/>
    <w:uiPriority w:val="0"/>
    <w:rPr>
      <w:rFonts w:hint="default" w:ascii="Times New Roman" w:hAnsi="Times New Roman" w:cs="Times New Roman"/>
      <w:color w:val="000000"/>
      <w:sz w:val="21"/>
      <w:szCs w:val="21"/>
      <w:u w:val="none"/>
    </w:rPr>
  </w:style>
  <w:style w:type="paragraph" w:customStyle="1" w:styleId="239">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40">
    <w:name w:val="正文样式-yu"/>
    <w:basedOn w:val="1"/>
    <w:qFormat/>
    <w:uiPriority w:val="0"/>
    <w:pPr>
      <w:spacing w:line="360" w:lineRule="auto"/>
    </w:pPr>
    <w:rPr>
      <w:rFonts w:ascii="宋体" w:hAnsi="宋体"/>
      <w:kern w:val="0"/>
      <w:sz w:val="28"/>
      <w:szCs w:val="20"/>
      <w:lang w:val="zh-CN"/>
    </w:rPr>
  </w:style>
  <w:style w:type="paragraph" w:customStyle="1" w:styleId="241">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42">
    <w:name w:val="xz标题4"/>
    <w:basedOn w:val="6"/>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character" w:customStyle="1" w:styleId="243">
    <w:name w:val="p Char"/>
    <w:link w:val="169"/>
    <w:qFormat/>
    <w:uiPriority w:val="0"/>
    <w:rPr>
      <w:kern w:val="0"/>
      <w:sz w:val="20"/>
      <w:szCs w:val="20"/>
    </w:rPr>
  </w:style>
  <w:style w:type="paragraph" w:customStyle="1" w:styleId="244">
    <w:name w:val="大表格正文"/>
    <w:basedOn w:val="1"/>
    <w:qFormat/>
    <w:uiPriority w:val="0"/>
    <w:pPr>
      <w:spacing w:line="240" w:lineRule="auto"/>
      <w:ind w:firstLine="0" w:firstLineChars="0"/>
      <w:jc w:val="center"/>
    </w:pPr>
  </w:style>
  <w:style w:type="paragraph" w:customStyle="1" w:styleId="245">
    <w:name w:val="标准正文"/>
    <w:basedOn w:val="1"/>
    <w:qFormat/>
    <w:uiPriority w:val="0"/>
    <w:pPr>
      <w:spacing w:line="360" w:lineRule="auto"/>
      <w:ind w:firstLine="200" w:firstLineChars="200"/>
      <w:jc w:val="both"/>
    </w:pPr>
    <w:rPr>
      <w:sz w:val="24"/>
      <w:szCs w:val="22"/>
    </w:rPr>
  </w:style>
  <w:style w:type="paragraph" w:customStyle="1" w:styleId="246">
    <w:name w:val="样式 正文缩进 + 宋体 行距: 固定值 22 磅"/>
    <w:basedOn w:val="8"/>
    <w:qFormat/>
    <w:uiPriority w:val="0"/>
    <w:pPr>
      <w:ind w:firstLine="0" w:firstLineChars="0"/>
    </w:pPr>
    <w:rPr>
      <w:rFonts w:ascii="Arial Unicode MS" w:hAnsi="Arial Unicode MS" w:cs="宋体"/>
      <w:szCs w:val="20"/>
    </w:rPr>
  </w:style>
  <w:style w:type="paragraph" w:customStyle="1" w:styleId="247">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48">
    <w:name w:val="正文-环评"/>
    <w:basedOn w:val="8"/>
    <w:qFormat/>
    <w:uiPriority w:val="0"/>
    <w:pPr>
      <w:spacing w:line="480" w:lineRule="exact"/>
      <w:ind w:firstLineChars="0"/>
    </w:pPr>
    <w:rPr>
      <w:rFonts w:eastAsia="仿宋"/>
      <w:bCs/>
      <w:sz w:val="28"/>
      <w:szCs w:val="28"/>
    </w:rPr>
  </w:style>
  <w:style w:type="paragraph" w:customStyle="1" w:styleId="249">
    <w:name w:val="环评正文"/>
    <w:basedOn w:val="1"/>
    <w:qFormat/>
    <w:uiPriority w:val="0"/>
    <w:pPr>
      <w:spacing w:line="500" w:lineRule="exact"/>
      <w:ind w:firstLine="200" w:firstLineChars="200"/>
      <w:jc w:val="left"/>
    </w:pPr>
    <w:rPr>
      <w:kern w:val="0"/>
      <w:sz w:val="24"/>
      <w:szCs w:val="20"/>
    </w:rPr>
  </w:style>
  <w:style w:type="paragraph" w:customStyle="1" w:styleId="250">
    <w:name w:val="_正文格式"/>
    <w:basedOn w:val="1"/>
    <w:qFormat/>
    <w:uiPriority w:val="0"/>
    <w:pPr>
      <w:spacing w:line="500" w:lineRule="exact"/>
      <w:ind w:firstLine="567"/>
      <w:jc w:val="left"/>
    </w:pPr>
    <w:rPr>
      <w:sz w:val="24"/>
    </w:rPr>
  </w:style>
  <w:style w:type="paragraph" w:customStyle="1" w:styleId="251">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52">
    <w:name w:val="报告书正文"/>
    <w:basedOn w:val="1"/>
    <w:qFormat/>
    <w:uiPriority w:val="0"/>
    <w:pPr>
      <w:spacing w:line="360" w:lineRule="auto"/>
      <w:ind w:firstLine="480" w:firstLineChars="200"/>
    </w:pPr>
    <w:rPr>
      <w:rFonts w:ascii="Calibri" w:hAnsi="Calibri"/>
      <w:sz w:val="24"/>
    </w:rPr>
  </w:style>
  <w:style w:type="paragraph" w:customStyle="1" w:styleId="253">
    <w:name w:val="小标题"/>
    <w:basedOn w:val="116"/>
    <w:qFormat/>
    <w:uiPriority w:val="0"/>
    <w:pPr>
      <w:numPr>
        <w:ilvl w:val="0"/>
        <w:numId w:val="3"/>
      </w:numPr>
      <w:ind w:left="0" w:firstLine="200"/>
    </w:pPr>
    <w:rPr>
      <w:rFonts w:cs="Times New Roman"/>
      <w:b/>
    </w:rPr>
  </w:style>
  <w:style w:type="paragraph" w:customStyle="1" w:styleId="254">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55">
    <w:name w:val="我"/>
    <w:basedOn w:val="1"/>
    <w:qFormat/>
    <w:uiPriority w:val="0"/>
    <w:pPr>
      <w:spacing w:line="360" w:lineRule="auto"/>
      <w:ind w:firstLine="640" w:firstLineChars="200"/>
    </w:pPr>
    <w:rPr>
      <w:kern w:val="0"/>
      <w:sz w:val="24"/>
      <w:szCs w:val="20"/>
    </w:rPr>
  </w:style>
  <w:style w:type="paragraph" w:customStyle="1" w:styleId="256">
    <w:name w:val="！正文"/>
    <w:basedOn w:val="1"/>
    <w:qFormat/>
    <w:uiPriority w:val="0"/>
    <w:pPr>
      <w:spacing w:line="460" w:lineRule="exact"/>
      <w:ind w:firstLine="200" w:firstLineChars="200"/>
    </w:pPr>
    <w:rPr>
      <w:spacing w:val="-2"/>
      <w:kern w:val="0"/>
      <w:sz w:val="24"/>
      <w:szCs w:val="20"/>
    </w:rPr>
  </w:style>
  <w:style w:type="paragraph" w:customStyle="1" w:styleId="257">
    <w:name w:val="rpt_表项"/>
    <w:basedOn w:val="1"/>
    <w:qFormat/>
    <w:uiPriority w:val="0"/>
    <w:pPr>
      <w:spacing w:before="60" w:after="60"/>
      <w:jc w:val="center"/>
    </w:pPr>
    <w:rPr>
      <w:rFonts w:cs="宋体"/>
      <w:sz w:val="22"/>
      <w:szCs w:val="20"/>
    </w:rPr>
  </w:style>
  <w:style w:type="paragraph" w:customStyle="1" w:styleId="258">
    <w:name w:val="表题注"/>
    <w:basedOn w:val="9"/>
    <w:qFormat/>
    <w:uiPriority w:val="0"/>
    <w:pPr>
      <w:jc w:val="center"/>
    </w:pPr>
    <w:rPr>
      <w:rFonts w:ascii="宋体" w:hAnsi="宋体" w:eastAsia="宋体" w:cs="宋体"/>
      <w:bCs/>
      <w:sz w:val="24"/>
    </w:rPr>
  </w:style>
  <w:style w:type="paragraph" w:customStyle="1" w:styleId="259">
    <w:name w:val="样式 样式 表格内文字 + 宋体 + Times New Roman"/>
    <w:basedOn w:val="1"/>
    <w:qFormat/>
    <w:uiPriority w:val="0"/>
    <w:pPr>
      <w:adjustRightInd w:val="0"/>
      <w:snapToGrid w:val="0"/>
      <w:spacing w:line="320" w:lineRule="exact"/>
      <w:jc w:val="center"/>
    </w:pPr>
    <w:rPr>
      <w:b/>
    </w:rPr>
  </w:style>
  <w:style w:type="paragraph" w:customStyle="1" w:styleId="260">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61">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62">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63">
    <w:name w:val="三级"/>
    <w:basedOn w:val="1"/>
    <w:qFormat/>
    <w:uiPriority w:val="0"/>
    <w:pPr>
      <w:adjustRightInd w:val="0"/>
      <w:snapToGrid w:val="0"/>
      <w:spacing w:line="360" w:lineRule="auto"/>
      <w:jc w:val="left"/>
      <w:outlineLvl w:val="2"/>
    </w:pPr>
    <w:rPr>
      <w:b/>
      <w:kern w:val="0"/>
      <w:szCs w:val="24"/>
    </w:rPr>
  </w:style>
  <w:style w:type="paragraph" w:customStyle="1" w:styleId="264">
    <w:name w:val="王 表格文字"/>
    <w:basedOn w:val="1"/>
    <w:qFormat/>
    <w:uiPriority w:val="0"/>
    <w:pPr>
      <w:jc w:val="center"/>
    </w:pPr>
    <w:rPr>
      <w:rFonts w:eastAsia="仿宋_GB2312"/>
      <w:snapToGrid w:val="0"/>
    </w:rPr>
  </w:style>
  <w:style w:type="paragraph" w:customStyle="1" w:styleId="265">
    <w:name w:val="Char Char Char Char Char Char Char Char Char Char Char Char Char Char Char Char Char Char1 Char Char Char Char Char Char Char"/>
    <w:basedOn w:val="1"/>
    <w:qFormat/>
    <w:uiPriority w:val="0"/>
  </w:style>
  <w:style w:type="paragraph" w:customStyle="1" w:styleId="266">
    <w:name w:val="表格5号字"/>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67">
    <w:name w:val="表"/>
    <w:basedOn w:val="1"/>
    <w:qFormat/>
    <w:uiPriority w:val="0"/>
    <w:pPr>
      <w:widowControl/>
      <w:jc w:val="center"/>
    </w:pPr>
    <w:rPr>
      <w:bCs/>
      <w:kern w:val="0"/>
      <w:sz w:val="21"/>
      <w:szCs w:val="21"/>
    </w:rPr>
  </w:style>
  <w:style w:type="paragraph" w:customStyle="1" w:styleId="268">
    <w:name w:val="x正文"/>
    <w:basedOn w:val="1"/>
    <w:qFormat/>
    <w:uiPriority w:val="0"/>
    <w:pPr>
      <w:adjustRightInd/>
      <w:spacing w:line="360" w:lineRule="auto"/>
      <w:ind w:firstLine="480" w:firstLineChars="200"/>
      <w:jc w:val="both"/>
      <w:textAlignment w:val="auto"/>
    </w:pPr>
    <w:rPr>
      <w:kern w:val="2"/>
      <w:sz w:val="24"/>
      <w:szCs w:val="24"/>
    </w:rPr>
  </w:style>
  <w:style w:type="table" w:customStyle="1" w:styleId="269">
    <w:name w:val="Table Normal"/>
    <w:basedOn w:val="41"/>
    <w:unhideWhenUsed/>
    <w:qFormat/>
    <w:uiPriority w:val="0"/>
    <w:tblPr>
      <w:tblCellMar>
        <w:top w:w="0" w:type="dxa"/>
        <w:left w:w="0" w:type="dxa"/>
        <w:bottom w:w="0" w:type="dxa"/>
        <w:right w:w="0" w:type="dxa"/>
      </w:tblCellMar>
    </w:tblPr>
  </w:style>
  <w:style w:type="character" w:customStyle="1" w:styleId="270">
    <w:name w:val="10"/>
    <w:basedOn w:val="43"/>
    <w:qFormat/>
    <w:uiPriority w:val="0"/>
    <w:rPr>
      <w:rFonts w:hint="default" w:ascii="Calibri" w:hAnsi="Calibri" w:cs="Calibri"/>
    </w:rPr>
  </w:style>
  <w:style w:type="character" w:customStyle="1" w:styleId="271">
    <w:name w:val="15"/>
    <w:basedOn w:val="43"/>
    <w:qFormat/>
    <w:uiPriority w:val="0"/>
    <w:rPr>
      <w:rFonts w:hint="default" w:ascii="Calibri" w:hAnsi="Calibri" w:cs="Calibri"/>
    </w:rPr>
  </w:style>
  <w:style w:type="character" w:customStyle="1" w:styleId="272">
    <w:name w:val=" Char Char26"/>
    <w:link w:val="6"/>
    <w:qFormat/>
    <w:uiPriority w:val="0"/>
    <w:rPr>
      <w:b/>
      <w:szCs w:val="20"/>
    </w:rPr>
  </w:style>
  <w:style w:type="paragraph" w:customStyle="1" w:styleId="273">
    <w:name w:val="表名2"/>
    <w:basedOn w:val="8"/>
    <w:qFormat/>
    <w:uiPriority w:val="0"/>
    <w:pPr>
      <w:tabs>
        <w:tab w:val="left" w:pos="4144"/>
      </w:tabs>
      <w:autoSpaceDE/>
      <w:autoSpaceDN/>
      <w:snapToGrid w:val="0"/>
      <w:ind w:firstLine="0" w:firstLineChars="0"/>
      <w:jc w:val="center"/>
      <w:textAlignment w:val="auto"/>
    </w:pPr>
    <w:rPr>
      <w:rFonts w:eastAsia="黑体"/>
      <w:kern w:val="10"/>
      <w:sz w:val="21"/>
      <w:szCs w:val="24"/>
    </w:rPr>
  </w:style>
  <w:style w:type="paragraph" w:customStyle="1" w:styleId="274">
    <w:name w:val="小表文居中"/>
    <w:basedOn w:val="275"/>
    <w:qFormat/>
    <w:uiPriority w:val="0"/>
    <w:pPr>
      <w:jc w:val="center"/>
    </w:pPr>
  </w:style>
  <w:style w:type="paragraph" w:customStyle="1" w:styleId="275">
    <w:name w:val="小表文"/>
    <w:basedOn w:val="1"/>
    <w:qFormat/>
    <w:uiPriority w:val="0"/>
    <w:pPr>
      <w:spacing w:before="20" w:line="240" w:lineRule="auto"/>
      <w:ind w:firstLine="0"/>
    </w:pPr>
    <w:rPr>
      <w:sz w:val="18"/>
    </w:rPr>
  </w:style>
  <w:style w:type="paragraph" w:customStyle="1" w:styleId="276">
    <w:name w:val="表格文字（内）"/>
    <w:basedOn w:val="1"/>
    <w:qFormat/>
    <w:uiPriority w:val="0"/>
    <w:pPr>
      <w:adjustRightInd w:val="0"/>
      <w:snapToGrid w:val="0"/>
      <w:jc w:val="center"/>
    </w:pPr>
    <w:rPr>
      <w:snapToGrid w:val="0"/>
      <w:szCs w:val="21"/>
    </w:rPr>
  </w:style>
  <w:style w:type="paragraph" w:customStyle="1" w:styleId="277">
    <w:name w:val="文本111"/>
    <w:basedOn w:val="1"/>
    <w:qFormat/>
    <w:uiPriority w:val="0"/>
    <w:pPr>
      <w:wordWrap w:val="0"/>
      <w:adjustRightInd w:val="0"/>
      <w:snapToGrid w:val="0"/>
      <w:spacing w:line="360" w:lineRule="auto"/>
      <w:ind w:firstLine="480" w:firstLineChars="200"/>
      <w:jc w:val="left"/>
    </w:pPr>
    <w:rPr>
      <w:color w:val="000000"/>
      <w:sz w:val="24"/>
    </w:rPr>
  </w:style>
  <w:style w:type="paragraph" w:customStyle="1" w:styleId="278">
    <w:name w:val="图标标题"/>
    <w:basedOn w:val="1"/>
    <w:qFormat/>
    <w:uiPriority w:val="0"/>
    <w:pPr>
      <w:jc w:val="center"/>
    </w:pPr>
    <w:rPr>
      <w:b/>
      <w:szCs w:val="21"/>
    </w:rPr>
  </w:style>
  <w:style w:type="paragraph" w:customStyle="1" w:styleId="279">
    <w:name w:val="表头-s"/>
    <w:basedOn w:val="1"/>
    <w:qFormat/>
    <w:uiPriority w:val="0"/>
    <w:pPr>
      <w:spacing w:beforeLines="50"/>
      <w:jc w:val="center"/>
    </w:pPr>
    <w:rPr>
      <w:rFonts w:ascii="宋体" w:hAnsi="宋体"/>
      <w:b/>
      <w:sz w:val="24"/>
    </w:rPr>
  </w:style>
  <w:style w:type="paragraph" w:customStyle="1" w:styleId="280">
    <w:name w:val="6表格内容"/>
    <w:basedOn w:val="1"/>
    <w:next w:val="1"/>
    <w:qFormat/>
    <w:uiPriority w:val="0"/>
    <w:pPr>
      <w:jc w:val="center"/>
    </w:pPr>
    <w:rPr>
      <w:rFonts w:eastAsia="宋体"/>
      <w:szCs w:val="24"/>
    </w:rPr>
  </w:style>
  <w:style w:type="character" w:customStyle="1" w:styleId="281">
    <w:name w:val="表格内容 字符"/>
    <w:link w:val="90"/>
    <w:qFormat/>
    <w:uiPriority w:val="0"/>
    <w:rPr>
      <w:color w:val="000000"/>
    </w:rPr>
  </w:style>
  <w:style w:type="paragraph" w:customStyle="1" w:styleId="282">
    <w:name w:val="0报告正文"/>
    <w:basedOn w:val="1"/>
    <w:qFormat/>
    <w:uiPriority w:val="0"/>
    <w:pPr>
      <w:spacing w:line="360" w:lineRule="auto"/>
      <w:ind w:firstLine="200" w:firstLineChars="200"/>
    </w:pPr>
    <w:rPr>
      <w:rFonts w:ascii="Times New Roman" w:hAnsi="Times New Roman"/>
      <w:sz w:val="24"/>
      <w:szCs w:val="22"/>
    </w:rPr>
  </w:style>
  <w:style w:type="paragraph" w:customStyle="1" w:styleId="283">
    <w:name w:val="表2.3-1"/>
    <w:basedOn w:val="1"/>
    <w:qFormat/>
    <w:uiPriority w:val="0"/>
    <w:pPr>
      <w:numPr>
        <w:ilvl w:val="0"/>
        <w:numId w:val="4"/>
      </w:numPr>
      <w:adjustRightInd w:val="0"/>
      <w:snapToGrid w:val="0"/>
      <w:spacing w:line="320" w:lineRule="exact"/>
      <w:ind w:firstLine="420" w:firstLineChars="200"/>
      <w:jc w:val="center"/>
      <w:outlineLvl w:val="4"/>
    </w:pPr>
    <w:rPr>
      <w:rFonts w:ascii="Arial" w:hAnsi="Arial"/>
      <w:sz w:val="24"/>
      <w:szCs w:val="21"/>
    </w:rPr>
  </w:style>
  <w:style w:type="paragraph" w:customStyle="1" w:styleId="284">
    <w:name w:val="表名"/>
    <w:basedOn w:val="285"/>
    <w:next w:val="1"/>
    <w:qFormat/>
    <w:uiPriority w:val="0"/>
    <w:pPr>
      <w:numPr>
        <w:ilvl w:val="0"/>
        <w:numId w:val="0"/>
      </w:numPr>
      <w:tabs>
        <w:tab w:val="left" w:pos="0"/>
        <w:tab w:val="left" w:pos="420"/>
      </w:tabs>
      <w:spacing w:before="20" w:beforeLines="20"/>
      <w:ind w:firstLine="567"/>
      <w:jc w:val="left"/>
      <w:outlineLvl w:val="6"/>
    </w:pPr>
    <w:rPr>
      <w:rFonts w:ascii="Times New Roman" w:hAnsi="Times New Roman"/>
    </w:rPr>
  </w:style>
  <w:style w:type="paragraph" w:customStyle="1" w:styleId="285">
    <w:name w:val="图名"/>
    <w:basedOn w:val="1"/>
    <w:next w:val="1"/>
    <w:qFormat/>
    <w:uiPriority w:val="0"/>
    <w:pPr>
      <w:tabs>
        <w:tab w:val="left" w:pos="0"/>
      </w:tabs>
      <w:adjustRightInd w:val="0"/>
      <w:snapToGrid w:val="0"/>
      <w:spacing w:after="20" w:afterLines="20"/>
      <w:jc w:val="center"/>
      <w:outlineLvl w:val="7"/>
    </w:pPr>
    <w:rPr>
      <w:rFonts w:ascii="黑体" w:hAnsi="黑体"/>
      <w:b/>
      <w:sz w:val="24"/>
    </w:rPr>
  </w:style>
  <w:style w:type="character" w:customStyle="1" w:styleId="286">
    <w:name w:val="样式5 Char"/>
    <w:link w:val="64"/>
    <w:qFormat/>
    <w:uiPriority w:val="0"/>
    <w:rPr>
      <w:sz w:val="24"/>
    </w:rPr>
  </w:style>
  <w:style w:type="paragraph" w:customStyle="1" w:styleId="287">
    <w:name w:val="表格内容1"/>
    <w:basedOn w:val="153"/>
    <w:qFormat/>
    <w:uiPriority w:val="0"/>
    <w:pPr>
      <w:jc w:val="center"/>
    </w:pPr>
    <w:rPr>
      <w:rFonts w:ascii="Times New Roman" w:hAnsi="Times New Roman" w:eastAsia="宋体"/>
      <w:color w:val="000000"/>
      <w:kern w:val="0"/>
      <w:szCs w:val="21"/>
    </w:rPr>
  </w:style>
  <w:style w:type="paragraph" w:customStyle="1" w:styleId="288">
    <w:name w:val="表格标题1"/>
    <w:basedOn w:val="1"/>
    <w:qFormat/>
    <w:uiPriority w:val="0"/>
    <w:pPr>
      <w:autoSpaceDE w:val="0"/>
      <w:autoSpaceDN w:val="0"/>
      <w:adjustRightInd w:val="0"/>
      <w:jc w:val="center"/>
    </w:pPr>
    <w:rPr>
      <w:rFonts w:cs="宋体"/>
      <w:b/>
      <w:color w:val="000000"/>
    </w:rPr>
  </w:style>
  <w:style w:type="paragraph" w:customStyle="1" w:styleId="289">
    <w:name w:val="样式6"/>
    <w:basedOn w:val="290"/>
    <w:next w:val="64"/>
    <w:qFormat/>
    <w:uiPriority w:val="0"/>
    <w:pPr>
      <w:adjustRightInd w:val="0"/>
      <w:snapToGrid w:val="0"/>
      <w:spacing w:line="240" w:lineRule="auto"/>
      <w:ind w:left="0" w:leftChars="0" w:firstLine="0" w:firstLineChars="0"/>
      <w:jc w:val="center"/>
    </w:pPr>
    <w:rPr>
      <w:rFonts w:ascii="宋体" w:hAnsi="宋体" w:eastAsia="宋体" w:cs="Times New Roman"/>
      <w:kern w:val="0"/>
      <w:sz w:val="21"/>
      <w:szCs w:val="20"/>
    </w:rPr>
  </w:style>
  <w:style w:type="paragraph" w:customStyle="1" w:styleId="290">
    <w:name w:val="规划正文"/>
    <w:basedOn w:val="1"/>
    <w:qFormat/>
    <w:uiPriority w:val="0"/>
    <w:pPr>
      <w:spacing w:line="440" w:lineRule="exact"/>
      <w:ind w:firstLine="200" w:firstLineChars="200"/>
    </w:pPr>
    <w:rPr>
      <w:rFonts w:ascii="Times New Roman" w:hAnsi="Times New Roman"/>
      <w:color w:val="0070C0"/>
      <w:sz w:val="24"/>
    </w:rPr>
  </w:style>
  <w:style w:type="paragraph" w:customStyle="1" w:styleId="291">
    <w:name w:val="表格样式"/>
    <w:basedOn w:val="108"/>
    <w:next w:val="1"/>
    <w:qFormat/>
    <w:uiPriority w:val="0"/>
    <w:pPr>
      <w:adjustRightInd w:val="0"/>
      <w:snapToGrid w:val="0"/>
      <w:jc w:val="center"/>
      <w:textAlignment w:val="center"/>
    </w:pPr>
    <w:rPr>
      <w:sz w:val="28"/>
    </w:rPr>
  </w:style>
  <w:style w:type="paragraph" w:customStyle="1" w:styleId="292">
    <w:name w:val="正文文字1"/>
    <w:basedOn w:val="1"/>
    <w:qFormat/>
    <w:uiPriority w:val="0"/>
    <w:pPr>
      <w:adjustRightInd w:val="0"/>
      <w:snapToGrid w:val="0"/>
      <w:spacing w:line="360" w:lineRule="auto"/>
      <w:ind w:firstLine="472" w:firstLineChars="200"/>
      <w:jc w:val="left"/>
    </w:pPr>
    <w:rPr>
      <w:spacing w:val="-2"/>
      <w:szCs w:val="20"/>
    </w:rPr>
  </w:style>
  <w:style w:type="character" w:customStyle="1" w:styleId="293">
    <w:name w:val="标题 3 Char"/>
    <w:link w:val="5"/>
    <w:qFormat/>
    <w:uiPriority w:val="0"/>
    <w:rPr>
      <w:rFonts w:ascii="黑体" w:hAnsi="宋体" w:eastAsia="Times New Roman"/>
      <w:bCs/>
      <w:snapToGrid w:val="0"/>
      <w:kern w:val="0"/>
      <w:szCs w:val="20"/>
    </w:rPr>
  </w:style>
  <w:style w:type="paragraph" w:customStyle="1" w:styleId="294">
    <w:name w:val="+正文"/>
    <w:basedOn w:val="1"/>
    <w:qFormat/>
    <w:uiPriority w:val="0"/>
    <w:pPr>
      <w:spacing w:line="360" w:lineRule="auto"/>
      <w:ind w:firstLine="200" w:firstLineChars="200"/>
    </w:pPr>
    <w:rPr>
      <w:sz w:val="24"/>
      <w:szCs w:val="28"/>
    </w:rPr>
  </w:style>
  <w:style w:type="paragraph" w:customStyle="1" w:styleId="295">
    <w:name w:val="列出段落1"/>
    <w:basedOn w:val="1"/>
    <w:qFormat/>
    <w:uiPriority w:val="99"/>
    <w:pPr>
      <w:ind w:firstLine="420" w:firstLineChars="200"/>
    </w:pPr>
  </w:style>
  <w:style w:type="paragraph" w:customStyle="1" w:styleId="296">
    <w:name w:val="+++ 表头"/>
    <w:basedOn w:val="1"/>
    <w:qFormat/>
    <w:uiPriority w:val="0"/>
    <w:pPr>
      <w:spacing w:line="360" w:lineRule="auto"/>
      <w:jc w:val="center"/>
    </w:pPr>
    <w:rPr>
      <w:rFonts w:cs="宋体"/>
      <w:b/>
      <w:bCs/>
      <w:color w:val="99CC00"/>
      <w:sz w:val="24"/>
    </w:rPr>
  </w:style>
  <w:style w:type="paragraph" w:customStyle="1" w:styleId="297">
    <w:name w:val="列出段落11"/>
    <w:basedOn w:val="1"/>
    <w:qFormat/>
    <w:uiPriority w:val="0"/>
    <w:pPr>
      <w:ind w:firstLine="420" w:firstLineChars="200"/>
    </w:pPr>
  </w:style>
  <w:style w:type="paragraph" w:customStyle="1" w:styleId="298">
    <w:name w:val="_Style 2"/>
    <w:basedOn w:val="14"/>
    <w:next w:val="19"/>
    <w:qFormat/>
    <w:uiPriority w:val="34"/>
    <w:pPr>
      <w:ind w:firstLine="420" w:firstLineChars="200"/>
    </w:pPr>
  </w:style>
  <w:style w:type="paragraph" w:customStyle="1" w:styleId="299">
    <w:name w:val="其他 (2)"/>
    <w:basedOn w:val="1"/>
    <w:qFormat/>
    <w:uiPriority w:val="0"/>
    <w:pPr>
      <w:shd w:val="clear" w:color="auto" w:fill="FFFFFF"/>
      <w:spacing w:line="228" w:lineRule="exact"/>
    </w:pPr>
    <w:rPr>
      <w:rFonts w:ascii="宋体" w:hAnsi="宋体" w:eastAsia="宋体" w:cs="宋体"/>
      <w:sz w:val="20"/>
      <w:szCs w:val="20"/>
      <w:lang w:val="zh-CN" w:bidi="zh-CN"/>
    </w:rPr>
  </w:style>
  <w:style w:type="paragraph" w:customStyle="1" w:styleId="300">
    <w:name w:val="其他"/>
    <w:basedOn w:val="1"/>
    <w:qFormat/>
    <w:uiPriority w:val="0"/>
    <w:pPr>
      <w:shd w:val="clear" w:color="auto" w:fill="FFFFFF"/>
      <w:spacing w:line="271" w:lineRule="exact"/>
      <w:jc w:val="center"/>
    </w:pPr>
    <w:rPr>
      <w:rFonts w:ascii="宋体" w:hAnsi="宋体" w:eastAsia="宋体" w:cs="宋体"/>
      <w:sz w:val="20"/>
      <w:szCs w:val="20"/>
      <w:lang w:val="zh-CN" w:bidi="zh-CN"/>
    </w:rPr>
  </w:style>
  <w:style w:type="paragraph" w:customStyle="1" w:styleId="301">
    <w:name w:val="表头1111"/>
    <w:basedOn w:val="1"/>
    <w:qFormat/>
    <w:uiPriority w:val="0"/>
    <w:pPr>
      <w:jc w:val="center"/>
      <w:textAlignment w:val="baseline"/>
    </w:pPr>
    <w:rPr>
      <w:rFonts w:hAnsi="宋体"/>
      <w:b/>
      <w:bCs/>
      <w:szCs w:val="21"/>
    </w:rPr>
  </w:style>
  <w:style w:type="paragraph" w:customStyle="1" w:styleId="302">
    <w:name w:val="真·表头"/>
    <w:basedOn w:val="1"/>
    <w:qFormat/>
    <w:uiPriority w:val="0"/>
    <w:pPr>
      <w:spacing w:line="360" w:lineRule="auto"/>
      <w:jc w:val="center"/>
    </w:pPr>
    <w:rPr>
      <w:rFonts w:ascii="Times New Roman" w:hAnsi="Times New Roman" w:eastAsia="黑体" w:cs="Times New Roman"/>
      <w:sz w:val="24"/>
      <w:szCs w:val="30"/>
    </w:rPr>
  </w:style>
  <w:style w:type="paragraph" w:customStyle="1" w:styleId="303">
    <w:name w:val="2"/>
    <w:basedOn w:val="1"/>
    <w:next w:val="19"/>
    <w:qFormat/>
    <w:uiPriority w:val="0"/>
    <w:rPr>
      <w:rFonts w:ascii="宋体" w:hAnsi="Courier New" w:cs="Courier New"/>
      <w:szCs w:val="21"/>
    </w:rPr>
  </w:style>
  <w:style w:type="paragraph" w:customStyle="1" w:styleId="304">
    <w:name w:val="表格标题新"/>
    <w:basedOn w:val="1"/>
    <w:qFormat/>
    <w:uiPriority w:val="0"/>
    <w:pPr>
      <w:tabs>
        <w:tab w:val="left" w:pos="0"/>
      </w:tabs>
      <w:adjustRightInd w:val="0"/>
      <w:snapToGrid w:val="0"/>
      <w:spacing w:before="156" w:beforeLines="50"/>
      <w:jc w:val="center"/>
    </w:pPr>
    <w:rPr>
      <w:rFonts w:ascii="黑体" w:eastAsia="黑体"/>
      <w:snapToGrid w:val="0"/>
      <w:spacing w:val="4"/>
      <w:kern w:val="0"/>
      <w:sz w:val="24"/>
    </w:rPr>
  </w:style>
  <w:style w:type="paragraph" w:customStyle="1" w:styleId="305">
    <w:name w:val="BG"/>
    <w:basedOn w:val="1"/>
    <w:unhideWhenUsed/>
    <w:qFormat/>
    <w:uiPriority w:val="99"/>
    <w:pPr>
      <w:snapToGrid w:val="0"/>
      <w:jc w:val="center"/>
    </w:pPr>
  </w:style>
  <w:style w:type="paragraph" w:customStyle="1" w:styleId="306">
    <w:name w:val="列出段落3"/>
    <w:basedOn w:val="1"/>
    <w:qFormat/>
    <w:uiPriority w:val="0"/>
    <w:pPr>
      <w:widowControl/>
      <w:spacing w:after="200" w:line="252" w:lineRule="auto"/>
      <w:ind w:left="720"/>
      <w:contextualSpacing/>
      <w:jc w:val="left"/>
    </w:pPr>
    <w:rPr>
      <w:rFonts w:ascii="Cambria" w:hAnsi="Cambria" w:eastAsia="宋体"/>
      <w:kern w:val="0"/>
      <w:sz w:val="22"/>
      <w:lang w:eastAsia="en-US" w:bidi="en-US"/>
    </w:rPr>
  </w:style>
  <w:style w:type="paragraph" w:customStyle="1" w:styleId="307">
    <w:name w:val="List Paragraph1"/>
    <w:basedOn w:val="1"/>
    <w:qFormat/>
    <w:uiPriority w:val="99"/>
    <w:pPr>
      <w:widowControl/>
      <w:spacing w:after="200" w:line="252" w:lineRule="auto"/>
      <w:ind w:left="720"/>
      <w:contextualSpacing/>
      <w:jc w:val="left"/>
    </w:pPr>
    <w:rPr>
      <w:rFonts w:ascii="Cambria" w:hAnsi="Cambria" w:eastAsia="宋体"/>
      <w:kern w:val="0"/>
      <w:sz w:val="22"/>
      <w:lang w:eastAsia="en-US"/>
    </w:rPr>
  </w:style>
  <w:style w:type="paragraph" w:customStyle="1" w:styleId="308">
    <w:name w:val="表内文字"/>
    <w:basedOn w:val="1"/>
    <w:next w:val="1"/>
    <w:qFormat/>
    <w:uiPriority w:val="0"/>
    <w:pPr>
      <w:topLinePunct/>
      <w:jc w:val="center"/>
    </w:pPr>
    <w:rPr>
      <w:rFonts w:ascii="宋体" w:hAnsi="宋体"/>
      <w:bCs/>
      <w:sz w:val="24"/>
      <w:szCs w:val="22"/>
    </w:rPr>
  </w:style>
  <w:style w:type="paragraph" w:customStyle="1" w:styleId="309">
    <w:name w:val="本文正文"/>
    <w:basedOn w:val="1"/>
    <w:qFormat/>
    <w:uiPriority w:val="0"/>
    <w:pPr>
      <w:ind w:firstLine="560"/>
    </w:pPr>
    <w:rPr>
      <w:szCs w:val="28"/>
    </w:rPr>
  </w:style>
  <w:style w:type="paragraph" w:customStyle="1" w:styleId="310">
    <w:name w:val="Heading 1"/>
    <w:basedOn w:val="1"/>
    <w:qFormat/>
    <w:uiPriority w:val="1"/>
    <w:pPr>
      <w:outlineLvl w:val="0"/>
    </w:pPr>
    <w:rPr>
      <w:rFonts w:ascii="黑体" w:eastAsia="黑体" w:cs="黑体"/>
      <w:b/>
      <w:bCs/>
      <w:sz w:val="36"/>
      <w:szCs w:val="36"/>
    </w:rPr>
  </w:style>
  <w:style w:type="paragraph" w:customStyle="1" w:styleId="311">
    <w:name w:val="Char"/>
    <w:basedOn w:val="1"/>
    <w:qFormat/>
    <w:uiPriority w:val="0"/>
  </w:style>
  <w:style w:type="paragraph" w:customStyle="1" w:styleId="312">
    <w:name w:val="0000000000000000"/>
    <w:basedOn w:val="1"/>
    <w:qFormat/>
    <w:uiPriority w:val="0"/>
    <w:pPr>
      <w:ind w:firstLine="422"/>
    </w:pPr>
  </w:style>
  <w:style w:type="paragraph" w:customStyle="1" w:styleId="313">
    <w:name w:val="111111111111111111111111"/>
    <w:basedOn w:val="175"/>
    <w:qFormat/>
    <w:uiPriority w:val="0"/>
    <w:pPr>
      <w:spacing w:before="50" w:beforeLines="50"/>
      <w:ind w:firstLine="0"/>
      <w:jc w:val="center"/>
    </w:pPr>
    <w:rPr>
      <w:b/>
    </w:rPr>
  </w:style>
  <w:style w:type="paragraph" w:customStyle="1" w:styleId="314">
    <w:name w:val="0环评正文"/>
    <w:basedOn w:val="1"/>
    <w:qFormat/>
    <w:uiPriority w:val="0"/>
    <w:pPr>
      <w:spacing w:line="480" w:lineRule="exact"/>
      <w:ind w:firstLine="200" w:firstLineChars="200"/>
    </w:pPr>
    <w:rPr>
      <w:rFonts w:ascii="Calibri" w:hAnsi="Calibri"/>
      <w:sz w:val="26"/>
      <w:szCs w:val="22"/>
    </w:rPr>
  </w:style>
  <w:style w:type="paragraph" w:customStyle="1" w:styleId="315">
    <w:name w:val="样式 正文 首行缩进:  2 字符 SL CON + 首行缩进:  2 字符"/>
    <w:basedOn w:val="316"/>
    <w:qFormat/>
    <w:uiPriority w:val="0"/>
    <w:pPr>
      <w:widowControl/>
      <w:tabs>
        <w:tab w:val="left" w:pos="377"/>
      </w:tabs>
      <w:spacing w:line="360" w:lineRule="auto"/>
      <w:ind w:firstLine="480" w:firstLineChars="200"/>
    </w:pPr>
    <w:rPr>
      <w:rFonts w:ascii="Times New Roman" w:cs="Times New Roman"/>
      <w:kern w:val="2"/>
      <w:szCs w:val="21"/>
    </w:rPr>
  </w:style>
  <w:style w:type="paragraph" w:customStyle="1" w:styleId="316">
    <w:name w:val="正文 首行缩进:  2 字符 SL CON"/>
    <w:basedOn w:val="1"/>
    <w:qFormat/>
    <w:uiPriority w:val="0"/>
    <w:pPr>
      <w:widowControl/>
      <w:tabs>
        <w:tab w:val="left" w:pos="377"/>
      </w:tabs>
      <w:spacing w:line="360" w:lineRule="auto"/>
      <w:ind w:firstLine="200" w:firstLineChars="200"/>
    </w:pPr>
    <w:rPr>
      <w:rFonts w:ascii="宋体" w:cs="宋体"/>
      <w:kern w:val="0"/>
      <w:sz w:val="24"/>
    </w:rPr>
  </w:style>
  <w:style w:type="paragraph" w:customStyle="1" w:styleId="317">
    <w:name w:val="A正 文"/>
    <w:basedOn w:val="1"/>
    <w:qFormat/>
    <w:uiPriority w:val="0"/>
    <w:pPr>
      <w:spacing w:line="360" w:lineRule="auto"/>
      <w:ind w:firstLine="200" w:firstLineChars="200"/>
      <w:jc w:val="left"/>
    </w:pPr>
    <w:rPr>
      <w:rFonts w:ascii="仿宋_GB2312" w:hAnsi="宋体"/>
      <w:sz w:val="24"/>
      <w:szCs w:val="20"/>
    </w:rPr>
  </w:style>
  <w:style w:type="paragraph" w:customStyle="1" w:styleId="318">
    <w:name w:val="p_MsoNormal"/>
    <w:basedOn w:val="169"/>
    <w:qFormat/>
    <w:uiPriority w:val="0"/>
    <w:pPr>
      <w:spacing w:line="400" w:lineRule="atLeast"/>
    </w:pPr>
    <w:rPr>
      <w:rFonts w:ascii="宋体" w:hAnsi="宋体" w:eastAsia="宋体" w:cs="宋体"/>
    </w:rPr>
  </w:style>
  <w:style w:type="paragraph" w:customStyle="1" w:styleId="319">
    <w:name w:val="A正文"/>
    <w:basedOn w:val="8"/>
    <w:qFormat/>
    <w:uiPriority w:val="0"/>
    <w:pPr>
      <w:adjustRightInd w:val="0"/>
      <w:snapToGrid w:val="0"/>
      <w:spacing w:line="360" w:lineRule="auto"/>
      <w:ind w:firstLine="480" w:firstLineChars="200"/>
    </w:pPr>
    <w:rPr>
      <w:sz w:val="24"/>
    </w:rPr>
  </w:style>
  <w:style w:type="paragraph" w:customStyle="1" w:styleId="320">
    <w:name w:val="图表名"/>
    <w:basedOn w:val="1"/>
    <w:qFormat/>
    <w:uiPriority w:val="0"/>
    <w:pPr>
      <w:widowControl/>
      <w:adjustRightInd w:val="0"/>
      <w:snapToGrid w:val="0"/>
      <w:jc w:val="center"/>
    </w:pPr>
    <w:rPr>
      <w:kern w:val="0"/>
      <w:sz w:val="26"/>
      <w:szCs w:val="26"/>
    </w:rPr>
  </w:style>
  <w:style w:type="paragraph" w:customStyle="1" w:styleId="321">
    <w:name w:val="报告表格文字"/>
    <w:basedOn w:val="141"/>
    <w:qFormat/>
    <w:uiPriority w:val="0"/>
    <w:pPr>
      <w:jc w:val="center"/>
    </w:pPr>
    <w:rPr>
      <w:rFonts w:eastAsia="仿宋"/>
      <w:szCs w:val="21"/>
    </w:rPr>
  </w:style>
  <w:style w:type="paragraph" w:customStyle="1" w:styleId="322">
    <w:name w:val="A表格"/>
    <w:basedOn w:val="1"/>
    <w:qFormat/>
    <w:uiPriority w:val="0"/>
    <w:pPr>
      <w:adjustRightInd w:val="0"/>
      <w:snapToGrid w:val="0"/>
      <w:jc w:val="center"/>
    </w:pPr>
    <w:rPr>
      <w:bCs/>
      <w:color w:val="000000"/>
      <w:szCs w:val="21"/>
    </w:rPr>
  </w:style>
  <w:style w:type="paragraph" w:customStyle="1" w:styleId="323">
    <w:name w:val="SSEC表字居中 20150323"/>
    <w:qFormat/>
    <w:uiPriority w:val="0"/>
    <w:pPr>
      <w:adjustRightInd w:val="0"/>
      <w:snapToGrid w:val="0"/>
      <w:jc w:val="center"/>
    </w:pPr>
    <w:rPr>
      <w:rFonts w:ascii="宋体" w:hAnsi="宋体" w:eastAsia="宋体" w:cs="Times New Roman"/>
      <w:kern w:val="2"/>
      <w:sz w:val="21"/>
      <w:szCs w:val="21"/>
      <w:lang w:val="en-US" w:eastAsia="zh-CN" w:bidi="ar-SA"/>
    </w:rPr>
  </w:style>
  <w:style w:type="paragraph" w:customStyle="1" w:styleId="324">
    <w:name w:val="SSEC正文 20150323"/>
    <w:qFormat/>
    <w:uiPriority w:val="0"/>
    <w:pPr>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325">
    <w:name w:val="a-w正文"/>
    <w:basedOn w:val="1"/>
    <w:qFormat/>
    <w:uiPriority w:val="0"/>
    <w:pPr>
      <w:widowControl/>
      <w:adjustRightInd w:val="0"/>
      <w:snapToGrid w:val="0"/>
      <w:spacing w:line="360" w:lineRule="auto"/>
      <w:ind w:firstLine="480" w:firstLineChars="200"/>
    </w:pPr>
    <w:rPr>
      <w:sz w:val="24"/>
    </w:rPr>
  </w:style>
  <w:style w:type="paragraph" w:customStyle="1" w:styleId="326">
    <w:name w:val="中文报告书样式"/>
    <w:basedOn w:val="1"/>
    <w:qFormat/>
    <w:uiPriority w:val="0"/>
    <w:pPr>
      <w:keepNext w:val="0"/>
      <w:keepLines w:val="0"/>
      <w:widowControl w:val="0"/>
      <w:suppressLineNumbers w:val="0"/>
      <w:adjustRightInd w:val="0"/>
      <w:spacing w:before="0" w:beforeAutospacing="0" w:after="0" w:afterAutospacing="0" w:line="480" w:lineRule="atLeast"/>
      <w:ind w:left="0" w:right="0" w:firstLine="482"/>
      <w:jc w:val="both"/>
    </w:pPr>
    <w:rPr>
      <w:rFonts w:hint="default" w:ascii="Times New Roman" w:hAnsi="Times New Roman" w:eastAsia="宋体" w:cs="Times New Roman"/>
      <w:kern w:val="24"/>
      <w:sz w:val="24"/>
      <w:szCs w:val="20"/>
      <w:lang w:val="en-US" w:eastAsia="zh-CN" w:bidi="ar"/>
    </w:rPr>
  </w:style>
  <w:style w:type="paragraph" w:customStyle="1" w:styleId="327">
    <w:name w:val="环评证文"/>
    <w:basedOn w:val="1"/>
    <w:qFormat/>
    <w:uiPriority w:val="0"/>
    <w:pPr>
      <w:spacing w:line="440" w:lineRule="exact"/>
      <w:ind w:firstLine="480" w:firstLineChars="200"/>
      <w:jc w:val="both"/>
    </w:pPr>
    <w:rPr>
      <w:rFonts w:ascii="宋体" w:hAnsi="宋体" w:cs="宋体"/>
      <w:color w:val="000000"/>
      <w:sz w:val="24"/>
    </w:rPr>
  </w:style>
  <w:style w:type="paragraph" w:customStyle="1" w:styleId="328">
    <w:name w:val="表格内容（左）"/>
    <w:basedOn w:val="1"/>
    <w:qFormat/>
    <w:uiPriority w:val="0"/>
    <w:pPr>
      <w:widowControl w:val="0"/>
      <w:adjustRightInd w:val="0"/>
      <w:snapToGrid w:val="0"/>
      <w:spacing w:line="240" w:lineRule="auto"/>
      <w:jc w:val="center"/>
    </w:pPr>
    <w:rPr>
      <w:sz w:val="21"/>
    </w:rPr>
  </w:style>
  <w:style w:type="paragraph" w:customStyle="1" w:styleId="329">
    <w:name w:val="A-z正文"/>
    <w:basedOn w:val="1"/>
    <w:qFormat/>
    <w:uiPriority w:val="0"/>
    <w:pPr>
      <w:spacing w:line="360" w:lineRule="auto"/>
      <w:ind w:firstLine="200" w:firstLineChars="200"/>
    </w:pPr>
    <w:rPr>
      <w:rFonts w:ascii="楷体_GB2312" w:hAnsi="楷体_GB2312" w:eastAsia="方正小标宋_GBK" w:cs="楷体_GB2312"/>
      <w:kern w:val="0"/>
      <w:sz w:val="24"/>
      <w:szCs w:val="20"/>
    </w:rPr>
  </w:style>
  <w:style w:type="table" w:customStyle="1" w:styleId="330">
    <w:name w:val="CHl"/>
    <w:basedOn w:val="41"/>
    <w:qFormat/>
    <w:uiPriority w:val="99"/>
    <w:pPr>
      <w:widowControl w:val="0"/>
      <w:adjustRightInd w:val="0"/>
      <w:snapToGrid w:val="0"/>
      <w:spacing w:line="360" w:lineRule="exact"/>
      <w:jc w:val="center"/>
    </w:pPr>
    <w:rPr>
      <w:sz w:val="18"/>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331">
    <w:name w:val="加粗"/>
    <w:basedOn w:val="1"/>
    <w:next w:val="1"/>
    <w:qFormat/>
    <w:uiPriority w:val="0"/>
    <w:pPr>
      <w:ind w:firstLine="0" w:firstLineChars="0"/>
      <w:jc w:val="left"/>
    </w:pPr>
    <w:rPr>
      <w:b/>
    </w:rPr>
  </w:style>
  <w:style w:type="paragraph" w:customStyle="1" w:styleId="332">
    <w:name w:val="插图"/>
    <w:basedOn w:val="56"/>
    <w:next w:val="56"/>
    <w:qFormat/>
    <w:uiPriority w:val="0"/>
    <w:pPr>
      <w:spacing w:line="240" w:lineRule="auto"/>
    </w:pPr>
    <w:rPr>
      <w:rFonts w:cstheme="minorBidi"/>
      <w:szCs w:val="24"/>
      <w:lang w:val="de-DE"/>
    </w:rPr>
  </w:style>
  <w:style w:type="character" w:customStyle="1" w:styleId="333">
    <w:name w:val="修改 字符"/>
    <w:basedOn w:val="43"/>
    <w:link w:val="334"/>
    <w:qFormat/>
    <w:uiPriority w:val="0"/>
    <w:rPr>
      <w:color w:val="00B050"/>
    </w:rPr>
  </w:style>
  <w:style w:type="paragraph" w:customStyle="1" w:styleId="334">
    <w:name w:val="修改"/>
    <w:basedOn w:val="1"/>
    <w:link w:val="333"/>
    <w:qFormat/>
    <w:uiPriority w:val="0"/>
    <w:pPr>
      <w:framePr w:hSpace="180" w:wrap="around" w:vAnchor="text" w:hAnchor="text" w:y="1"/>
      <w:ind w:firstLine="480"/>
    </w:pPr>
    <w:rPr>
      <w:color w:val="00B050"/>
    </w:rPr>
  </w:style>
  <w:style w:type="paragraph" w:customStyle="1" w:styleId="335">
    <w:name w:val="表格(大)"/>
    <w:basedOn w:val="1"/>
    <w:qFormat/>
    <w:uiPriority w:val="0"/>
    <w:pPr>
      <w:widowControl w:val="0"/>
      <w:jc w:val="center"/>
    </w:pPr>
    <w:rPr>
      <w:b/>
      <w:sz w:val="21"/>
      <w:szCs w:val="20"/>
    </w:rPr>
  </w:style>
  <w:style w:type="paragraph" w:customStyle="1" w:styleId="336">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bidi="ar-SA"/>
    </w:rPr>
  </w:style>
  <w:style w:type="paragraph" w:customStyle="1" w:styleId="337">
    <w:name w:val="Normal_97"/>
    <w:qFormat/>
    <w:uiPriority w:val="0"/>
    <w:pPr>
      <w:spacing w:before="120" w:after="240"/>
      <w:jc w:val="both"/>
    </w:pPr>
    <w:rPr>
      <w:rFonts w:ascii="Calibri" w:hAnsi="Calibri" w:eastAsia="Calibri" w:cs="Times New Roman"/>
      <w:sz w:val="22"/>
      <w:szCs w:val="22"/>
      <w:lang w:val="ru-RU" w:eastAsia="en-US" w:bidi="ar-SA"/>
    </w:rPr>
  </w:style>
  <w:style w:type="paragraph" w:customStyle="1" w:styleId="338">
    <w:name w:val="Normal_98"/>
    <w:qFormat/>
    <w:uiPriority w:val="0"/>
    <w:pPr>
      <w:spacing w:before="120" w:after="240"/>
      <w:jc w:val="both"/>
    </w:pPr>
    <w:rPr>
      <w:rFonts w:ascii="Calibri" w:hAnsi="Calibri" w:eastAsia="Calibri" w:cs="Times New Roman"/>
      <w:sz w:val="22"/>
      <w:szCs w:val="22"/>
      <w:lang w:val="ru-RU" w:eastAsia="en-US" w:bidi="ar-SA"/>
    </w:rPr>
  </w:style>
  <w:style w:type="paragraph" w:customStyle="1" w:styleId="339">
    <w:name w:val="Normal_61"/>
    <w:qFormat/>
    <w:uiPriority w:val="0"/>
    <w:pPr>
      <w:spacing w:before="120" w:after="240"/>
      <w:jc w:val="both"/>
    </w:pPr>
    <w:rPr>
      <w:rFonts w:ascii="Calibri" w:hAnsi="Calibri" w:eastAsia="Calibri" w:cs="Times New Roman"/>
      <w:sz w:val="22"/>
      <w:szCs w:val="22"/>
      <w:lang w:val="ru-RU" w:eastAsia="en-US" w:bidi="ar-SA"/>
    </w:rPr>
  </w:style>
  <w:style w:type="character" w:customStyle="1" w:styleId="340">
    <w:name w:val="bt Char Char"/>
    <w:qFormat/>
    <w:uiPriority w:val="0"/>
    <w:rPr>
      <w:rFonts w:ascii="Verdana" w:hAnsi="Verdana" w:eastAsia="宋体"/>
      <w:kern w:val="2"/>
      <w:sz w:val="21"/>
      <w:szCs w:val="24"/>
      <w:lang w:val="en-US" w:eastAsia="zh-CN" w:bidi="ar-SA"/>
    </w:rPr>
  </w:style>
  <w:style w:type="paragraph" w:customStyle="1" w:styleId="341">
    <w:name w:val="Table Text"/>
    <w:basedOn w:val="1"/>
    <w:semiHidden/>
    <w:qFormat/>
    <w:uiPriority w:val="0"/>
    <w:rPr>
      <w:rFonts w:ascii="宋体" w:hAnsi="宋体" w:eastAsia="宋体" w:cs="宋体"/>
      <w:sz w:val="21"/>
      <w:szCs w:val="21"/>
      <w:lang w:val="en-US" w:eastAsia="en-US" w:bidi="ar-SA"/>
    </w:rPr>
  </w:style>
  <w:style w:type="paragraph" w:customStyle="1" w:styleId="342">
    <w:name w:val="样式 样式4 + 首行缩进:  2 字符"/>
    <w:basedOn w:val="143"/>
    <w:qFormat/>
    <w:uiPriority w:val="0"/>
    <w:pPr>
      <w:spacing w:line="440" w:lineRule="exact"/>
      <w:ind w:firstLine="480" w:firstLineChars="200"/>
    </w:pPr>
    <w:rPr>
      <w:rFonts w:eastAsia="宋体" w:cs="宋体"/>
      <w:szCs w:val="20"/>
    </w:rPr>
  </w:style>
  <w:style w:type="paragraph" w:customStyle="1" w:styleId="343">
    <w:name w:val="样式23"/>
    <w:basedOn w:val="344"/>
    <w:qFormat/>
    <w:uiPriority w:val="0"/>
    <w:pPr>
      <w:ind w:firstLine="480"/>
    </w:pPr>
  </w:style>
  <w:style w:type="paragraph" w:customStyle="1" w:styleId="344">
    <w:name w:val="样式14"/>
    <w:basedOn w:val="1"/>
    <w:qFormat/>
    <w:uiPriority w:val="0"/>
    <w:pPr>
      <w:adjustRightInd w:val="0"/>
      <w:snapToGrid w:val="0"/>
      <w:spacing w:line="460" w:lineRule="exact"/>
      <w:ind w:firstLine="200" w:firstLineChars="200"/>
    </w:pPr>
    <w:rPr>
      <w:color w:val="0000FF"/>
      <w:sz w:val="24"/>
    </w:rPr>
  </w:style>
  <w:style w:type="paragraph" w:customStyle="1" w:styleId="345">
    <w:name w:val="表格正文"/>
    <w:basedOn w:val="1"/>
    <w:qFormat/>
    <w:uiPriority w:val="0"/>
    <w:pPr>
      <w:spacing w:line="360" w:lineRule="exact"/>
      <w:jc w:val="center"/>
    </w:pPr>
    <w:rPr>
      <w:rFonts w:ascii="Arial" w:hAnsi="Arial"/>
      <w:szCs w:val="20"/>
    </w:rPr>
  </w:style>
  <w:style w:type="paragraph" w:customStyle="1" w:styleId="346">
    <w:name w:val="Heading 5"/>
    <w:basedOn w:val="1"/>
    <w:qFormat/>
    <w:uiPriority w:val="0"/>
    <w:pPr>
      <w:widowControl/>
      <w:autoSpaceDE w:val="0"/>
      <w:autoSpaceDN w:val="0"/>
      <w:adjustRightInd w:val="0"/>
      <w:spacing w:after="200" w:line="276" w:lineRule="auto"/>
      <w:ind w:left="240"/>
      <w:jc w:val="left"/>
      <w:outlineLvl w:val="4"/>
    </w:pPr>
    <w:rPr>
      <w:rFonts w:ascii="黑体" w:eastAsia="黑体" w:cs="黑体"/>
      <w:b/>
      <w:bCs/>
      <w:kern w:val="0"/>
      <w:sz w:val="24"/>
      <w:szCs w:val="22"/>
    </w:rPr>
  </w:style>
  <w:style w:type="paragraph" w:customStyle="1" w:styleId="347">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customStyle="1" w:styleId="348">
    <w:name w:val="【】表头"/>
    <w:next w:val="349"/>
    <w:qFormat/>
    <w:uiPriority w:val="0"/>
    <w:pPr>
      <w:numPr>
        <w:ilvl w:val="5"/>
        <w:numId w:val="0"/>
      </w:numPr>
      <w:adjustRightInd w:val="0"/>
      <w:snapToGrid w:val="0"/>
      <w:jc w:val="center"/>
    </w:pPr>
    <w:rPr>
      <w:rFonts w:ascii="Times New Roman" w:hAnsi="Times New Roman" w:eastAsia="宋体" w:cs="Times New Roman"/>
      <w:b/>
      <w:bCs/>
      <w:color w:val="000000"/>
      <w:sz w:val="24"/>
      <w:szCs w:val="24"/>
      <w:lang w:val="en-US" w:eastAsia="zh-CN" w:bidi="ar-SA"/>
    </w:rPr>
  </w:style>
  <w:style w:type="paragraph" w:customStyle="1" w:styleId="349">
    <w:name w:val="A表内"/>
    <w:basedOn w:val="1"/>
    <w:qFormat/>
    <w:uiPriority w:val="0"/>
    <w:pPr>
      <w:spacing w:line="0" w:lineRule="atLeast"/>
      <w:jc w:val="center"/>
    </w:pPr>
    <w:rPr>
      <w:rFonts w:cs="宋体"/>
      <w:szCs w:val="20"/>
    </w:rPr>
  </w:style>
  <w:style w:type="paragraph" w:customStyle="1" w:styleId="350">
    <w:name w:val="0101010101"/>
    <w:qFormat/>
    <w:uiPriority w:val="0"/>
    <w:pPr>
      <w:spacing w:beforeLines="50" w:line="360" w:lineRule="auto"/>
      <w:ind w:firstLine="723" w:firstLineChars="200"/>
    </w:pPr>
    <w:rPr>
      <w:rFonts w:ascii="Times New Roman" w:hAnsi="Times New Roman" w:eastAsia="宋体" w:cs="Times New Roman"/>
      <w:sz w:val="24"/>
      <w:szCs w:val="24"/>
      <w:lang w:val="en-US" w:eastAsia="zh-CN" w:bidi="ar-SA"/>
    </w:rPr>
  </w:style>
  <w:style w:type="paragraph" w:customStyle="1" w:styleId="351">
    <w:name w:val="样式 正文文本缩进 + 行距: 1.5 倍行距"/>
    <w:basedOn w:val="16"/>
    <w:qFormat/>
    <w:uiPriority w:val="0"/>
    <w:pPr>
      <w:spacing w:after="120"/>
      <w:ind w:left="90" w:leftChars="32" w:firstLine="560"/>
    </w:pPr>
    <w:rPr>
      <w:rFonts w:cs="宋体"/>
    </w:rPr>
  </w:style>
  <w:style w:type="paragraph" w:customStyle="1" w:styleId="352">
    <w:name w:val="表格文字1"/>
    <w:basedOn w:val="1"/>
    <w:qFormat/>
    <w:uiPriority w:val="0"/>
    <w:pPr>
      <w:snapToGrid w:val="0"/>
      <w:spacing w:line="400" w:lineRule="exact"/>
      <w:jc w:val="center"/>
    </w:pPr>
    <w:rPr>
      <w:rFonts w:ascii="Times New Roman" w:hAnsi="Times New Roman"/>
      <w:kern w:val="32"/>
      <w:szCs w:val="21"/>
      <w:lang w:val="de-DE"/>
    </w:rPr>
  </w:style>
  <w:style w:type="paragraph" w:customStyle="1" w:styleId="353">
    <w:name w:val="样式 小四 黑色 行距: 固定值 26 磅"/>
    <w:basedOn w:val="1"/>
    <w:qFormat/>
    <w:uiPriority w:val="99"/>
    <w:pPr>
      <w:spacing w:line="520" w:lineRule="exact"/>
      <w:ind w:firstLine="509" w:firstLineChars="202"/>
    </w:pPr>
    <w:rPr>
      <w:color w:val="000000"/>
      <w:spacing w:val="6"/>
      <w:sz w:val="24"/>
    </w:rPr>
  </w:style>
  <w:style w:type="paragraph" w:customStyle="1" w:styleId="354">
    <w:name w:val="样式 小四 行距: 1.5 倍行距"/>
    <w:basedOn w:val="1"/>
    <w:qFormat/>
    <w:uiPriority w:val="0"/>
    <w:pPr>
      <w:ind w:firstLine="480" w:firstLineChars="200"/>
    </w:pPr>
    <w:rPr>
      <w:rFonts w:hint="default" w:cs="宋体"/>
    </w:rPr>
  </w:style>
  <w:style w:type="paragraph" w:customStyle="1" w:styleId="355">
    <w:name w:val="表格内-知行"/>
    <w:basedOn w:val="1"/>
    <w:qFormat/>
    <w:uiPriority w:val="0"/>
    <w:pPr>
      <w:jc w:val="center"/>
    </w:pPr>
    <w:rPr>
      <w:rFonts w:ascii="Times New Roman" w:hAnsi="Times New Roman"/>
      <w:szCs w:val="28"/>
    </w:rPr>
  </w:style>
  <w:style w:type="paragraph" w:customStyle="1" w:styleId="356">
    <w:name w:val="aa正文"/>
    <w:basedOn w:val="1"/>
    <w:qFormat/>
    <w:uiPriority w:val="0"/>
    <w:pPr>
      <w:spacing w:line="360" w:lineRule="auto"/>
      <w:ind w:firstLine="200" w:firstLineChars="200"/>
    </w:pPr>
    <w:rPr>
      <w:sz w:val="24"/>
    </w:rPr>
  </w:style>
  <w:style w:type="paragraph" w:customStyle="1" w:styleId="357">
    <w:name w:val="图表头"/>
    <w:basedOn w:val="1"/>
    <w:qFormat/>
    <w:uiPriority w:val="0"/>
    <w:pPr>
      <w:tabs>
        <w:tab w:val="left" w:pos="770"/>
      </w:tabs>
      <w:spacing w:before="50" w:beforeLines="50"/>
      <w:jc w:val="center"/>
    </w:pPr>
    <w:rPr>
      <w:rFonts w:ascii="Times New Roman" w:hAnsi="Times New Roman"/>
      <w:b/>
      <w:szCs w:val="20"/>
    </w:rPr>
  </w:style>
  <w:style w:type="paragraph" w:customStyle="1" w:styleId="358">
    <w:name w:val="常用表格样式"/>
    <w:basedOn w:val="142"/>
    <w:next w:val="142"/>
    <w:qFormat/>
    <w:uiPriority w:val="0"/>
    <w:pPr>
      <w:spacing w:line="240" w:lineRule="auto"/>
      <w:ind w:firstLine="0"/>
      <w:jc w:val="center"/>
    </w:pPr>
    <w:rPr>
      <w:spacing w:val="2"/>
      <w:sz w:val="18"/>
    </w:rPr>
  </w:style>
  <w:style w:type="paragraph" w:customStyle="1" w:styleId="359">
    <w:name w:val="A0正文"/>
    <w:basedOn w:val="1"/>
    <w:qFormat/>
    <w:uiPriority w:val="0"/>
    <w:pPr>
      <w:spacing w:line="560" w:lineRule="exact"/>
      <w:ind w:firstLine="200" w:firstLineChars="200"/>
    </w:pPr>
    <w:rPr>
      <w:rFonts w:cs="宋体"/>
      <w:sz w:val="24"/>
      <w:szCs w:val="20"/>
      <w:lang w:val="zh-CN"/>
    </w:rPr>
  </w:style>
  <w:style w:type="paragraph" w:customStyle="1" w:styleId="360">
    <w:name w:val="F 正文"/>
    <w:basedOn w:val="1"/>
    <w:qFormat/>
    <w:uiPriority w:val="0"/>
    <w:pPr>
      <w:spacing w:line="360" w:lineRule="auto"/>
      <w:ind w:firstLine="720" w:firstLineChars="200"/>
    </w:pPr>
    <w:rPr>
      <w:rFonts w:ascii="Times New Roman" w:hAnsi="Times New Roman" w:eastAsia="宋体" w:cs="Times New Roman"/>
      <w:sz w:val="24"/>
    </w:rPr>
  </w:style>
  <w:style w:type="paragraph" w:customStyle="1" w:styleId="361">
    <w:name w:val="正文22"/>
    <w:basedOn w:val="1"/>
    <w:qFormat/>
    <w:uiPriority w:val="0"/>
    <w:rPr>
      <w:lang w:eastAsia="zh-CN"/>
    </w:rPr>
  </w:style>
  <w:style w:type="paragraph" w:customStyle="1" w:styleId="362">
    <w:name w:val="正文-知行"/>
    <w:basedOn w:val="1"/>
    <w:qFormat/>
    <w:uiPriority w:val="0"/>
    <w:pPr>
      <w:widowControl/>
      <w:spacing w:line="360" w:lineRule="auto"/>
      <w:ind w:firstLine="200" w:firstLineChars="200"/>
    </w:pPr>
    <w:rPr>
      <w:rFonts w:ascii="Times New Roman" w:hAnsi="Times New Roman"/>
      <w:sz w:val="24"/>
    </w:rPr>
  </w:style>
  <w:style w:type="paragraph" w:customStyle="1" w:styleId="363">
    <w:name w:val="表格内文字"/>
    <w:basedOn w:val="1"/>
    <w:next w:val="1"/>
    <w:qFormat/>
    <w:uiPriority w:val="0"/>
    <w:pPr>
      <w:autoSpaceDE w:val="0"/>
      <w:autoSpaceDN w:val="0"/>
      <w:adjustRightInd w:val="0"/>
      <w:snapToGrid w:val="0"/>
      <w:spacing w:line="240" w:lineRule="auto"/>
      <w:ind w:firstLine="0" w:firstLineChars="0"/>
      <w:jc w:val="center"/>
    </w:pPr>
    <w:rPr>
      <w:rFonts w:ascii="Times New Roman" w:hAnsi="Times New Roman" w:eastAsia="宋体"/>
      <w:bCs/>
      <w:sz w:val="21"/>
    </w:rPr>
  </w:style>
  <w:style w:type="paragraph" w:customStyle="1" w:styleId="364">
    <w:name w:val="_Style 3"/>
    <w:basedOn w:val="3"/>
    <w:next w:val="1"/>
    <w:unhideWhenUsed/>
    <w:qFormat/>
    <w:uiPriority w:val="39"/>
    <w:pPr>
      <w:keepLines/>
      <w:widowControl/>
      <w:overflowPunct/>
      <w:snapToGrid/>
      <w:spacing w:before="480" w:after="0" w:line="276" w:lineRule="auto"/>
      <w:ind w:left="0" w:firstLine="0"/>
      <w:jc w:val="left"/>
      <w:outlineLvl w:val="9"/>
    </w:pPr>
    <w:rPr>
      <w:rFonts w:ascii="Cambria" w:hAnsi="Cambria" w:eastAsia="宋体" w:cs="Times New Roman"/>
      <w:color w:val="365F91"/>
      <w:kern w:val="0"/>
      <w:sz w:val="28"/>
      <w:szCs w:val="28"/>
    </w:rPr>
  </w:style>
  <w:style w:type="paragraph" w:customStyle="1" w:styleId="365">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66">
    <w:name w:val="正 文"/>
    <w:basedOn w:val="1"/>
    <w:qFormat/>
    <w:uiPriority w:val="0"/>
    <w:pPr>
      <w:spacing w:line="360" w:lineRule="auto"/>
      <w:ind w:firstLine="200" w:firstLineChars="200"/>
      <w:jc w:val="left"/>
    </w:pPr>
    <w:rPr>
      <w:rFonts w:ascii="仿宋_GB2312" w:hAnsi="宋体"/>
      <w:sz w:val="24"/>
      <w:szCs w:val="20"/>
    </w:rPr>
  </w:style>
  <w:style w:type="character" w:customStyle="1" w:styleId="367">
    <w:name w:val="表格标题 字符"/>
    <w:link w:val="89"/>
    <w:qFormat/>
    <w:uiPriority w:val="0"/>
    <w:rPr>
      <w:rFonts w:eastAsia="仿宋_GB2312"/>
    </w:rPr>
  </w:style>
  <w:style w:type="paragraph" w:customStyle="1" w:styleId="368">
    <w:name w:val="表内容60"/>
    <w:basedOn w:val="19"/>
    <w:qFormat/>
    <w:uiPriority w:val="0"/>
    <w:pPr>
      <w:jc w:val="center"/>
    </w:pPr>
    <w:rPr>
      <w:rFonts w:ascii="Times New Roman" w:hAnsi="Times New Roman" w:cs="Courier New"/>
      <w:sz w:val="21"/>
      <w:szCs w:val="21"/>
    </w:rPr>
  </w:style>
  <w:style w:type="paragraph" w:customStyle="1" w:styleId="369">
    <w:name w:val="正文 段落"/>
    <w:basedOn w:val="1"/>
    <w:qFormat/>
    <w:uiPriority w:val="0"/>
    <w:pPr>
      <w:spacing w:line="360" w:lineRule="auto"/>
      <w:ind w:firstLine="480" w:firstLineChars="200"/>
    </w:pPr>
    <w:rPr>
      <w:rFonts w:ascii="Calibri" w:hAnsi="Calibri"/>
    </w:rPr>
  </w:style>
  <w:style w:type="paragraph" w:customStyle="1" w:styleId="370">
    <w:name w:val="1表格中字"/>
    <w:basedOn w:val="1"/>
    <w:qFormat/>
    <w:uiPriority w:val="0"/>
    <w:pPr>
      <w:snapToGrid w:val="0"/>
      <w:jc w:val="center"/>
    </w:pPr>
    <w:rPr>
      <w:rFonts w:hAnsi="宋体"/>
      <w:szCs w:val="21"/>
    </w:rPr>
  </w:style>
  <w:style w:type="paragraph" w:customStyle="1" w:styleId="371">
    <w:name w:val="1正文加粗"/>
    <w:basedOn w:val="372"/>
    <w:qFormat/>
    <w:uiPriority w:val="0"/>
    <w:pPr>
      <w:autoSpaceDE w:val="0"/>
      <w:autoSpaceDN w:val="0"/>
      <w:adjustRightInd w:val="0"/>
      <w:spacing w:line="480" w:lineRule="exact"/>
      <w:ind w:firstLine="200" w:firstLineChars="200"/>
      <w:jc w:val="left"/>
    </w:pPr>
    <w:rPr>
      <w:rFonts w:hAnsi="宋体"/>
      <w:b/>
      <w:kern w:val="0"/>
      <w:sz w:val="24"/>
    </w:rPr>
  </w:style>
  <w:style w:type="paragraph" w:customStyle="1" w:styleId="372">
    <w:name w:val="1正文文本"/>
    <w:basedOn w:val="1"/>
    <w:qFormat/>
    <w:uiPriority w:val="0"/>
    <w:pPr>
      <w:autoSpaceDE w:val="0"/>
      <w:autoSpaceDN w:val="0"/>
      <w:adjustRightInd w:val="0"/>
      <w:spacing w:line="480" w:lineRule="exact"/>
      <w:ind w:firstLine="200" w:firstLineChars="200"/>
      <w:jc w:val="left"/>
    </w:pPr>
    <w:rPr>
      <w:rFonts w:hAnsi="宋体"/>
      <w:kern w:val="0"/>
      <w:sz w:val="24"/>
    </w:rPr>
  </w:style>
  <w:style w:type="paragraph" w:customStyle="1" w:styleId="373">
    <w:name w:val="1.正文"/>
    <w:next w:val="1"/>
    <w:qFormat/>
    <w:uiPriority w:val="0"/>
    <w:pPr>
      <w:spacing w:line="360" w:lineRule="auto"/>
      <w:ind w:firstLine="200" w:firstLineChars="200"/>
    </w:pPr>
    <w:rPr>
      <w:rFonts w:ascii="Times New Roman" w:hAnsi="Times New Roman" w:eastAsia="宋体" w:cs="Times New Roman"/>
      <w:color w:val="000000"/>
      <w:sz w:val="24"/>
      <w:szCs w:val="24"/>
      <w:lang w:val="en-US" w:eastAsia="zh-CN" w:bidi="ar-SA"/>
    </w:rPr>
  </w:style>
  <w:style w:type="character" w:customStyle="1" w:styleId="374">
    <w:name w:val="文本1 Char"/>
    <w:basedOn w:val="375"/>
    <w:link w:val="376"/>
    <w:qFormat/>
    <w:locked/>
    <w:uiPriority w:val="0"/>
    <w:rPr>
      <w:kern w:val="2"/>
      <w:szCs w:val="24"/>
      <w:lang w:val="en-US" w:eastAsia="zh-CN"/>
    </w:rPr>
  </w:style>
  <w:style w:type="character" w:customStyle="1" w:styleId="375">
    <w:name w:val="正文文本缩进 Char"/>
    <w:semiHidden/>
    <w:qFormat/>
    <w:locked/>
    <w:uiPriority w:val="0"/>
    <w:rPr>
      <w:rFonts w:hint="default" w:ascii="Times New Roman" w:hAnsi="Times New Roman" w:eastAsia="宋体" w:cs="Times New Roman"/>
      <w:sz w:val="24"/>
    </w:rPr>
  </w:style>
  <w:style w:type="paragraph" w:customStyle="1" w:styleId="376">
    <w:name w:val="文本1"/>
    <w:basedOn w:val="16"/>
    <w:next w:val="1"/>
    <w:link w:val="374"/>
    <w:qFormat/>
    <w:uiPriority w:val="0"/>
    <w:pPr>
      <w:spacing w:after="0" w:line="360" w:lineRule="auto"/>
      <w:ind w:left="0" w:firstLine="470" w:firstLineChars="196"/>
      <w:contextualSpacing/>
    </w:pPr>
    <w:rPr>
      <w:kern w:val="2"/>
      <w:szCs w:val="24"/>
      <w:lang w:val="en-US" w:eastAsia="zh-CN"/>
    </w:rPr>
  </w:style>
  <w:style w:type="paragraph" w:customStyle="1" w:styleId="377">
    <w:name w:val="表头图名"/>
    <w:basedOn w:val="1"/>
    <w:next w:val="1"/>
    <w:qFormat/>
    <w:uiPriority w:val="0"/>
    <w:pPr>
      <w:jc w:val="center"/>
    </w:pPr>
    <w:rPr>
      <w:rFonts w:eastAsia="黑体" w:cs="黑体"/>
      <w:sz w:val="18"/>
      <w:szCs w:val="21"/>
    </w:rPr>
  </w:style>
  <w:style w:type="paragraph" w:customStyle="1" w:styleId="378">
    <w:name w:val="[1]正文"/>
    <w:basedOn w:val="1"/>
    <w:qFormat/>
    <w:uiPriority w:val="0"/>
    <w:pPr>
      <w:adjustRightInd w:val="0"/>
      <w:snapToGrid w:val="0"/>
      <w:spacing w:line="360" w:lineRule="auto"/>
      <w:ind w:firstLine="200" w:firstLineChars="200"/>
    </w:pPr>
    <w:rPr>
      <w:sz w:val="24"/>
      <w:lang w:val="zh-CN"/>
    </w:rPr>
  </w:style>
  <w:style w:type="paragraph" w:customStyle="1" w:styleId="379">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80">
    <w:name w:val="1图号"/>
    <w:basedOn w:val="381"/>
    <w:link w:val="382"/>
    <w:qFormat/>
    <w:uiPriority w:val="0"/>
    <w:pPr>
      <w:spacing w:before="120"/>
    </w:pPr>
    <w:rPr>
      <w:u w:val="double"/>
    </w:rPr>
  </w:style>
  <w:style w:type="paragraph" w:customStyle="1" w:styleId="381">
    <w:name w:val="1表头"/>
    <w:basedOn w:val="1"/>
    <w:qFormat/>
    <w:uiPriority w:val="0"/>
    <w:pPr>
      <w:adjustRightInd w:val="0"/>
      <w:snapToGrid w:val="0"/>
      <w:spacing w:before="156" w:beforeLines="50"/>
      <w:jc w:val="center"/>
    </w:pPr>
    <w:rPr>
      <w:b/>
      <w:bCs/>
      <w:sz w:val="24"/>
      <w:szCs w:val="28"/>
    </w:rPr>
  </w:style>
  <w:style w:type="character" w:customStyle="1" w:styleId="382">
    <w:name w:val="1图号 Char"/>
    <w:link w:val="380"/>
    <w:qFormat/>
    <w:uiPriority w:val="0"/>
    <w:rPr>
      <w:u w:val="double"/>
    </w:rPr>
  </w:style>
  <w:style w:type="paragraph" w:customStyle="1" w:styleId="383">
    <w:name w:val="电镀正文"/>
    <w:basedOn w:val="8"/>
    <w:qFormat/>
    <w:uiPriority w:val="0"/>
    <w:pPr>
      <w:spacing w:line="400" w:lineRule="exact"/>
      <w:ind w:firstLine="200"/>
    </w:pPr>
    <w:rPr>
      <w:sz w:val="24"/>
    </w:rPr>
  </w:style>
  <w:style w:type="paragraph" w:customStyle="1" w:styleId="384">
    <w:name w:val="1三级标题"/>
    <w:basedOn w:val="1"/>
    <w:qFormat/>
    <w:uiPriority w:val="0"/>
    <w:pPr>
      <w:spacing w:line="500" w:lineRule="atLeast"/>
    </w:pPr>
    <w:rPr>
      <w:b/>
      <w:sz w:val="28"/>
      <w:szCs w:val="28"/>
    </w:rPr>
  </w:style>
  <w:style w:type="paragraph" w:customStyle="1" w:styleId="385">
    <w:name w:val="A-正文"/>
    <w:basedOn w:val="1"/>
    <w:qFormat/>
    <w:uiPriority w:val="0"/>
    <w:pPr>
      <w:widowControl/>
      <w:adjustRightInd w:val="0"/>
      <w:snapToGrid w:val="0"/>
      <w:spacing w:line="360" w:lineRule="auto"/>
      <w:ind w:firstLine="480" w:firstLineChars="200"/>
    </w:pPr>
    <w:rPr>
      <w:color w:val="00B050"/>
      <w:sz w:val="24"/>
    </w:rPr>
  </w:style>
  <w:style w:type="character" w:customStyle="1" w:styleId="386">
    <w:name w:val="wen21"/>
    <w:qFormat/>
    <w:uiPriority w:val="0"/>
    <w:rPr>
      <w:color w:val="000000"/>
      <w:sz w:val="18"/>
      <w:szCs w:val="18"/>
    </w:rPr>
  </w:style>
  <w:style w:type="paragraph" w:styleId="387">
    <w:name w:val="Quote"/>
    <w:basedOn w:val="1"/>
    <w:next w:val="1"/>
    <w:qFormat/>
    <w:uiPriority w:val="0"/>
    <w:pPr>
      <w:widowControl/>
      <w:spacing w:after="200" w:line="252" w:lineRule="auto"/>
    </w:pPr>
    <w:rPr>
      <w:rFonts w:ascii="Cambria" w:hAnsi="Cambria" w:eastAsia="华文中宋"/>
      <w:i/>
      <w:iCs/>
    </w:rPr>
  </w:style>
  <w:style w:type="paragraph" w:customStyle="1" w:styleId="388">
    <w:name w:val="TOC 标题1"/>
    <w:basedOn w:val="3"/>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389">
    <w:name w:val="正文(康健城)"/>
    <w:basedOn w:val="1"/>
    <w:qFormat/>
    <w:uiPriority w:val="0"/>
    <w:pPr>
      <w:adjustRightInd w:val="0"/>
      <w:snapToGrid w:val="0"/>
      <w:spacing w:line="360" w:lineRule="auto"/>
      <w:ind w:firstLine="480" w:firstLineChars="200"/>
      <w:textAlignment w:val="baseline"/>
    </w:pPr>
    <w:rPr>
      <w:kern w:val="0"/>
      <w:sz w:val="24"/>
    </w:rPr>
  </w:style>
  <w:style w:type="paragraph" w:customStyle="1" w:styleId="390">
    <w:name w:val="样式 方正仿宋_GBK 三号 行距: 固定值 28 磅"/>
    <w:basedOn w:val="1"/>
    <w:qFormat/>
    <w:uiPriority w:val="0"/>
    <w:pPr>
      <w:spacing w:line="360" w:lineRule="auto"/>
      <w:ind w:firstLine="200" w:firstLineChars="200"/>
      <w:jc w:val="left"/>
    </w:pPr>
    <w:rPr>
      <w:rFonts w:ascii="方正仿宋_GBK" w:hAnsi="方正仿宋_GBK" w:cs="宋体"/>
      <w:bCs/>
      <w:sz w:val="28"/>
      <w:szCs w:val="20"/>
    </w:rPr>
  </w:style>
  <w:style w:type="paragraph" w:customStyle="1" w:styleId="391">
    <w:name w:val="样式 小四 红色 居中 行距: 固定值 16 磅"/>
    <w:basedOn w:val="1"/>
    <w:qFormat/>
    <w:uiPriority w:val="0"/>
    <w:pPr>
      <w:spacing w:line="360" w:lineRule="exact"/>
      <w:jc w:val="center"/>
    </w:pPr>
    <w:rPr>
      <w:rFonts w:ascii="Times New Roman" w:hAnsi="Times New Roman" w:eastAsia="宋体" w:cs="宋体"/>
      <w:color w:val="000000"/>
      <w:szCs w:val="20"/>
    </w:rPr>
  </w:style>
  <w:style w:type="paragraph" w:customStyle="1" w:styleId="392">
    <w:name w:val="ZH正文"/>
    <w:basedOn w:val="1"/>
    <w:qFormat/>
    <w:uiPriority w:val="0"/>
    <w:pPr>
      <w:spacing w:line="440" w:lineRule="exact"/>
      <w:ind w:firstLine="200" w:firstLineChars="200"/>
    </w:pPr>
    <w:rPr>
      <w:rFonts w:ascii="Times New Roman" w:hAnsi="Times New Roman" w:eastAsia="宋体"/>
      <w:sz w:val="24"/>
    </w:rPr>
  </w:style>
  <w:style w:type="paragraph" w:customStyle="1" w:styleId="393">
    <w:name w:val="样式 正文缩进正文（首行缩进两字） + 首行缩进:  2 字符 行距: 1.5 倍行距"/>
    <w:qFormat/>
    <w:uiPriority w:val="0"/>
    <w:pPr>
      <w:spacing w:line="360" w:lineRule="auto"/>
      <w:ind w:firstLine="200"/>
    </w:pPr>
    <w:rPr>
      <w:rFonts w:ascii="Times New Roman" w:hAnsi="Times New Roman" w:eastAsia="宋体" w:cs="宋体"/>
      <w:lang w:val="en-US" w:eastAsia="zh-CN" w:bidi="ar-SA"/>
    </w:rPr>
  </w:style>
  <w:style w:type="paragraph" w:customStyle="1" w:styleId="394">
    <w:name w:val="正文233"/>
    <w:basedOn w:val="395"/>
    <w:qFormat/>
    <w:uiPriority w:val="0"/>
    <w:pPr>
      <w:widowControl/>
      <w:autoSpaceDE w:val="0"/>
      <w:autoSpaceDN w:val="0"/>
      <w:adjustRightInd w:val="0"/>
      <w:snapToGrid w:val="0"/>
      <w:spacing w:line="480" w:lineRule="exact"/>
      <w:ind w:firstLine="200" w:firstLineChars="200"/>
    </w:pPr>
    <w:rPr>
      <w:rFonts w:ascii="Times New Roman" w:hAnsi="Times New Roman" w:cs="宋体"/>
      <w:kern w:val="0"/>
      <w:sz w:val="24"/>
    </w:rPr>
  </w:style>
  <w:style w:type="paragraph" w:customStyle="1" w:styleId="395">
    <w:name w:val="样式 样式 正文 + 首行缩进:  2 字符 + 首行缩进:  2 字符"/>
    <w:basedOn w:val="396"/>
    <w:semiHidden/>
    <w:qFormat/>
    <w:uiPriority w:val="0"/>
  </w:style>
  <w:style w:type="paragraph" w:customStyle="1" w:styleId="396">
    <w:name w:val="样式 正文 + 首行缩进:  2 字符"/>
    <w:basedOn w:val="397"/>
    <w:semiHidden/>
    <w:qFormat/>
    <w:uiPriority w:val="0"/>
    <w:pPr>
      <w:spacing w:line="480" w:lineRule="exact"/>
      <w:jc w:val="both"/>
    </w:pPr>
    <w:rPr>
      <w:rFonts w:cs="宋体"/>
      <w:szCs w:val="20"/>
    </w:rPr>
  </w:style>
  <w:style w:type="paragraph" w:customStyle="1" w:styleId="397">
    <w:name w:val="正文3"/>
    <w:basedOn w:val="1"/>
    <w:next w:val="1"/>
    <w:qFormat/>
    <w:uiPriority w:val="0"/>
    <w:pPr>
      <w:spacing w:line="529" w:lineRule="exact"/>
      <w:ind w:firstLine="420" w:firstLineChars="0"/>
    </w:pPr>
    <w:rPr>
      <w:rFonts w:ascii="Sim Sun" w:hAnsi="Sim Sun" w:cs="Sim Sun"/>
    </w:rPr>
  </w:style>
  <w:style w:type="paragraph" w:customStyle="1" w:styleId="398">
    <w:name w:val="表格001"/>
    <w:basedOn w:val="1"/>
    <w:qFormat/>
    <w:uiPriority w:val="0"/>
    <w:pPr>
      <w:adjustRightInd w:val="0"/>
      <w:spacing w:line="320" w:lineRule="exact"/>
      <w:jc w:val="center"/>
      <w:textAlignment w:val="baseline"/>
    </w:pPr>
    <w:rPr>
      <w:rFonts w:ascii="TimesNewRomanPSMT" w:hAnsi="TimesNewRomanPSMT"/>
      <w:color w:val="000000"/>
      <w:kern w:val="0"/>
      <w:sz w:val="22"/>
      <w:szCs w:val="20"/>
    </w:rPr>
  </w:style>
  <w:style w:type="paragraph" w:customStyle="1" w:styleId="399">
    <w:name w:val="三级样式"/>
    <w:qFormat/>
    <w:uiPriority w:val="0"/>
    <w:pPr>
      <w:tabs>
        <w:tab w:val="left" w:pos="780"/>
        <w:tab w:val="left" w:pos="1155"/>
      </w:tabs>
      <w:adjustRightInd w:val="0"/>
      <w:snapToGrid w:val="0"/>
      <w:spacing w:line="360" w:lineRule="auto"/>
      <w:outlineLvl w:val="2"/>
    </w:pPr>
    <w:rPr>
      <w:rFonts w:ascii="Times New Roman" w:hAnsi="Times New Roman" w:eastAsia="宋体" w:cs="Times New Roman"/>
      <w:b/>
      <w:sz w:val="24"/>
      <w:szCs w:val="24"/>
      <w:lang w:val="en-US" w:eastAsia="zh-CN" w:bidi="ar-SA"/>
    </w:rPr>
  </w:style>
  <w:style w:type="paragraph" w:customStyle="1" w:styleId="400">
    <w:name w:val="zz表头"/>
    <w:basedOn w:val="1"/>
    <w:qFormat/>
    <w:uiPriority w:val="0"/>
    <w:pPr>
      <w:widowControl w:val="0"/>
      <w:spacing w:beforeLines="50" w:line="0" w:lineRule="atLeast"/>
      <w:jc w:val="center"/>
    </w:pPr>
    <w:rPr>
      <w:rFonts w:ascii="Times New Roman" w:hAnsi="Times New Roman" w:eastAsia="黑体" w:cs="Times New Roman"/>
      <w:kern w:val="2"/>
      <w:szCs w:val="21"/>
    </w:rPr>
  </w:style>
  <w:style w:type="table" w:customStyle="1" w:styleId="401">
    <w:name w:val="表1"/>
    <w:basedOn w:val="41"/>
    <w:qFormat/>
    <w:uiPriority w:val="99"/>
    <w:pPr>
      <w:widowControl w:val="0"/>
      <w:adjustRightInd w:val="0"/>
      <w:snapToGrid w:val="0"/>
      <w:spacing w:line="360" w:lineRule="exact"/>
      <w:jc w:val="center"/>
    </w:pPr>
    <w:rPr>
      <w:rFonts w:ascii="Times New Roman" w:hAnsi="Times New Roman" w:eastAsia="宋体" w:cs="Times New Roman"/>
      <w:kern w:val="0"/>
      <w:sz w:val="18"/>
      <w:szCs w:val="20"/>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402">
    <w:name w:val="样式 样式 样式 样式 样式 样式 样式 样式 样式 样式 样式 首行缩进:  2 字符 + 首行缩进:  2 字符 + 首行缩..."/>
    <w:basedOn w:val="1"/>
    <w:qFormat/>
    <w:uiPriority w:val="0"/>
    <w:pPr>
      <w:spacing w:line="312" w:lineRule="auto"/>
      <w:ind w:firstLine="480" w:firstLineChars="200"/>
    </w:pPr>
    <w:rPr>
      <w:rFonts w:ascii="宋体"/>
      <w:sz w:val="24"/>
    </w:rPr>
  </w:style>
  <w:style w:type="paragraph" w:customStyle="1" w:styleId="403">
    <w:name w:val="2标题黑体小四"/>
    <w:basedOn w:val="1"/>
    <w:qFormat/>
    <w:uiPriority w:val="0"/>
    <w:pPr>
      <w:adjustRightInd w:val="0"/>
      <w:snapToGrid w:val="0"/>
      <w:spacing w:before="50" w:beforeLines="50" w:line="360" w:lineRule="auto"/>
      <w:ind w:firstLine="200" w:firstLineChars="200"/>
      <w:jc w:val="left"/>
    </w:pPr>
    <w:rPr>
      <w:rFonts w:eastAsia="黑体"/>
      <w:sz w:val="24"/>
      <w:szCs w:val="21"/>
    </w:rPr>
  </w:style>
  <w:style w:type="paragraph" w:customStyle="1" w:styleId="404">
    <w:name w:val="1文本"/>
    <w:basedOn w:val="1"/>
    <w:qFormat/>
    <w:uiPriority w:val="0"/>
    <w:pPr>
      <w:adjustRightInd w:val="0"/>
      <w:snapToGrid w:val="0"/>
      <w:spacing w:line="360" w:lineRule="auto"/>
      <w:ind w:firstLine="200" w:firstLineChars="200"/>
      <w:jc w:val="left"/>
    </w:pPr>
    <w:rPr>
      <w:sz w:val="24"/>
      <w:szCs w:val="21"/>
    </w:rPr>
  </w:style>
  <w:style w:type="paragraph" w:customStyle="1" w:styleId="405">
    <w:name w:val="1"/>
    <w:basedOn w:val="1"/>
    <w:qFormat/>
    <w:uiPriority w:val="0"/>
    <w:pPr>
      <w:autoSpaceDE w:val="0"/>
      <w:autoSpaceDN w:val="0"/>
      <w:adjustRightInd w:val="0"/>
      <w:snapToGrid w:val="0"/>
      <w:spacing w:line="360" w:lineRule="auto"/>
      <w:ind w:firstLine="200" w:firstLineChars="200"/>
      <w:jc w:val="left"/>
    </w:pPr>
    <w:rPr>
      <w:kern w:val="0"/>
      <w:sz w:val="24"/>
    </w:rPr>
  </w:style>
  <w:style w:type="paragraph" w:customStyle="1" w:styleId="406">
    <w:name w:val="3表头"/>
    <w:basedOn w:val="1"/>
    <w:qFormat/>
    <w:uiPriority w:val="0"/>
    <w:pPr>
      <w:adjustRightInd w:val="0"/>
      <w:snapToGrid w:val="0"/>
      <w:spacing w:before="120" w:beforeLines="50" w:line="360" w:lineRule="auto"/>
      <w:jc w:val="center"/>
    </w:pPr>
    <w:rPr>
      <w:rFonts w:eastAsia="黑体"/>
      <w:color w:val="000000"/>
      <w:sz w:val="24"/>
      <w:szCs w:val="30"/>
    </w:rPr>
  </w:style>
  <w:style w:type="paragraph" w:customStyle="1" w:styleId="407">
    <w:name w:val="糖正文"/>
    <w:basedOn w:val="1"/>
    <w:qFormat/>
    <w:uiPriority w:val="0"/>
    <w:pPr>
      <w:widowControl/>
      <w:autoSpaceDE w:val="0"/>
      <w:autoSpaceDN w:val="0"/>
      <w:spacing w:line="360" w:lineRule="auto"/>
      <w:ind w:firstLine="200" w:firstLineChars="200"/>
    </w:pPr>
    <w:rPr>
      <w:sz w:val="24"/>
    </w:rPr>
  </w:style>
  <w:style w:type="table" w:customStyle="1" w:styleId="408">
    <w:name w:val="基本表"/>
    <w:basedOn w:val="41"/>
    <w:qFormat/>
    <w:uiPriority w:val="99"/>
    <w:pPr>
      <w:spacing w:line="240" w:lineRule="atLeast"/>
      <w:jc w:val="center"/>
    </w:pPr>
    <w:rPr>
      <w:rFonts w:ascii="Times New Roman" w:hAnsi="Times New Roman" w:eastAsia="宋体"/>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409">
    <w:name w:val="我的正文 Char Char"/>
    <w:basedOn w:val="1"/>
    <w:qFormat/>
    <w:uiPriority w:val="0"/>
    <w:pPr>
      <w:spacing w:line="360" w:lineRule="auto"/>
      <w:ind w:firstLine="200" w:firstLineChars="200"/>
    </w:pPr>
    <w:rPr>
      <w:sz w:val="24"/>
    </w:rPr>
  </w:style>
  <w:style w:type="paragraph" w:customStyle="1" w:styleId="41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11">
    <w:name w:val="正文细斜"/>
    <w:basedOn w:val="1"/>
    <w:qFormat/>
    <w:uiPriority w:val="0"/>
    <w:pPr>
      <w:spacing w:line="500" w:lineRule="exact"/>
      <w:ind w:firstLine="544" w:firstLineChars="200"/>
    </w:pPr>
    <w:rPr>
      <w:rFonts w:ascii="宋体" w:hAnsi="宋体" w:eastAsia="宋体" w:cs="Times New Roman"/>
      <w:bCs/>
      <w:i/>
      <w:iCs/>
      <w:spacing w:val="-4"/>
      <w:kern w:val="0"/>
      <w:sz w:val="24"/>
      <w:szCs w:val="28"/>
    </w:rPr>
  </w:style>
  <w:style w:type="paragraph" w:customStyle="1" w:styleId="412">
    <w:name w:val="国寰表格"/>
    <w:basedOn w:val="1"/>
    <w:qFormat/>
    <w:uiPriority w:val="0"/>
    <w:pPr>
      <w:pBdr>
        <w:top w:val="none" w:color="auto" w:sz="0" w:space="1"/>
        <w:left w:val="none" w:color="auto" w:sz="0" w:space="4"/>
        <w:bottom w:val="none" w:color="auto" w:sz="0" w:space="1"/>
        <w:right w:val="none" w:color="auto" w:sz="0" w:space="4"/>
      </w:pBdr>
      <w:spacing w:line="280" w:lineRule="exact"/>
      <w:jc w:val="center"/>
    </w:pPr>
    <w:rPr>
      <w:rFonts w:hint="eastAsia" w:ascii="黑体" w:hAnsi="宋体" w:eastAsia="宋体" w:cs="Times New Roman"/>
      <w:sz w:val="18"/>
      <w:lang w:val="zh-CN"/>
    </w:rPr>
  </w:style>
  <w:style w:type="paragraph" w:customStyle="1" w:styleId="413">
    <w:name w:val="0-正文"/>
    <w:basedOn w:val="1"/>
    <w:qFormat/>
    <w:uiPriority w:val="0"/>
    <w:pPr>
      <w:snapToGrid w:val="0"/>
      <w:spacing w:line="360" w:lineRule="auto"/>
      <w:ind w:firstLine="480" w:firstLineChars="200"/>
    </w:pPr>
    <w:rPr>
      <w:sz w:val="24"/>
      <w:szCs w:val="22"/>
    </w:rPr>
  </w:style>
  <w:style w:type="paragraph" w:customStyle="1" w:styleId="414">
    <w:name w:val="表/图标题"/>
    <w:basedOn w:val="70"/>
    <w:qFormat/>
    <w:uiPriority w:val="0"/>
    <w:pPr>
      <w:ind w:firstLine="0" w:firstLineChars="0"/>
      <w:jc w:val="center"/>
    </w:pPr>
    <w:rPr>
      <w:rFonts w:eastAsia="黑体"/>
    </w:rPr>
  </w:style>
  <w:style w:type="paragraph" w:customStyle="1" w:styleId="415">
    <w:name w:val="标题4"/>
    <w:basedOn w:val="1"/>
    <w:qFormat/>
    <w:uiPriority w:val="0"/>
    <w:pPr>
      <w:widowControl/>
      <w:ind w:firstLine="562"/>
      <w:jc w:val="left"/>
    </w:pPr>
    <w:rPr>
      <w:bCs/>
      <w:kern w:val="0"/>
      <w:sz w:val="24"/>
      <w:szCs w:val="24"/>
      <w:lang w:val="zh-CN"/>
    </w:rPr>
  </w:style>
  <w:style w:type="paragraph" w:customStyle="1" w:styleId="416">
    <w:name w:val="表格首行"/>
    <w:basedOn w:val="1"/>
    <w:next w:val="1"/>
    <w:qFormat/>
    <w:uiPriority w:val="0"/>
    <w:pPr>
      <w:spacing w:line="240" w:lineRule="auto"/>
      <w:ind w:left="0"/>
      <w:jc w:val="center"/>
    </w:pPr>
    <w:rPr>
      <w:rFonts w:cs="宋体"/>
      <w:b/>
      <w:sz w:val="21"/>
      <w:szCs w:val="20"/>
    </w:rPr>
  </w:style>
  <w:style w:type="paragraph" w:customStyle="1" w:styleId="417">
    <w:name w:val="样式 宋体 小四 行距: 1.5 倍行距"/>
    <w:basedOn w:val="1"/>
    <w:qFormat/>
    <w:uiPriority w:val="0"/>
    <w:pPr>
      <w:spacing w:line="360" w:lineRule="auto"/>
      <w:ind w:firstLine="200" w:firstLineChars="200"/>
    </w:pPr>
    <w:rPr>
      <w:rFonts w:ascii="宋体" w:hAnsi="宋体" w:cs="宋体"/>
      <w:sz w:val="24"/>
      <w:szCs w:val="20"/>
    </w:rPr>
  </w:style>
  <w:style w:type="paragraph" w:customStyle="1" w:styleId="418">
    <w:name w:val="表内文字加粗"/>
    <w:qFormat/>
    <w:uiPriority w:val="0"/>
    <w:pPr>
      <w:autoSpaceDE w:val="0"/>
      <w:autoSpaceDN w:val="0"/>
      <w:adjustRightInd w:val="0"/>
      <w:jc w:val="center"/>
      <w:textAlignment w:val="bottom"/>
    </w:pPr>
    <w:rPr>
      <w:rFonts w:ascii="Calibri" w:hAnsi="Calibri" w:eastAsia="宋体" w:cs="Times New Roman"/>
      <w:b/>
      <w:sz w:val="21"/>
      <w:lang w:val="en-US" w:eastAsia="zh-CN" w:bidi="ar-SA"/>
    </w:rPr>
  </w:style>
  <w:style w:type="paragraph" w:customStyle="1" w:styleId="419">
    <w:name w:val="表内字"/>
    <w:qFormat/>
    <w:uiPriority w:val="0"/>
    <w:pPr>
      <w:jc w:val="center"/>
    </w:pPr>
    <w:rPr>
      <w:rFonts w:ascii="Times New Roman" w:hAnsi="Times New Roman" w:eastAsia="宋体" w:cs="Times New Roman"/>
      <w:sz w:val="21"/>
      <w:szCs w:val="21"/>
      <w:lang w:val="en-US" w:eastAsia="zh-CN" w:bidi="ar-SA"/>
    </w:rPr>
  </w:style>
  <w:style w:type="paragraph" w:customStyle="1" w:styleId="420">
    <w:name w:val="Normal_19"/>
    <w:qFormat/>
    <w:uiPriority w:val="99"/>
    <w:pPr>
      <w:spacing w:before="120" w:after="240"/>
      <w:jc w:val="both"/>
    </w:pPr>
    <w:rPr>
      <w:rFonts w:ascii="Calibri" w:hAnsi="Calibri" w:eastAsia="Calibri" w:cs="Times New Roman"/>
      <w:sz w:val="22"/>
      <w:szCs w:val="22"/>
      <w:lang w:val="ru-RU" w:eastAsia="en-US" w:bidi="ar-SA"/>
    </w:rPr>
  </w:style>
  <w:style w:type="paragraph" w:customStyle="1" w:styleId="421">
    <w:name w:val="表文字"/>
    <w:basedOn w:val="1"/>
    <w:next w:val="1"/>
    <w:qFormat/>
    <w:uiPriority w:val="0"/>
    <w:pPr>
      <w:topLinePunct/>
      <w:adjustRightInd w:val="0"/>
      <w:spacing w:line="240" w:lineRule="auto"/>
      <w:jc w:val="center"/>
    </w:pPr>
    <w:rPr>
      <w:rFonts w:ascii="Calibri" w:hAnsi="Calibri"/>
      <w:kern w:val="0"/>
      <w:sz w:val="21"/>
      <w:szCs w:val="21"/>
    </w:rPr>
  </w:style>
  <w:style w:type="paragraph" w:customStyle="1" w:styleId="422">
    <w:name w:val="表格内容lh"/>
    <w:basedOn w:val="1"/>
    <w:qFormat/>
    <w:uiPriority w:val="0"/>
    <w:pPr>
      <w:adjustRightInd w:val="0"/>
      <w:snapToGrid w:val="0"/>
    </w:pPr>
    <w:rPr>
      <w:bCs/>
      <w:sz w:val="18"/>
      <w:szCs w:val="21"/>
    </w:rPr>
  </w:style>
  <w:style w:type="character" w:customStyle="1" w:styleId="423">
    <w:name w:val="16"/>
    <w:qFormat/>
    <w:uiPriority w:val="0"/>
    <w:rPr>
      <w:rFonts w:hint="default" w:ascii="Times New Roman" w:hAnsi="Times New Roman" w:cs="Times New Roman"/>
      <w:sz w:val="21"/>
      <w:szCs w:val="21"/>
    </w:rPr>
  </w:style>
  <w:style w:type="character" w:customStyle="1" w:styleId="424">
    <w:name w:val="【正文】 Char Char"/>
    <w:link w:val="125"/>
    <w:qFormat/>
    <w:uiPriority w:val="0"/>
    <w:rPr>
      <w:sz w:val="24"/>
      <w:szCs w:val="20"/>
    </w:rPr>
  </w:style>
  <w:style w:type="paragraph" w:customStyle="1" w:styleId="425">
    <w:name w:val="图片"/>
    <w:basedOn w:val="1"/>
    <w:qFormat/>
    <w:uiPriority w:val="0"/>
    <w:pPr>
      <w:spacing w:line="240" w:lineRule="auto"/>
      <w:ind w:firstLine="0" w:firstLineChars="0"/>
      <w:jc w:val="center"/>
    </w:pPr>
    <w:rPr>
      <w:rFonts w:ascii="宋体" w:hAnsi="宋体"/>
      <w:kern w:val="0"/>
    </w:rPr>
  </w:style>
  <w:style w:type="paragraph" w:customStyle="1" w:styleId="426">
    <w:name w:val="图片标题"/>
    <w:basedOn w:val="1"/>
    <w:qFormat/>
    <w:uiPriority w:val="0"/>
    <w:pPr>
      <w:ind w:firstLine="0" w:firstLineChars="0"/>
      <w:jc w:val="center"/>
    </w:pPr>
    <w:rPr>
      <w:b/>
      <w:kern w:val="0"/>
      <w:sz w:val="20"/>
      <w:szCs w:val="24"/>
    </w:rPr>
  </w:style>
  <w:style w:type="paragraph" w:customStyle="1" w:styleId="427">
    <w:name w:val="正文1111111"/>
    <w:basedOn w:val="1"/>
    <w:qFormat/>
    <w:uiPriority w:val="0"/>
    <w:pPr>
      <w:ind w:firstLine="200"/>
    </w:pPr>
    <w:rPr>
      <w:szCs w:val="24"/>
    </w:rPr>
  </w:style>
  <w:style w:type="paragraph" w:customStyle="1" w:styleId="428">
    <w:name w:val="SP正"/>
    <w:basedOn w:val="1"/>
    <w:qFormat/>
    <w:uiPriority w:val="0"/>
    <w:pPr>
      <w:widowControl/>
      <w:spacing w:line="360" w:lineRule="auto"/>
      <w:ind w:firstLine="480" w:firstLineChars="200"/>
      <w:jc w:val="left"/>
    </w:pPr>
    <w:rPr>
      <w:sz w:val="24"/>
    </w:rPr>
  </w:style>
  <w:style w:type="paragraph" w:customStyle="1" w:styleId="429">
    <w:name w:val="小表头"/>
    <w:basedOn w:val="1"/>
    <w:next w:val="109"/>
    <w:qFormat/>
    <w:uiPriority w:val="0"/>
    <w:pPr>
      <w:spacing w:line="400" w:lineRule="exact"/>
      <w:ind w:firstLine="0" w:firstLineChars="0"/>
      <w:jc w:val="center"/>
    </w:pPr>
    <w:rPr>
      <w:rFonts w:ascii="Times New Roman" w:hAnsi="Times New Roman"/>
      <w:b/>
      <w:sz w:val="21"/>
    </w:rPr>
  </w:style>
  <w:style w:type="paragraph" w:customStyle="1" w:styleId="430">
    <w:name w:val="应填表格"/>
    <w:basedOn w:val="431"/>
    <w:qFormat/>
    <w:uiPriority w:val="0"/>
    <w:pPr>
      <w:jc w:val="left"/>
    </w:pPr>
    <w:rPr>
      <w:b w:val="0"/>
    </w:rPr>
  </w:style>
  <w:style w:type="paragraph" w:customStyle="1" w:styleId="431">
    <w:name w:val="已有表格"/>
    <w:basedOn w:val="1"/>
    <w:qFormat/>
    <w:uiPriority w:val="0"/>
    <w:pPr>
      <w:adjustRightInd w:val="0"/>
      <w:spacing w:before="40" w:beforeLines="0" w:after="40" w:afterLines="0"/>
      <w:jc w:val="center"/>
      <w:textAlignment w:val="baseline"/>
    </w:pPr>
    <w:rPr>
      <w:b/>
      <w:kern w:val="0"/>
      <w:sz w:val="24"/>
      <w:szCs w:val="20"/>
    </w:rPr>
  </w:style>
  <w:style w:type="paragraph" w:customStyle="1" w:styleId="432">
    <w:name w:val="表头、图号"/>
    <w:basedOn w:val="1"/>
    <w:qFormat/>
    <w:uiPriority w:val="0"/>
    <w:pPr>
      <w:jc w:val="center"/>
    </w:pPr>
    <w:rPr>
      <w:b/>
      <w:sz w:val="24"/>
      <w:szCs w:val="22"/>
    </w:rPr>
  </w:style>
  <w:style w:type="paragraph" w:customStyle="1" w:styleId="433">
    <w:name w:val="1.表格标题CM"/>
    <w:basedOn w:val="1"/>
    <w:qFormat/>
    <w:uiPriority w:val="0"/>
    <w:pPr>
      <w:adjustRightInd w:val="0"/>
      <w:snapToGrid w:val="0"/>
      <w:jc w:val="center"/>
      <w:outlineLvl w:val="6"/>
    </w:pPr>
    <w:rPr>
      <w:rFonts w:ascii="Calibri" w:hAnsi="Calibri"/>
      <w:b/>
      <w:szCs w:val="22"/>
    </w:rPr>
  </w:style>
  <w:style w:type="paragraph" w:customStyle="1" w:styleId="434">
    <w:name w:val="【表内字】"/>
    <w:basedOn w:val="1"/>
    <w:qFormat/>
    <w:uiPriority w:val="0"/>
    <w:pPr>
      <w:jc w:val="center"/>
    </w:pPr>
    <w:rPr>
      <w:kern w:val="0"/>
      <w:szCs w:val="20"/>
    </w:rPr>
  </w:style>
  <w:style w:type="paragraph" w:customStyle="1" w:styleId="435">
    <w:name w:val="lwx-正文"/>
    <w:basedOn w:val="436"/>
    <w:qFormat/>
    <w:uiPriority w:val="0"/>
    <w:pPr>
      <w:spacing w:after="0" w:line="360" w:lineRule="auto"/>
      <w:ind w:firstLine="200" w:firstLineChars="200"/>
      <w:jc w:val="both"/>
    </w:pPr>
    <w:rPr>
      <w:b w:val="0"/>
      <w:sz w:val="24"/>
    </w:rPr>
  </w:style>
  <w:style w:type="paragraph" w:customStyle="1" w:styleId="436">
    <w:name w:val="lwx-图名"/>
    <w:basedOn w:val="437"/>
    <w:qFormat/>
    <w:uiPriority w:val="0"/>
    <w:pPr>
      <w:spacing w:before="0" w:after="50" w:afterLines="50"/>
    </w:pPr>
  </w:style>
  <w:style w:type="paragraph" w:customStyle="1" w:styleId="437">
    <w:name w:val="lwx-表头"/>
    <w:basedOn w:val="438"/>
    <w:qFormat/>
    <w:uiPriority w:val="0"/>
    <w:pPr>
      <w:spacing w:before="50" w:beforeLines="50"/>
    </w:pPr>
    <w:rPr>
      <w:b/>
    </w:rPr>
  </w:style>
  <w:style w:type="paragraph" w:customStyle="1" w:styleId="438">
    <w:name w:val="lwx-表内文字"/>
    <w:basedOn w:val="1"/>
    <w:qFormat/>
    <w:uiPriority w:val="0"/>
    <w:pPr>
      <w:adjustRightInd w:val="0"/>
      <w:snapToGrid w:val="0"/>
      <w:jc w:val="center"/>
    </w:pPr>
    <w:rPr>
      <w:bCs/>
      <w:szCs w:val="21"/>
    </w:rPr>
  </w:style>
  <w:style w:type="paragraph" w:customStyle="1" w:styleId="439">
    <w:name w:val="图表文字"/>
    <w:next w:val="1"/>
    <w:qFormat/>
    <w:uiPriority w:val="0"/>
    <w:pPr>
      <w:widowControl w:val="0"/>
      <w:jc w:val="center"/>
    </w:pPr>
    <w:rPr>
      <w:rFonts w:ascii="宋体" w:hAnsi="宋体" w:eastAsia="宋体" w:cs="Times New Roman"/>
      <w:sz w:val="21"/>
      <w:lang w:val="zh-CN" w:eastAsia="zh-CN" w:bidi="ar-SA"/>
    </w:rPr>
  </w:style>
  <w:style w:type="paragraph" w:customStyle="1" w:styleId="440">
    <w:name w:val="Default正文内容"/>
    <w:qFormat/>
    <w:uiPriority w:val="99"/>
    <w:pPr>
      <w:widowControl w:val="0"/>
      <w:autoSpaceDE w:val="0"/>
      <w:autoSpaceDN w:val="0"/>
      <w:spacing w:line="360" w:lineRule="auto"/>
      <w:ind w:firstLine="560" w:firstLineChars="200"/>
      <w:jc w:val="both"/>
    </w:pPr>
    <w:rPr>
      <w:rFonts w:ascii="Times New Roman" w:hAnsi="Times New Roman" w:eastAsia="宋体" w:cs="Times New Roman"/>
      <w:color w:val="000000"/>
      <w:sz w:val="24"/>
      <w:szCs w:val="22"/>
      <w:lang w:val="en-US" w:eastAsia="zh-CN" w:bidi="ar-SA"/>
    </w:rPr>
  </w:style>
  <w:style w:type="table" w:customStyle="1" w:styleId="441">
    <w:name w:val="三线"/>
    <w:basedOn w:val="41"/>
    <w:uiPriority w:val="99"/>
    <w:pPr>
      <w:jc w:val="center"/>
    </w:pPr>
    <w:tblPr>
      <w:tblBorders>
        <w:top w:val="single" w:color="auto" w:sz="4" w:space="0"/>
        <w:bottom w:val="single" w:color="auto" w:sz="4" w:space="0"/>
        <w:insideH w:val="single" w:color="auto" w:sz="4" w:space="0"/>
        <w:insideV w:val="single" w:color="auto" w:sz="4" w:space="0"/>
      </w:tblBorders>
    </w:tblPr>
    <w:tcPr>
      <w:vAlign w:val="center"/>
    </w:tcPr>
  </w:style>
  <w:style w:type="paragraph" w:customStyle="1" w:styleId="442">
    <w:name w:val="xl31"/>
    <w:basedOn w:val="1"/>
    <w:qFormat/>
    <w:uiPriority w:val="99"/>
    <w:pPr>
      <w:widowControl/>
      <w:spacing w:before="100" w:beforeAutospacing="1" w:after="100" w:afterAutospacing="1"/>
      <w:jc w:val="center"/>
      <w:textAlignment w:val="center"/>
    </w:pPr>
    <w:rPr>
      <w:rFonts w:ascii="Courier New" w:hAnsi="Courier New" w:cs="Arial Unicode MS"/>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337</Pages>
  <Words>30272</Words>
  <Characters>31604</Characters>
  <Lines>1009</Lines>
  <Paragraphs>284</Paragraphs>
  <TotalTime>8</TotalTime>
  <ScaleCrop>false</ScaleCrop>
  <LinksUpToDate>false</LinksUpToDate>
  <CharactersWithSpaces>31713</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2011-01-01T03:18:00Z</dcterms:created>
  <dc:creator>黑桃A</dc:creator>
  <cp:lastModifiedBy>Administrator</cp:lastModifiedBy>
  <dcterms:modified xsi:type="dcterms:W3CDTF">2025-08-05T08:39:34Z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9022465C1ADA45C3AA8DE1AB367AD835_13</vt:lpwstr>
  </property>
  <property fmtid="{D5CDD505-2E9C-101B-9397-08002B2CF9AE}" pid="4" name="KSOTemplateDocerSaveRecord">
    <vt:lpwstr>eyJoZGlkIjoiODg2MjMxMDEzZmZhMTgyNzY1MzgzZDg5MzgxZjgzZTIiLCJ1c2VySWQiOiI0OTgzODQ5NzYifQ==</vt:lpwstr>
  </property>
</Properties>
</file>