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440" w:lineRule="exact"/>
        <w:jc w:val="center"/>
        <w:rPr>
          <w:rFonts w:ascii="仿宋_GB2312" w:hAnsi="宋体" w:eastAsia="仿宋_GB2312" w:cs="宋体"/>
          <w:b/>
          <w:bCs/>
          <w:color w:val="000000"/>
          <w:kern w:val="0"/>
          <w:sz w:val="28"/>
          <w:szCs w:val="28"/>
        </w:rPr>
      </w:pPr>
      <w:r>
        <w:rPr>
          <w:rFonts w:hint="eastAsia" w:ascii="仿宋_GB2312" w:hAnsi="宋体" w:eastAsia="仿宋_GB2312" w:cs="宋体"/>
          <w:b/>
          <w:bCs/>
          <w:color w:val="000000"/>
          <w:kern w:val="0"/>
          <w:sz w:val="28"/>
          <w:szCs w:val="28"/>
        </w:rPr>
        <w:t xml:space="preserve">乐山市市中区生态环境局关于建设项目环境影响评价文件受理情况的公示 </w:t>
      </w:r>
    </w:p>
    <w:p>
      <w:pPr>
        <w:widowControl/>
        <w:jc w:val="center"/>
        <w:rPr>
          <w:rFonts w:hint="default" w:ascii="宋体" w:hAnsi="宋体" w:eastAsia="宋体" w:cs="宋体"/>
          <w:color w:val="000000"/>
          <w:kern w:val="0"/>
          <w:sz w:val="24"/>
          <w:lang w:val="en-US" w:eastAsia="zh-CN"/>
        </w:rPr>
      </w:pPr>
      <w:r>
        <w:rPr>
          <w:rFonts w:hint="eastAsia" w:ascii="宋体" w:hAnsi="宋体" w:cs="宋体"/>
          <w:color w:val="000000"/>
          <w:kern w:val="0"/>
          <w:sz w:val="24"/>
        </w:rPr>
        <w:t>20</w:t>
      </w:r>
      <w:r>
        <w:rPr>
          <w:rFonts w:hint="eastAsia" w:ascii="宋体" w:hAnsi="宋体" w:cs="宋体"/>
          <w:color w:val="000000"/>
          <w:kern w:val="0"/>
          <w:sz w:val="24"/>
          <w:lang w:val="en-US" w:eastAsia="zh-CN"/>
        </w:rPr>
        <w:t>23</w:t>
      </w:r>
      <w:r>
        <w:rPr>
          <w:rFonts w:hint="eastAsia" w:ascii="宋体" w:hAnsi="宋体" w:cs="宋体"/>
          <w:color w:val="000000"/>
          <w:kern w:val="0"/>
          <w:sz w:val="24"/>
        </w:rPr>
        <w:t>-</w:t>
      </w:r>
      <w:r>
        <w:rPr>
          <w:rFonts w:hint="eastAsia" w:ascii="宋体" w:hAnsi="宋体" w:cs="宋体"/>
          <w:color w:val="000000"/>
          <w:kern w:val="0"/>
          <w:sz w:val="24"/>
          <w:lang w:val="en-US" w:eastAsia="zh-CN"/>
        </w:rPr>
        <w:t>5</w:t>
      </w:r>
      <w:r>
        <w:rPr>
          <w:rFonts w:hint="eastAsia" w:ascii="宋体" w:hAnsi="宋体" w:cs="宋体"/>
          <w:color w:val="000000"/>
          <w:kern w:val="0"/>
          <w:sz w:val="24"/>
        </w:rPr>
        <w:t>-</w:t>
      </w:r>
      <w:r>
        <w:rPr>
          <w:rFonts w:hint="eastAsia" w:ascii="宋体" w:hAnsi="宋体" w:cs="宋体"/>
          <w:color w:val="000000"/>
          <w:kern w:val="0"/>
          <w:sz w:val="24"/>
          <w:lang w:val="en-US" w:eastAsia="zh-CN"/>
        </w:rPr>
        <w:t>26</w:t>
      </w:r>
    </w:p>
    <w:p>
      <w:pPr>
        <w:widowControl/>
        <w:ind w:firstLine="420"/>
        <w:jc w:val="left"/>
        <w:rPr>
          <w:rFonts w:ascii="宋体" w:hAnsi="宋体" w:cs="宋体"/>
          <w:color w:val="000000"/>
          <w:kern w:val="0"/>
          <w:sz w:val="24"/>
        </w:rPr>
      </w:pPr>
      <w:r>
        <w:rPr>
          <w:rFonts w:hint="eastAsia" w:ascii="宋体" w:hAnsi="宋体" w:cs="宋体"/>
          <w:color w:val="000000"/>
          <w:kern w:val="0"/>
          <w:sz w:val="24"/>
        </w:rPr>
        <w:t>根据建设项目环境影响评价审批程序的有关规定，20</w:t>
      </w:r>
      <w:r>
        <w:rPr>
          <w:rFonts w:hint="eastAsia" w:ascii="宋体" w:hAnsi="宋体" w:cs="宋体"/>
          <w:color w:val="000000"/>
          <w:kern w:val="0"/>
          <w:sz w:val="24"/>
          <w:lang w:val="en-US" w:eastAsia="zh-CN"/>
        </w:rPr>
        <w:t>23</w:t>
      </w:r>
      <w:r>
        <w:rPr>
          <w:rFonts w:hint="eastAsia" w:ascii="宋体" w:hAnsi="宋体" w:cs="宋体"/>
          <w:color w:val="000000"/>
          <w:kern w:val="0"/>
          <w:sz w:val="24"/>
        </w:rPr>
        <w:t>年</w:t>
      </w:r>
      <w:r>
        <w:rPr>
          <w:rFonts w:hint="eastAsia" w:ascii="宋体" w:hAnsi="宋体" w:cs="宋体"/>
          <w:color w:val="000000"/>
          <w:kern w:val="0"/>
          <w:sz w:val="24"/>
          <w:lang w:val="en-US" w:eastAsia="zh-CN"/>
        </w:rPr>
        <w:t>5</w:t>
      </w:r>
      <w:r>
        <w:rPr>
          <w:rFonts w:hint="eastAsia" w:ascii="宋体" w:hAnsi="宋体" w:cs="宋体"/>
          <w:color w:val="000000"/>
          <w:kern w:val="0"/>
          <w:sz w:val="24"/>
        </w:rPr>
        <w:t>月</w:t>
      </w:r>
      <w:r>
        <w:rPr>
          <w:rFonts w:hint="eastAsia" w:ascii="宋体" w:hAnsi="宋体" w:cs="宋体"/>
          <w:color w:val="000000"/>
          <w:kern w:val="0"/>
          <w:sz w:val="24"/>
          <w:lang w:val="en-US" w:eastAsia="zh-CN"/>
        </w:rPr>
        <w:t>26</w:t>
      </w:r>
      <w:r>
        <w:rPr>
          <w:rFonts w:hint="eastAsia" w:ascii="宋体" w:hAnsi="宋体" w:cs="宋体"/>
          <w:color w:val="000000"/>
          <w:kern w:val="0"/>
          <w:sz w:val="24"/>
        </w:rPr>
        <w:t>日我局受理</w:t>
      </w:r>
      <w:r>
        <w:rPr>
          <w:rFonts w:hint="eastAsia" w:ascii="宋体" w:hAnsi="宋体" w:cs="宋体"/>
          <w:color w:val="000000"/>
          <w:kern w:val="0"/>
          <w:sz w:val="24"/>
          <w:lang w:val="en-US" w:eastAsia="zh-CN"/>
        </w:rPr>
        <w:t>2</w:t>
      </w:r>
      <w:r>
        <w:rPr>
          <w:rFonts w:hint="eastAsia" w:ascii="宋体" w:hAnsi="宋体" w:cs="宋体"/>
          <w:color w:val="000000"/>
          <w:kern w:val="0"/>
          <w:sz w:val="24"/>
        </w:rPr>
        <w:t>个建设项目环境影响评价文件。现将受理情况予以公示，公示期为20</w:t>
      </w:r>
      <w:r>
        <w:rPr>
          <w:rFonts w:hint="eastAsia" w:ascii="宋体" w:hAnsi="宋体" w:cs="宋体"/>
          <w:color w:val="000000"/>
          <w:kern w:val="0"/>
          <w:sz w:val="24"/>
          <w:lang w:val="en-US" w:eastAsia="zh-CN"/>
        </w:rPr>
        <w:t>23</w:t>
      </w:r>
      <w:r>
        <w:rPr>
          <w:rFonts w:hint="eastAsia" w:ascii="宋体" w:hAnsi="宋体" w:cs="宋体"/>
          <w:color w:val="000000"/>
          <w:kern w:val="0"/>
          <w:sz w:val="24"/>
        </w:rPr>
        <w:t>年</w:t>
      </w:r>
      <w:r>
        <w:rPr>
          <w:rFonts w:hint="eastAsia" w:ascii="宋体" w:hAnsi="宋体" w:cs="宋体"/>
          <w:color w:val="000000"/>
          <w:kern w:val="0"/>
          <w:sz w:val="24"/>
          <w:lang w:val="en-US" w:eastAsia="zh-CN"/>
        </w:rPr>
        <w:t>5</w:t>
      </w:r>
      <w:r>
        <w:rPr>
          <w:rFonts w:hint="eastAsia" w:ascii="宋体" w:hAnsi="宋体" w:cs="宋体"/>
          <w:color w:val="000000"/>
          <w:kern w:val="0"/>
          <w:sz w:val="24"/>
        </w:rPr>
        <w:t>月</w:t>
      </w:r>
      <w:r>
        <w:rPr>
          <w:rFonts w:hint="eastAsia" w:ascii="宋体" w:hAnsi="宋体" w:cs="宋体"/>
          <w:color w:val="000000"/>
          <w:kern w:val="0"/>
          <w:sz w:val="24"/>
          <w:lang w:val="en-US" w:eastAsia="zh-CN"/>
        </w:rPr>
        <w:t>26</w:t>
      </w:r>
      <w:r>
        <w:rPr>
          <w:rFonts w:hint="eastAsia" w:ascii="宋体" w:hAnsi="宋体" w:cs="宋体"/>
          <w:color w:val="000000"/>
          <w:kern w:val="0"/>
          <w:sz w:val="24"/>
        </w:rPr>
        <w:t>日－20</w:t>
      </w:r>
      <w:r>
        <w:rPr>
          <w:rFonts w:hint="eastAsia" w:ascii="宋体" w:hAnsi="宋体" w:cs="宋体"/>
          <w:color w:val="000000"/>
          <w:kern w:val="0"/>
          <w:sz w:val="24"/>
          <w:lang w:val="en-US" w:eastAsia="zh-CN"/>
        </w:rPr>
        <w:t>23</w:t>
      </w:r>
      <w:r>
        <w:rPr>
          <w:rFonts w:hint="eastAsia" w:ascii="宋体" w:hAnsi="宋体" w:cs="宋体"/>
          <w:color w:val="000000"/>
          <w:kern w:val="0"/>
          <w:sz w:val="24"/>
        </w:rPr>
        <w:t>年</w:t>
      </w:r>
      <w:r>
        <w:rPr>
          <w:rFonts w:hint="eastAsia" w:ascii="宋体" w:hAnsi="宋体" w:cs="宋体"/>
          <w:color w:val="000000"/>
          <w:kern w:val="0"/>
          <w:sz w:val="24"/>
          <w:lang w:val="en-US" w:eastAsia="zh-CN"/>
        </w:rPr>
        <w:t>6</w:t>
      </w:r>
      <w:r>
        <w:rPr>
          <w:rFonts w:hint="eastAsia" w:ascii="宋体" w:hAnsi="宋体" w:cs="宋体"/>
          <w:color w:val="000000"/>
          <w:kern w:val="0"/>
          <w:sz w:val="24"/>
        </w:rPr>
        <w:t>月</w:t>
      </w:r>
      <w:r>
        <w:rPr>
          <w:rFonts w:hint="eastAsia" w:ascii="宋体" w:hAnsi="宋体" w:cs="宋体"/>
          <w:color w:val="000000"/>
          <w:kern w:val="0"/>
          <w:sz w:val="24"/>
          <w:lang w:val="en-US" w:eastAsia="zh-CN"/>
        </w:rPr>
        <w:t>1</w:t>
      </w:r>
      <w:r>
        <w:rPr>
          <w:rFonts w:hint="eastAsia" w:ascii="宋体" w:hAnsi="宋体" w:cs="宋体"/>
          <w:color w:val="000000"/>
          <w:kern w:val="0"/>
          <w:sz w:val="24"/>
        </w:rPr>
        <w:t>日（</w:t>
      </w:r>
      <w:r>
        <w:rPr>
          <w:rFonts w:hint="eastAsia" w:ascii="宋体" w:hAnsi="宋体" w:cs="宋体"/>
          <w:color w:val="000000"/>
          <w:kern w:val="0"/>
          <w:sz w:val="24"/>
          <w:lang w:val="en-US" w:eastAsia="zh-CN"/>
        </w:rPr>
        <w:t>5</w:t>
      </w:r>
      <w:r>
        <w:rPr>
          <w:rFonts w:hint="eastAsia" w:ascii="宋体" w:hAnsi="宋体" w:cs="宋体"/>
          <w:color w:val="000000"/>
          <w:kern w:val="0"/>
          <w:sz w:val="24"/>
        </w:rPr>
        <w:t>个工作日）。</w:t>
      </w:r>
    </w:p>
    <w:p>
      <w:pPr>
        <w:widowControl/>
        <w:ind w:firstLine="420"/>
        <w:jc w:val="left"/>
        <w:rPr>
          <w:rFonts w:ascii="宋体" w:hAnsi="宋体" w:cs="宋体"/>
          <w:color w:val="000000"/>
          <w:kern w:val="0"/>
          <w:sz w:val="24"/>
        </w:rPr>
      </w:pPr>
      <w:r>
        <w:rPr>
          <w:rFonts w:hint="eastAsia" w:ascii="宋体" w:hAnsi="宋体" w:cs="宋体"/>
          <w:color w:val="000000"/>
          <w:kern w:val="0"/>
          <w:sz w:val="24"/>
        </w:rPr>
        <w:t>　　联系电话：0833－2103779</w:t>
      </w:r>
    </w:p>
    <w:p>
      <w:pPr>
        <w:widowControl/>
        <w:ind w:firstLine="420"/>
        <w:jc w:val="left"/>
        <w:rPr>
          <w:rFonts w:ascii="宋体" w:hAnsi="宋体" w:cs="宋体"/>
          <w:color w:val="000000"/>
          <w:kern w:val="0"/>
          <w:sz w:val="24"/>
        </w:rPr>
      </w:pPr>
      <w:r>
        <w:rPr>
          <w:rFonts w:hint="eastAsia" w:ascii="宋体" w:hAnsi="宋体" w:cs="宋体"/>
          <w:color w:val="000000"/>
          <w:kern w:val="0"/>
          <w:sz w:val="24"/>
        </w:rPr>
        <w:t>　　传 　 真：0833-2133332</w:t>
      </w:r>
    </w:p>
    <w:p>
      <w:pPr>
        <w:widowControl/>
        <w:ind w:firstLine="420"/>
        <w:jc w:val="left"/>
        <w:rPr>
          <w:rFonts w:ascii="宋体" w:hAnsi="宋体" w:cs="宋体"/>
          <w:color w:val="000000"/>
          <w:kern w:val="0"/>
          <w:sz w:val="24"/>
        </w:rPr>
      </w:pPr>
      <w:r>
        <w:rPr>
          <w:rFonts w:hint="eastAsia" w:ascii="宋体" w:hAnsi="宋体" w:cs="宋体"/>
          <w:color w:val="000000"/>
          <w:kern w:val="0"/>
          <w:sz w:val="24"/>
        </w:rPr>
        <w:t>　　通讯地址：乐山市市中区白燕路830号</w:t>
      </w:r>
    </w:p>
    <w:p>
      <w:pPr>
        <w:widowControl/>
        <w:ind w:firstLine="900" w:firstLineChars="375"/>
        <w:jc w:val="left"/>
        <w:rPr>
          <w:rFonts w:ascii="宋体" w:hAnsi="宋体" w:cs="宋体"/>
          <w:color w:val="000000"/>
          <w:kern w:val="0"/>
          <w:sz w:val="24"/>
        </w:rPr>
      </w:pPr>
      <w:r>
        <w:rPr>
          <w:rFonts w:hint="eastAsia" w:ascii="宋体" w:hAnsi="宋体" w:cs="宋体"/>
          <w:color w:val="000000"/>
          <w:kern w:val="0"/>
          <w:sz w:val="24"/>
        </w:rPr>
        <w:t>邮政编码：614000</w:t>
      </w:r>
    </w:p>
    <w:tbl>
      <w:tblPr>
        <w:tblStyle w:val="41"/>
        <w:tblW w:w="15344" w:type="dxa"/>
        <w:jc w:val="center"/>
        <w:tblLayout w:type="fixed"/>
        <w:tblCellMar>
          <w:top w:w="0" w:type="dxa"/>
          <w:left w:w="0" w:type="dxa"/>
          <w:bottom w:w="0" w:type="dxa"/>
          <w:right w:w="0" w:type="dxa"/>
        </w:tblCellMar>
      </w:tblPr>
      <w:tblGrid>
        <w:gridCol w:w="722"/>
        <w:gridCol w:w="2806"/>
        <w:gridCol w:w="3245"/>
        <w:gridCol w:w="2976"/>
        <w:gridCol w:w="4218"/>
        <w:gridCol w:w="1377"/>
      </w:tblGrid>
      <w:tr>
        <w:tblPrEx>
          <w:tblCellMar>
            <w:top w:w="0" w:type="dxa"/>
            <w:left w:w="0" w:type="dxa"/>
            <w:bottom w:w="0" w:type="dxa"/>
            <w:right w:w="0" w:type="dxa"/>
          </w:tblCellMar>
        </w:tblPrEx>
        <w:trPr>
          <w:cantSplit/>
          <w:trHeight w:val="803" w:hRule="atLeast"/>
          <w:tblHeader/>
          <w:jc w:val="center"/>
        </w:trPr>
        <w:tc>
          <w:tcPr>
            <w:tcW w:w="722" w:type="dxa"/>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tLeast"/>
              <w:jc w:val="center"/>
              <w:rPr>
                <w:rFonts w:ascii="宋体" w:hAnsi="宋体" w:cs="宋体"/>
                <w:color w:val="000000"/>
                <w:kern w:val="0"/>
                <w:sz w:val="24"/>
              </w:rPr>
            </w:pPr>
            <w:r>
              <w:rPr>
                <w:rFonts w:hint="eastAsia" w:ascii="宋体" w:hAnsi="宋体" w:cs="宋体"/>
                <w:b/>
                <w:bCs/>
                <w:color w:val="000000"/>
                <w:kern w:val="0"/>
              </w:rPr>
              <w:t>序号</w:t>
            </w:r>
          </w:p>
        </w:tc>
        <w:tc>
          <w:tcPr>
            <w:tcW w:w="2806"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tLeast"/>
              <w:jc w:val="center"/>
              <w:rPr>
                <w:rFonts w:ascii="宋体" w:hAnsi="宋体" w:cs="宋体"/>
                <w:color w:val="000000"/>
                <w:kern w:val="0"/>
                <w:sz w:val="24"/>
              </w:rPr>
            </w:pPr>
            <w:r>
              <w:rPr>
                <w:rFonts w:hint="eastAsia" w:ascii="宋体" w:hAnsi="宋体" w:cs="宋体"/>
                <w:b/>
                <w:bCs/>
                <w:color w:val="000000"/>
                <w:kern w:val="0"/>
              </w:rPr>
              <w:t>项目名称</w:t>
            </w:r>
          </w:p>
        </w:tc>
        <w:tc>
          <w:tcPr>
            <w:tcW w:w="3245"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tLeast"/>
              <w:jc w:val="center"/>
              <w:rPr>
                <w:rFonts w:ascii="宋体" w:hAnsi="宋体" w:cs="宋体"/>
                <w:color w:val="000000"/>
                <w:kern w:val="0"/>
                <w:sz w:val="24"/>
              </w:rPr>
            </w:pPr>
            <w:r>
              <w:rPr>
                <w:rFonts w:hint="eastAsia" w:ascii="宋体" w:hAnsi="宋体" w:cs="宋体"/>
                <w:b/>
                <w:bCs/>
                <w:color w:val="000000"/>
                <w:kern w:val="0"/>
              </w:rPr>
              <w:t>建设地点</w:t>
            </w:r>
          </w:p>
        </w:tc>
        <w:tc>
          <w:tcPr>
            <w:tcW w:w="2976"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tLeast"/>
              <w:jc w:val="center"/>
              <w:rPr>
                <w:rFonts w:ascii="宋体" w:hAnsi="宋体" w:cs="宋体"/>
                <w:color w:val="000000"/>
                <w:kern w:val="0"/>
                <w:sz w:val="24"/>
              </w:rPr>
            </w:pPr>
            <w:r>
              <w:rPr>
                <w:rFonts w:hint="eastAsia" w:ascii="宋体" w:hAnsi="宋体" w:cs="宋体"/>
                <w:b/>
                <w:bCs/>
                <w:color w:val="000000"/>
                <w:kern w:val="0"/>
              </w:rPr>
              <w:t>建设单位</w:t>
            </w:r>
          </w:p>
        </w:tc>
        <w:tc>
          <w:tcPr>
            <w:tcW w:w="421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tLeast"/>
              <w:jc w:val="center"/>
              <w:rPr>
                <w:rFonts w:ascii="宋体" w:hAnsi="宋体" w:cs="宋体"/>
                <w:color w:val="000000"/>
                <w:kern w:val="0"/>
                <w:sz w:val="24"/>
              </w:rPr>
            </w:pPr>
            <w:r>
              <w:rPr>
                <w:rFonts w:hint="eastAsia" w:ascii="宋体" w:hAnsi="宋体" w:cs="宋体"/>
                <w:b/>
                <w:bCs/>
                <w:color w:val="000000"/>
                <w:kern w:val="0"/>
              </w:rPr>
              <w:t>环境影响评价机构</w:t>
            </w:r>
          </w:p>
        </w:tc>
        <w:tc>
          <w:tcPr>
            <w:tcW w:w="1377"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before="100" w:beforeAutospacing="1" w:after="100" w:afterAutospacing="1" w:line="360" w:lineRule="atLeast"/>
              <w:jc w:val="center"/>
              <w:rPr>
                <w:rFonts w:ascii="宋体" w:hAnsi="宋体" w:cs="宋体"/>
                <w:color w:val="000000"/>
                <w:kern w:val="0"/>
                <w:sz w:val="24"/>
              </w:rPr>
            </w:pPr>
            <w:r>
              <w:rPr>
                <w:rFonts w:hint="eastAsia" w:ascii="宋体" w:hAnsi="宋体" w:cs="宋体"/>
                <w:b/>
                <w:bCs/>
                <w:color w:val="000000"/>
                <w:kern w:val="0"/>
              </w:rPr>
              <w:t>受理日期</w:t>
            </w:r>
          </w:p>
        </w:tc>
      </w:tr>
      <w:tr>
        <w:tblPrEx>
          <w:tblCellMar>
            <w:top w:w="0" w:type="dxa"/>
            <w:left w:w="0" w:type="dxa"/>
            <w:bottom w:w="0" w:type="dxa"/>
            <w:right w:w="0" w:type="dxa"/>
          </w:tblCellMar>
        </w:tblPrEx>
        <w:trPr>
          <w:cantSplit/>
          <w:trHeight w:val="925" w:hRule="atLeast"/>
          <w:tblHeader/>
          <w:jc w:val="center"/>
        </w:trPr>
        <w:tc>
          <w:tcPr>
            <w:tcW w:w="722" w:type="dxa"/>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spacing w:line="360" w:lineRule="auto"/>
              <w:jc w:val="center"/>
              <w:rPr>
                <w:bCs/>
                <w:color w:val="000000"/>
                <w:sz w:val="18"/>
                <w:szCs w:val="18"/>
              </w:rPr>
            </w:pPr>
            <w:r>
              <w:rPr>
                <w:rFonts w:hint="eastAsia"/>
                <w:bCs/>
                <w:color w:val="000000"/>
                <w:sz w:val="18"/>
                <w:szCs w:val="18"/>
              </w:rPr>
              <w:t>1</w:t>
            </w:r>
          </w:p>
        </w:tc>
        <w:tc>
          <w:tcPr>
            <w:tcW w:w="2806"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rPr>
                <w:rFonts w:hint="default" w:ascii="Times New Roman" w:hAnsi="Times New Roman" w:cs="Times New Roman"/>
                <w:lang w:val="en-US" w:eastAsia="zh-CN"/>
              </w:rPr>
            </w:pPr>
            <w:r>
              <w:rPr>
                <w:rFonts w:hint="default" w:ascii="Times New Roman" w:hAnsi="Times New Roman" w:cs="Times New Roman"/>
                <w:lang w:val="en-US" w:eastAsia="zh-CN"/>
              </w:rPr>
              <w:t>四川省乐山市中区临江河平兴镇防洪治理工程</w:t>
            </w:r>
          </w:p>
          <w:p>
            <w:pPr>
              <w:rPr>
                <w:rFonts w:hint="default" w:ascii="Times New Roman" w:hAnsi="Times New Roman" w:cs="Times New Roman"/>
                <w:lang w:val="en-US"/>
              </w:rPr>
            </w:pPr>
          </w:p>
        </w:tc>
        <w:tc>
          <w:tcPr>
            <w:tcW w:w="3245"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乐山市市中区平兴镇游坝村皂角冲~三圣村琵琶沱</w:t>
            </w:r>
          </w:p>
        </w:tc>
        <w:tc>
          <w:tcPr>
            <w:tcW w:w="2976"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Times New Roman" w:hAnsi="Times New Roman" w:cs="Times New Roman"/>
              </w:rPr>
            </w:pPr>
            <w:r>
              <w:rPr>
                <w:rFonts w:hint="eastAsia" w:ascii="Times New Roman" w:hAnsi="Times New Roman" w:cs="Times New Roman"/>
              </w:rPr>
              <w:t>乐山浩淼生态环境工程有限公司</w:t>
            </w:r>
          </w:p>
        </w:tc>
        <w:tc>
          <w:tcPr>
            <w:tcW w:w="421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四川天和环境工程科技有限公司</w:t>
            </w:r>
          </w:p>
        </w:tc>
        <w:tc>
          <w:tcPr>
            <w:tcW w:w="1377"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rPr>
                <w:rFonts w:hint="default" w:ascii="Times New Roman" w:hAnsi="Times New Roman" w:eastAsia="宋体" w:cs="Times New Roman"/>
                <w:lang w:val="en-US" w:eastAsia="zh-CN"/>
              </w:rPr>
            </w:pPr>
            <w:r>
              <w:rPr>
                <w:rFonts w:hint="eastAsia" w:ascii="Times New Roman" w:hAnsi="Times New Roman" w:cs="Times New Roman"/>
              </w:rPr>
              <w:t>20</w:t>
            </w:r>
            <w:r>
              <w:rPr>
                <w:rFonts w:hint="eastAsia" w:ascii="Times New Roman" w:hAnsi="Times New Roman" w:cs="Times New Roman"/>
                <w:lang w:val="en-US" w:eastAsia="zh-CN"/>
              </w:rPr>
              <w:t>2</w:t>
            </w:r>
            <w:r>
              <w:rPr>
                <w:rFonts w:hint="eastAsia" w:cs="Times New Roman"/>
                <w:lang w:val="en-US" w:eastAsia="zh-CN"/>
              </w:rPr>
              <w:t>3</w:t>
            </w:r>
            <w:r>
              <w:rPr>
                <w:rFonts w:hint="eastAsia" w:ascii="Times New Roman" w:hAnsi="Times New Roman" w:cs="Times New Roman"/>
              </w:rPr>
              <w:t>-</w:t>
            </w:r>
            <w:r>
              <w:rPr>
                <w:rFonts w:hint="eastAsia" w:cs="Times New Roman"/>
                <w:lang w:val="en-US" w:eastAsia="zh-CN"/>
              </w:rPr>
              <w:t>5</w:t>
            </w:r>
            <w:r>
              <w:rPr>
                <w:rFonts w:hint="eastAsia" w:ascii="Times New Roman" w:hAnsi="Times New Roman" w:cs="Times New Roman"/>
              </w:rPr>
              <w:t>-</w:t>
            </w:r>
            <w:r>
              <w:rPr>
                <w:rFonts w:hint="eastAsia" w:cs="Times New Roman"/>
                <w:lang w:val="en-US" w:eastAsia="zh-CN"/>
              </w:rPr>
              <w:t>26</w:t>
            </w:r>
          </w:p>
        </w:tc>
      </w:tr>
      <w:tr>
        <w:trPr>
          <w:cantSplit/>
          <w:trHeight w:val="925" w:hRule="atLeast"/>
          <w:tblHeader/>
          <w:jc w:val="center"/>
        </w:trPr>
        <w:tc>
          <w:tcPr>
            <w:tcW w:w="722" w:type="dxa"/>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spacing w:line="360" w:lineRule="auto"/>
              <w:jc w:val="center"/>
              <w:rPr>
                <w:rFonts w:hint="eastAsia" w:eastAsia="宋体"/>
                <w:bCs/>
                <w:color w:val="000000"/>
                <w:sz w:val="18"/>
                <w:szCs w:val="18"/>
                <w:lang w:val="en-US" w:eastAsia="zh-CN"/>
              </w:rPr>
            </w:pPr>
            <w:r>
              <w:rPr>
                <w:rFonts w:hint="eastAsia"/>
                <w:bCs/>
                <w:color w:val="000000"/>
                <w:sz w:val="18"/>
                <w:szCs w:val="18"/>
                <w:lang w:val="en-US" w:eastAsia="zh-CN"/>
              </w:rPr>
              <w:t>2</w:t>
            </w:r>
          </w:p>
        </w:tc>
        <w:tc>
          <w:tcPr>
            <w:tcW w:w="2806"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rPr>
                <w:rFonts w:hint="default" w:ascii="Times New Roman" w:hAnsi="Times New Roman" w:cs="Times New Roman"/>
                <w:lang w:val="en-US"/>
              </w:rPr>
            </w:pPr>
            <w:r>
              <w:rPr>
                <w:rFonts w:hint="default" w:ascii="Times New Roman" w:hAnsi="Times New Roman" w:cs="Times New Roman"/>
                <w:lang w:val="en-US" w:eastAsia="zh-CN"/>
              </w:rPr>
              <w:t>乐山市市中区苏稽峨眉河安福堰综合整治工程</w:t>
            </w:r>
          </w:p>
        </w:tc>
        <w:tc>
          <w:tcPr>
            <w:tcW w:w="3245"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Times New Roman" w:hAnsi="Times New Roman" w:eastAsia="宋体" w:cs="Times New Roman"/>
                <w:lang w:val="en-US" w:eastAsia="zh-CN"/>
              </w:rPr>
            </w:pPr>
            <w:r>
              <w:rPr>
                <w:rFonts w:hint="default" w:ascii="Times New Roman" w:hAnsi="Times New Roman" w:eastAsia="宋体" w:cs="Times New Roman"/>
                <w:kern w:val="21"/>
                <w:sz w:val="24"/>
                <w:szCs w:val="24"/>
                <w:lang w:eastAsia="zh-CN"/>
              </w:rPr>
              <w:t>四川省乐山市</w:t>
            </w:r>
            <w:r>
              <w:rPr>
                <w:rFonts w:hint="eastAsia" w:ascii="Times New Roman" w:hAnsi="Times New Roman" w:eastAsia="宋体" w:cs="Times New Roman"/>
                <w:kern w:val="21"/>
                <w:sz w:val="24"/>
                <w:szCs w:val="24"/>
                <w:lang w:val="en-US" w:eastAsia="zh-CN"/>
              </w:rPr>
              <w:t>苏稽镇</w:t>
            </w:r>
          </w:p>
        </w:tc>
        <w:tc>
          <w:tcPr>
            <w:tcW w:w="2976"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Times New Roman" w:hAnsi="Times New Roman" w:cs="Times New Roman"/>
              </w:rPr>
            </w:pPr>
            <w:r>
              <w:rPr>
                <w:rFonts w:hint="eastAsia" w:ascii="Times New Roman" w:hAnsi="Times New Roman" w:cs="Times New Roman"/>
                <w:lang w:val="en-US" w:eastAsia="zh-CN"/>
              </w:rPr>
              <w:t>乐山嘉和投资有限责任公司</w:t>
            </w:r>
          </w:p>
        </w:tc>
        <w:tc>
          <w:tcPr>
            <w:tcW w:w="4218"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四川蓝环环保科技有限公司</w:t>
            </w:r>
          </w:p>
        </w:tc>
        <w:tc>
          <w:tcPr>
            <w:tcW w:w="1377"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rPr>
                <w:rFonts w:hint="default" w:ascii="Times New Roman" w:hAnsi="Times New Roman" w:cs="Times New Roman"/>
                <w:lang w:val="en-US"/>
              </w:rPr>
            </w:pPr>
            <w:r>
              <w:rPr>
                <w:rFonts w:hint="eastAsia" w:ascii="Times New Roman" w:hAnsi="Times New Roman" w:cs="Times New Roman"/>
              </w:rPr>
              <w:t>20</w:t>
            </w:r>
            <w:r>
              <w:rPr>
                <w:rFonts w:hint="eastAsia" w:ascii="Times New Roman" w:hAnsi="Times New Roman" w:cs="Times New Roman"/>
                <w:lang w:val="en-US" w:eastAsia="zh-CN"/>
              </w:rPr>
              <w:t>2</w:t>
            </w:r>
            <w:r>
              <w:rPr>
                <w:rFonts w:hint="eastAsia" w:cs="Times New Roman"/>
                <w:lang w:val="en-US" w:eastAsia="zh-CN"/>
              </w:rPr>
              <w:t>3</w:t>
            </w:r>
            <w:r>
              <w:rPr>
                <w:rFonts w:hint="eastAsia" w:ascii="Times New Roman" w:hAnsi="Times New Roman" w:cs="Times New Roman"/>
              </w:rPr>
              <w:t>-</w:t>
            </w:r>
            <w:r>
              <w:rPr>
                <w:rFonts w:hint="eastAsia" w:cs="Times New Roman"/>
                <w:lang w:val="en-US" w:eastAsia="zh-CN"/>
              </w:rPr>
              <w:t>5</w:t>
            </w:r>
            <w:r>
              <w:rPr>
                <w:rFonts w:hint="eastAsia" w:ascii="Times New Roman" w:hAnsi="Times New Roman" w:cs="Times New Roman"/>
              </w:rPr>
              <w:t>-</w:t>
            </w:r>
            <w:r>
              <w:rPr>
                <w:rFonts w:hint="eastAsia" w:cs="Times New Roman"/>
                <w:lang w:val="en-US" w:eastAsia="zh-CN"/>
              </w:rPr>
              <w:t>26</w:t>
            </w:r>
          </w:p>
        </w:tc>
      </w:tr>
    </w:tbl>
    <w:p>
      <w:pPr>
        <w:spacing w:line="360" w:lineRule="auto"/>
        <w:rPr>
          <w:color w:val="000000"/>
          <w:sz w:val="72"/>
          <w:szCs w:val="72"/>
        </w:rPr>
        <w:sectPr>
          <w:endnotePr>
            <w:numFmt w:val="decimal"/>
          </w:endnotePr>
          <w:pgSz w:w="16838" w:h="11906" w:orient="landscape"/>
          <w:pgMar w:top="1800" w:right="1440" w:bottom="1800" w:left="1440" w:header="851" w:footer="992" w:gutter="0"/>
          <w:pgNumType w:fmt="numberInDash" w:start="1"/>
          <w:cols w:space="720" w:num="1"/>
          <w:docGrid w:type="lines" w:linePitch="312" w:charSpace="0"/>
        </w:sectPr>
      </w:pPr>
      <w:r>
        <w:rPr>
          <w:rFonts w:hint="eastAsia" w:ascii="宋体" w:hAnsi="宋体" w:cs="宋体"/>
          <w:color w:val="000000"/>
          <w:kern w:val="0"/>
          <w:szCs w:val="21"/>
        </w:rPr>
        <w:t>注：根据《建设项目环境影响评价政府信息公开指南（试行）》的有关规定，上述环境影响报告书、表不含涉及国家秘密、商业秘密、个人隐私以及涉及国家安全、公共安全、经济安全和社会稳定的内容。</w:t>
      </w:r>
    </w:p>
    <w:p>
      <w:pPr>
        <w:adjustRightInd w:val="0"/>
        <w:snapToGrid w:val="0"/>
        <w:jc w:val="center"/>
        <w:outlineLvl w:val="0"/>
        <w:rPr>
          <w:rFonts w:hint="eastAsia" w:ascii="方正小标宋_GBK" w:eastAsia="方正小标宋_GBK"/>
          <w:bCs/>
          <w:color w:val="auto"/>
          <w:sz w:val="72"/>
          <w:szCs w:val="72"/>
        </w:rPr>
      </w:pPr>
      <w:r>
        <w:rPr>
          <w:rFonts w:hint="eastAsia" w:ascii="方正小标宋_GBK" w:eastAsia="方正小标宋_GBK"/>
          <w:bCs/>
          <w:color w:val="auto"/>
          <w:sz w:val="72"/>
          <w:szCs w:val="72"/>
        </w:rPr>
        <w:t>建设项目环境影响报告表</w:t>
      </w:r>
    </w:p>
    <w:p>
      <w:pPr>
        <w:adjustRightInd w:val="0"/>
        <w:snapToGrid w:val="0"/>
        <w:spacing w:before="192" w:beforeLines="80"/>
        <w:jc w:val="center"/>
        <w:rPr>
          <w:rFonts w:hint="eastAsia" w:ascii="楷体_GB2312" w:eastAsia="楷体_GB2312"/>
          <w:bCs/>
          <w:color w:val="auto"/>
          <w:sz w:val="48"/>
          <w:szCs w:val="48"/>
        </w:rPr>
      </w:pPr>
      <w:r>
        <w:rPr>
          <w:rFonts w:hint="eastAsia" w:ascii="楷体_GB2312" w:eastAsia="楷体_GB2312"/>
          <w:bCs/>
          <w:color w:val="auto"/>
          <w:sz w:val="48"/>
          <w:szCs w:val="48"/>
        </w:rPr>
        <w:t>（</w:t>
      </w:r>
      <w:r>
        <w:rPr>
          <w:rFonts w:hint="eastAsia" w:ascii="楷体_GB2312" w:eastAsia="楷体_GB2312"/>
          <w:bCs/>
          <w:color w:val="auto"/>
          <w:sz w:val="48"/>
          <w:szCs w:val="48"/>
          <w:lang w:eastAsia="zh-CN"/>
        </w:rPr>
        <w:t>生态</w:t>
      </w:r>
      <w:r>
        <w:rPr>
          <w:rFonts w:hint="eastAsia" w:ascii="楷体_GB2312" w:eastAsia="楷体_GB2312"/>
          <w:bCs/>
          <w:color w:val="auto"/>
          <w:sz w:val="48"/>
          <w:szCs w:val="48"/>
        </w:rPr>
        <w:t>影响类）</w:t>
      </w:r>
    </w:p>
    <w:p>
      <w:pPr>
        <w:adjustRightInd w:val="0"/>
        <w:snapToGrid w:val="0"/>
        <w:spacing w:before="192" w:beforeLines="80"/>
        <w:jc w:val="center"/>
        <w:rPr>
          <w:rFonts w:hint="eastAsia" w:ascii="楷体_GB2312" w:eastAsia="楷体_GB2312"/>
          <w:bCs/>
          <w:color w:val="auto"/>
          <w:sz w:val="36"/>
          <w:szCs w:val="36"/>
          <w:lang w:eastAsia="zh-CN"/>
        </w:rPr>
      </w:pPr>
      <w:r>
        <w:rPr>
          <w:rFonts w:hint="eastAsia" w:ascii="楷体_GB2312" w:eastAsia="楷体_GB2312"/>
          <w:bCs/>
          <w:color w:val="auto"/>
          <w:sz w:val="36"/>
          <w:szCs w:val="36"/>
          <w:lang w:eastAsia="zh-CN"/>
        </w:rPr>
        <w:t>（</w:t>
      </w:r>
      <w:r>
        <w:rPr>
          <w:rFonts w:hint="eastAsia" w:ascii="楷体_GB2312" w:eastAsia="楷体_GB2312"/>
          <w:bCs/>
          <w:color w:val="auto"/>
          <w:sz w:val="36"/>
          <w:szCs w:val="36"/>
          <w:lang w:val="en-US" w:eastAsia="zh-CN"/>
        </w:rPr>
        <w:t>送审本</w:t>
      </w:r>
      <w:r>
        <w:rPr>
          <w:rFonts w:hint="eastAsia" w:ascii="楷体_GB2312" w:eastAsia="楷体_GB2312"/>
          <w:bCs/>
          <w:color w:val="auto"/>
          <w:sz w:val="36"/>
          <w:szCs w:val="36"/>
          <w:lang w:eastAsia="zh-CN"/>
        </w:rPr>
        <w:t>）</w:t>
      </w:r>
    </w:p>
    <w:p>
      <w:pPr>
        <w:jc w:val="center"/>
        <w:rPr>
          <w:rFonts w:ascii="Times New Roman" w:hAnsi="Times New Roman" w:eastAsia="仿宋" w:cs="Times New Roman"/>
          <w:color w:val="auto"/>
          <w:sz w:val="52"/>
          <w:szCs w:val="52"/>
        </w:rPr>
      </w:pPr>
    </w:p>
    <w:p>
      <w:pPr>
        <w:ind w:firstLine="0"/>
        <w:jc w:val="center"/>
        <w:rPr>
          <w:rFonts w:ascii="Times New Roman" w:hAnsi="Times New Roman" w:eastAsia="仿宋" w:cs="Times New Roman"/>
          <w:color w:val="auto"/>
          <w:sz w:val="52"/>
          <w:szCs w:val="52"/>
        </w:rPr>
      </w:pPr>
    </w:p>
    <w:p>
      <w:pPr>
        <w:jc w:val="center"/>
        <w:rPr>
          <w:rFonts w:ascii="Times New Roman" w:hAnsi="Times New Roman" w:eastAsia="仿宋" w:cs="Times New Roman"/>
          <w:color w:val="auto"/>
          <w:sz w:val="52"/>
          <w:szCs w:val="52"/>
        </w:rPr>
      </w:pPr>
    </w:p>
    <w:p>
      <w:pPr>
        <w:widowControl w:val="0"/>
        <w:spacing w:after="120" w:afterLines="0" w:line="240" w:lineRule="auto"/>
        <w:ind w:left="480" w:leftChars="200" w:firstLine="880" w:firstLineChars="200"/>
        <w:jc w:val="both"/>
        <w:rPr>
          <w:rFonts w:ascii="Times New Roman" w:hAnsi="Times New Roman" w:eastAsia="仿宋" w:cs="Times New Roman"/>
          <w:color w:val="auto"/>
          <w:kern w:val="0"/>
          <w:sz w:val="44"/>
          <w:szCs w:val="44"/>
          <w:lang w:val="en-US" w:eastAsia="zh-CN" w:bidi="ar-SA"/>
        </w:rPr>
      </w:pPr>
    </w:p>
    <w:p>
      <w:pPr>
        <w:adjustRightInd w:val="0"/>
        <w:snapToGrid w:val="0"/>
        <w:spacing w:line="288" w:lineRule="auto"/>
        <w:ind w:firstLine="960" w:firstLineChars="300"/>
        <w:rPr>
          <w:rFonts w:hint="default" w:ascii="仿宋_GB2312" w:eastAsia="仿宋_GB2312"/>
          <w:color w:val="auto"/>
          <w:sz w:val="32"/>
          <w:szCs w:val="32"/>
          <w:u w:val="single"/>
          <w:lang w:val="en-US" w:eastAsia="zh-CN"/>
        </w:rPr>
      </w:pPr>
      <w:r>
        <w:rPr>
          <w:rFonts w:hint="eastAsia" w:ascii="仿宋_GB2312" w:eastAsia="仿宋_GB2312"/>
          <w:color w:val="auto"/>
          <w:sz w:val="32"/>
          <w:szCs w:val="32"/>
        </w:rPr>
        <w:t>项目名称：</w:t>
      </w:r>
      <w:r>
        <w:rPr>
          <w:rFonts w:hint="eastAsia" w:ascii="仿宋_GB2312" w:eastAsia="仿宋_GB2312"/>
          <w:color w:val="auto"/>
          <w:sz w:val="32"/>
          <w:szCs w:val="32"/>
          <w:u w:val="single"/>
          <w:lang w:eastAsia="zh-CN"/>
        </w:rPr>
        <w:t>四川省乐山市中区临江河平兴镇防洪治理工程</w:t>
      </w:r>
    </w:p>
    <w:p>
      <w:pPr>
        <w:adjustRightInd w:val="0"/>
        <w:snapToGrid w:val="0"/>
        <w:spacing w:line="288" w:lineRule="auto"/>
        <w:ind w:firstLine="960" w:firstLineChars="300"/>
        <w:rPr>
          <w:rFonts w:hint="eastAsia" w:ascii="仿宋_GB2312" w:eastAsia="仿宋_GB2312"/>
          <w:color w:val="auto"/>
          <w:sz w:val="32"/>
          <w:szCs w:val="32"/>
        </w:rPr>
      </w:pPr>
    </w:p>
    <w:p>
      <w:pPr>
        <w:adjustRightInd w:val="0"/>
        <w:snapToGrid w:val="0"/>
        <w:spacing w:line="288" w:lineRule="auto"/>
        <w:ind w:firstLine="960" w:firstLineChars="300"/>
        <w:rPr>
          <w:rFonts w:hint="default" w:ascii="仿宋_GB2312" w:eastAsia="仿宋_GB2312"/>
          <w:color w:val="auto"/>
          <w:sz w:val="32"/>
          <w:szCs w:val="32"/>
          <w:highlight w:val="red"/>
          <w:u w:val="single"/>
          <w:lang w:val="en-US" w:eastAsia="zh-CN"/>
        </w:rPr>
      </w:pPr>
      <w:r>
        <w:rPr>
          <w:rFonts w:hint="eastAsia" w:ascii="仿宋_GB2312" w:eastAsia="仿宋_GB2312"/>
          <w:color w:val="auto"/>
          <w:sz w:val="32"/>
          <w:szCs w:val="32"/>
        </w:rPr>
        <w:t>建设单位（盖章）：</w:t>
      </w:r>
      <w:r>
        <w:rPr>
          <w:rFonts w:hint="eastAsia" w:ascii="仿宋_GB2312" w:eastAsia="仿宋_GB2312"/>
          <w:color w:val="auto"/>
          <w:sz w:val="32"/>
          <w:szCs w:val="32"/>
          <w:u w:val="single"/>
        </w:rPr>
        <w:t>乐山浩淼生态环境工程有限公司</w:t>
      </w:r>
    </w:p>
    <w:p>
      <w:pPr>
        <w:adjustRightInd w:val="0"/>
        <w:snapToGrid w:val="0"/>
        <w:spacing w:line="288" w:lineRule="auto"/>
        <w:ind w:firstLine="1040"/>
        <w:rPr>
          <w:rFonts w:hint="eastAsia" w:ascii="仿宋_GB2312" w:eastAsia="仿宋_GB2312"/>
          <w:color w:val="auto"/>
          <w:sz w:val="32"/>
          <w:szCs w:val="32"/>
        </w:rPr>
      </w:pPr>
    </w:p>
    <w:p>
      <w:pPr>
        <w:adjustRightInd w:val="0"/>
        <w:snapToGrid w:val="0"/>
        <w:spacing w:line="288" w:lineRule="auto"/>
        <w:ind w:firstLine="1040"/>
        <w:rPr>
          <w:rFonts w:hint="default" w:ascii="仿宋_GB2312" w:eastAsia="仿宋_GB2312"/>
          <w:color w:val="auto"/>
          <w:sz w:val="32"/>
          <w:szCs w:val="32"/>
          <w:u w:val="single"/>
          <w:lang w:val="en-US" w:eastAsia="zh-CN"/>
        </w:rPr>
      </w:pPr>
      <w:r>
        <w:rPr>
          <w:rFonts w:hint="eastAsia" w:ascii="仿宋_GB2312" w:eastAsia="仿宋_GB2312"/>
          <w:color w:val="auto"/>
          <w:sz w:val="32"/>
          <w:szCs w:val="32"/>
        </w:rPr>
        <w:t>编制日期：</w:t>
      </w:r>
      <w:r>
        <w:rPr>
          <w:rFonts w:hint="eastAsia" w:ascii="仿宋_GB2312" w:eastAsia="仿宋_GB2312"/>
          <w:color w:val="auto"/>
          <w:sz w:val="32"/>
          <w:szCs w:val="32"/>
          <w:u w:val="single"/>
        </w:rPr>
        <w:t xml:space="preserve"> </w:t>
      </w:r>
      <w:r>
        <w:rPr>
          <w:rFonts w:ascii="仿宋_GB2312" w:eastAsia="仿宋_GB2312"/>
          <w:color w:val="auto"/>
          <w:sz w:val="32"/>
          <w:szCs w:val="32"/>
          <w:u w:val="single"/>
        </w:rPr>
        <w:t xml:space="preserve">         </w:t>
      </w:r>
      <w:r>
        <w:rPr>
          <w:rFonts w:eastAsia="仿宋_GB2312"/>
          <w:color w:val="auto"/>
          <w:sz w:val="32"/>
          <w:szCs w:val="32"/>
          <w:u w:val="single"/>
        </w:rPr>
        <w:t>202</w:t>
      </w:r>
      <w:r>
        <w:rPr>
          <w:rFonts w:hint="eastAsia" w:eastAsia="仿宋_GB2312"/>
          <w:color w:val="auto"/>
          <w:sz w:val="32"/>
          <w:szCs w:val="32"/>
          <w:u w:val="single"/>
          <w:lang w:val="en-US" w:eastAsia="zh-CN"/>
        </w:rPr>
        <w:t>3</w:t>
      </w:r>
      <w:r>
        <w:rPr>
          <w:rFonts w:eastAsia="仿宋_GB2312"/>
          <w:color w:val="auto"/>
          <w:sz w:val="32"/>
          <w:szCs w:val="32"/>
          <w:u w:val="single"/>
        </w:rPr>
        <w:t>年</w:t>
      </w:r>
      <w:r>
        <w:rPr>
          <w:rFonts w:hint="eastAsia" w:eastAsia="仿宋_GB2312"/>
          <w:color w:val="auto"/>
          <w:sz w:val="32"/>
          <w:szCs w:val="32"/>
          <w:u w:val="single"/>
          <w:lang w:val="en-US" w:eastAsia="zh-CN"/>
        </w:rPr>
        <w:t>5</w:t>
      </w:r>
      <w:r>
        <w:rPr>
          <w:rFonts w:eastAsia="仿宋_GB2312"/>
          <w:b w:val="0"/>
          <w:bCs w:val="0"/>
          <w:color w:val="auto"/>
          <w:sz w:val="32"/>
          <w:szCs w:val="32"/>
          <w:u w:val="single"/>
        </w:rPr>
        <w:t>月</w:t>
      </w:r>
      <w:r>
        <w:rPr>
          <w:rFonts w:ascii="仿宋_GB2312" w:eastAsia="仿宋_GB2312"/>
          <w:color w:val="auto"/>
          <w:sz w:val="32"/>
          <w:szCs w:val="32"/>
          <w:u w:val="single"/>
        </w:rPr>
        <w:t xml:space="preserve">         </w:t>
      </w:r>
      <w:r>
        <w:rPr>
          <w:rFonts w:hint="eastAsia" w:ascii="仿宋_GB2312" w:eastAsia="仿宋_GB2312"/>
          <w:color w:val="auto"/>
          <w:sz w:val="32"/>
          <w:szCs w:val="32"/>
          <w:u w:val="single"/>
          <w:lang w:val="en-US" w:eastAsia="zh-CN"/>
        </w:rPr>
        <w:t xml:space="preserve">     </w:t>
      </w:r>
    </w:p>
    <w:p>
      <w:pPr>
        <w:adjustRightInd w:val="0"/>
        <w:snapToGrid w:val="0"/>
        <w:spacing w:line="288" w:lineRule="auto"/>
        <w:jc w:val="center"/>
        <w:rPr>
          <w:rFonts w:hint="eastAsia" w:ascii="楷体_GB2312" w:eastAsia="楷体_GB2312"/>
          <w:color w:val="auto"/>
          <w:sz w:val="36"/>
          <w:szCs w:val="36"/>
        </w:rPr>
      </w:pPr>
    </w:p>
    <w:p>
      <w:pPr>
        <w:adjustRightInd w:val="0"/>
        <w:snapToGrid w:val="0"/>
        <w:spacing w:line="288" w:lineRule="auto"/>
        <w:jc w:val="center"/>
        <w:rPr>
          <w:rFonts w:hint="eastAsia" w:ascii="楷体_GB2312" w:eastAsia="楷体_GB2312"/>
          <w:color w:val="auto"/>
          <w:sz w:val="36"/>
          <w:szCs w:val="36"/>
        </w:rPr>
      </w:pPr>
    </w:p>
    <w:p>
      <w:pPr>
        <w:adjustRightInd w:val="0"/>
        <w:snapToGrid w:val="0"/>
        <w:spacing w:line="288" w:lineRule="auto"/>
        <w:jc w:val="center"/>
        <w:rPr>
          <w:rFonts w:hint="eastAsia" w:ascii="楷体_GB2312" w:eastAsia="楷体_GB2312"/>
          <w:color w:val="auto"/>
          <w:sz w:val="36"/>
          <w:szCs w:val="36"/>
        </w:rPr>
      </w:pPr>
    </w:p>
    <w:p>
      <w:pPr>
        <w:adjustRightInd w:val="0"/>
        <w:snapToGrid w:val="0"/>
        <w:spacing w:line="288" w:lineRule="auto"/>
        <w:jc w:val="center"/>
        <w:rPr>
          <w:rFonts w:hint="eastAsia" w:ascii="楷体_GB2312" w:eastAsia="楷体_GB2312"/>
          <w:color w:val="auto"/>
          <w:sz w:val="36"/>
          <w:szCs w:val="36"/>
        </w:rPr>
      </w:pPr>
    </w:p>
    <w:p>
      <w:pPr>
        <w:adjustRightInd w:val="0"/>
        <w:snapToGrid w:val="0"/>
        <w:spacing w:line="288" w:lineRule="auto"/>
        <w:jc w:val="center"/>
        <w:rPr>
          <w:rFonts w:hint="eastAsia" w:ascii="楷体_GB2312" w:eastAsia="楷体_GB2312"/>
          <w:color w:val="auto"/>
          <w:sz w:val="36"/>
          <w:szCs w:val="36"/>
        </w:rPr>
      </w:pPr>
    </w:p>
    <w:p>
      <w:pPr>
        <w:adjustRightInd w:val="0"/>
        <w:snapToGrid w:val="0"/>
        <w:spacing w:line="288" w:lineRule="auto"/>
        <w:jc w:val="center"/>
        <w:rPr>
          <w:rFonts w:hint="eastAsia" w:ascii="楷体_GB2312" w:eastAsia="楷体_GB2312"/>
          <w:color w:val="auto"/>
          <w:sz w:val="36"/>
          <w:szCs w:val="36"/>
        </w:rPr>
      </w:pPr>
    </w:p>
    <w:p>
      <w:pPr>
        <w:adjustRightInd w:val="0"/>
        <w:snapToGrid w:val="0"/>
        <w:spacing w:line="288" w:lineRule="auto"/>
        <w:jc w:val="center"/>
        <w:rPr>
          <w:rFonts w:hint="eastAsia" w:ascii="楷体_GB2312" w:eastAsia="楷体_GB2312"/>
          <w:color w:val="auto"/>
          <w:sz w:val="36"/>
          <w:szCs w:val="36"/>
        </w:rPr>
      </w:pPr>
    </w:p>
    <w:p>
      <w:pPr>
        <w:adjustRightInd w:val="0"/>
        <w:snapToGrid w:val="0"/>
        <w:spacing w:line="288" w:lineRule="auto"/>
        <w:jc w:val="center"/>
        <w:rPr>
          <w:rFonts w:hint="eastAsia" w:ascii="楷体_GB2312" w:eastAsia="楷体_GB2312"/>
          <w:color w:val="auto"/>
          <w:sz w:val="36"/>
          <w:szCs w:val="36"/>
        </w:rPr>
      </w:pPr>
    </w:p>
    <w:p>
      <w:pPr>
        <w:adjustRightInd w:val="0"/>
        <w:snapToGrid w:val="0"/>
        <w:spacing w:line="288" w:lineRule="auto"/>
        <w:jc w:val="center"/>
        <w:rPr>
          <w:rFonts w:hint="eastAsia" w:ascii="楷体_GB2312" w:eastAsia="楷体_GB2312"/>
          <w:color w:val="auto"/>
          <w:sz w:val="36"/>
          <w:szCs w:val="36"/>
        </w:rPr>
      </w:pPr>
    </w:p>
    <w:p>
      <w:pPr>
        <w:adjustRightInd w:val="0"/>
        <w:snapToGrid w:val="0"/>
        <w:spacing w:line="288" w:lineRule="auto"/>
        <w:jc w:val="center"/>
        <w:rPr>
          <w:rFonts w:ascii="仿宋_GB2312" w:eastAsia="仿宋_GB2312"/>
          <w:color w:val="auto"/>
          <w:sz w:val="36"/>
          <w:szCs w:val="36"/>
        </w:rPr>
        <w:sectPr>
          <w:headerReference r:id="rId5" w:type="first"/>
          <w:footerReference r:id="rId8" w:type="first"/>
          <w:headerReference r:id="rId3" w:type="default"/>
          <w:footerReference r:id="rId6" w:type="default"/>
          <w:headerReference r:id="rId4" w:type="even"/>
          <w:footerReference r:id="rId7"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eastAsia" w:ascii="楷体_GB2312" w:eastAsia="楷体_GB2312"/>
          <w:color w:val="auto"/>
          <w:sz w:val="36"/>
          <w:szCs w:val="36"/>
        </w:rPr>
        <w:t>中华人民共和国生态环境部</w:t>
      </w:r>
    </w:p>
    <w:p>
      <w:pPr>
        <w:pStyle w:val="37"/>
        <w:jc w:val="center"/>
        <w:outlineLvl w:val="0"/>
        <w:rPr>
          <w:rFonts w:hint="eastAsia" w:ascii="黑体" w:hAnsi="黑体" w:eastAsia="黑体"/>
          <w:snapToGrid w:val="0"/>
          <w:color w:val="auto"/>
          <w:sz w:val="30"/>
          <w:szCs w:val="30"/>
        </w:rPr>
      </w:pPr>
      <w:r>
        <w:rPr>
          <w:rFonts w:hint="eastAsia" w:ascii="黑体" w:hAnsi="黑体" w:eastAsia="黑体"/>
          <w:snapToGrid w:val="0"/>
          <w:color w:val="auto"/>
          <w:sz w:val="30"/>
          <w:szCs w:val="30"/>
        </w:rPr>
        <w:t>一、建设项目基本情况</w:t>
      </w:r>
    </w:p>
    <w:tbl>
      <w:tblPr>
        <w:tblStyle w:val="41"/>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068"/>
        <w:gridCol w:w="195"/>
        <w:gridCol w:w="3193"/>
        <w:gridCol w:w="1806"/>
        <w:gridCol w:w="318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65" w:type="pct"/>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color w:val="auto"/>
                <w:kern w:val="21"/>
                <w:sz w:val="24"/>
                <w:szCs w:val="24"/>
              </w:rPr>
            </w:pPr>
            <w:r>
              <w:rPr>
                <w:rFonts w:hint="default" w:ascii="Times New Roman" w:hAnsi="Times New Roman" w:cs="Times New Roman"/>
                <w:color w:val="auto"/>
                <w:kern w:val="21"/>
                <w:sz w:val="24"/>
                <w:szCs w:val="24"/>
              </w:rPr>
              <w:t>建设项目名称</w:t>
            </w:r>
          </w:p>
        </w:tc>
        <w:tc>
          <w:tcPr>
            <w:tcW w:w="4434" w:type="pct"/>
            <w:gridSpan w:val="4"/>
            <w:noWrap w:val="0"/>
            <w:vAlign w:val="center"/>
          </w:tcPr>
          <w:p>
            <w:pPr>
              <w:keepNext w:val="0"/>
              <w:keepLines w:val="0"/>
              <w:pageBreakBefore w:val="0"/>
              <w:kinsoku/>
              <w:wordWrap/>
              <w:overflowPunct/>
              <w:topLinePunct w:val="0"/>
              <w:bidi w:val="0"/>
              <w:adjustRightInd w:val="0"/>
              <w:snapToGrid w:val="0"/>
              <w:jc w:val="center"/>
              <w:textAlignment w:val="auto"/>
              <w:rPr>
                <w:rFonts w:hint="eastAsia" w:ascii="Times New Roman" w:hAnsi="Times New Roman" w:eastAsia="宋体" w:cs="Times New Roman"/>
                <w:color w:val="auto"/>
                <w:kern w:val="21"/>
                <w:sz w:val="24"/>
                <w:szCs w:val="24"/>
                <w:highlight w:val="none"/>
                <w:lang w:eastAsia="zh-CN"/>
              </w:rPr>
            </w:pPr>
            <w:r>
              <w:rPr>
                <w:rFonts w:hint="eastAsia" w:cs="Times New Roman"/>
                <w:color w:val="auto"/>
                <w:kern w:val="21"/>
                <w:sz w:val="24"/>
                <w:szCs w:val="24"/>
                <w:highlight w:val="none"/>
                <w:lang w:eastAsia="zh-CN"/>
              </w:rPr>
              <w:t>四川省乐山市中区临江河平兴镇防洪治理工程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08" w:hRule="atLeast"/>
          <w:jc w:val="center"/>
        </w:trPr>
        <w:tc>
          <w:tcPr>
            <w:tcW w:w="565" w:type="pct"/>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color w:val="auto"/>
                <w:kern w:val="21"/>
                <w:sz w:val="24"/>
                <w:szCs w:val="24"/>
              </w:rPr>
            </w:pPr>
            <w:r>
              <w:rPr>
                <w:rFonts w:hint="default" w:ascii="Times New Roman" w:hAnsi="Times New Roman" w:cs="Times New Roman"/>
                <w:color w:val="auto"/>
                <w:kern w:val="21"/>
                <w:sz w:val="24"/>
                <w:szCs w:val="24"/>
              </w:rPr>
              <w:t>项目代码</w:t>
            </w:r>
          </w:p>
        </w:tc>
        <w:tc>
          <w:tcPr>
            <w:tcW w:w="4434" w:type="pct"/>
            <w:gridSpan w:val="4"/>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kern w:val="21"/>
                <w:sz w:val="24"/>
                <w:szCs w:val="24"/>
                <w:highlight w:val="none"/>
                <w:lang w:eastAsia="zh-CN"/>
              </w:rPr>
            </w:pPr>
            <w:r>
              <w:rPr>
                <w:rFonts w:hint="eastAsia" w:cs="Times New Roman"/>
                <w:color w:val="auto"/>
                <w:kern w:val="21"/>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65" w:type="pct"/>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kern w:val="21"/>
                <w:sz w:val="24"/>
                <w:szCs w:val="24"/>
                <w:highlight w:val="none"/>
              </w:rPr>
            </w:pPr>
            <w:r>
              <w:rPr>
                <w:rFonts w:hint="default" w:ascii="Times New Roman" w:hAnsi="Times New Roman" w:cs="Times New Roman"/>
                <w:kern w:val="21"/>
                <w:sz w:val="24"/>
                <w:szCs w:val="24"/>
                <w:highlight w:val="none"/>
              </w:rPr>
              <w:t>建设单位联系人</w:t>
            </w:r>
          </w:p>
        </w:tc>
        <w:tc>
          <w:tcPr>
            <w:tcW w:w="1793" w:type="pct"/>
            <w:gridSpan w:val="2"/>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kern w:val="21"/>
                <w:sz w:val="24"/>
                <w:szCs w:val="24"/>
                <w:highlight w:val="red"/>
                <w:lang w:val="en-US" w:eastAsia="zh-CN"/>
              </w:rPr>
            </w:pPr>
            <w:r>
              <w:rPr>
                <w:rFonts w:hint="eastAsia" w:cs="Times New Roman"/>
                <w:kern w:val="21"/>
                <w:sz w:val="24"/>
                <w:szCs w:val="24"/>
                <w:highlight w:val="none"/>
                <w:lang w:val="en-US" w:eastAsia="zh-CN"/>
              </w:rPr>
              <w:t>黄政鑫</w:t>
            </w:r>
          </w:p>
        </w:tc>
        <w:tc>
          <w:tcPr>
            <w:tcW w:w="956"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kern w:val="21"/>
                <w:sz w:val="24"/>
                <w:szCs w:val="24"/>
                <w:highlight w:val="none"/>
              </w:rPr>
            </w:pPr>
            <w:r>
              <w:rPr>
                <w:rFonts w:hint="default" w:ascii="Times New Roman" w:hAnsi="Times New Roman" w:cs="Times New Roman"/>
                <w:kern w:val="21"/>
                <w:sz w:val="24"/>
                <w:szCs w:val="24"/>
                <w:highlight w:val="none"/>
              </w:rPr>
              <w:t>联系方式</w:t>
            </w:r>
          </w:p>
        </w:tc>
        <w:tc>
          <w:tcPr>
            <w:tcW w:w="1684"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kern w:val="21"/>
                <w:sz w:val="24"/>
                <w:szCs w:val="24"/>
                <w:highlight w:val="none"/>
                <w:lang w:val="en-US" w:eastAsia="zh-CN"/>
              </w:rPr>
            </w:pPr>
            <w:r>
              <w:rPr>
                <w:rFonts w:hint="eastAsia" w:cs="Times New Roman"/>
                <w:kern w:val="21"/>
                <w:sz w:val="24"/>
                <w:szCs w:val="24"/>
                <w:highlight w:val="none"/>
                <w:lang w:val="en-US" w:eastAsia="zh-CN"/>
              </w:rPr>
              <w:t>15681301978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5" w:hRule="atLeast"/>
          <w:jc w:val="center"/>
        </w:trPr>
        <w:tc>
          <w:tcPr>
            <w:tcW w:w="565" w:type="pct"/>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kern w:val="21"/>
                <w:sz w:val="24"/>
                <w:szCs w:val="24"/>
              </w:rPr>
            </w:pPr>
            <w:r>
              <w:rPr>
                <w:rFonts w:hint="default" w:ascii="Times New Roman" w:hAnsi="Times New Roman" w:cs="Times New Roman"/>
                <w:kern w:val="21"/>
                <w:sz w:val="24"/>
                <w:szCs w:val="24"/>
              </w:rPr>
              <w:t>建设地点</w:t>
            </w:r>
          </w:p>
        </w:tc>
        <w:tc>
          <w:tcPr>
            <w:tcW w:w="4434" w:type="pct"/>
            <w:gridSpan w:val="4"/>
            <w:noWrap w:val="0"/>
            <w:vAlign w:val="center"/>
          </w:tcPr>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宋体" w:cs="Times New Roman"/>
                <w:kern w:val="21"/>
                <w:sz w:val="24"/>
                <w:szCs w:val="24"/>
                <w:lang w:val="en-US" w:eastAsia="zh-CN"/>
              </w:rPr>
            </w:pPr>
            <w:r>
              <w:rPr>
                <w:rFonts w:hint="default" w:ascii="Times New Roman" w:hAnsi="Times New Roman" w:cs="Times New Roman"/>
                <w:kern w:val="21"/>
                <w:sz w:val="24"/>
                <w:szCs w:val="24"/>
              </w:rPr>
              <w:t>乐山市</w:t>
            </w:r>
            <w:r>
              <w:rPr>
                <w:rFonts w:hint="eastAsia" w:cs="Times New Roman"/>
                <w:kern w:val="21"/>
                <w:sz w:val="24"/>
                <w:szCs w:val="24"/>
                <w:lang w:val="en-US" w:eastAsia="zh-CN"/>
              </w:rPr>
              <w:t>市</w:t>
            </w:r>
            <w:r>
              <w:rPr>
                <w:rFonts w:hint="default" w:ascii="Times New Roman" w:hAnsi="Times New Roman" w:cs="Times New Roman"/>
                <w:kern w:val="21"/>
                <w:sz w:val="24"/>
                <w:szCs w:val="24"/>
              </w:rPr>
              <w:t>中区平兴镇游坝村</w:t>
            </w:r>
            <w:r>
              <w:rPr>
                <w:rFonts w:hint="eastAsia" w:cs="Times New Roman"/>
                <w:kern w:val="21"/>
                <w:sz w:val="24"/>
                <w:szCs w:val="24"/>
                <w:lang w:val="en-US" w:eastAsia="zh-CN"/>
              </w:rPr>
              <w:t>皂角冲~</w:t>
            </w:r>
            <w:r>
              <w:rPr>
                <w:rFonts w:hint="default" w:ascii="Times New Roman" w:hAnsi="Times New Roman" w:cs="Times New Roman"/>
                <w:kern w:val="21"/>
                <w:sz w:val="24"/>
                <w:szCs w:val="24"/>
              </w:rPr>
              <w:t>三圣村</w:t>
            </w:r>
            <w:r>
              <w:rPr>
                <w:rFonts w:hint="eastAsia" w:cs="Times New Roman"/>
                <w:kern w:val="21"/>
                <w:sz w:val="24"/>
                <w:szCs w:val="24"/>
                <w:lang w:val="en-US" w:eastAsia="zh-CN"/>
              </w:rPr>
              <w:t>琵琶沱</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65" w:type="pct"/>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kern w:val="21"/>
                <w:sz w:val="24"/>
                <w:szCs w:val="24"/>
              </w:rPr>
            </w:pPr>
            <w:r>
              <w:rPr>
                <w:rFonts w:hint="default" w:ascii="Times New Roman" w:hAnsi="Times New Roman" w:cs="Times New Roman"/>
                <w:kern w:val="21"/>
                <w:sz w:val="24"/>
                <w:szCs w:val="24"/>
              </w:rPr>
              <w:t>地理坐标</w:t>
            </w:r>
          </w:p>
        </w:tc>
        <w:tc>
          <w:tcPr>
            <w:tcW w:w="4434" w:type="pct"/>
            <w:gridSpan w:val="4"/>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kern w:val="21"/>
                <w:sz w:val="24"/>
                <w:szCs w:val="24"/>
                <w:highlight w:val="none"/>
              </w:rPr>
            </w:pPr>
            <w:r>
              <w:rPr>
                <w:rFonts w:hint="eastAsia" w:cs="Times New Roman"/>
                <w:kern w:val="21"/>
                <w:sz w:val="24"/>
                <w:szCs w:val="24"/>
                <w:highlight w:val="none"/>
                <w:lang w:val="en-US" w:eastAsia="zh-CN"/>
              </w:rPr>
              <w:t>起点坐标</w:t>
            </w:r>
            <w:r>
              <w:rPr>
                <w:rFonts w:hint="default" w:ascii="Times New Roman" w:hAnsi="Times New Roman" w:cs="Times New Roman"/>
                <w:kern w:val="21"/>
                <w:sz w:val="24"/>
                <w:szCs w:val="24"/>
                <w:highlight w:val="none"/>
              </w:rPr>
              <w:t>（</w:t>
            </w:r>
            <w:r>
              <w:rPr>
                <w:rFonts w:hint="eastAsia" w:ascii="Times New Roman" w:hAnsi="Times New Roman" w:cs="Times New Roman"/>
                <w:kern w:val="21"/>
                <w:sz w:val="24"/>
                <w:szCs w:val="24"/>
                <w:highlight w:val="none"/>
                <w:u w:val="single"/>
                <w:lang w:val="en-US" w:eastAsia="zh-CN"/>
              </w:rPr>
              <w:t>10</w:t>
            </w:r>
            <w:r>
              <w:rPr>
                <w:rFonts w:hint="eastAsia" w:cs="Times New Roman"/>
                <w:kern w:val="21"/>
                <w:sz w:val="24"/>
                <w:szCs w:val="24"/>
                <w:highlight w:val="none"/>
                <w:u w:val="single"/>
                <w:lang w:val="en-US" w:eastAsia="zh-CN"/>
              </w:rPr>
              <w:t>3</w:t>
            </w:r>
            <w:r>
              <w:rPr>
                <w:rFonts w:hint="default" w:ascii="Times New Roman" w:hAnsi="Times New Roman" w:cs="Times New Roman"/>
                <w:kern w:val="21"/>
                <w:sz w:val="24"/>
                <w:szCs w:val="24"/>
                <w:highlight w:val="none"/>
              </w:rPr>
              <w:t>度</w:t>
            </w:r>
            <w:r>
              <w:rPr>
                <w:rFonts w:hint="eastAsia" w:cs="Times New Roman"/>
                <w:kern w:val="21"/>
                <w:sz w:val="24"/>
                <w:szCs w:val="24"/>
                <w:highlight w:val="none"/>
                <w:u w:val="single"/>
                <w:lang w:val="en-US" w:eastAsia="zh-CN"/>
              </w:rPr>
              <w:t>34</w:t>
            </w:r>
            <w:r>
              <w:rPr>
                <w:rFonts w:hint="default" w:ascii="Times New Roman" w:hAnsi="Times New Roman" w:cs="Times New Roman"/>
                <w:kern w:val="21"/>
                <w:sz w:val="24"/>
                <w:szCs w:val="24"/>
                <w:highlight w:val="none"/>
              </w:rPr>
              <w:t>分</w:t>
            </w:r>
            <w:r>
              <w:rPr>
                <w:rFonts w:hint="eastAsia" w:cs="Times New Roman"/>
                <w:kern w:val="21"/>
                <w:sz w:val="24"/>
                <w:szCs w:val="24"/>
                <w:highlight w:val="none"/>
                <w:u w:val="single"/>
                <w:lang w:val="en-US" w:eastAsia="zh-CN"/>
              </w:rPr>
              <w:t>39.001</w:t>
            </w:r>
            <w:r>
              <w:rPr>
                <w:rFonts w:hint="default" w:ascii="Times New Roman" w:hAnsi="Times New Roman" w:cs="Times New Roman"/>
                <w:kern w:val="21"/>
                <w:sz w:val="24"/>
                <w:szCs w:val="24"/>
                <w:highlight w:val="none"/>
              </w:rPr>
              <w:t>秒，</w:t>
            </w:r>
            <w:r>
              <w:rPr>
                <w:rFonts w:hint="eastAsia" w:ascii="Times New Roman" w:hAnsi="Times New Roman" w:cs="Times New Roman"/>
                <w:kern w:val="21"/>
                <w:sz w:val="24"/>
                <w:szCs w:val="24"/>
                <w:highlight w:val="none"/>
                <w:u w:val="single"/>
                <w:lang w:val="en-US" w:eastAsia="zh-CN"/>
              </w:rPr>
              <w:t>2</w:t>
            </w:r>
            <w:r>
              <w:rPr>
                <w:rFonts w:hint="eastAsia" w:cs="Times New Roman"/>
                <w:kern w:val="21"/>
                <w:sz w:val="24"/>
                <w:szCs w:val="24"/>
                <w:highlight w:val="none"/>
                <w:u w:val="single"/>
                <w:lang w:val="en-US" w:eastAsia="zh-CN"/>
              </w:rPr>
              <w:t>9</w:t>
            </w:r>
            <w:r>
              <w:rPr>
                <w:rFonts w:hint="default" w:ascii="Times New Roman" w:hAnsi="Times New Roman" w:cs="Times New Roman"/>
                <w:kern w:val="21"/>
                <w:sz w:val="24"/>
                <w:szCs w:val="24"/>
                <w:highlight w:val="none"/>
              </w:rPr>
              <w:t>度</w:t>
            </w:r>
            <w:r>
              <w:rPr>
                <w:rFonts w:hint="eastAsia" w:cs="Times New Roman"/>
                <w:kern w:val="21"/>
                <w:sz w:val="24"/>
                <w:szCs w:val="24"/>
                <w:highlight w:val="none"/>
                <w:u w:val="single"/>
                <w:lang w:val="en-US" w:eastAsia="zh-CN"/>
              </w:rPr>
              <w:t>31</w:t>
            </w:r>
            <w:r>
              <w:rPr>
                <w:rFonts w:hint="default" w:ascii="Times New Roman" w:hAnsi="Times New Roman" w:cs="Times New Roman"/>
                <w:kern w:val="21"/>
                <w:sz w:val="24"/>
                <w:szCs w:val="24"/>
                <w:highlight w:val="none"/>
              </w:rPr>
              <w:t>分</w:t>
            </w:r>
            <w:r>
              <w:rPr>
                <w:rFonts w:hint="eastAsia" w:cs="Times New Roman"/>
                <w:kern w:val="21"/>
                <w:sz w:val="24"/>
                <w:szCs w:val="24"/>
                <w:highlight w:val="none"/>
                <w:u w:val="single"/>
                <w:lang w:val="en-US" w:eastAsia="zh-CN"/>
              </w:rPr>
              <w:t>39.039</w:t>
            </w:r>
            <w:r>
              <w:rPr>
                <w:rFonts w:hint="default" w:ascii="Times New Roman" w:hAnsi="Times New Roman" w:cs="Times New Roman"/>
                <w:kern w:val="21"/>
                <w:sz w:val="24"/>
                <w:szCs w:val="24"/>
                <w:highlight w:val="none"/>
              </w:rPr>
              <w:t>秒）</w:t>
            </w:r>
          </w:p>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kern w:val="21"/>
                <w:sz w:val="24"/>
                <w:szCs w:val="24"/>
                <w:lang w:val="en-US" w:eastAsia="zh-CN"/>
              </w:rPr>
            </w:pPr>
            <w:r>
              <w:rPr>
                <w:rFonts w:hint="eastAsia" w:cs="Times New Roman"/>
                <w:kern w:val="21"/>
                <w:sz w:val="24"/>
                <w:szCs w:val="24"/>
                <w:highlight w:val="none"/>
                <w:lang w:val="en-US" w:eastAsia="zh-CN"/>
              </w:rPr>
              <w:t>终点坐标</w:t>
            </w:r>
            <w:r>
              <w:rPr>
                <w:rFonts w:hint="default" w:ascii="Times New Roman" w:hAnsi="Times New Roman" w:cs="Times New Roman"/>
                <w:kern w:val="21"/>
                <w:sz w:val="24"/>
                <w:szCs w:val="24"/>
                <w:highlight w:val="none"/>
              </w:rPr>
              <w:t>（</w:t>
            </w:r>
            <w:r>
              <w:rPr>
                <w:rFonts w:hint="eastAsia" w:ascii="Times New Roman" w:hAnsi="Times New Roman" w:cs="Times New Roman"/>
                <w:kern w:val="21"/>
                <w:sz w:val="24"/>
                <w:szCs w:val="24"/>
                <w:highlight w:val="none"/>
                <w:u w:val="single"/>
                <w:lang w:val="en-US" w:eastAsia="zh-CN"/>
              </w:rPr>
              <w:t>10</w:t>
            </w:r>
            <w:r>
              <w:rPr>
                <w:rFonts w:hint="eastAsia" w:cs="Times New Roman"/>
                <w:kern w:val="21"/>
                <w:sz w:val="24"/>
                <w:szCs w:val="24"/>
                <w:highlight w:val="none"/>
                <w:u w:val="single"/>
                <w:lang w:val="en-US" w:eastAsia="zh-CN"/>
              </w:rPr>
              <w:t>3</w:t>
            </w:r>
            <w:r>
              <w:rPr>
                <w:rFonts w:hint="default" w:ascii="Times New Roman" w:hAnsi="Times New Roman" w:cs="Times New Roman"/>
                <w:kern w:val="21"/>
                <w:sz w:val="24"/>
                <w:szCs w:val="24"/>
                <w:highlight w:val="none"/>
              </w:rPr>
              <w:t>度</w:t>
            </w:r>
            <w:r>
              <w:rPr>
                <w:rFonts w:hint="eastAsia" w:cs="Times New Roman"/>
                <w:kern w:val="21"/>
                <w:sz w:val="24"/>
                <w:szCs w:val="24"/>
                <w:highlight w:val="none"/>
                <w:u w:val="single"/>
                <w:lang w:val="en-US" w:eastAsia="zh-CN"/>
              </w:rPr>
              <w:t>36</w:t>
            </w:r>
            <w:r>
              <w:rPr>
                <w:rFonts w:hint="default" w:ascii="Times New Roman" w:hAnsi="Times New Roman" w:cs="Times New Roman"/>
                <w:kern w:val="21"/>
                <w:sz w:val="24"/>
                <w:szCs w:val="24"/>
                <w:highlight w:val="none"/>
              </w:rPr>
              <w:t>分</w:t>
            </w:r>
            <w:r>
              <w:rPr>
                <w:rFonts w:hint="eastAsia" w:cs="Times New Roman"/>
                <w:kern w:val="21"/>
                <w:sz w:val="24"/>
                <w:szCs w:val="24"/>
                <w:highlight w:val="none"/>
                <w:u w:val="single"/>
                <w:lang w:val="en-US" w:eastAsia="zh-CN"/>
              </w:rPr>
              <w:t>9.004</w:t>
            </w:r>
            <w:r>
              <w:rPr>
                <w:rFonts w:hint="default" w:ascii="Times New Roman" w:hAnsi="Times New Roman" w:cs="Times New Roman"/>
                <w:kern w:val="21"/>
                <w:sz w:val="24"/>
                <w:szCs w:val="24"/>
                <w:highlight w:val="none"/>
              </w:rPr>
              <w:t>秒，</w:t>
            </w:r>
            <w:r>
              <w:rPr>
                <w:rFonts w:hint="eastAsia" w:ascii="Times New Roman" w:hAnsi="Times New Roman" w:cs="Times New Roman"/>
                <w:kern w:val="21"/>
                <w:sz w:val="24"/>
                <w:szCs w:val="24"/>
                <w:highlight w:val="none"/>
                <w:u w:val="single"/>
                <w:lang w:val="en-US" w:eastAsia="zh-CN"/>
              </w:rPr>
              <w:t>2</w:t>
            </w:r>
            <w:r>
              <w:rPr>
                <w:rFonts w:hint="eastAsia" w:cs="Times New Roman"/>
                <w:kern w:val="21"/>
                <w:sz w:val="24"/>
                <w:szCs w:val="24"/>
                <w:highlight w:val="none"/>
                <w:u w:val="single"/>
                <w:lang w:val="en-US" w:eastAsia="zh-CN"/>
              </w:rPr>
              <w:t>9</w:t>
            </w:r>
            <w:r>
              <w:rPr>
                <w:rFonts w:hint="default" w:ascii="Times New Roman" w:hAnsi="Times New Roman" w:cs="Times New Roman"/>
                <w:kern w:val="21"/>
                <w:sz w:val="24"/>
                <w:szCs w:val="24"/>
                <w:highlight w:val="none"/>
              </w:rPr>
              <w:t>度</w:t>
            </w:r>
            <w:r>
              <w:rPr>
                <w:rFonts w:hint="eastAsia" w:cs="Times New Roman"/>
                <w:kern w:val="21"/>
                <w:sz w:val="24"/>
                <w:szCs w:val="24"/>
                <w:highlight w:val="none"/>
                <w:u w:val="single"/>
                <w:lang w:val="en-US" w:eastAsia="zh-CN"/>
              </w:rPr>
              <w:t>33</w:t>
            </w:r>
            <w:r>
              <w:rPr>
                <w:rFonts w:hint="default" w:ascii="Times New Roman" w:hAnsi="Times New Roman" w:cs="Times New Roman"/>
                <w:kern w:val="21"/>
                <w:sz w:val="24"/>
                <w:szCs w:val="24"/>
                <w:highlight w:val="none"/>
              </w:rPr>
              <w:t>分</w:t>
            </w:r>
            <w:r>
              <w:rPr>
                <w:rFonts w:hint="eastAsia" w:cs="Times New Roman"/>
                <w:kern w:val="21"/>
                <w:sz w:val="24"/>
                <w:szCs w:val="24"/>
                <w:highlight w:val="none"/>
                <w:u w:val="single"/>
                <w:lang w:val="en-US" w:eastAsia="zh-CN"/>
              </w:rPr>
              <w:t>41.998</w:t>
            </w:r>
            <w:r>
              <w:rPr>
                <w:rFonts w:hint="default" w:ascii="Times New Roman" w:hAnsi="Times New Roman" w:cs="Times New Roman"/>
                <w:kern w:val="21"/>
                <w:sz w:val="24"/>
                <w:szCs w:val="24"/>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65" w:type="pct"/>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kern w:val="21"/>
                <w:sz w:val="24"/>
                <w:szCs w:val="24"/>
              </w:rPr>
            </w:pPr>
            <w:r>
              <w:rPr>
                <w:rFonts w:hint="default" w:ascii="Times New Roman" w:hAnsi="Times New Roman" w:cs="Times New Roman"/>
                <w:kern w:val="21"/>
                <w:sz w:val="24"/>
                <w:szCs w:val="24"/>
              </w:rPr>
              <w:t>建设项目</w:t>
            </w:r>
          </w:p>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kern w:val="21"/>
                <w:sz w:val="24"/>
                <w:szCs w:val="24"/>
              </w:rPr>
            </w:pPr>
            <w:r>
              <w:rPr>
                <w:rFonts w:hint="default" w:ascii="Times New Roman" w:hAnsi="Times New Roman" w:cs="Times New Roman"/>
                <w:kern w:val="21"/>
                <w:sz w:val="24"/>
                <w:szCs w:val="24"/>
              </w:rPr>
              <w:t>行业类别</w:t>
            </w:r>
          </w:p>
        </w:tc>
        <w:tc>
          <w:tcPr>
            <w:tcW w:w="1793" w:type="pct"/>
            <w:gridSpan w:val="2"/>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kern w:val="21"/>
                <w:sz w:val="24"/>
                <w:szCs w:val="24"/>
                <w:lang w:val="en-US" w:eastAsia="zh-CN"/>
              </w:rPr>
            </w:pPr>
            <w:r>
              <w:rPr>
                <w:rFonts w:hint="default" w:ascii="Times New Roman" w:hAnsi="Times New Roman" w:eastAsia="宋体" w:cs="Times New Roman"/>
                <w:color w:val="auto"/>
                <w:kern w:val="21"/>
                <w:sz w:val="24"/>
                <w:szCs w:val="24"/>
              </w:rPr>
              <w:t>“五十一、水利，127防洪</w:t>
            </w:r>
            <w:r>
              <w:rPr>
                <w:rFonts w:hint="default" w:ascii="Times New Roman" w:hAnsi="Times New Roman" w:eastAsia="宋体" w:cs="Times New Roman"/>
                <w:color w:val="auto"/>
                <w:kern w:val="21"/>
                <w:sz w:val="24"/>
                <w:szCs w:val="24"/>
                <w:lang w:val="en-US" w:eastAsia="zh-CN"/>
              </w:rPr>
              <w:t>除</w:t>
            </w:r>
            <w:r>
              <w:rPr>
                <w:rFonts w:hint="default" w:ascii="Times New Roman" w:hAnsi="Times New Roman" w:eastAsia="宋体" w:cs="Times New Roman"/>
                <w:color w:val="auto"/>
                <w:kern w:val="21"/>
                <w:sz w:val="24"/>
                <w:szCs w:val="24"/>
              </w:rPr>
              <w:t>涝工程”中的“其他（小型沟渠的护坡除外；城镇排涝河流水闸、排涝泵站除外）”</w:t>
            </w:r>
          </w:p>
        </w:tc>
        <w:tc>
          <w:tcPr>
            <w:tcW w:w="956"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kern w:val="21"/>
                <w:sz w:val="24"/>
                <w:szCs w:val="24"/>
              </w:rPr>
            </w:pPr>
            <w:r>
              <w:rPr>
                <w:rFonts w:hint="default" w:ascii="Times New Roman" w:hAnsi="Times New Roman" w:cs="Times New Roman"/>
                <w:kern w:val="21"/>
                <w:sz w:val="24"/>
                <w:szCs w:val="24"/>
              </w:rPr>
              <w:t>用地（用海）面积（m</w:t>
            </w:r>
            <w:r>
              <w:rPr>
                <w:rFonts w:hint="default" w:ascii="Times New Roman" w:hAnsi="Times New Roman" w:cs="Times New Roman"/>
                <w:kern w:val="21"/>
                <w:sz w:val="24"/>
                <w:szCs w:val="24"/>
                <w:vertAlign w:val="superscript"/>
              </w:rPr>
              <w:t>2</w:t>
            </w:r>
            <w:r>
              <w:rPr>
                <w:rFonts w:hint="default" w:ascii="Times New Roman" w:hAnsi="Times New Roman" w:cs="Times New Roman"/>
                <w:kern w:val="21"/>
                <w:sz w:val="24"/>
                <w:szCs w:val="24"/>
              </w:rPr>
              <w:t>）/长度（km）</w:t>
            </w:r>
          </w:p>
        </w:tc>
        <w:tc>
          <w:tcPr>
            <w:tcW w:w="1684" w:type="pct"/>
            <w:noWrap w:val="0"/>
            <w:vAlign w:val="center"/>
          </w:tcPr>
          <w:p>
            <w:pPr>
              <w:keepNext w:val="0"/>
              <w:keepLines w:val="0"/>
              <w:pageBreakBefore w:val="0"/>
              <w:kinsoku/>
              <w:wordWrap/>
              <w:overflowPunct/>
              <w:topLinePunct w:val="0"/>
              <w:bidi w:val="0"/>
              <w:adjustRightInd w:val="0"/>
              <w:snapToGrid w:val="0"/>
              <w:jc w:val="center"/>
              <w:textAlignment w:val="auto"/>
              <w:rPr>
                <w:rFonts w:hint="eastAsia" w:cs="Times New Roman"/>
                <w:kern w:val="21"/>
                <w:sz w:val="24"/>
                <w:szCs w:val="24"/>
                <w:lang w:val="en-US" w:eastAsia="zh-CN"/>
              </w:rPr>
            </w:pPr>
            <w:r>
              <w:rPr>
                <w:rFonts w:hint="eastAsia" w:cs="Times New Roman"/>
                <w:kern w:val="21"/>
                <w:sz w:val="24"/>
                <w:szCs w:val="24"/>
                <w:lang w:val="en-US" w:eastAsia="zh-CN"/>
              </w:rPr>
              <w:t>用地面积：65206.67</w:t>
            </w:r>
            <w:r>
              <w:rPr>
                <w:rFonts w:hint="default" w:ascii="Times New Roman" w:hAnsi="Times New Roman" w:cs="Times New Roman"/>
                <w:kern w:val="21"/>
                <w:sz w:val="24"/>
                <w:szCs w:val="24"/>
              </w:rPr>
              <w:t>m</w:t>
            </w:r>
            <w:r>
              <w:rPr>
                <w:rFonts w:hint="default" w:ascii="Times New Roman" w:hAnsi="Times New Roman" w:cs="Times New Roman"/>
                <w:kern w:val="21"/>
                <w:sz w:val="24"/>
                <w:szCs w:val="24"/>
                <w:vertAlign w:val="superscript"/>
              </w:rPr>
              <w:t>2</w:t>
            </w:r>
          </w:p>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kern w:val="21"/>
                <w:sz w:val="24"/>
                <w:szCs w:val="24"/>
                <w:lang w:val="en-US" w:eastAsia="zh-CN"/>
              </w:rPr>
            </w:pPr>
            <w:r>
              <w:rPr>
                <w:rFonts w:hint="eastAsia" w:cs="Times New Roman"/>
                <w:kern w:val="21"/>
                <w:sz w:val="24"/>
                <w:szCs w:val="24"/>
                <w:lang w:val="en-US" w:eastAsia="zh-CN"/>
              </w:rPr>
              <w:t>长度：6.27km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65" w:type="pct"/>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cs="Times New Roman"/>
                <w:kern w:val="21"/>
                <w:sz w:val="24"/>
                <w:szCs w:val="24"/>
              </w:rPr>
            </w:pPr>
            <w:r>
              <w:rPr>
                <w:rFonts w:hint="default" w:ascii="Times New Roman" w:hAnsi="Times New Roman" w:cs="Times New Roman"/>
                <w:kern w:val="21"/>
                <w:sz w:val="24"/>
                <w:szCs w:val="24"/>
              </w:rPr>
              <w:t>建设性质</w:t>
            </w:r>
          </w:p>
        </w:tc>
        <w:tc>
          <w:tcPr>
            <w:tcW w:w="1793" w:type="pct"/>
            <w:gridSpan w:val="2"/>
            <w:noWrap w:val="0"/>
            <w:vAlign w:val="center"/>
          </w:tcPr>
          <w:p>
            <w:pPr>
              <w:keepNext w:val="0"/>
              <w:keepLines w:val="0"/>
              <w:pageBreakBefore w:val="0"/>
              <w:kinsoku/>
              <w:wordWrap/>
              <w:overflowPunct/>
              <w:topLinePunct w:val="0"/>
              <w:bidi w:val="0"/>
              <w:adjustRightInd w:val="0"/>
              <w:snapToGrid w:val="0"/>
              <w:ind w:firstLine="240" w:firstLineChars="100"/>
              <w:jc w:val="left"/>
              <w:textAlignment w:val="auto"/>
              <w:rPr>
                <w:rFonts w:hint="default" w:ascii="Times New Roman" w:hAnsi="Times New Roman" w:cs="Times New Roman"/>
                <w:kern w:val="21"/>
                <w:sz w:val="24"/>
                <w:szCs w:val="24"/>
              </w:rPr>
            </w:pPr>
            <w:r>
              <w:rPr>
                <w:rFonts w:hint="eastAsia" w:cs="Times New Roman"/>
                <w:kern w:val="21"/>
                <w:sz w:val="24"/>
                <w:szCs w:val="24"/>
                <w:lang w:eastAsia="zh-CN"/>
              </w:rPr>
              <w:sym w:font="Wingdings 2" w:char="0052"/>
            </w:r>
            <w:r>
              <w:rPr>
                <w:rFonts w:hint="default" w:ascii="Times New Roman" w:hAnsi="Times New Roman" w:cs="Times New Roman"/>
                <w:kern w:val="21"/>
                <w:sz w:val="24"/>
                <w:szCs w:val="24"/>
              </w:rPr>
              <w:t>新建（迁建）</w:t>
            </w:r>
          </w:p>
          <w:p>
            <w:pPr>
              <w:keepNext w:val="0"/>
              <w:keepLines w:val="0"/>
              <w:pageBreakBefore w:val="0"/>
              <w:kinsoku/>
              <w:wordWrap/>
              <w:overflowPunct/>
              <w:topLinePunct w:val="0"/>
              <w:bidi w:val="0"/>
              <w:adjustRightInd w:val="0"/>
              <w:snapToGrid w:val="0"/>
              <w:ind w:firstLine="240" w:firstLineChars="100"/>
              <w:jc w:val="left"/>
              <w:textAlignment w:val="auto"/>
              <w:rPr>
                <w:rFonts w:hint="default" w:ascii="Times New Roman" w:hAnsi="Times New Roman" w:cs="Times New Roman"/>
                <w:kern w:val="21"/>
                <w:sz w:val="24"/>
                <w:szCs w:val="24"/>
              </w:rPr>
            </w:pPr>
            <w:r>
              <w:rPr>
                <w:rFonts w:hint="eastAsia" w:cs="Times New Roman"/>
                <w:kern w:val="21"/>
                <w:sz w:val="24"/>
                <w:szCs w:val="24"/>
                <w:lang w:eastAsia="zh-CN"/>
              </w:rPr>
              <w:sym w:font="Wingdings 2" w:char="00A3"/>
            </w:r>
            <w:r>
              <w:rPr>
                <w:rFonts w:hint="default" w:ascii="Times New Roman" w:hAnsi="Times New Roman" w:cs="Times New Roman"/>
                <w:kern w:val="21"/>
                <w:sz w:val="24"/>
                <w:szCs w:val="24"/>
              </w:rPr>
              <w:t>改建</w:t>
            </w:r>
          </w:p>
          <w:p>
            <w:pPr>
              <w:keepNext w:val="0"/>
              <w:keepLines w:val="0"/>
              <w:pageBreakBefore w:val="0"/>
              <w:kinsoku/>
              <w:wordWrap/>
              <w:overflowPunct/>
              <w:topLinePunct w:val="0"/>
              <w:bidi w:val="0"/>
              <w:adjustRightInd w:val="0"/>
              <w:snapToGrid w:val="0"/>
              <w:ind w:firstLine="240" w:firstLineChars="100"/>
              <w:jc w:val="left"/>
              <w:textAlignment w:val="auto"/>
              <w:rPr>
                <w:rFonts w:hint="default" w:ascii="Times New Roman" w:hAnsi="Times New Roman" w:cs="Times New Roman"/>
                <w:kern w:val="21"/>
                <w:sz w:val="24"/>
                <w:szCs w:val="24"/>
              </w:rPr>
            </w:pPr>
            <w:r>
              <w:rPr>
                <w:rFonts w:hint="eastAsia" w:cs="Times New Roman"/>
                <w:kern w:val="21"/>
                <w:sz w:val="24"/>
                <w:szCs w:val="24"/>
                <w:lang w:eastAsia="zh-CN"/>
              </w:rPr>
              <w:sym w:font="Wingdings 2" w:char="00A3"/>
            </w:r>
            <w:r>
              <w:rPr>
                <w:rFonts w:hint="default" w:ascii="Times New Roman" w:hAnsi="Times New Roman" w:cs="Times New Roman"/>
                <w:kern w:val="21"/>
                <w:sz w:val="24"/>
                <w:szCs w:val="24"/>
              </w:rPr>
              <w:t>扩建</w:t>
            </w:r>
          </w:p>
          <w:p>
            <w:pPr>
              <w:keepNext w:val="0"/>
              <w:keepLines w:val="0"/>
              <w:pageBreakBefore w:val="0"/>
              <w:kinsoku/>
              <w:wordWrap/>
              <w:overflowPunct/>
              <w:topLinePunct w:val="0"/>
              <w:bidi w:val="0"/>
              <w:adjustRightInd w:val="0"/>
              <w:snapToGrid w:val="0"/>
              <w:ind w:firstLine="240" w:firstLineChars="100"/>
              <w:jc w:val="left"/>
              <w:textAlignment w:val="auto"/>
              <w:rPr>
                <w:rFonts w:hint="default" w:ascii="Times New Roman" w:hAnsi="Times New Roman" w:cs="Times New Roman"/>
                <w:kern w:val="21"/>
                <w:sz w:val="24"/>
                <w:szCs w:val="24"/>
              </w:rPr>
            </w:pPr>
            <w:r>
              <w:rPr>
                <w:rFonts w:hint="eastAsia" w:cs="Times New Roman"/>
                <w:kern w:val="21"/>
                <w:sz w:val="24"/>
                <w:szCs w:val="24"/>
                <w:lang w:eastAsia="zh-CN"/>
              </w:rPr>
              <w:t>□</w:t>
            </w:r>
            <w:r>
              <w:rPr>
                <w:rFonts w:hint="default" w:ascii="Times New Roman" w:hAnsi="Times New Roman" w:cs="Times New Roman"/>
                <w:kern w:val="21"/>
                <w:sz w:val="24"/>
                <w:szCs w:val="24"/>
              </w:rPr>
              <w:t>技术改造</w:t>
            </w:r>
          </w:p>
        </w:tc>
        <w:tc>
          <w:tcPr>
            <w:tcW w:w="956"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kern w:val="21"/>
                <w:sz w:val="24"/>
                <w:szCs w:val="24"/>
              </w:rPr>
            </w:pPr>
            <w:r>
              <w:rPr>
                <w:rFonts w:hint="default" w:ascii="Times New Roman" w:hAnsi="Times New Roman" w:cs="Times New Roman"/>
                <w:kern w:val="21"/>
                <w:sz w:val="24"/>
                <w:szCs w:val="24"/>
              </w:rPr>
              <w:t>建设项目</w:t>
            </w:r>
          </w:p>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cs="Times New Roman"/>
                <w:kern w:val="21"/>
                <w:sz w:val="24"/>
                <w:szCs w:val="24"/>
              </w:rPr>
            </w:pPr>
            <w:r>
              <w:rPr>
                <w:rFonts w:hint="default" w:ascii="Times New Roman" w:hAnsi="Times New Roman" w:cs="Times New Roman"/>
                <w:kern w:val="21"/>
                <w:sz w:val="24"/>
                <w:szCs w:val="24"/>
              </w:rPr>
              <w:t>申报情形</w:t>
            </w:r>
          </w:p>
        </w:tc>
        <w:tc>
          <w:tcPr>
            <w:tcW w:w="1684" w:type="pct"/>
            <w:noWrap w:val="0"/>
            <w:vAlign w:val="center"/>
          </w:tcPr>
          <w:p>
            <w:pPr>
              <w:keepNext w:val="0"/>
              <w:keepLines w:val="0"/>
              <w:pageBreakBefore w:val="0"/>
              <w:kinsoku/>
              <w:wordWrap/>
              <w:overflowPunct/>
              <w:topLinePunct w:val="0"/>
              <w:bidi w:val="0"/>
              <w:adjustRightInd w:val="0"/>
              <w:snapToGrid w:val="0"/>
              <w:ind w:firstLine="240" w:firstLineChars="100"/>
              <w:jc w:val="left"/>
              <w:textAlignment w:val="auto"/>
              <w:rPr>
                <w:rFonts w:hint="default" w:ascii="Times New Roman" w:hAnsi="Times New Roman" w:cs="Times New Roman"/>
                <w:kern w:val="21"/>
                <w:sz w:val="24"/>
                <w:szCs w:val="24"/>
              </w:rPr>
            </w:pPr>
            <w:r>
              <w:rPr>
                <w:rFonts w:hint="eastAsia" w:cs="Times New Roman"/>
                <w:kern w:val="21"/>
                <w:sz w:val="24"/>
                <w:szCs w:val="24"/>
                <w:lang w:eastAsia="zh-CN"/>
              </w:rPr>
              <w:sym w:font="Wingdings 2" w:char="0052"/>
            </w:r>
            <w:r>
              <w:rPr>
                <w:rFonts w:hint="default" w:ascii="Times New Roman" w:hAnsi="Times New Roman" w:cs="Times New Roman"/>
                <w:kern w:val="21"/>
                <w:sz w:val="24"/>
                <w:szCs w:val="24"/>
              </w:rPr>
              <w:t>首次申报项目</w:t>
            </w:r>
          </w:p>
          <w:p>
            <w:pPr>
              <w:keepNext w:val="0"/>
              <w:keepLines w:val="0"/>
              <w:pageBreakBefore w:val="0"/>
              <w:kinsoku/>
              <w:wordWrap/>
              <w:overflowPunct/>
              <w:topLinePunct w:val="0"/>
              <w:bidi w:val="0"/>
              <w:adjustRightInd w:val="0"/>
              <w:snapToGrid w:val="0"/>
              <w:ind w:firstLine="240" w:firstLineChars="100"/>
              <w:jc w:val="left"/>
              <w:textAlignment w:val="auto"/>
              <w:rPr>
                <w:rFonts w:hint="default" w:ascii="Times New Roman" w:hAnsi="Times New Roman" w:cs="Times New Roman"/>
                <w:kern w:val="21"/>
                <w:sz w:val="24"/>
                <w:szCs w:val="24"/>
              </w:rPr>
            </w:pPr>
            <w:r>
              <w:rPr>
                <w:rFonts w:hint="eastAsia" w:cs="Times New Roman"/>
                <w:kern w:val="21"/>
                <w:sz w:val="24"/>
                <w:szCs w:val="24"/>
                <w:lang w:eastAsia="zh-CN"/>
              </w:rPr>
              <w:sym w:font="Wingdings 2" w:char="00A3"/>
            </w:r>
            <w:r>
              <w:rPr>
                <w:rFonts w:hint="default" w:ascii="Times New Roman" w:hAnsi="Times New Roman" w:cs="Times New Roman"/>
                <w:kern w:val="21"/>
                <w:sz w:val="24"/>
                <w:szCs w:val="24"/>
              </w:rPr>
              <w:t>不予批准后再次申报项目</w:t>
            </w:r>
          </w:p>
          <w:p>
            <w:pPr>
              <w:keepNext w:val="0"/>
              <w:keepLines w:val="0"/>
              <w:pageBreakBefore w:val="0"/>
              <w:kinsoku/>
              <w:wordWrap/>
              <w:overflowPunct/>
              <w:topLinePunct w:val="0"/>
              <w:bidi w:val="0"/>
              <w:adjustRightInd w:val="0"/>
              <w:snapToGrid w:val="0"/>
              <w:ind w:firstLine="240" w:firstLineChars="100"/>
              <w:jc w:val="left"/>
              <w:textAlignment w:val="auto"/>
              <w:rPr>
                <w:rFonts w:hint="default" w:ascii="Times New Roman" w:hAnsi="Times New Roman" w:cs="Times New Roman"/>
                <w:kern w:val="21"/>
                <w:sz w:val="24"/>
                <w:szCs w:val="24"/>
              </w:rPr>
            </w:pPr>
            <w:r>
              <w:rPr>
                <w:rFonts w:hint="eastAsia" w:cs="Times New Roman"/>
                <w:kern w:val="21"/>
                <w:sz w:val="24"/>
                <w:szCs w:val="24"/>
                <w:lang w:eastAsia="zh-CN"/>
              </w:rPr>
              <w:sym w:font="Wingdings 2" w:char="00A3"/>
            </w:r>
            <w:r>
              <w:rPr>
                <w:rFonts w:hint="default" w:ascii="Times New Roman" w:hAnsi="Times New Roman" w:cs="Times New Roman"/>
                <w:kern w:val="21"/>
                <w:sz w:val="24"/>
                <w:szCs w:val="24"/>
              </w:rPr>
              <w:t>超五年重新审核项目</w:t>
            </w:r>
          </w:p>
          <w:p>
            <w:pPr>
              <w:keepNext w:val="0"/>
              <w:keepLines w:val="0"/>
              <w:pageBreakBefore w:val="0"/>
              <w:kinsoku/>
              <w:wordWrap/>
              <w:overflowPunct/>
              <w:topLinePunct w:val="0"/>
              <w:bidi w:val="0"/>
              <w:adjustRightInd w:val="0"/>
              <w:snapToGrid w:val="0"/>
              <w:ind w:firstLine="240" w:firstLineChars="100"/>
              <w:textAlignment w:val="auto"/>
              <w:rPr>
                <w:rFonts w:hint="default" w:ascii="Times New Roman" w:hAnsi="Times New Roman" w:cs="Times New Roman"/>
                <w:kern w:val="21"/>
                <w:sz w:val="24"/>
                <w:szCs w:val="24"/>
              </w:rPr>
            </w:pPr>
            <w:r>
              <w:rPr>
                <w:rFonts w:hint="eastAsia" w:cs="Times New Roman"/>
                <w:kern w:val="21"/>
                <w:sz w:val="24"/>
                <w:szCs w:val="24"/>
                <w:lang w:eastAsia="zh-CN"/>
              </w:rPr>
              <w:sym w:font="Wingdings 2" w:char="00A3"/>
            </w:r>
            <w:r>
              <w:rPr>
                <w:rFonts w:hint="default" w:ascii="Times New Roman" w:hAnsi="Times New Roman" w:cs="Times New Roman"/>
                <w:kern w:val="21"/>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65" w:type="pct"/>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kern w:val="21"/>
                <w:sz w:val="24"/>
                <w:szCs w:val="24"/>
                <w:highlight w:val="none"/>
              </w:rPr>
            </w:pPr>
            <w:r>
              <w:rPr>
                <w:rFonts w:hint="default" w:ascii="Times New Roman" w:hAnsi="Times New Roman" w:cs="Times New Roman"/>
                <w:kern w:val="21"/>
                <w:sz w:val="24"/>
                <w:szCs w:val="24"/>
                <w:highlight w:val="none"/>
              </w:rPr>
              <w:t>项目审批（核准/</w:t>
            </w:r>
          </w:p>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kern w:val="21"/>
                <w:sz w:val="24"/>
                <w:szCs w:val="24"/>
                <w:highlight w:val="none"/>
              </w:rPr>
            </w:pPr>
            <w:r>
              <w:rPr>
                <w:rFonts w:hint="default" w:ascii="Times New Roman" w:hAnsi="Times New Roman" w:cs="Times New Roman"/>
                <w:kern w:val="21"/>
                <w:sz w:val="24"/>
                <w:szCs w:val="24"/>
                <w:highlight w:val="none"/>
              </w:rPr>
              <w:t>备案）部门（选填）</w:t>
            </w:r>
          </w:p>
        </w:tc>
        <w:tc>
          <w:tcPr>
            <w:tcW w:w="1793" w:type="pct"/>
            <w:gridSpan w:val="2"/>
            <w:noWrap w:val="0"/>
            <w:vAlign w:val="center"/>
          </w:tcPr>
          <w:p>
            <w:pPr>
              <w:keepNext w:val="0"/>
              <w:keepLines w:val="0"/>
              <w:pageBreakBefore w:val="0"/>
              <w:kinsoku/>
              <w:wordWrap/>
              <w:overflowPunct/>
              <w:topLinePunct w:val="0"/>
              <w:bidi w:val="0"/>
              <w:adjustRightInd w:val="0"/>
              <w:snapToGrid w:val="0"/>
              <w:jc w:val="center"/>
              <w:textAlignment w:val="auto"/>
              <w:rPr>
                <w:rFonts w:hint="eastAsia"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val="en-US" w:eastAsia="zh-CN"/>
              </w:rPr>
              <w:t>乐山市市中区行政审批局</w:t>
            </w:r>
          </w:p>
        </w:tc>
        <w:tc>
          <w:tcPr>
            <w:tcW w:w="956"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kern w:val="21"/>
                <w:sz w:val="24"/>
                <w:szCs w:val="24"/>
                <w:highlight w:val="none"/>
              </w:rPr>
            </w:pPr>
            <w:r>
              <w:rPr>
                <w:rFonts w:hint="default" w:ascii="Times New Roman" w:hAnsi="Times New Roman" w:cs="Times New Roman"/>
                <w:kern w:val="21"/>
                <w:sz w:val="24"/>
                <w:szCs w:val="24"/>
                <w:highlight w:val="none"/>
              </w:rPr>
              <w:t>项目审批（核准/</w:t>
            </w:r>
          </w:p>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kern w:val="21"/>
                <w:sz w:val="24"/>
                <w:szCs w:val="24"/>
                <w:highlight w:val="none"/>
              </w:rPr>
            </w:pPr>
            <w:r>
              <w:rPr>
                <w:rFonts w:hint="default" w:ascii="Times New Roman" w:hAnsi="Times New Roman" w:cs="Times New Roman"/>
                <w:kern w:val="21"/>
                <w:sz w:val="24"/>
                <w:szCs w:val="24"/>
                <w:highlight w:val="none"/>
              </w:rPr>
              <w:t>备案）文号（选填）</w:t>
            </w:r>
          </w:p>
        </w:tc>
        <w:tc>
          <w:tcPr>
            <w:tcW w:w="1684" w:type="pct"/>
            <w:noWrap w:val="0"/>
            <w:vAlign w:val="center"/>
          </w:tcPr>
          <w:p>
            <w:pPr>
              <w:keepNext w:val="0"/>
              <w:keepLines w:val="0"/>
              <w:pageBreakBefore w:val="0"/>
              <w:kinsoku/>
              <w:wordWrap/>
              <w:overflowPunct/>
              <w:topLinePunct w:val="0"/>
              <w:bidi w:val="0"/>
              <w:adjustRightInd w:val="0"/>
              <w:snapToGrid w:val="0"/>
              <w:jc w:val="center"/>
              <w:textAlignment w:val="auto"/>
              <w:rPr>
                <w:rFonts w:hint="eastAsia" w:ascii="Times New Roman" w:hAnsi="Times New Roman" w:eastAsia="宋体" w:cs="Times New Roman"/>
                <w:kern w:val="21"/>
                <w:sz w:val="24"/>
                <w:szCs w:val="24"/>
                <w:highlight w:val="none"/>
                <w:lang w:val="en-US" w:eastAsia="zh-CN"/>
              </w:rPr>
            </w:pPr>
            <w:r>
              <w:rPr>
                <w:rFonts w:hint="eastAsia" w:ascii="Times New Roman" w:hAnsi="Times New Roman" w:eastAsia="宋体" w:cs="Times New Roman"/>
                <w:kern w:val="21"/>
                <w:sz w:val="24"/>
                <w:szCs w:val="24"/>
                <w:highlight w:val="none"/>
                <w:lang w:val="en-US" w:eastAsia="zh-CN"/>
              </w:rPr>
              <w:t>乐中行政审批函〔2022〕365号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65" w:type="pct"/>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color w:val="auto"/>
                <w:kern w:val="21"/>
                <w:sz w:val="24"/>
                <w:szCs w:val="24"/>
                <w:highlight w:val="none"/>
              </w:rPr>
            </w:pPr>
            <w:r>
              <w:rPr>
                <w:rFonts w:hint="default" w:ascii="Times New Roman" w:hAnsi="Times New Roman" w:cs="Times New Roman"/>
                <w:color w:val="auto"/>
                <w:kern w:val="21"/>
                <w:sz w:val="24"/>
                <w:szCs w:val="24"/>
                <w:highlight w:val="none"/>
              </w:rPr>
              <w:t>总投资（万元）</w:t>
            </w:r>
          </w:p>
        </w:tc>
        <w:tc>
          <w:tcPr>
            <w:tcW w:w="1793" w:type="pct"/>
            <w:gridSpan w:val="2"/>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kern w:val="21"/>
                <w:sz w:val="24"/>
                <w:szCs w:val="24"/>
                <w:highlight w:val="none"/>
                <w:lang w:val="en-US" w:eastAsia="zh-CN"/>
              </w:rPr>
            </w:pPr>
            <w:r>
              <w:rPr>
                <w:rFonts w:hint="default" w:ascii="Times New Roman" w:hAnsi="Times New Roman" w:eastAsia="宋体" w:cs="Times New Roman"/>
                <w:color w:val="auto"/>
                <w:kern w:val="21"/>
                <w:sz w:val="24"/>
                <w:szCs w:val="24"/>
                <w:highlight w:val="none"/>
                <w:lang w:val="en-US" w:eastAsia="zh-CN"/>
              </w:rPr>
              <w:t>2229.38</w:t>
            </w:r>
          </w:p>
        </w:tc>
        <w:tc>
          <w:tcPr>
            <w:tcW w:w="956" w:type="pct"/>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color w:val="auto"/>
                <w:kern w:val="21"/>
                <w:sz w:val="24"/>
                <w:szCs w:val="24"/>
                <w:highlight w:val="none"/>
              </w:rPr>
            </w:pPr>
            <w:r>
              <w:rPr>
                <w:rFonts w:hint="default" w:ascii="Times New Roman" w:hAnsi="Times New Roman" w:cs="Times New Roman"/>
                <w:color w:val="auto"/>
                <w:kern w:val="21"/>
                <w:sz w:val="24"/>
                <w:szCs w:val="24"/>
                <w:highlight w:val="none"/>
              </w:rPr>
              <w:t>环保投资（万元）</w:t>
            </w:r>
          </w:p>
        </w:tc>
        <w:tc>
          <w:tcPr>
            <w:tcW w:w="1684"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color w:val="auto"/>
                <w:kern w:val="21"/>
                <w:sz w:val="24"/>
                <w:szCs w:val="24"/>
                <w:highlight w:val="none"/>
                <w:lang w:val="en-US" w:eastAsia="zh-CN"/>
              </w:rPr>
            </w:pPr>
            <w:r>
              <w:rPr>
                <w:rFonts w:hint="eastAsia" w:cs="Times New Roman"/>
                <w:color w:val="auto"/>
                <w:kern w:val="21"/>
                <w:sz w:val="24"/>
                <w:szCs w:val="24"/>
                <w:highlight w:val="none"/>
                <w:lang w:val="en-US" w:eastAsia="zh-CN"/>
              </w:rPr>
              <w:t>41.72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65" w:type="pct"/>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kern w:val="21"/>
                <w:sz w:val="24"/>
                <w:szCs w:val="24"/>
                <w:highlight w:val="none"/>
              </w:rPr>
            </w:pPr>
            <w:r>
              <w:rPr>
                <w:rFonts w:hint="default" w:ascii="Times New Roman" w:hAnsi="Times New Roman" w:cs="Times New Roman"/>
                <w:kern w:val="21"/>
                <w:sz w:val="24"/>
                <w:szCs w:val="24"/>
                <w:highlight w:val="none"/>
              </w:rPr>
              <w:t>环保投资占比（%）</w:t>
            </w:r>
          </w:p>
        </w:tc>
        <w:tc>
          <w:tcPr>
            <w:tcW w:w="1793" w:type="pct"/>
            <w:gridSpan w:val="2"/>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kern w:val="21"/>
                <w:sz w:val="24"/>
                <w:szCs w:val="24"/>
                <w:highlight w:val="none"/>
                <w:lang w:val="en-US" w:eastAsia="zh-CN"/>
              </w:rPr>
            </w:pPr>
            <w:r>
              <w:rPr>
                <w:rFonts w:hint="eastAsia" w:cs="Times New Roman"/>
                <w:color w:val="auto"/>
                <w:kern w:val="21"/>
                <w:sz w:val="24"/>
                <w:szCs w:val="24"/>
                <w:highlight w:val="none"/>
                <w:lang w:val="en-US" w:eastAsia="zh-CN"/>
              </w:rPr>
              <w:t>1.87</w:t>
            </w:r>
          </w:p>
        </w:tc>
        <w:tc>
          <w:tcPr>
            <w:tcW w:w="956" w:type="pct"/>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color w:val="auto"/>
                <w:kern w:val="21"/>
                <w:sz w:val="24"/>
                <w:szCs w:val="24"/>
                <w:highlight w:val="none"/>
              </w:rPr>
            </w:pPr>
            <w:r>
              <w:rPr>
                <w:rFonts w:hint="default" w:ascii="Times New Roman" w:hAnsi="Times New Roman" w:cs="Times New Roman"/>
                <w:color w:val="auto"/>
                <w:kern w:val="21"/>
                <w:sz w:val="24"/>
                <w:szCs w:val="24"/>
                <w:highlight w:val="none"/>
              </w:rPr>
              <w:t>施工工期</w:t>
            </w:r>
          </w:p>
        </w:tc>
        <w:tc>
          <w:tcPr>
            <w:tcW w:w="1684"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kern w:val="21"/>
                <w:sz w:val="24"/>
                <w:szCs w:val="24"/>
                <w:highlight w:val="none"/>
                <w:lang w:val="en-US" w:eastAsia="zh-CN"/>
              </w:rPr>
            </w:pPr>
            <w:r>
              <w:rPr>
                <w:rFonts w:hint="eastAsia" w:cs="Times New Roman"/>
                <w:color w:val="auto"/>
                <w:kern w:val="21"/>
                <w:sz w:val="24"/>
                <w:szCs w:val="24"/>
                <w:highlight w:val="none"/>
                <w:lang w:val="en-US" w:eastAsia="zh-CN"/>
              </w:rPr>
              <w:t>7个月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65" w:type="pct"/>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kern w:val="21"/>
                <w:sz w:val="24"/>
                <w:szCs w:val="24"/>
              </w:rPr>
            </w:pPr>
            <w:r>
              <w:rPr>
                <w:rFonts w:hint="default" w:ascii="Times New Roman" w:hAnsi="Times New Roman" w:cs="Times New Roman"/>
                <w:kern w:val="21"/>
                <w:sz w:val="24"/>
                <w:szCs w:val="24"/>
              </w:rPr>
              <w:t>是否开工建设</w:t>
            </w:r>
          </w:p>
        </w:tc>
        <w:tc>
          <w:tcPr>
            <w:tcW w:w="4434" w:type="pct"/>
            <w:gridSpan w:val="4"/>
            <w:noWrap w:val="0"/>
            <w:vAlign w:val="center"/>
          </w:tcPr>
          <w:p>
            <w:pPr>
              <w:keepNext w:val="0"/>
              <w:keepLines w:val="0"/>
              <w:pageBreakBefore w:val="0"/>
              <w:kinsoku/>
              <w:wordWrap/>
              <w:overflowPunct/>
              <w:topLinePunct w:val="0"/>
              <w:bidi w:val="0"/>
              <w:adjustRightInd w:val="0"/>
              <w:snapToGrid w:val="0"/>
              <w:ind w:firstLine="240" w:firstLineChars="100"/>
              <w:jc w:val="left"/>
              <w:textAlignment w:val="auto"/>
              <w:rPr>
                <w:rFonts w:hint="default" w:ascii="Times New Roman" w:hAnsi="Times New Roman" w:cs="Times New Roman"/>
                <w:kern w:val="21"/>
                <w:sz w:val="24"/>
                <w:szCs w:val="24"/>
              </w:rPr>
            </w:pPr>
            <w:r>
              <w:rPr>
                <w:rFonts w:hint="eastAsia" w:cs="Times New Roman"/>
                <w:kern w:val="21"/>
                <w:sz w:val="24"/>
                <w:szCs w:val="24"/>
                <w:lang w:eastAsia="zh-CN"/>
              </w:rPr>
              <w:sym w:font="Wingdings 2" w:char="0052"/>
            </w:r>
            <w:r>
              <w:rPr>
                <w:rFonts w:hint="default" w:ascii="Times New Roman" w:hAnsi="Times New Roman" w:cs="Times New Roman"/>
                <w:kern w:val="21"/>
                <w:sz w:val="24"/>
                <w:szCs w:val="24"/>
              </w:rPr>
              <w:t>否</w:t>
            </w:r>
          </w:p>
          <w:p>
            <w:pPr>
              <w:keepNext w:val="0"/>
              <w:keepLines w:val="0"/>
              <w:pageBreakBefore w:val="0"/>
              <w:kinsoku/>
              <w:wordWrap/>
              <w:overflowPunct/>
              <w:topLinePunct w:val="0"/>
              <w:bidi w:val="0"/>
              <w:adjustRightInd w:val="0"/>
              <w:snapToGrid w:val="0"/>
              <w:ind w:firstLine="240" w:firstLineChars="100"/>
              <w:jc w:val="left"/>
              <w:textAlignment w:val="auto"/>
              <w:rPr>
                <w:rFonts w:hint="default" w:ascii="Times New Roman" w:hAnsi="Times New Roman" w:cs="Times New Roman"/>
                <w:kern w:val="21"/>
                <w:sz w:val="24"/>
                <w:szCs w:val="24"/>
                <w:u w:val="single"/>
              </w:rPr>
            </w:pPr>
            <w:r>
              <w:rPr>
                <w:rFonts w:hint="eastAsia" w:cs="Times New Roman"/>
                <w:kern w:val="21"/>
                <w:sz w:val="24"/>
                <w:szCs w:val="24"/>
                <w:lang w:eastAsia="zh-CN"/>
              </w:rPr>
              <w:sym w:font="Wingdings 2" w:char="00A3"/>
            </w:r>
            <w:r>
              <w:rPr>
                <w:rFonts w:hint="default" w:ascii="Times New Roman" w:hAnsi="Times New Roman" w:cs="Times New Roman"/>
                <w:kern w:val="21"/>
                <w:sz w:val="24"/>
                <w:szCs w:val="24"/>
              </w:rPr>
              <w:t>是：</w:t>
            </w:r>
            <w:r>
              <w:rPr>
                <w:rFonts w:hint="default" w:ascii="Times New Roman" w:hAnsi="Times New Roman" w:cs="Times New Roman"/>
                <w:kern w:val="21"/>
                <w:sz w:val="24"/>
                <w:szCs w:val="24"/>
                <w:u w:val="single"/>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68" w:type="pct"/>
            <w:gridSpan w:val="2"/>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kern w:val="21"/>
                <w:sz w:val="24"/>
                <w:szCs w:val="24"/>
              </w:rPr>
            </w:pPr>
            <w:r>
              <w:rPr>
                <w:rFonts w:hint="default" w:ascii="Times New Roman" w:hAnsi="Times New Roman" w:cs="Times New Roman"/>
                <w:kern w:val="21"/>
                <w:sz w:val="24"/>
                <w:szCs w:val="24"/>
              </w:rPr>
              <w:t>专项评价设置情况</w:t>
            </w:r>
          </w:p>
        </w:tc>
        <w:tc>
          <w:tcPr>
            <w:tcW w:w="4331" w:type="pct"/>
            <w:gridSpan w:val="3"/>
            <w:noWrap w:val="0"/>
            <w:vAlign w:val="center"/>
          </w:tcPr>
          <w:p>
            <w:pPr>
              <w:adjustRightInd w:val="0"/>
              <w:snapToGrid w:val="0"/>
              <w:jc w:val="center"/>
              <w:rPr>
                <w:rFonts w:hint="eastAsia"/>
                <w:b/>
                <w:bCs/>
                <w:color w:val="auto"/>
                <w:sz w:val="24"/>
                <w:lang w:val="en-US" w:eastAsia="zh-CN"/>
              </w:rPr>
            </w:pPr>
            <w:r>
              <w:rPr>
                <w:rFonts w:hint="eastAsia" w:ascii="Times New Roman" w:eastAsia="宋体"/>
                <w:b/>
                <w:bCs/>
                <w:color w:val="auto"/>
                <w:sz w:val="24"/>
                <w:lang w:val="en-US" w:eastAsia="zh-CN"/>
              </w:rPr>
              <w:t>专项评价设置要求一览表</w:t>
            </w:r>
          </w:p>
          <w:tbl>
            <w:tblPr>
              <w:tblStyle w:val="41"/>
              <w:tblW w:w="491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244"/>
              <w:gridCol w:w="4840"/>
              <w:gridCol w:w="19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6" w:hRule="atLeast"/>
                <w:jc w:val="center"/>
              </w:trPr>
              <w:tc>
                <w:tcPr>
                  <w:tcW w:w="776"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color w:val="auto"/>
                      <w:kern w:val="21"/>
                      <w:sz w:val="24"/>
                      <w:szCs w:val="24"/>
                      <w:highlight w:val="none"/>
                    </w:rPr>
                  </w:pPr>
                  <w:r>
                    <w:rPr>
                      <w:rFonts w:hint="default" w:ascii="Times New Roman" w:hAnsi="Times New Roman" w:cs="Times New Roman"/>
                      <w:color w:val="auto"/>
                      <w:kern w:val="21"/>
                      <w:sz w:val="24"/>
                      <w:szCs w:val="24"/>
                      <w:highlight w:val="none"/>
                    </w:rPr>
                    <w:t>专项评价的类别</w:t>
                  </w:r>
                </w:p>
              </w:tc>
              <w:tc>
                <w:tcPr>
                  <w:tcW w:w="3017"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color w:val="auto"/>
                      <w:kern w:val="21"/>
                      <w:sz w:val="24"/>
                      <w:szCs w:val="24"/>
                      <w:highlight w:val="none"/>
                    </w:rPr>
                  </w:pPr>
                  <w:r>
                    <w:rPr>
                      <w:rFonts w:hint="default" w:ascii="Times New Roman" w:hAnsi="Times New Roman" w:cs="Times New Roman"/>
                      <w:color w:val="auto"/>
                      <w:kern w:val="21"/>
                      <w:sz w:val="24"/>
                      <w:szCs w:val="24"/>
                      <w:highlight w:val="none"/>
                    </w:rPr>
                    <w:t>涉及项目类别</w:t>
                  </w:r>
                </w:p>
              </w:tc>
              <w:tc>
                <w:tcPr>
                  <w:tcW w:w="1206" w:type="pct"/>
                  <w:noWrap w:val="0"/>
                  <w:vAlign w:val="center"/>
                </w:tcPr>
                <w:p>
                  <w:pPr>
                    <w:keepNext w:val="0"/>
                    <w:keepLines w:val="0"/>
                    <w:pageBreakBefore w:val="0"/>
                    <w:kinsoku/>
                    <w:wordWrap/>
                    <w:overflowPunct/>
                    <w:topLinePunct w:val="0"/>
                    <w:bidi w:val="0"/>
                    <w:adjustRightInd w:val="0"/>
                    <w:snapToGrid w:val="0"/>
                    <w:jc w:val="center"/>
                    <w:textAlignment w:val="auto"/>
                    <w:rPr>
                      <w:rFonts w:hint="eastAsia" w:ascii="Times New Roman" w:hAnsi="Times New Roman" w:eastAsia="宋体" w:cs="Times New Roman"/>
                      <w:color w:val="auto"/>
                      <w:kern w:val="21"/>
                      <w:sz w:val="24"/>
                      <w:szCs w:val="24"/>
                      <w:highlight w:val="none"/>
                      <w:lang w:eastAsia="zh-CN"/>
                    </w:rPr>
                  </w:pPr>
                  <w:r>
                    <w:rPr>
                      <w:rFonts w:hint="eastAsia" w:cs="Times New Roman"/>
                      <w:color w:val="auto"/>
                      <w:kern w:val="21"/>
                      <w:sz w:val="24"/>
                      <w:szCs w:val="24"/>
                      <w:highlight w:val="none"/>
                      <w:lang w:eastAsia="zh-CN"/>
                    </w:rPr>
                    <w:t>本项目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jc w:val="center"/>
              </w:trPr>
              <w:tc>
                <w:tcPr>
                  <w:tcW w:w="776"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color w:val="auto"/>
                      <w:kern w:val="21"/>
                      <w:sz w:val="24"/>
                      <w:szCs w:val="24"/>
                      <w:highlight w:val="none"/>
                    </w:rPr>
                  </w:pPr>
                  <w:r>
                    <w:rPr>
                      <w:rFonts w:hint="default" w:ascii="Times New Roman" w:hAnsi="Times New Roman" w:cs="Times New Roman"/>
                      <w:color w:val="auto"/>
                      <w:kern w:val="21"/>
                      <w:sz w:val="24"/>
                      <w:szCs w:val="24"/>
                      <w:highlight w:val="none"/>
                    </w:rPr>
                    <w:t>地表水</w:t>
                  </w:r>
                </w:p>
              </w:tc>
              <w:tc>
                <w:tcPr>
                  <w:tcW w:w="3017"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color w:val="auto"/>
                      <w:kern w:val="21"/>
                      <w:sz w:val="24"/>
                      <w:szCs w:val="24"/>
                      <w:highlight w:val="none"/>
                    </w:rPr>
                  </w:pPr>
                  <w:r>
                    <w:rPr>
                      <w:rFonts w:hint="default" w:ascii="Times New Roman" w:hAnsi="Times New Roman" w:cs="Times New Roman"/>
                      <w:color w:val="auto"/>
                      <w:kern w:val="21"/>
                      <w:sz w:val="24"/>
                      <w:szCs w:val="24"/>
                      <w:highlight w:val="none"/>
                    </w:rPr>
                    <w:t>水力发电：引水式发电、涉及调峰发电的项目；人工湖、人工湿地：全部；水库：全部；引水工程：全部（配套的管线工程等除外）；防洪除涝工程：包含水库的项目；</w:t>
                  </w:r>
                </w:p>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color w:val="auto"/>
                      <w:kern w:val="21"/>
                      <w:sz w:val="24"/>
                      <w:szCs w:val="24"/>
                      <w:highlight w:val="none"/>
                    </w:rPr>
                  </w:pPr>
                  <w:r>
                    <w:rPr>
                      <w:rFonts w:hint="default" w:ascii="Times New Roman" w:hAnsi="Times New Roman" w:cs="Times New Roman"/>
                      <w:color w:val="auto"/>
                      <w:kern w:val="21"/>
                      <w:sz w:val="24"/>
                      <w:szCs w:val="24"/>
                      <w:highlight w:val="none"/>
                    </w:rPr>
                    <w:t>河湖整治：涉及清淤且底泥存在重金属污染的项目</w:t>
                  </w:r>
                </w:p>
              </w:tc>
              <w:tc>
                <w:tcPr>
                  <w:tcW w:w="1206" w:type="pct"/>
                  <w:noWrap w:val="0"/>
                  <w:vAlign w:val="center"/>
                </w:tcPr>
                <w:p>
                  <w:pPr>
                    <w:keepNext w:val="0"/>
                    <w:keepLines w:val="0"/>
                    <w:pageBreakBefore w:val="0"/>
                    <w:kinsoku/>
                    <w:wordWrap/>
                    <w:overflowPunct/>
                    <w:topLinePunct w:val="0"/>
                    <w:bidi w:val="0"/>
                    <w:adjustRightInd w:val="0"/>
                    <w:snapToGrid w:val="0"/>
                    <w:jc w:val="center"/>
                    <w:textAlignment w:val="auto"/>
                    <w:rPr>
                      <w:rFonts w:hint="eastAsia" w:ascii="Times New Roman" w:hAnsi="Times New Roman" w:eastAsia="宋体" w:cs="Times New Roman"/>
                      <w:color w:val="auto"/>
                      <w:kern w:val="21"/>
                      <w:sz w:val="24"/>
                      <w:szCs w:val="24"/>
                      <w:highlight w:val="none"/>
                      <w:lang w:eastAsia="zh-CN"/>
                    </w:rPr>
                  </w:pPr>
                  <w:r>
                    <w:rPr>
                      <w:rFonts w:hint="eastAsia" w:ascii="Times New Roman" w:hAnsi="Times New Roman" w:eastAsia="宋体" w:cs="Times New Roman"/>
                      <w:color w:val="auto"/>
                      <w:kern w:val="21"/>
                      <w:sz w:val="24"/>
                      <w:szCs w:val="24"/>
                      <w:highlight w:val="none"/>
                      <w:lang w:val="en-US" w:eastAsia="zh-CN"/>
                    </w:rPr>
                    <w:t>项目建设不含水库，且底泥监测达标，不涉及重金属污染</w:t>
                  </w:r>
                  <w:r>
                    <w:rPr>
                      <w:rFonts w:hint="eastAsia" w:cs="Times New Roman"/>
                      <w:color w:val="auto"/>
                      <w:kern w:val="21"/>
                      <w:sz w:val="24"/>
                      <w:szCs w:val="24"/>
                      <w:highlight w:val="none"/>
                      <w:lang w:val="en-US" w:eastAsia="zh-CN"/>
                    </w:rPr>
                    <w:t>，</w:t>
                  </w:r>
                  <w:r>
                    <w:rPr>
                      <w:rFonts w:hint="eastAsia" w:ascii="Times New Roman" w:hAnsi="Times New Roman" w:eastAsia="宋体" w:cs="Times New Roman"/>
                      <w:color w:val="auto"/>
                      <w:kern w:val="21"/>
                      <w:sz w:val="24"/>
                      <w:szCs w:val="24"/>
                      <w:highlight w:val="none"/>
                      <w:lang w:val="en-US" w:eastAsia="zh-CN"/>
                    </w:rPr>
                    <w:t>因此项目不涉及地表水专项评价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2" w:hRule="atLeast"/>
                <w:jc w:val="center"/>
              </w:trPr>
              <w:tc>
                <w:tcPr>
                  <w:tcW w:w="776"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color w:val="auto"/>
                      <w:kern w:val="21"/>
                      <w:sz w:val="24"/>
                      <w:szCs w:val="24"/>
                      <w:highlight w:val="none"/>
                    </w:rPr>
                  </w:pPr>
                  <w:r>
                    <w:rPr>
                      <w:rFonts w:hint="default" w:ascii="Times New Roman" w:hAnsi="Times New Roman" w:cs="Times New Roman"/>
                      <w:color w:val="auto"/>
                      <w:kern w:val="21"/>
                      <w:sz w:val="24"/>
                      <w:szCs w:val="24"/>
                      <w:highlight w:val="none"/>
                    </w:rPr>
                    <w:t>地下水</w:t>
                  </w:r>
                </w:p>
              </w:tc>
              <w:tc>
                <w:tcPr>
                  <w:tcW w:w="3017"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color w:val="auto"/>
                      <w:kern w:val="21"/>
                      <w:sz w:val="24"/>
                      <w:szCs w:val="24"/>
                      <w:highlight w:val="none"/>
                    </w:rPr>
                  </w:pPr>
                  <w:r>
                    <w:rPr>
                      <w:rFonts w:hint="default" w:ascii="Times New Roman" w:hAnsi="Times New Roman" w:cs="Times New Roman"/>
                      <w:color w:val="auto"/>
                      <w:kern w:val="21"/>
                      <w:sz w:val="24"/>
                      <w:szCs w:val="24"/>
                      <w:highlight w:val="none"/>
                    </w:rPr>
                    <w:t>陆地石油和天然气开采：全部；地下水（含矿泉水）开采：全部；水利、水电、交通等：含穿越可溶岩地层隧道的项目</w:t>
                  </w:r>
                </w:p>
              </w:tc>
              <w:tc>
                <w:tcPr>
                  <w:tcW w:w="1206" w:type="pct"/>
                  <w:noWrap w:val="0"/>
                  <w:vAlign w:val="center"/>
                </w:tcPr>
                <w:p>
                  <w:pPr>
                    <w:keepNext w:val="0"/>
                    <w:keepLines w:val="0"/>
                    <w:pageBreakBefore w:val="0"/>
                    <w:kinsoku/>
                    <w:wordWrap/>
                    <w:overflowPunct/>
                    <w:topLinePunct w:val="0"/>
                    <w:bidi w:val="0"/>
                    <w:adjustRightInd w:val="0"/>
                    <w:snapToGrid w:val="0"/>
                    <w:jc w:val="center"/>
                    <w:textAlignment w:val="auto"/>
                    <w:rPr>
                      <w:rFonts w:hint="eastAsia" w:ascii="Times New Roman" w:hAnsi="Times New Roman" w:eastAsia="宋体" w:cs="Times New Roman"/>
                      <w:color w:val="auto"/>
                      <w:kern w:val="21"/>
                      <w:sz w:val="24"/>
                      <w:szCs w:val="24"/>
                      <w:highlight w:val="none"/>
                      <w:lang w:eastAsia="zh-CN"/>
                    </w:rPr>
                  </w:pPr>
                  <w:r>
                    <w:rPr>
                      <w:rFonts w:hint="eastAsia" w:cs="Times New Roman"/>
                      <w:color w:val="auto"/>
                      <w:kern w:val="21"/>
                      <w:sz w:val="24"/>
                      <w:szCs w:val="24"/>
                      <w:lang w:eastAsia="zh-CN"/>
                    </w:rPr>
                    <w:t>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1" w:hRule="atLeast"/>
                <w:jc w:val="center"/>
              </w:trPr>
              <w:tc>
                <w:tcPr>
                  <w:tcW w:w="776"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color w:val="auto"/>
                      <w:kern w:val="21"/>
                      <w:sz w:val="24"/>
                      <w:szCs w:val="24"/>
                      <w:highlight w:val="none"/>
                    </w:rPr>
                  </w:pPr>
                  <w:r>
                    <w:rPr>
                      <w:rFonts w:hint="default" w:ascii="Times New Roman" w:hAnsi="Times New Roman" w:cs="Times New Roman"/>
                      <w:color w:val="auto"/>
                      <w:kern w:val="21"/>
                      <w:sz w:val="24"/>
                      <w:szCs w:val="24"/>
                      <w:highlight w:val="none"/>
                    </w:rPr>
                    <w:t>生态</w:t>
                  </w:r>
                </w:p>
              </w:tc>
              <w:tc>
                <w:tcPr>
                  <w:tcW w:w="3017"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color w:val="auto"/>
                      <w:kern w:val="21"/>
                      <w:sz w:val="24"/>
                      <w:szCs w:val="24"/>
                      <w:highlight w:val="none"/>
                    </w:rPr>
                  </w:pPr>
                  <w:r>
                    <w:rPr>
                      <w:rFonts w:hint="default" w:ascii="Times New Roman" w:hAnsi="Times New Roman" w:cs="Times New Roman"/>
                      <w:color w:val="auto"/>
                      <w:kern w:val="21"/>
                      <w:sz w:val="24"/>
                      <w:szCs w:val="24"/>
                      <w:highlight w:val="none"/>
                    </w:rPr>
                    <w:t>涉及环境敏感区（不包括饮用水水源保护区，以居住、医疗卫生、文化教育、科研、行政办公为主要功能的区域，以及文物保护单位）的项目</w:t>
                  </w:r>
                </w:p>
              </w:tc>
              <w:tc>
                <w:tcPr>
                  <w:tcW w:w="1206" w:type="pct"/>
                  <w:noWrap w:val="0"/>
                  <w:vAlign w:val="center"/>
                </w:tcPr>
                <w:p>
                  <w:pPr>
                    <w:keepNext w:val="0"/>
                    <w:keepLines w:val="0"/>
                    <w:pageBreakBefore w:val="0"/>
                    <w:kinsoku/>
                    <w:wordWrap/>
                    <w:overflowPunct/>
                    <w:topLinePunct w:val="0"/>
                    <w:bidi w:val="0"/>
                    <w:adjustRightInd w:val="0"/>
                    <w:snapToGrid w:val="0"/>
                    <w:jc w:val="center"/>
                    <w:textAlignment w:val="auto"/>
                    <w:rPr>
                      <w:rFonts w:hint="eastAsia" w:ascii="Times New Roman" w:hAnsi="Times New Roman" w:eastAsia="宋体" w:cs="Times New Roman"/>
                      <w:color w:val="auto"/>
                      <w:kern w:val="21"/>
                      <w:sz w:val="24"/>
                      <w:szCs w:val="24"/>
                      <w:highlight w:val="none"/>
                      <w:lang w:eastAsia="zh-CN"/>
                    </w:rPr>
                  </w:pPr>
                  <w:r>
                    <w:rPr>
                      <w:rFonts w:hint="eastAsia" w:cs="Times New Roman"/>
                      <w:color w:val="auto"/>
                      <w:kern w:val="21"/>
                      <w:sz w:val="24"/>
                      <w:szCs w:val="24"/>
                      <w:highlight w:val="none"/>
                      <w:lang w:eastAsia="zh-CN"/>
                    </w:rPr>
                    <w:t>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 w:hRule="atLeast"/>
                <w:jc w:val="center"/>
              </w:trPr>
              <w:tc>
                <w:tcPr>
                  <w:tcW w:w="776"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color w:val="auto"/>
                      <w:kern w:val="21"/>
                      <w:sz w:val="24"/>
                      <w:szCs w:val="24"/>
                      <w:highlight w:val="none"/>
                    </w:rPr>
                  </w:pPr>
                  <w:r>
                    <w:rPr>
                      <w:rFonts w:hint="default" w:ascii="Times New Roman" w:hAnsi="Times New Roman" w:cs="Times New Roman"/>
                      <w:color w:val="auto"/>
                      <w:kern w:val="21"/>
                      <w:sz w:val="24"/>
                      <w:szCs w:val="24"/>
                      <w:highlight w:val="none"/>
                    </w:rPr>
                    <w:t>大气</w:t>
                  </w:r>
                </w:p>
              </w:tc>
              <w:tc>
                <w:tcPr>
                  <w:tcW w:w="3017"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color w:val="auto"/>
                      <w:kern w:val="21"/>
                      <w:sz w:val="24"/>
                      <w:szCs w:val="24"/>
                      <w:highlight w:val="none"/>
                    </w:rPr>
                  </w:pPr>
                  <w:r>
                    <w:rPr>
                      <w:rFonts w:hint="default" w:ascii="Times New Roman" w:hAnsi="Times New Roman" w:cs="Times New Roman"/>
                      <w:color w:val="auto"/>
                      <w:kern w:val="21"/>
                      <w:sz w:val="24"/>
                      <w:szCs w:val="24"/>
                      <w:highlight w:val="none"/>
                    </w:rPr>
                    <w:t>油气、液体化工码头：全部；干散货（含煤炭、矿石）、件杂、多用途、通用码头：涉及粉尘、挥发性有机物排放的项目</w:t>
                  </w:r>
                </w:p>
              </w:tc>
              <w:tc>
                <w:tcPr>
                  <w:tcW w:w="1206"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color w:val="auto"/>
                      <w:kern w:val="21"/>
                      <w:sz w:val="24"/>
                      <w:szCs w:val="24"/>
                      <w:highlight w:val="none"/>
                    </w:rPr>
                  </w:pPr>
                  <w:r>
                    <w:rPr>
                      <w:rFonts w:hint="eastAsia" w:cs="Times New Roman"/>
                      <w:color w:val="auto"/>
                      <w:kern w:val="21"/>
                      <w:sz w:val="24"/>
                      <w:szCs w:val="24"/>
                      <w:lang w:eastAsia="zh-CN"/>
                    </w:rPr>
                    <w:t>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3" w:hRule="atLeast"/>
                <w:jc w:val="center"/>
              </w:trPr>
              <w:tc>
                <w:tcPr>
                  <w:tcW w:w="776"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color w:val="auto"/>
                      <w:kern w:val="21"/>
                      <w:sz w:val="24"/>
                      <w:szCs w:val="24"/>
                      <w:highlight w:val="none"/>
                    </w:rPr>
                  </w:pPr>
                  <w:r>
                    <w:rPr>
                      <w:rFonts w:hint="default" w:ascii="Times New Roman" w:hAnsi="Times New Roman" w:cs="Times New Roman"/>
                      <w:color w:val="auto"/>
                      <w:kern w:val="21"/>
                      <w:sz w:val="24"/>
                      <w:szCs w:val="24"/>
                      <w:highlight w:val="none"/>
                    </w:rPr>
                    <w:t>噪声</w:t>
                  </w:r>
                </w:p>
              </w:tc>
              <w:tc>
                <w:tcPr>
                  <w:tcW w:w="3017"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color w:val="auto"/>
                      <w:kern w:val="21"/>
                      <w:sz w:val="24"/>
                      <w:szCs w:val="24"/>
                      <w:highlight w:val="none"/>
                    </w:rPr>
                  </w:pPr>
                  <w:r>
                    <w:rPr>
                      <w:rFonts w:hint="default" w:ascii="Times New Roman" w:hAnsi="Times New Roman" w:cs="Times New Roman"/>
                      <w:color w:val="auto"/>
                      <w:kern w:val="21"/>
                      <w:sz w:val="24"/>
                      <w:szCs w:val="24"/>
                      <w:highlight w:val="none"/>
                    </w:rPr>
                    <w:t>公路、铁路、机场等交通运输业涉及环境敏感区（以居住、医疗卫生、文化教育、科研、行政办公为主要功能的区域）的项目；城市道路（不含维护，不含支路、人行天桥、人行地道）：全部</w:t>
                  </w:r>
                </w:p>
              </w:tc>
              <w:tc>
                <w:tcPr>
                  <w:tcW w:w="1206"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color w:val="auto"/>
                      <w:kern w:val="21"/>
                      <w:sz w:val="24"/>
                      <w:szCs w:val="24"/>
                      <w:highlight w:val="none"/>
                    </w:rPr>
                  </w:pPr>
                  <w:r>
                    <w:rPr>
                      <w:rFonts w:hint="eastAsia" w:cs="Times New Roman"/>
                      <w:color w:val="auto"/>
                      <w:kern w:val="21"/>
                      <w:sz w:val="24"/>
                      <w:szCs w:val="24"/>
                      <w:lang w:eastAsia="zh-CN"/>
                    </w:rPr>
                    <w:t>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5" w:hRule="atLeast"/>
                <w:jc w:val="center"/>
              </w:trPr>
              <w:tc>
                <w:tcPr>
                  <w:tcW w:w="776"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color w:val="auto"/>
                      <w:kern w:val="21"/>
                      <w:sz w:val="24"/>
                      <w:szCs w:val="24"/>
                      <w:highlight w:val="none"/>
                    </w:rPr>
                  </w:pPr>
                  <w:r>
                    <w:rPr>
                      <w:rFonts w:hint="default" w:ascii="Times New Roman" w:hAnsi="Times New Roman" w:cs="Times New Roman"/>
                      <w:color w:val="auto"/>
                      <w:kern w:val="21"/>
                      <w:sz w:val="24"/>
                      <w:szCs w:val="24"/>
                      <w:highlight w:val="none"/>
                    </w:rPr>
                    <w:t>环境风险</w:t>
                  </w:r>
                </w:p>
              </w:tc>
              <w:tc>
                <w:tcPr>
                  <w:tcW w:w="3017"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color w:val="auto"/>
                      <w:kern w:val="21"/>
                      <w:sz w:val="24"/>
                      <w:szCs w:val="24"/>
                      <w:highlight w:val="none"/>
                    </w:rPr>
                  </w:pPr>
                  <w:r>
                    <w:rPr>
                      <w:rFonts w:hint="default" w:ascii="Times New Roman" w:hAnsi="Times New Roman" w:cs="Times New Roman"/>
                      <w:color w:val="auto"/>
                      <w:kern w:val="21"/>
                      <w:sz w:val="24"/>
                      <w:szCs w:val="24"/>
                      <w:highlight w:val="none"/>
                    </w:rPr>
                    <w:t>石油和天然气开采：全部；油气、液体化工码头：全部；原油、成品油、天然气管线（不含城镇天然气管线、企业厂区内管线），危险化学品输送管线（不含企业厂区内管线）：全部</w:t>
                  </w:r>
                </w:p>
              </w:tc>
              <w:tc>
                <w:tcPr>
                  <w:tcW w:w="1206"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color w:val="auto"/>
                      <w:kern w:val="21"/>
                      <w:sz w:val="24"/>
                      <w:szCs w:val="24"/>
                      <w:highlight w:val="none"/>
                    </w:rPr>
                  </w:pPr>
                  <w:r>
                    <w:rPr>
                      <w:rFonts w:hint="eastAsia" w:cs="Times New Roman"/>
                      <w:color w:val="auto"/>
                      <w:kern w:val="21"/>
                      <w:sz w:val="24"/>
                      <w:szCs w:val="24"/>
                      <w:lang w:eastAsia="zh-CN"/>
                    </w:rPr>
                    <w:t>不涉及</w:t>
                  </w:r>
                </w:p>
              </w:tc>
            </w:tr>
          </w:tbl>
          <w:p>
            <w:pPr>
              <w:keepNext w:val="0"/>
              <w:keepLines w:val="0"/>
              <w:pageBreakBefore w:val="0"/>
              <w:kinsoku/>
              <w:wordWrap/>
              <w:overflowPunct/>
              <w:topLinePunct w:val="0"/>
              <w:bidi w:val="0"/>
              <w:adjustRightInd w:val="0"/>
              <w:snapToGrid w:val="0"/>
              <w:spacing w:line="360" w:lineRule="auto"/>
              <w:ind w:firstLine="508" w:firstLineChars="242"/>
              <w:jc w:val="left"/>
              <w:textAlignment w:val="auto"/>
              <w:rPr>
                <w:rFonts w:hint="eastAsia" w:ascii="Times New Roman" w:hAnsi="Times New Roman" w:eastAsia="宋体" w:cs="Times New Roman"/>
                <w:color w:val="auto"/>
                <w:kern w:val="21"/>
                <w:sz w:val="21"/>
                <w:szCs w:val="21"/>
                <w:lang w:eastAsia="zh-CN"/>
              </w:rPr>
            </w:pPr>
            <w:r>
              <w:rPr>
                <w:rFonts w:hint="default" w:ascii="Times New Roman" w:hAnsi="Times New Roman" w:cs="Times New Roman"/>
                <w:color w:val="auto"/>
                <w:kern w:val="21"/>
                <w:sz w:val="21"/>
                <w:szCs w:val="21"/>
              </w:rPr>
              <w:t>注：“涉及环境敏感区”是指建设项目位于、穿（跨）越（无害化通过的除外）环境敏感区，或环境影响范围涵盖环境敏感区。环境敏感区是指《建设项目环境影响评价分类管理名录》中针对该类项目所列的敏感区</w:t>
            </w:r>
            <w:r>
              <w:rPr>
                <w:rFonts w:hint="eastAsia" w:cs="Times New Roman"/>
                <w:color w:val="auto"/>
                <w:kern w:val="21"/>
                <w:sz w:val="21"/>
                <w:szCs w:val="21"/>
                <w:lang w:eastAsia="zh-CN"/>
              </w:rPr>
              <w:t>。</w:t>
            </w:r>
          </w:p>
          <w:p>
            <w:pPr>
              <w:keepNext w:val="0"/>
              <w:keepLines w:val="0"/>
              <w:pageBreakBefore w:val="0"/>
              <w:kinsoku/>
              <w:wordWrap/>
              <w:overflowPunct/>
              <w:topLinePunct w:val="0"/>
              <w:bidi w:val="0"/>
              <w:adjustRightInd w:val="0"/>
              <w:snapToGrid w:val="0"/>
              <w:spacing w:line="360" w:lineRule="auto"/>
              <w:ind w:firstLine="580" w:firstLineChars="242"/>
              <w:jc w:val="left"/>
              <w:textAlignment w:val="auto"/>
              <w:rPr>
                <w:rFonts w:hint="default" w:ascii="Times New Roman" w:hAnsi="Times New Roman" w:cs="Times New Roman"/>
                <w:color w:val="auto"/>
                <w:kern w:val="21"/>
                <w:sz w:val="24"/>
                <w:szCs w:val="24"/>
              </w:rPr>
            </w:pPr>
            <w:r>
              <w:rPr>
                <w:rFonts w:hint="default" w:ascii="Times New Roman" w:hAnsi="Times New Roman" w:eastAsia="宋体" w:cs="Times New Roman"/>
                <w:color w:val="auto"/>
                <w:kern w:val="21"/>
                <w:sz w:val="24"/>
                <w:szCs w:val="24"/>
                <w:highlight w:val="none"/>
                <w:lang w:val="en-US" w:eastAsia="zh-CN"/>
              </w:rPr>
              <w:t>综上所述，本项目不设置专项评价。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68" w:type="pct"/>
            <w:gridSpan w:val="2"/>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kern w:val="21"/>
                <w:sz w:val="24"/>
                <w:szCs w:val="24"/>
              </w:rPr>
            </w:pPr>
            <w:r>
              <w:rPr>
                <w:rFonts w:hint="default" w:ascii="Times New Roman" w:hAnsi="Times New Roman" w:cs="Times New Roman"/>
                <w:kern w:val="21"/>
                <w:sz w:val="24"/>
                <w:szCs w:val="24"/>
                <w:highlight w:val="none"/>
              </w:rPr>
              <w:t>规划情况</w:t>
            </w:r>
          </w:p>
        </w:tc>
        <w:tc>
          <w:tcPr>
            <w:tcW w:w="4331" w:type="pct"/>
            <w:gridSpan w:val="3"/>
            <w:noWrap w:val="0"/>
            <w:vAlign w:val="center"/>
          </w:tcPr>
          <w:p>
            <w:pPr>
              <w:keepNext w:val="0"/>
              <w:keepLines w:val="0"/>
              <w:pageBreakBefore w:val="0"/>
              <w:numPr>
                <w:ilvl w:val="0"/>
                <w:numId w:val="0"/>
              </w:numPr>
              <w:kinsoku/>
              <w:wordWrap/>
              <w:overflowPunct/>
              <w:topLinePunct w:val="0"/>
              <w:bidi w:val="0"/>
              <w:adjustRightInd w:val="0"/>
              <w:snapToGrid w:val="0"/>
              <w:spacing w:line="360" w:lineRule="auto"/>
              <w:jc w:val="both"/>
              <w:textAlignment w:val="auto"/>
              <w:rPr>
                <w:rFonts w:hint="eastAsia" w:ascii="Times New Roman" w:hAnsi="Times New Roman"/>
                <w:color w:val="auto"/>
                <w:sz w:val="24"/>
                <w:lang w:val="en-US" w:eastAsia="zh-CN"/>
              </w:rPr>
            </w:pPr>
            <w:r>
              <w:rPr>
                <w:rFonts w:hint="eastAsia" w:ascii="Times New Roman" w:hAnsi="Times New Roman"/>
                <w:color w:val="auto"/>
                <w:sz w:val="24"/>
                <w:lang w:val="en-US" w:eastAsia="zh-CN"/>
              </w:rPr>
              <w:t>1.规划名称：《四川省乐山市临江河防洪治理工程实施规划》</w:t>
            </w:r>
            <w:r>
              <w:rPr>
                <w:rFonts w:hint="eastAsia"/>
                <w:color w:val="auto"/>
                <w:sz w:val="24"/>
                <w:lang w:val="en-US" w:eastAsia="zh-CN"/>
              </w:rPr>
              <w:t>（2011年）</w:t>
            </w:r>
          </w:p>
          <w:p>
            <w:pPr>
              <w:keepNext w:val="0"/>
              <w:keepLines w:val="0"/>
              <w:pageBreakBefore w:val="0"/>
              <w:numPr>
                <w:ilvl w:val="0"/>
                <w:numId w:val="0"/>
              </w:numPr>
              <w:kinsoku/>
              <w:wordWrap/>
              <w:overflowPunct/>
              <w:topLinePunct w:val="0"/>
              <w:bidi w:val="0"/>
              <w:adjustRightInd w:val="0"/>
              <w:snapToGrid w:val="0"/>
              <w:spacing w:line="360" w:lineRule="auto"/>
              <w:jc w:val="both"/>
              <w:textAlignment w:val="auto"/>
              <w:rPr>
                <w:rFonts w:hint="default" w:ascii="Times New Roman" w:hAnsi="Times New Roman"/>
                <w:color w:val="auto"/>
                <w:sz w:val="24"/>
                <w:lang w:val="en-US" w:eastAsia="zh-CN"/>
              </w:rPr>
            </w:pPr>
            <w:r>
              <w:rPr>
                <w:rFonts w:hint="eastAsia" w:ascii="Times New Roman" w:hAnsi="Times New Roman"/>
                <w:color w:val="auto"/>
                <w:sz w:val="24"/>
                <w:lang w:val="en-US" w:eastAsia="zh-CN"/>
              </w:rPr>
              <w:t>2.审批机关</w:t>
            </w:r>
            <w:r>
              <w:rPr>
                <w:rFonts w:hint="eastAsia"/>
                <w:color w:val="auto"/>
                <w:sz w:val="24"/>
                <w:lang w:val="en-US" w:eastAsia="zh-CN"/>
              </w:rPr>
              <w:t>：</w:t>
            </w:r>
            <w:r>
              <w:rPr>
                <w:rFonts w:hint="eastAsia" w:ascii="Times New Roman" w:hAnsi="Times New Roman" w:eastAsia="宋体" w:cs="Times New Roman"/>
                <w:color w:val="auto"/>
                <w:sz w:val="24"/>
                <w:szCs w:val="24"/>
                <w:highlight w:val="none"/>
                <w:lang w:val="en-US" w:eastAsia="zh-CN"/>
              </w:rPr>
              <w:t>乐山市人民政府</w:t>
            </w:r>
          </w:p>
          <w:p>
            <w:pPr>
              <w:keepNext w:val="0"/>
              <w:keepLines w:val="0"/>
              <w:pageBreakBefore w:val="0"/>
              <w:numPr>
                <w:ilvl w:val="0"/>
                <w:numId w:val="0"/>
              </w:numPr>
              <w:kinsoku/>
              <w:wordWrap/>
              <w:overflowPunct/>
              <w:topLinePunct w:val="0"/>
              <w:bidi w:val="0"/>
              <w:adjustRightInd w:val="0"/>
              <w:snapToGrid w:val="0"/>
              <w:spacing w:line="360" w:lineRule="auto"/>
              <w:jc w:val="both"/>
              <w:textAlignment w:val="auto"/>
              <w:rPr>
                <w:rFonts w:hint="default"/>
                <w:color w:val="auto"/>
                <w:sz w:val="24"/>
                <w:lang w:val="en-US" w:eastAsia="zh-CN"/>
              </w:rPr>
            </w:pPr>
            <w:r>
              <w:rPr>
                <w:rFonts w:hint="eastAsia"/>
                <w:color w:val="auto"/>
                <w:sz w:val="24"/>
                <w:lang w:val="en-US" w:eastAsia="zh-CN"/>
              </w:rPr>
              <w:t>3.审批文件名称：/</w:t>
            </w:r>
          </w:p>
          <w:p>
            <w:pPr>
              <w:keepNext w:val="0"/>
              <w:keepLines w:val="0"/>
              <w:pageBreakBefore w:val="0"/>
              <w:numPr>
                <w:ilvl w:val="0"/>
                <w:numId w:val="0"/>
              </w:numPr>
              <w:kinsoku/>
              <w:wordWrap/>
              <w:overflowPunct/>
              <w:topLinePunct w:val="0"/>
              <w:bidi w:val="0"/>
              <w:adjustRightInd w:val="0"/>
              <w:snapToGrid w:val="0"/>
              <w:spacing w:line="360" w:lineRule="auto"/>
              <w:jc w:val="both"/>
              <w:textAlignment w:val="auto"/>
              <w:rPr>
                <w:rFonts w:hint="default" w:ascii="Times New Roman" w:hAnsi="Times New Roman"/>
                <w:color w:val="auto"/>
                <w:sz w:val="24"/>
                <w:lang w:val="en-US" w:eastAsia="zh-CN"/>
              </w:rPr>
            </w:pPr>
            <w:r>
              <w:rPr>
                <w:rFonts w:hint="eastAsia"/>
                <w:color w:val="auto"/>
                <w:sz w:val="24"/>
                <w:lang w:val="en-US" w:eastAsia="zh-CN"/>
              </w:rPr>
              <w:t>4.批复文号：</w:t>
            </w:r>
            <w:r>
              <w:rPr>
                <w:rFonts w:ascii="Times New Roman" w:hAnsi="Times New Roman"/>
                <w:color w:val="auto"/>
                <w:sz w:val="24"/>
              </w:rPr>
              <w:t>乐府函[2011]43号</w:t>
            </w:r>
          </w:p>
          <w:p>
            <w:pPr>
              <w:keepNext w:val="0"/>
              <w:keepLines w:val="0"/>
              <w:pageBreakBefore w:val="0"/>
              <w:numPr>
                <w:ilvl w:val="0"/>
                <w:numId w:val="0"/>
              </w:numPr>
              <w:kinsoku/>
              <w:wordWrap/>
              <w:overflowPunct/>
              <w:topLinePunct w:val="0"/>
              <w:bidi w:val="0"/>
              <w:adjustRightInd w:val="0"/>
              <w:snapToGrid w:val="0"/>
              <w:jc w:val="both"/>
              <w:textAlignment w:val="auto"/>
              <w:rPr>
                <w:rFonts w:hint="default" w:ascii="Times New Roman" w:hAnsi="Times New Roman" w:eastAsia="宋体" w:cs="Times New Roman"/>
                <w:color w:val="auto"/>
                <w:kern w:val="21"/>
                <w:sz w:val="24"/>
                <w:szCs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68" w:type="pct"/>
            <w:gridSpan w:val="2"/>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kern w:val="21"/>
                <w:sz w:val="24"/>
                <w:szCs w:val="24"/>
              </w:rPr>
            </w:pPr>
            <w:r>
              <w:rPr>
                <w:rFonts w:hint="default" w:ascii="Times New Roman" w:hAnsi="Times New Roman" w:cs="Times New Roman"/>
                <w:kern w:val="21"/>
                <w:sz w:val="24"/>
                <w:szCs w:val="24"/>
                <w:highlight w:val="none"/>
              </w:rPr>
              <w:t>规划环境影响评价情况</w:t>
            </w:r>
          </w:p>
        </w:tc>
        <w:tc>
          <w:tcPr>
            <w:tcW w:w="4331" w:type="pct"/>
            <w:gridSpan w:val="3"/>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kern w:val="21"/>
                <w:sz w:val="24"/>
                <w:szCs w:val="24"/>
                <w:highlight w:val="none"/>
                <w:lang w:val="en-US" w:eastAsia="zh-CN"/>
              </w:rPr>
            </w:pPr>
            <w:r>
              <w:rPr>
                <w:rFonts w:hint="eastAsia" w:ascii="Times New Roman" w:hAnsi="Times New Roman" w:cs="Times New Roman"/>
                <w:color w:val="auto"/>
                <w:kern w:val="21"/>
                <w:sz w:val="24"/>
                <w:szCs w:val="24"/>
                <w:highlight w:val="none"/>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68" w:type="pct"/>
            <w:gridSpan w:val="2"/>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kern w:val="21"/>
                <w:sz w:val="24"/>
                <w:szCs w:val="24"/>
              </w:rPr>
            </w:pPr>
            <w:r>
              <w:rPr>
                <w:rFonts w:hint="default" w:ascii="Times New Roman" w:hAnsi="Times New Roman" w:cs="Times New Roman"/>
                <w:kern w:val="21"/>
                <w:sz w:val="24"/>
                <w:szCs w:val="24"/>
                <w:highlight w:val="none"/>
              </w:rPr>
              <w:t>规划及规划环境影响评价符合性分析</w:t>
            </w:r>
          </w:p>
        </w:tc>
        <w:tc>
          <w:tcPr>
            <w:tcW w:w="4331" w:type="pct"/>
            <w:gridSpan w:val="3"/>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auto"/>
                <w:kern w:val="21"/>
                <w:sz w:val="24"/>
                <w:szCs w:val="24"/>
              </w:rPr>
            </w:pPr>
            <w:r>
              <w:rPr>
                <w:rFonts w:hint="default" w:ascii="Times New Roman" w:hAnsi="Times New Roman" w:eastAsia="宋体" w:cs="Times New Roman"/>
                <w:b/>
                <w:bCs/>
                <w:color w:val="auto"/>
                <w:kern w:val="21"/>
                <w:sz w:val="24"/>
                <w:szCs w:val="24"/>
                <w:lang w:val="en-US" w:eastAsia="zh-CN"/>
              </w:rPr>
              <w:t>1、</w:t>
            </w:r>
            <w:r>
              <w:rPr>
                <w:rFonts w:hint="eastAsia" w:cs="Times New Roman"/>
                <w:b/>
                <w:bCs/>
                <w:color w:val="auto"/>
                <w:kern w:val="21"/>
                <w:sz w:val="24"/>
                <w:szCs w:val="24"/>
                <w:lang w:val="en-US" w:eastAsia="zh-CN"/>
              </w:rPr>
              <w:t>与《四川省乐山市临江河防洪治理工程实施规划》（2011年）</w:t>
            </w:r>
            <w:r>
              <w:rPr>
                <w:rFonts w:hint="default" w:ascii="Times New Roman" w:hAnsi="Times New Roman" w:eastAsia="宋体" w:cs="Times New Roman"/>
                <w:b/>
                <w:bCs/>
                <w:color w:val="auto"/>
                <w:kern w:val="21"/>
                <w:sz w:val="24"/>
                <w:szCs w:val="24"/>
                <w:lang w:val="en-US" w:eastAsia="zh-CN"/>
              </w:rPr>
              <w:t>符合性分析</w:t>
            </w:r>
          </w:p>
          <w:p>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default" w:ascii="Times New Roman" w:hAnsi="Times New Roman" w:eastAsia="宋体" w:cs="Times New Roman"/>
                <w:color w:val="auto"/>
                <w:kern w:val="21"/>
                <w:sz w:val="24"/>
                <w:szCs w:val="24"/>
                <w:lang w:val="en-US" w:eastAsia="zh-CN"/>
              </w:rPr>
            </w:pPr>
            <w:r>
              <w:rPr>
                <w:rFonts w:hint="eastAsia" w:ascii="Times New Roman" w:hAnsi="Times New Roman" w:eastAsia="宋体" w:cs="Times New Roman"/>
                <w:color w:val="auto"/>
                <w:kern w:val="21"/>
                <w:sz w:val="24"/>
                <w:szCs w:val="24"/>
                <w:lang w:val="en-US" w:eastAsia="zh-CN"/>
              </w:rPr>
              <w:t>根据《四川省乐山市临江河防洪治理工程实施规划》（2011年）</w:t>
            </w:r>
            <w:bookmarkStart w:id="0" w:name="_Toc300157404"/>
            <w:r>
              <w:rPr>
                <w:rFonts w:hint="eastAsia" w:ascii="Times New Roman" w:hAnsi="Times New Roman" w:eastAsia="宋体" w:cs="Times New Roman"/>
                <w:color w:val="auto"/>
                <w:kern w:val="21"/>
                <w:sz w:val="24"/>
                <w:szCs w:val="24"/>
                <w:lang w:val="en-US" w:eastAsia="zh-CN"/>
              </w:rPr>
              <w:t>中3 实施意见</w:t>
            </w:r>
            <w:bookmarkEnd w:id="0"/>
            <w:r>
              <w:rPr>
                <w:rFonts w:hint="eastAsia" w:ascii="Times New Roman" w:hAnsi="Times New Roman" w:eastAsia="宋体" w:cs="Times New Roman"/>
                <w:color w:val="auto"/>
                <w:kern w:val="21"/>
                <w:sz w:val="24"/>
                <w:szCs w:val="24"/>
                <w:lang w:val="en-US" w:eastAsia="zh-CN"/>
              </w:rPr>
              <w:t>内容：市中区苏稽镇（杨军坝~石鼓寺漫水桥）及</w:t>
            </w:r>
            <w:r>
              <w:rPr>
                <w:rFonts w:hint="eastAsia" w:ascii="Times New Roman" w:hAnsi="Times New Roman" w:eastAsia="宋体" w:cs="Times New Roman"/>
                <w:b/>
                <w:bCs/>
                <w:color w:val="auto"/>
                <w:kern w:val="21"/>
                <w:sz w:val="24"/>
                <w:szCs w:val="24"/>
                <w:lang w:val="en-US" w:eastAsia="zh-CN"/>
              </w:rPr>
              <w:t>平兴乡新场~王岗、</w:t>
            </w:r>
            <w:r>
              <w:rPr>
                <w:rFonts w:hint="eastAsia" w:ascii="Times New Roman" w:hAnsi="Times New Roman" w:eastAsia="宋体" w:cs="Times New Roman"/>
                <w:b w:val="0"/>
                <w:bCs w:val="0"/>
                <w:color w:val="auto"/>
                <w:kern w:val="21"/>
                <w:sz w:val="24"/>
                <w:szCs w:val="24"/>
                <w:lang w:val="en-US" w:eastAsia="zh-CN"/>
              </w:rPr>
              <w:t>曹河坝至彭村</w:t>
            </w:r>
            <w:r>
              <w:rPr>
                <w:rFonts w:hint="eastAsia" w:ascii="Times New Roman" w:hAnsi="Times New Roman" w:eastAsia="宋体" w:cs="Times New Roman"/>
                <w:color w:val="auto"/>
                <w:kern w:val="21"/>
                <w:sz w:val="24"/>
                <w:szCs w:val="24"/>
                <w:lang w:val="en-US" w:eastAsia="zh-CN"/>
              </w:rPr>
              <w:t>防洪治理工程未纳入乐山市水务局编制的《乐山市中小河流治理建设规划》（2011~2015），考虑到城市远期发展需要，将以上河段规划为临江河治理储备项目，列为2015年以后实施项目。市中区平兴镇李塘～王岗段治理河堤长度3.16km、漕河坝～彭村段治理河堤长度1.95km，主要形式采用新建衡重式堤防和新建斜坡式堤防。</w:t>
            </w:r>
          </w:p>
          <w:p>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default" w:ascii="Times New Roman" w:hAnsi="Times New Roman" w:eastAsia="宋体" w:cs="Times New Roman"/>
                <w:color w:val="auto"/>
                <w:kern w:val="21"/>
                <w:sz w:val="24"/>
                <w:szCs w:val="24"/>
              </w:rPr>
            </w:pPr>
            <w:r>
              <w:rPr>
                <w:rFonts w:hint="eastAsia" w:ascii="Times New Roman" w:hAnsi="Times New Roman" w:eastAsia="宋体" w:cs="Times New Roman"/>
                <w:color w:val="auto"/>
                <w:kern w:val="21"/>
                <w:sz w:val="24"/>
                <w:szCs w:val="24"/>
                <w:lang w:val="en-US" w:eastAsia="zh-CN"/>
              </w:rPr>
              <w:t>根据《四川省乐山市临江河防洪治理工程实施规划》结合实际情况，本项目确定</w:t>
            </w:r>
            <w:r>
              <w:rPr>
                <w:rFonts w:hint="default" w:ascii="Times New Roman" w:hAnsi="Times New Roman" w:eastAsia="宋体" w:cs="Times New Roman"/>
                <w:b w:val="0"/>
                <w:bCs w:val="0"/>
                <w:color w:val="auto"/>
                <w:sz w:val="24"/>
              </w:rPr>
              <w:t>综合治理长度6.27km，治理段上起游坝村皂角冲，终点止于三圣村琵琶沱</w:t>
            </w:r>
            <w:r>
              <w:rPr>
                <w:rFonts w:hint="eastAsia" w:ascii="Times New Roman" w:hAnsi="Times New Roman" w:eastAsia="宋体" w:cs="Times New Roman"/>
                <w:b w:val="0"/>
                <w:bCs w:val="0"/>
                <w:color w:val="auto"/>
                <w:sz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21"/>
                <w:sz w:val="24"/>
                <w:szCs w:val="24"/>
                <w:highlight w:val="none"/>
                <w:lang w:val="en-US" w:eastAsia="zh-CN"/>
              </w:rPr>
            </w:pPr>
            <w:r>
              <w:rPr>
                <w:rFonts w:hint="default" w:ascii="Times New Roman" w:hAnsi="Times New Roman" w:eastAsia="宋体" w:cs="Times New Roman"/>
                <w:bCs/>
                <w:color w:val="auto"/>
                <w:sz w:val="24"/>
              </w:rPr>
              <w:t>因此，本次工程符合</w:t>
            </w:r>
            <w:r>
              <w:rPr>
                <w:rFonts w:hint="eastAsia" w:cs="Times New Roman"/>
                <w:bCs/>
                <w:color w:val="auto"/>
                <w:sz w:val="24"/>
                <w:lang w:eastAsia="zh-CN"/>
              </w:rPr>
              <w:t>《</w:t>
            </w:r>
            <w:r>
              <w:rPr>
                <w:rFonts w:hint="default" w:ascii="Times New Roman" w:hAnsi="Times New Roman" w:eastAsia="宋体" w:cs="Times New Roman"/>
                <w:bCs/>
                <w:color w:val="auto"/>
                <w:sz w:val="24"/>
                <w:lang w:val="en-US" w:eastAsia="zh-CN"/>
              </w:rPr>
              <w:t>四川省乐山市临江河防洪治理工程实施规划》（2011年）</w:t>
            </w:r>
            <w:r>
              <w:rPr>
                <w:rFonts w:hint="default" w:ascii="Times New Roman" w:hAnsi="Times New Roman" w:eastAsia="宋体" w:cs="Times New Roman"/>
                <w:bCs/>
                <w:color w:val="auto"/>
                <w:sz w:val="24"/>
              </w:rPr>
              <w:t>规划</w:t>
            </w:r>
            <w:r>
              <w:rPr>
                <w:rFonts w:hint="eastAsia" w:cs="Times New Roman"/>
                <w:bCs/>
                <w:color w:val="auto"/>
                <w:sz w:val="24"/>
                <w:lang w:val="en-US" w:eastAsia="zh-CN"/>
              </w:rPr>
              <w:t>要求</w:t>
            </w:r>
            <w:r>
              <w:rPr>
                <w:rFonts w:hint="default" w:ascii="Times New Roman" w:hAnsi="Times New Roman" w:eastAsia="宋体" w:cs="Times New Roman"/>
                <w:color w:val="auto"/>
                <w:kern w:val="21"/>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668" w:type="pct"/>
            <w:gridSpan w:val="2"/>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kern w:val="21"/>
                <w:sz w:val="24"/>
                <w:szCs w:val="24"/>
              </w:rPr>
            </w:pPr>
            <w:bookmarkStart w:id="1" w:name="_Hlk56690880"/>
            <w:r>
              <w:rPr>
                <w:rFonts w:hint="default" w:ascii="Times New Roman" w:hAnsi="Times New Roman" w:cs="Times New Roman"/>
                <w:kern w:val="21"/>
                <w:sz w:val="24"/>
                <w:szCs w:val="24"/>
              </w:rPr>
              <w:t>其他符合性分析</w:t>
            </w:r>
            <w:bookmarkEnd w:id="1"/>
          </w:p>
        </w:tc>
        <w:tc>
          <w:tcPr>
            <w:tcW w:w="4331" w:type="pct"/>
            <w:gridSpan w:val="3"/>
            <w:noWrap w:val="0"/>
            <w:vAlign w:val="center"/>
          </w:tcPr>
          <w:p>
            <w:pPr>
              <w:keepNext w:val="0"/>
              <w:keepLines w:val="0"/>
              <w:pageBreakBefore w:val="0"/>
              <w:widowControl w:val="0"/>
              <w:kinsoku/>
              <w:wordWrap/>
              <w:overflowPunct/>
              <w:topLinePunct w:val="0"/>
              <w:bidi w:val="0"/>
              <w:spacing w:line="360" w:lineRule="auto"/>
              <w:ind w:left="48" w:leftChars="20" w:right="48" w:rightChars="20" w:firstLine="482" w:firstLineChars="200"/>
              <w:textAlignment w:val="auto"/>
              <w:rPr>
                <w:rFonts w:hint="eastAsia"/>
                <w:b/>
                <w:bCs/>
                <w:color w:val="auto"/>
                <w:sz w:val="24"/>
                <w:lang w:val="en-US" w:eastAsia="zh-CN"/>
              </w:rPr>
            </w:pPr>
            <w:r>
              <w:rPr>
                <w:rFonts w:hint="eastAsia"/>
                <w:b/>
                <w:bCs/>
                <w:color w:val="auto"/>
                <w:sz w:val="24"/>
                <w:lang w:val="en-US" w:eastAsia="zh-CN"/>
              </w:rPr>
              <w:t>1、产业政策符合性分析</w:t>
            </w:r>
          </w:p>
          <w:p>
            <w:pPr>
              <w:keepNext w:val="0"/>
              <w:keepLines w:val="0"/>
              <w:pageBreakBefore w:val="0"/>
              <w:widowControl w:val="0"/>
              <w:kinsoku/>
              <w:wordWrap/>
              <w:overflowPunct/>
              <w:topLinePunct w:val="0"/>
              <w:bidi w:val="0"/>
              <w:spacing w:line="360" w:lineRule="auto"/>
              <w:ind w:left="48" w:leftChars="20" w:right="48" w:rightChars="20" w:firstLine="480" w:firstLineChars="200"/>
              <w:textAlignment w:val="auto"/>
              <w:rPr>
                <w:rFonts w:hint="eastAsia"/>
                <w:color w:val="auto"/>
                <w:sz w:val="24"/>
                <w:lang w:val="en-US" w:eastAsia="zh-CN"/>
              </w:rPr>
            </w:pPr>
            <w:r>
              <w:rPr>
                <w:rFonts w:hint="eastAsia"/>
                <w:color w:val="auto"/>
                <w:sz w:val="24"/>
                <w:lang w:val="en-US" w:eastAsia="zh-CN"/>
              </w:rPr>
              <w:t>（1）产业政策符合性分析</w:t>
            </w:r>
          </w:p>
          <w:p>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default" w:ascii="Times New Roman" w:hAnsi="Times New Roman" w:eastAsia="宋体" w:cs="Times New Roman"/>
                <w:color w:val="auto"/>
                <w:kern w:val="21"/>
                <w:sz w:val="24"/>
                <w:szCs w:val="24"/>
              </w:rPr>
            </w:pPr>
            <w:r>
              <w:rPr>
                <w:rFonts w:hint="default" w:ascii="Times New Roman" w:hAnsi="Times New Roman" w:eastAsia="宋体" w:cs="Times New Roman"/>
                <w:color w:val="auto"/>
                <w:kern w:val="21"/>
                <w:sz w:val="24"/>
                <w:szCs w:val="24"/>
              </w:rPr>
              <w:t>本项目属于《国民经济分类及行业代码》（GB/T4754-2017）（2019年修改版）中的E4822河湖治理及防洪设施工程建筑</w:t>
            </w:r>
            <w:r>
              <w:rPr>
                <w:rFonts w:hint="default" w:ascii="Times New Roman" w:hAnsi="Times New Roman" w:eastAsia="宋体" w:cs="Times New Roman"/>
                <w:color w:val="auto"/>
                <w:kern w:val="21"/>
                <w:sz w:val="24"/>
                <w:szCs w:val="24"/>
                <w:lang w:eastAsia="zh-CN"/>
              </w:rPr>
              <w:t>。</w:t>
            </w:r>
            <w:r>
              <w:rPr>
                <w:rFonts w:hint="default" w:ascii="Times New Roman" w:hAnsi="Times New Roman" w:eastAsia="宋体" w:cs="Times New Roman"/>
                <w:color w:val="auto"/>
                <w:kern w:val="21"/>
                <w:sz w:val="24"/>
                <w:szCs w:val="24"/>
              </w:rPr>
              <w:t>根据《《产业结构调整指导目录（2019年本）》</w:t>
            </w:r>
            <w:r>
              <w:rPr>
                <w:rFonts w:hint="default" w:ascii="Times New Roman" w:hAnsi="Times New Roman" w:eastAsia="宋体" w:cs="Times New Roman"/>
                <w:color w:val="auto"/>
                <w:kern w:val="21"/>
                <w:sz w:val="24"/>
                <w:szCs w:val="24"/>
                <w:lang w:eastAsia="zh-CN"/>
              </w:rPr>
              <w:t>（</w:t>
            </w:r>
            <w:r>
              <w:rPr>
                <w:rFonts w:hint="default" w:ascii="Times New Roman" w:hAnsi="Times New Roman" w:eastAsia="宋体" w:cs="Times New Roman"/>
                <w:color w:val="auto"/>
                <w:kern w:val="21"/>
                <w:sz w:val="24"/>
                <w:szCs w:val="24"/>
                <w:lang w:val="en-US" w:eastAsia="zh-CN"/>
              </w:rPr>
              <w:t>2021年修订</w:t>
            </w:r>
            <w:r>
              <w:rPr>
                <w:rFonts w:hint="default" w:ascii="Times New Roman" w:hAnsi="Times New Roman" w:eastAsia="宋体" w:cs="Times New Roman"/>
                <w:color w:val="auto"/>
                <w:kern w:val="21"/>
                <w:sz w:val="24"/>
                <w:szCs w:val="24"/>
                <w:lang w:eastAsia="zh-CN"/>
              </w:rPr>
              <w:t>），</w:t>
            </w:r>
            <w:r>
              <w:rPr>
                <w:rFonts w:hint="default" w:ascii="Times New Roman" w:hAnsi="Times New Roman" w:eastAsia="宋体" w:cs="Times New Roman"/>
                <w:color w:val="auto"/>
                <w:kern w:val="21"/>
                <w:sz w:val="24"/>
                <w:szCs w:val="24"/>
              </w:rPr>
              <w:t>本项目属于第一类（鼓励类）第二条中“</w:t>
            </w:r>
            <w:r>
              <w:rPr>
                <w:rFonts w:hint="default" w:ascii="Times New Roman" w:hAnsi="Times New Roman" w:eastAsia="宋体" w:cs="Times New Roman"/>
                <w:color w:val="auto"/>
                <w:sz w:val="24"/>
                <w:szCs w:val="24"/>
              </w:rPr>
              <w:t>江河湖海堤防建设及河道治理工程</w:t>
            </w:r>
            <w:r>
              <w:rPr>
                <w:rFonts w:hint="default" w:ascii="Times New Roman" w:hAnsi="Times New Roman" w:eastAsia="宋体" w:cs="Times New Roman"/>
                <w:color w:val="auto"/>
                <w:kern w:val="21"/>
                <w:sz w:val="24"/>
                <w:szCs w:val="24"/>
              </w:rPr>
              <w:t>”。</w:t>
            </w:r>
          </w:p>
          <w:p>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default" w:ascii="Times New Roman" w:hAnsi="Times New Roman" w:eastAsia="宋体" w:cs="Times New Roman"/>
                <w:color w:val="auto"/>
                <w:kern w:val="21"/>
                <w:sz w:val="24"/>
                <w:szCs w:val="24"/>
                <w:highlight w:val="none"/>
              </w:rPr>
            </w:pPr>
            <w:r>
              <w:rPr>
                <w:rFonts w:hint="default" w:ascii="Times New Roman" w:hAnsi="Times New Roman" w:eastAsia="宋体" w:cs="Times New Roman"/>
                <w:color w:val="auto"/>
                <w:kern w:val="21"/>
                <w:sz w:val="24"/>
                <w:szCs w:val="24"/>
                <w:highlight w:val="none"/>
              </w:rPr>
              <w:t>此外，本项目已于20</w:t>
            </w:r>
            <w:r>
              <w:rPr>
                <w:rFonts w:hint="default" w:ascii="Times New Roman" w:hAnsi="Times New Roman" w:eastAsia="宋体" w:cs="Times New Roman"/>
                <w:color w:val="auto"/>
                <w:kern w:val="21"/>
                <w:sz w:val="24"/>
                <w:szCs w:val="24"/>
                <w:highlight w:val="none"/>
                <w:lang w:val="en-US" w:eastAsia="zh-CN"/>
              </w:rPr>
              <w:t>2</w:t>
            </w:r>
            <w:r>
              <w:rPr>
                <w:rFonts w:hint="eastAsia" w:cs="Times New Roman"/>
                <w:color w:val="auto"/>
                <w:kern w:val="21"/>
                <w:sz w:val="24"/>
                <w:szCs w:val="24"/>
                <w:highlight w:val="none"/>
                <w:lang w:val="en-US" w:eastAsia="zh-CN"/>
              </w:rPr>
              <w:t>2</w:t>
            </w:r>
            <w:r>
              <w:rPr>
                <w:rFonts w:hint="default" w:ascii="Times New Roman" w:hAnsi="Times New Roman" w:eastAsia="宋体" w:cs="Times New Roman"/>
                <w:color w:val="auto"/>
                <w:kern w:val="21"/>
                <w:sz w:val="24"/>
                <w:szCs w:val="24"/>
                <w:highlight w:val="none"/>
              </w:rPr>
              <w:t>年</w:t>
            </w:r>
            <w:r>
              <w:rPr>
                <w:rFonts w:hint="default" w:ascii="Times New Roman" w:hAnsi="Times New Roman" w:eastAsia="宋体" w:cs="Times New Roman"/>
                <w:color w:val="auto"/>
                <w:kern w:val="21"/>
                <w:sz w:val="24"/>
                <w:szCs w:val="24"/>
                <w:highlight w:val="none"/>
                <w:lang w:val="en-US" w:eastAsia="zh-CN"/>
              </w:rPr>
              <w:t>9</w:t>
            </w:r>
            <w:r>
              <w:rPr>
                <w:rFonts w:hint="default" w:ascii="Times New Roman" w:hAnsi="Times New Roman" w:eastAsia="宋体" w:cs="Times New Roman"/>
                <w:color w:val="auto"/>
                <w:kern w:val="21"/>
                <w:sz w:val="24"/>
                <w:szCs w:val="24"/>
                <w:highlight w:val="none"/>
              </w:rPr>
              <w:t>月</w:t>
            </w:r>
            <w:r>
              <w:rPr>
                <w:rFonts w:hint="eastAsia" w:cs="Times New Roman"/>
                <w:color w:val="auto"/>
                <w:kern w:val="21"/>
                <w:sz w:val="24"/>
                <w:szCs w:val="24"/>
                <w:highlight w:val="none"/>
                <w:lang w:val="en-US" w:eastAsia="zh-CN"/>
              </w:rPr>
              <w:t>9</w:t>
            </w:r>
            <w:r>
              <w:rPr>
                <w:rFonts w:hint="default" w:ascii="Times New Roman" w:hAnsi="Times New Roman" w:eastAsia="宋体" w:cs="Times New Roman"/>
                <w:color w:val="auto"/>
                <w:kern w:val="21"/>
                <w:sz w:val="24"/>
                <w:szCs w:val="24"/>
                <w:highlight w:val="none"/>
              </w:rPr>
              <w:t>日取得</w:t>
            </w:r>
            <w:r>
              <w:rPr>
                <w:rFonts w:hint="default" w:ascii="Times New Roman" w:hAnsi="Times New Roman" w:eastAsia="宋体" w:cs="Times New Roman"/>
                <w:color w:val="auto"/>
                <w:kern w:val="21"/>
                <w:sz w:val="24"/>
                <w:szCs w:val="24"/>
                <w:highlight w:val="none"/>
                <w:lang w:val="en-US" w:eastAsia="zh-CN"/>
              </w:rPr>
              <w:t>乐山市市中区行政审批局</w:t>
            </w:r>
            <w:r>
              <w:rPr>
                <w:rFonts w:hint="default" w:ascii="Times New Roman" w:hAnsi="Times New Roman" w:eastAsia="宋体" w:cs="Times New Roman"/>
                <w:color w:val="auto"/>
                <w:kern w:val="21"/>
                <w:sz w:val="24"/>
                <w:szCs w:val="24"/>
                <w:highlight w:val="none"/>
              </w:rPr>
              <w:t>关于</w:t>
            </w:r>
            <w:r>
              <w:rPr>
                <w:rFonts w:hint="eastAsia" w:cs="Times New Roman"/>
                <w:color w:val="auto"/>
                <w:kern w:val="21"/>
                <w:sz w:val="24"/>
                <w:szCs w:val="24"/>
                <w:highlight w:val="none"/>
                <w:lang w:eastAsia="zh-CN"/>
              </w:rPr>
              <w:t>四川省乐山市中区临江河平兴镇防洪治理工程</w:t>
            </w:r>
            <w:r>
              <w:rPr>
                <w:rFonts w:hint="default" w:ascii="Times New Roman" w:hAnsi="Times New Roman" w:eastAsia="宋体" w:cs="Times New Roman"/>
                <w:i w:val="0"/>
                <w:iCs w:val="0"/>
                <w:color w:val="auto"/>
                <w:kern w:val="21"/>
                <w:sz w:val="24"/>
                <w:szCs w:val="24"/>
                <w:highlight w:val="none"/>
              </w:rPr>
              <w:t>初步设计的批复</w:t>
            </w:r>
            <w:r>
              <w:rPr>
                <w:rFonts w:hint="default" w:ascii="Times New Roman" w:hAnsi="Times New Roman" w:eastAsia="宋体" w:cs="Times New Roman"/>
                <w:i w:val="0"/>
                <w:iCs w:val="0"/>
                <w:color w:val="auto"/>
                <w:kern w:val="21"/>
                <w:sz w:val="24"/>
                <w:szCs w:val="24"/>
                <w:highlight w:val="none"/>
                <w:lang w:eastAsia="zh-CN"/>
              </w:rPr>
              <w:t>（</w:t>
            </w:r>
            <w:r>
              <w:rPr>
                <w:rFonts w:hint="eastAsia" w:ascii="Times New Roman" w:hAnsi="Times New Roman" w:eastAsia="宋体" w:cs="Times New Roman"/>
                <w:i w:val="0"/>
                <w:iCs w:val="0"/>
                <w:kern w:val="21"/>
                <w:sz w:val="24"/>
                <w:szCs w:val="24"/>
                <w:highlight w:val="none"/>
                <w:lang w:val="en-US" w:eastAsia="zh-CN"/>
              </w:rPr>
              <w:t>乐中行政审批函〔2022〕365号</w:t>
            </w:r>
            <w:r>
              <w:rPr>
                <w:rFonts w:hint="default" w:ascii="Times New Roman" w:hAnsi="Times New Roman" w:eastAsia="宋体" w:cs="Times New Roman"/>
                <w:i w:val="0"/>
                <w:iCs w:val="0"/>
                <w:color w:val="auto"/>
                <w:kern w:val="21"/>
                <w:sz w:val="24"/>
                <w:szCs w:val="24"/>
                <w:highlight w:val="none"/>
                <w:lang w:eastAsia="zh-CN"/>
              </w:rPr>
              <w:t>）</w:t>
            </w:r>
            <w:r>
              <w:rPr>
                <w:rFonts w:hint="default" w:ascii="Times New Roman" w:hAnsi="Times New Roman" w:eastAsia="宋体" w:cs="Times New Roman"/>
                <w:i w:val="0"/>
                <w:iCs w:val="0"/>
                <w:color w:val="auto"/>
                <w:kern w:val="21"/>
                <w:sz w:val="24"/>
                <w:szCs w:val="24"/>
                <w:highlight w:val="none"/>
              </w:rPr>
              <w:t>。</w:t>
            </w:r>
          </w:p>
          <w:p>
            <w:pPr>
              <w:keepNext w:val="0"/>
              <w:keepLines w:val="0"/>
              <w:pageBreakBefore w:val="0"/>
              <w:kinsoku/>
              <w:wordWrap/>
              <w:overflowPunct/>
              <w:topLinePunct w:val="0"/>
              <w:autoSpaceDE w:val="0"/>
              <w:autoSpaceDN w:val="0"/>
              <w:bidi w:val="0"/>
              <w:adjustRightInd w:val="0"/>
              <w:snapToGrid w:val="0"/>
              <w:spacing w:line="360" w:lineRule="auto"/>
              <w:ind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kern w:val="21"/>
                <w:sz w:val="24"/>
                <w:szCs w:val="24"/>
              </w:rPr>
              <w:t>综上所述，本项目的建设符合国家的产业政策要求。</w:t>
            </w:r>
          </w:p>
          <w:p>
            <w:pPr>
              <w:pStyle w:val="2"/>
              <w:keepNext w:val="0"/>
              <w:keepLines w:val="0"/>
              <w:pageBreakBefore w:val="0"/>
              <w:kinsoku/>
              <w:wordWrap/>
              <w:overflowPunct/>
              <w:topLinePunct w:val="0"/>
              <w:bidi w:val="0"/>
              <w:adjustRightInd w:val="0"/>
              <w:snapToGrid w:val="0"/>
              <w:spacing w:before="0" w:after="0" w:line="360" w:lineRule="auto"/>
              <w:ind w:right="0"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、与“三线一单”的符合性分析</w:t>
            </w:r>
          </w:p>
          <w:p>
            <w:pPr>
              <w:keepNext w:val="0"/>
              <w:keepLines w:val="0"/>
              <w:pageBreakBefore w:val="0"/>
              <w:kinsoku/>
              <w:wordWrap/>
              <w:overflowPunct/>
              <w:topLinePunct w:val="0"/>
              <w:autoSpaceDE w:val="0"/>
              <w:autoSpaceDN w:val="0"/>
              <w:bidi w:val="0"/>
              <w:adjustRightInd w:val="0"/>
              <w:snapToGrid w:val="0"/>
              <w:spacing w:line="360" w:lineRule="auto"/>
              <w:ind w:left="48" w:leftChars="20" w:right="48" w:rightChars="20" w:firstLine="480" w:firstLineChars="200"/>
              <w:jc w:val="left"/>
              <w:textAlignment w:val="auto"/>
              <w:rPr>
                <w:rFonts w:hint="eastAsia" w:ascii="Times New Roman" w:hAnsi="Times New Roman" w:eastAsia="宋体" w:cs="Times New Roman"/>
                <w:color w:val="auto"/>
                <w:sz w:val="24"/>
                <w:shd w:val="clear" w:color="auto" w:fill="FFFFFF"/>
              </w:rPr>
            </w:pPr>
            <w:r>
              <w:rPr>
                <w:rFonts w:ascii="Times New Roman" w:hAnsi="Times New Roman" w:eastAsia="宋体" w:cs="Times New Roman"/>
                <w:color w:val="auto"/>
                <w:sz w:val="24"/>
                <w:shd w:val="clear" w:color="auto" w:fill="FFFFFF"/>
              </w:rPr>
              <w:t>“三线一单”是以改善环境质量为核心，将生态保护红线、环境质量底线、资源利用上线落实到不同的环境管控单元，并建立环境准入负面清单的环境分区管控体系。</w:t>
            </w:r>
          </w:p>
          <w:p>
            <w:pPr>
              <w:keepNext w:val="0"/>
              <w:keepLines w:val="0"/>
              <w:pageBreakBefore w:val="0"/>
              <w:kinsoku/>
              <w:wordWrap/>
              <w:overflowPunct/>
              <w:topLinePunct w:val="0"/>
              <w:autoSpaceDE w:val="0"/>
              <w:autoSpaceDN w:val="0"/>
              <w:bidi w:val="0"/>
              <w:adjustRightInd w:val="0"/>
              <w:snapToGrid w:val="0"/>
              <w:spacing w:line="360" w:lineRule="auto"/>
              <w:ind w:left="48" w:leftChars="20" w:right="48" w:rightChars="20" w:firstLine="480" w:firstLineChars="200"/>
              <w:jc w:val="left"/>
              <w:textAlignment w:val="auto"/>
              <w:rPr>
                <w:rFonts w:hint="eastAsia" w:ascii="Times New Roman" w:hAnsi="Times New Roman" w:eastAsia="宋体" w:cs="Times New Roman"/>
                <w:color w:val="auto"/>
                <w:sz w:val="24"/>
                <w:shd w:val="clear" w:color="auto" w:fill="FFFFFF"/>
              </w:rPr>
            </w:pPr>
            <w:r>
              <w:rPr>
                <w:rFonts w:hint="eastAsia" w:ascii="Times New Roman" w:hAnsi="Times New Roman" w:eastAsia="宋体" w:cs="Times New Roman"/>
                <w:color w:val="auto"/>
                <w:sz w:val="24"/>
                <w:shd w:val="clear" w:color="auto" w:fill="FFFFFF"/>
              </w:rPr>
              <w:t>根据四川省生态环境厅办公室关于印发《产业园区规划环评</w:t>
            </w:r>
            <w:r>
              <w:rPr>
                <w:rFonts w:hint="eastAsia" w:ascii="Times New Roman" w:hAnsi="Times New Roman" w:eastAsia="宋体" w:cs="Times New Roman"/>
                <w:color w:val="auto"/>
                <w:sz w:val="24"/>
                <w:shd w:val="clear" w:color="auto" w:fill="FFFFFF"/>
                <w:lang w:eastAsia="zh-CN"/>
              </w:rPr>
              <w:t>“</w:t>
            </w:r>
            <w:r>
              <w:rPr>
                <w:rFonts w:hint="eastAsia" w:ascii="Times New Roman" w:hAnsi="Times New Roman" w:eastAsia="宋体" w:cs="Times New Roman"/>
                <w:color w:val="auto"/>
                <w:sz w:val="24"/>
                <w:shd w:val="clear" w:color="auto" w:fill="FFFFFF"/>
              </w:rPr>
              <w:t>三线一单</w:t>
            </w:r>
            <w:r>
              <w:rPr>
                <w:rFonts w:hint="eastAsia" w:ascii="Times New Roman" w:hAnsi="Times New Roman" w:eastAsia="宋体" w:cs="Times New Roman"/>
                <w:color w:val="auto"/>
                <w:sz w:val="24"/>
                <w:shd w:val="clear" w:color="auto" w:fill="FFFFFF"/>
                <w:lang w:eastAsia="zh-CN"/>
              </w:rPr>
              <w:t>”</w:t>
            </w:r>
            <w:r>
              <w:rPr>
                <w:rFonts w:hint="eastAsia" w:ascii="Times New Roman" w:hAnsi="Times New Roman" w:eastAsia="宋体" w:cs="Times New Roman"/>
                <w:color w:val="auto"/>
                <w:sz w:val="24"/>
                <w:shd w:val="clear" w:color="auto" w:fill="FFFFFF"/>
              </w:rPr>
              <w:t>符合性分析技术要点（试行）》和《项目环评</w:t>
            </w:r>
            <w:r>
              <w:rPr>
                <w:rFonts w:hint="eastAsia" w:ascii="Times New Roman" w:hAnsi="Times New Roman" w:eastAsia="宋体" w:cs="Times New Roman"/>
                <w:color w:val="auto"/>
                <w:sz w:val="24"/>
                <w:shd w:val="clear" w:color="auto" w:fill="FFFFFF"/>
                <w:lang w:eastAsia="zh-CN"/>
              </w:rPr>
              <w:t>“</w:t>
            </w:r>
            <w:r>
              <w:rPr>
                <w:rFonts w:hint="eastAsia" w:ascii="Times New Roman" w:hAnsi="Times New Roman" w:eastAsia="宋体" w:cs="Times New Roman"/>
                <w:color w:val="auto"/>
                <w:sz w:val="24"/>
                <w:shd w:val="clear" w:color="auto" w:fill="FFFFFF"/>
              </w:rPr>
              <w:t>三线一单</w:t>
            </w:r>
            <w:r>
              <w:rPr>
                <w:rFonts w:hint="eastAsia" w:ascii="Times New Roman" w:hAnsi="Times New Roman" w:eastAsia="宋体" w:cs="Times New Roman"/>
                <w:color w:val="auto"/>
                <w:sz w:val="24"/>
                <w:shd w:val="clear" w:color="auto" w:fill="FFFFFF"/>
                <w:lang w:eastAsia="zh-CN"/>
              </w:rPr>
              <w:t>”</w:t>
            </w:r>
            <w:r>
              <w:rPr>
                <w:rFonts w:hint="eastAsia" w:ascii="Times New Roman" w:hAnsi="Times New Roman" w:eastAsia="宋体" w:cs="Times New Roman"/>
                <w:color w:val="auto"/>
                <w:sz w:val="24"/>
                <w:shd w:val="clear" w:color="auto" w:fill="FFFFFF"/>
              </w:rPr>
              <w:t>符合性分析技术要点（试行）》的通知（川环办函〔2021〕469号）文件，建设项目环境影响评价中</w:t>
            </w:r>
            <w:r>
              <w:rPr>
                <w:rFonts w:hint="eastAsia" w:ascii="Times New Roman" w:hAnsi="Times New Roman" w:eastAsia="宋体" w:cs="Times New Roman"/>
                <w:color w:val="auto"/>
                <w:sz w:val="24"/>
                <w:shd w:val="clear" w:color="auto" w:fill="FFFFFF"/>
                <w:lang w:eastAsia="zh-CN"/>
              </w:rPr>
              <w:t>“</w:t>
            </w:r>
            <w:r>
              <w:rPr>
                <w:rFonts w:hint="eastAsia" w:ascii="Times New Roman" w:hAnsi="Times New Roman" w:eastAsia="宋体" w:cs="Times New Roman"/>
                <w:color w:val="auto"/>
                <w:sz w:val="24"/>
                <w:shd w:val="clear" w:color="auto" w:fill="FFFFFF"/>
              </w:rPr>
              <w:t>三线一单</w:t>
            </w:r>
            <w:r>
              <w:rPr>
                <w:rFonts w:hint="eastAsia" w:ascii="Times New Roman" w:hAnsi="Times New Roman" w:eastAsia="宋体" w:cs="Times New Roman"/>
                <w:color w:val="auto"/>
                <w:sz w:val="24"/>
                <w:shd w:val="clear" w:color="auto" w:fill="FFFFFF"/>
                <w:lang w:eastAsia="zh-CN"/>
              </w:rPr>
              <w:t>”</w:t>
            </w:r>
            <w:r>
              <w:rPr>
                <w:rFonts w:hint="eastAsia" w:ascii="Times New Roman" w:hAnsi="Times New Roman" w:eastAsia="宋体" w:cs="Times New Roman"/>
                <w:color w:val="auto"/>
                <w:sz w:val="24"/>
                <w:shd w:val="clear" w:color="auto" w:fill="FFFFFF"/>
              </w:rPr>
              <w:t>符合性分析结构如下图所示：</w:t>
            </w:r>
          </w:p>
          <w:p>
            <w:pPr>
              <w:keepNext w:val="0"/>
              <w:keepLines w:val="0"/>
              <w:pageBreakBefore w:val="0"/>
              <w:kinsoku/>
              <w:wordWrap/>
              <w:overflowPunct/>
              <w:topLinePunct w:val="0"/>
              <w:autoSpaceDE w:val="0"/>
              <w:autoSpaceDN w:val="0"/>
              <w:bidi w:val="0"/>
              <w:adjustRightInd w:val="0"/>
              <w:snapToGrid w:val="0"/>
              <w:spacing w:line="360" w:lineRule="auto"/>
              <w:ind w:left="48" w:leftChars="20" w:right="48" w:rightChars="20" w:firstLine="480" w:firstLineChars="200"/>
              <w:jc w:val="left"/>
              <w:textAlignment w:val="auto"/>
              <w:rPr>
                <w:rFonts w:hint="eastAsia" w:ascii="Times New Roman" w:hAnsi="Times New Roman" w:eastAsia="宋体" w:cs="Times New Roman"/>
                <w:color w:val="auto"/>
                <w:sz w:val="24"/>
                <w:shd w:val="clear" w:color="auto" w:fill="FFFFFF"/>
              </w:rPr>
            </w:pPr>
            <w:r>
              <w:rPr>
                <w:rFonts w:hint="eastAsia" w:ascii="Times New Roman" w:hAnsi="Times New Roman" w:eastAsia="宋体" w:cs="Times New Roman"/>
                <w:color w:val="auto"/>
                <w:sz w:val="24"/>
                <w:shd w:val="clear" w:color="auto" w:fill="FFFFFF"/>
              </w:rPr>
              <w:drawing>
                <wp:inline distT="0" distB="0" distL="114300" distR="114300">
                  <wp:extent cx="4505325" cy="3551555"/>
                  <wp:effectExtent l="0" t="0" r="9525" b="10795"/>
                  <wp:docPr id="18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4"/>
                          <pic:cNvPicPr>
                            <a:picLocks noChangeAspect="1"/>
                          </pic:cNvPicPr>
                        </pic:nvPicPr>
                        <pic:blipFill>
                          <a:blip r:embed="rId15"/>
                          <a:stretch>
                            <a:fillRect/>
                          </a:stretch>
                        </pic:blipFill>
                        <pic:spPr>
                          <a:xfrm>
                            <a:off x="0" y="0"/>
                            <a:ext cx="4505325" cy="3551555"/>
                          </a:xfrm>
                          <a:prstGeom prst="rect">
                            <a:avLst/>
                          </a:prstGeom>
                          <a:noFill/>
                          <a:ln>
                            <a:noFill/>
                          </a:ln>
                        </pic:spPr>
                      </pic:pic>
                    </a:graphicData>
                  </a:graphic>
                </wp:inline>
              </w:drawing>
            </w:r>
          </w:p>
          <w:p>
            <w:pPr>
              <w:keepNext w:val="0"/>
              <w:keepLines w:val="0"/>
              <w:pageBreakBefore w:val="0"/>
              <w:kinsoku/>
              <w:wordWrap/>
              <w:overflowPunct/>
              <w:topLinePunct w:val="0"/>
              <w:autoSpaceDE w:val="0"/>
              <w:autoSpaceDN w:val="0"/>
              <w:bidi w:val="0"/>
              <w:adjustRightInd w:val="0"/>
              <w:snapToGrid w:val="0"/>
              <w:spacing w:line="360" w:lineRule="auto"/>
              <w:ind w:left="48" w:leftChars="20" w:right="48" w:rightChars="20" w:firstLine="422" w:firstLineChars="200"/>
              <w:jc w:val="center"/>
              <w:textAlignment w:val="auto"/>
              <w:rPr>
                <w:rFonts w:hint="eastAsia" w:ascii="Times New Roman" w:hAnsi="Times New Roman" w:eastAsia="宋体" w:cs="Times New Roman"/>
                <w:b/>
                <w:bCs/>
                <w:color w:val="auto"/>
                <w:sz w:val="21"/>
                <w:szCs w:val="21"/>
                <w:shd w:val="clear" w:color="auto" w:fill="FFFFFF"/>
              </w:rPr>
            </w:pPr>
            <w:r>
              <w:rPr>
                <w:rFonts w:hint="eastAsia" w:ascii="Times New Roman" w:hAnsi="Times New Roman" w:eastAsia="宋体" w:cs="Times New Roman"/>
                <w:b/>
                <w:bCs/>
                <w:color w:val="auto"/>
                <w:sz w:val="21"/>
                <w:szCs w:val="21"/>
                <w:shd w:val="clear" w:color="auto" w:fill="FFFFFF"/>
                <w:lang w:val="en-US" w:eastAsia="zh-CN"/>
              </w:rPr>
              <w:t>图1-1  建设项目环境影响评价中“三线一单”符合性分析结构示意图</w:t>
            </w:r>
          </w:p>
          <w:p>
            <w:pPr>
              <w:widowControl/>
              <w:adjustRightInd w:val="0"/>
              <w:snapToGrid w:val="0"/>
              <w:spacing w:before="0" w:after="0" w:line="360" w:lineRule="auto"/>
              <w:ind w:right="0" w:firstLine="480" w:firstLineChars="200"/>
              <w:jc w:val="both"/>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根据《建设项目环境影响报告表编制技术指南》</w:t>
            </w:r>
            <w:r>
              <w:rPr>
                <w:rFonts w:hint="eastAsia" w:ascii="Times New Roman" w:hAnsi="Times New Roman" w:eastAsia="宋体" w:cs="Times New Roman"/>
                <w:color w:val="auto"/>
                <w:kern w:val="0"/>
                <w:sz w:val="24"/>
                <w:szCs w:val="24"/>
                <w:lang w:val="en-US" w:eastAsia="zh-CN" w:bidi="ar-SA"/>
              </w:rPr>
              <w:t>（生态</w:t>
            </w:r>
            <w:r>
              <w:rPr>
                <w:rFonts w:ascii="Times New Roman" w:hAnsi="Times New Roman" w:eastAsia="宋体" w:cs="Times New Roman"/>
                <w:color w:val="auto"/>
                <w:kern w:val="0"/>
                <w:sz w:val="24"/>
                <w:szCs w:val="24"/>
                <w:lang w:val="en-US" w:eastAsia="zh-CN" w:bidi="ar-SA"/>
              </w:rPr>
              <w:t>影响类</w:t>
            </w:r>
            <w:r>
              <w:rPr>
                <w:rFonts w:hint="eastAsia" w:ascii="Times New Roman" w:hAnsi="Times New Roman" w:eastAsia="宋体" w:cs="Times New Roman"/>
                <w:color w:val="auto"/>
                <w:kern w:val="0"/>
                <w:sz w:val="24"/>
                <w:szCs w:val="24"/>
                <w:lang w:val="en-US" w:eastAsia="zh-CN" w:bidi="ar-SA"/>
              </w:rPr>
              <w:t>）（</w:t>
            </w:r>
            <w:r>
              <w:rPr>
                <w:rFonts w:ascii="Times New Roman" w:hAnsi="Times New Roman" w:eastAsia="宋体" w:cs="Times New Roman"/>
                <w:color w:val="auto"/>
                <w:kern w:val="0"/>
                <w:sz w:val="24"/>
                <w:szCs w:val="24"/>
                <w:lang w:val="en-US" w:eastAsia="zh-CN" w:bidi="ar-SA"/>
              </w:rPr>
              <w:t>试行</w:t>
            </w:r>
            <w:r>
              <w:rPr>
                <w:rFonts w:hint="eastAsia" w:ascii="Times New Roman" w:hAnsi="Times New Roman" w:eastAsia="宋体" w:cs="Times New Roman"/>
                <w:color w:val="auto"/>
                <w:kern w:val="0"/>
                <w:sz w:val="24"/>
                <w:szCs w:val="24"/>
                <w:lang w:val="en-US" w:eastAsia="zh-CN" w:bidi="ar-SA"/>
              </w:rPr>
              <w:t>）</w:t>
            </w:r>
            <w:r>
              <w:rPr>
                <w:rFonts w:ascii="Times New Roman" w:hAnsi="Times New Roman" w:eastAsia="宋体" w:cs="Times New Roman"/>
                <w:color w:val="auto"/>
                <w:kern w:val="0"/>
                <w:sz w:val="24"/>
                <w:szCs w:val="24"/>
                <w:lang w:val="en-US" w:eastAsia="zh-CN" w:bidi="ar-SA"/>
              </w:rPr>
              <w:t>：本项目属于</w:t>
            </w:r>
            <w:r>
              <w:rPr>
                <w:rFonts w:hint="eastAsia" w:ascii="Times New Roman" w:hAnsi="Times New Roman" w:eastAsia="宋体" w:cs="Times New Roman"/>
                <w:color w:val="auto"/>
                <w:kern w:val="0"/>
                <w:sz w:val="24"/>
                <w:szCs w:val="24"/>
                <w:lang w:val="en-US" w:eastAsia="zh-CN" w:bidi="ar-SA"/>
              </w:rPr>
              <w:t>生态</w:t>
            </w:r>
            <w:r>
              <w:rPr>
                <w:rFonts w:ascii="Times New Roman" w:hAnsi="Times New Roman" w:eastAsia="宋体" w:cs="Times New Roman"/>
                <w:color w:val="auto"/>
                <w:kern w:val="0"/>
                <w:sz w:val="24"/>
                <w:szCs w:val="24"/>
                <w:lang w:val="en-US" w:eastAsia="zh-CN" w:bidi="ar-SA"/>
              </w:rPr>
              <w:t>影响为主要特征的建设项目</w:t>
            </w:r>
            <w:r>
              <w:rPr>
                <w:rFonts w:hint="eastAsia" w:ascii="Times New Roman" w:hAnsi="Times New Roman" w:eastAsia="宋体" w:cs="Times New Roman"/>
                <w:color w:val="auto"/>
                <w:kern w:val="0"/>
                <w:sz w:val="24"/>
                <w:szCs w:val="24"/>
                <w:lang w:val="en-US" w:eastAsia="zh-CN" w:bidi="ar-SA"/>
              </w:rPr>
              <w:t>。</w:t>
            </w:r>
          </w:p>
          <w:p>
            <w:pPr>
              <w:widowControl/>
              <w:adjustRightInd w:val="0"/>
              <w:snapToGrid w:val="0"/>
              <w:spacing w:before="0" w:after="0" w:line="360" w:lineRule="auto"/>
              <w:ind w:right="0" w:firstLine="480" w:firstLineChars="200"/>
              <w:jc w:val="both"/>
              <w:rPr>
                <w:rFonts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根据（川环办函〔2021〕469号）文件：</w:t>
            </w:r>
            <w:r>
              <w:rPr>
                <w:rFonts w:hint="eastAsia" w:ascii="Times New Roman" w:hAnsi="Times New Roman" w:eastAsia="宋体" w:cs="Times New Roman"/>
                <w:color w:val="auto"/>
                <w:kern w:val="0"/>
                <w:sz w:val="24"/>
                <w:szCs w:val="24"/>
                <w:lang w:val="en-US" w:eastAsia="zh-CN" w:bidi="ar-SA"/>
              </w:rPr>
              <w:t>若生态类建设项目的上位空间开发规划、资源开发利用规划、工业专项规划等已开展规划环评，并已分析规划与“三线一单”符合性、协调性，且规划包含该项目，则该项目环评政策、规划符合性分析，只需分析与规划环评生态环境准入要求的符合性。</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本项目属于生态类建设项目，</w:t>
            </w:r>
            <w:r>
              <w:rPr>
                <w:rFonts w:ascii="Times New Roman" w:hAnsi="Times New Roman" w:eastAsia="宋体" w:cs="Times New Roman"/>
                <w:color w:val="auto"/>
                <w:kern w:val="21"/>
                <w:sz w:val="24"/>
                <w:szCs w:val="24"/>
                <w:lang w:val="en-US" w:eastAsia="zh-CN" w:bidi="ar-SA"/>
              </w:rPr>
              <w:t>位于</w:t>
            </w:r>
            <w:r>
              <w:rPr>
                <w:rFonts w:hint="default" w:ascii="Times New Roman" w:hAnsi="Times New Roman" w:cs="Times New Roman"/>
                <w:color w:val="auto"/>
                <w:kern w:val="21"/>
                <w:sz w:val="24"/>
                <w:szCs w:val="24"/>
              </w:rPr>
              <w:t>乐山市</w:t>
            </w:r>
            <w:r>
              <w:rPr>
                <w:rFonts w:hint="eastAsia" w:cs="Times New Roman"/>
                <w:color w:val="auto"/>
                <w:kern w:val="21"/>
                <w:sz w:val="24"/>
                <w:szCs w:val="24"/>
                <w:lang w:val="en-US" w:eastAsia="zh-CN"/>
              </w:rPr>
              <w:t>市</w:t>
            </w:r>
            <w:r>
              <w:rPr>
                <w:rFonts w:hint="default" w:ascii="Times New Roman" w:hAnsi="Times New Roman" w:cs="Times New Roman"/>
                <w:color w:val="auto"/>
                <w:kern w:val="21"/>
                <w:sz w:val="24"/>
                <w:szCs w:val="24"/>
              </w:rPr>
              <w:t>中区平兴镇游坝村</w:t>
            </w:r>
            <w:r>
              <w:rPr>
                <w:rFonts w:hint="eastAsia" w:cs="Times New Roman"/>
                <w:color w:val="auto"/>
                <w:kern w:val="21"/>
                <w:sz w:val="24"/>
                <w:szCs w:val="24"/>
                <w:lang w:val="en-US" w:eastAsia="zh-CN"/>
              </w:rPr>
              <w:t>皂角冲~</w:t>
            </w:r>
            <w:r>
              <w:rPr>
                <w:rFonts w:hint="default" w:ascii="Times New Roman" w:hAnsi="Times New Roman" w:cs="Times New Roman"/>
                <w:color w:val="auto"/>
                <w:kern w:val="21"/>
                <w:sz w:val="24"/>
                <w:szCs w:val="24"/>
              </w:rPr>
              <w:t>三圣村</w:t>
            </w:r>
            <w:r>
              <w:rPr>
                <w:rFonts w:hint="eastAsia" w:cs="Times New Roman"/>
                <w:color w:val="auto"/>
                <w:kern w:val="21"/>
                <w:sz w:val="24"/>
                <w:szCs w:val="24"/>
                <w:lang w:val="en-US" w:eastAsia="zh-CN"/>
              </w:rPr>
              <w:t>琵琶沱，当前区域无相关规划环评，未论述“三线一单”符合性，故</w:t>
            </w:r>
            <w:r>
              <w:rPr>
                <w:rFonts w:hint="default" w:ascii="Times New Roman" w:hAnsi="Times New Roman" w:eastAsia="宋体" w:cs="Times New Roman"/>
                <w:b w:val="0"/>
                <w:bCs/>
                <w:color w:val="auto"/>
                <w:sz w:val="24"/>
                <w:szCs w:val="24"/>
                <w:lang w:val="en-US" w:eastAsia="zh-CN"/>
              </w:rPr>
              <w:t>本次评价</w:t>
            </w:r>
            <w:r>
              <w:rPr>
                <w:rFonts w:hint="eastAsia" w:ascii="Times New Roman" w:hAnsi="Times New Roman" w:eastAsia="宋体" w:cs="Times New Roman"/>
                <w:b w:val="0"/>
                <w:bCs/>
                <w:color w:val="auto"/>
                <w:sz w:val="24"/>
                <w:szCs w:val="24"/>
                <w:lang w:val="en-US" w:eastAsia="zh-CN"/>
              </w:rPr>
              <w:t>需</w:t>
            </w:r>
            <w:r>
              <w:rPr>
                <w:rFonts w:hint="default" w:ascii="Times New Roman" w:hAnsi="Times New Roman" w:eastAsia="宋体" w:cs="Times New Roman"/>
                <w:b w:val="0"/>
                <w:bCs/>
                <w:color w:val="auto"/>
                <w:sz w:val="24"/>
                <w:szCs w:val="24"/>
                <w:lang w:val="en-US" w:eastAsia="zh-CN"/>
              </w:rPr>
              <w:t>分析项目与“三线一单”的符合性。</w:t>
            </w:r>
          </w:p>
          <w:p>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（1）</w:t>
            </w:r>
            <w:r>
              <w:rPr>
                <w:rFonts w:ascii="Times New Roman" w:hAnsi="Times New Roman" w:eastAsia="宋体" w:cs="Times New Roman"/>
                <w:b/>
                <w:bCs/>
                <w:color w:val="auto"/>
                <w:sz w:val="24"/>
                <w:shd w:val="clear" w:color="auto" w:fill="FFFFFF"/>
              </w:rPr>
              <w:t>与</w:t>
            </w:r>
            <w:r>
              <w:rPr>
                <w:rFonts w:hint="eastAsia" w:ascii="Times New Roman" w:hAnsi="Times New Roman" w:eastAsia="宋体" w:cs="Times New Roman"/>
                <w:b/>
                <w:bCs/>
                <w:color w:val="auto"/>
                <w:sz w:val="24"/>
                <w:shd w:val="clear" w:color="auto" w:fill="FFFFFF"/>
              </w:rPr>
              <w:t>乐山市</w:t>
            </w:r>
            <w:r>
              <w:rPr>
                <w:rFonts w:ascii="Times New Roman" w:hAnsi="Times New Roman" w:eastAsia="宋体" w:cs="Times New Roman"/>
                <w:b/>
                <w:bCs/>
                <w:color w:val="auto"/>
                <w:sz w:val="24"/>
                <w:shd w:val="clear" w:color="auto" w:fill="FFFFFF"/>
              </w:rPr>
              <w:t>生态环境分区管控方案符合性分析</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shd w:val="clear" w:color="auto" w:fill="FFFFFF"/>
              </w:rPr>
            </w:pPr>
            <w:r>
              <w:rPr>
                <w:rFonts w:hint="eastAsia" w:ascii="Times New Roman" w:hAnsi="Times New Roman" w:eastAsia="宋体" w:cs="Times New Roman"/>
                <w:color w:val="auto"/>
                <w:sz w:val="24"/>
                <w:shd w:val="clear" w:color="auto" w:fill="FFFFFF"/>
              </w:rPr>
              <w:t>根据乐山市人民政府关于落实生态保护红线、环境质量底线、资源利用上线制定生态环境准入清单实施生态环境分区管控的通知（乐府发〔2021〕7号）：到2025年，建立较为完善的生态环境分区管控体系。全市生态环境质量持续改善，国土空间开发和保护格局不断优化，生产生活方式绿色转型成效显著，能源资源配置更加合理、利用效率大幅提高，主要污染物排放总量持续减少，生态环境风险得到有效控制，推进环境治理体系与治理能力现代化取得重大进展，生态文明建设实现新进步，生态安全屏障更加牢固，城乡人居环境明显改善，美丽乐山建设取得新成效，国家生态文明示范市建设取得阶段性成果。</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shd w:val="clear" w:color="auto" w:fill="FFFFFF"/>
              </w:rPr>
            </w:pPr>
            <w:r>
              <w:rPr>
                <w:rFonts w:hint="eastAsia" w:ascii="Times New Roman" w:hAnsi="Times New Roman" w:eastAsia="宋体" w:cs="Times New Roman"/>
                <w:color w:val="auto"/>
                <w:sz w:val="24"/>
                <w:shd w:val="clear" w:color="auto" w:fill="FFFFFF"/>
              </w:rPr>
              <w:t>到2035年，建成完善的生态环境分区管控制度。全市生态环境质量实现根本好转，节约资源和保护生态环境的空间格局、绿色低碳循环发展经济体系基本形成，环境治理能力和治理体系现代化基本完成，生态宜居、安全健康、绿色低碳的美丽乐山目标基本实现。</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shd w:val="clear" w:color="auto" w:fill="FFFFFF"/>
              </w:rPr>
            </w:pPr>
            <w:r>
              <w:rPr>
                <w:rFonts w:hint="eastAsia" w:ascii="Times New Roman" w:hAnsi="Times New Roman" w:eastAsia="宋体" w:cs="Times New Roman"/>
                <w:color w:val="auto"/>
                <w:sz w:val="24"/>
                <w:shd w:val="clear" w:color="auto" w:fill="FFFFFF"/>
              </w:rPr>
              <w:t>围绕省委“一干多支、五区协同”的区域发展战略和全市“一极一地一市一城一枢纽”战略定位，立足成渝地区双城经济圈区域中心城市的区域特征、发展定位及突出生态环境问题，将全市行政区域从生态环境保护角度划分为优先保护、重点管控和一般管控三类环境管控单元。</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shd w:val="clear" w:color="auto" w:fill="FFFFFF"/>
              </w:rPr>
            </w:pPr>
            <w:r>
              <w:rPr>
                <w:rFonts w:hint="eastAsia" w:ascii="Times New Roman" w:hAnsi="Times New Roman" w:eastAsia="宋体" w:cs="Times New Roman"/>
                <w:color w:val="auto"/>
                <w:sz w:val="24"/>
                <w:shd w:val="clear" w:color="auto" w:fill="FFFFFF"/>
              </w:rPr>
              <w:t>1.优先保护单元。以生态环境保护为主的区域，全市划分优先保护单元26个，主要包括生态保护红线、自然保护地、饮用水水源保护区等，应以生态环境保护优先为原则，严格执行相关法律、法规要求，严守生态环境质量底线，确保生态环境功能不降低。</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shd w:val="clear" w:color="auto" w:fill="FFFFFF"/>
              </w:rPr>
            </w:pPr>
            <w:r>
              <w:rPr>
                <w:rFonts w:hint="eastAsia" w:ascii="Times New Roman" w:hAnsi="Times New Roman" w:eastAsia="宋体" w:cs="Times New Roman"/>
                <w:color w:val="auto"/>
                <w:sz w:val="24"/>
                <w:shd w:val="clear" w:color="auto" w:fill="FFFFFF"/>
              </w:rPr>
              <w:t>2.重点管控单元。涉及水、大气、土壤、自然资源等资源环境要素重点管控的区域，全市划分重点管控单元33个，主要包括人口密集的城镇规划区和产业集聚的工业园区（工业集聚区）等，应不断提升资源利用效率，有针对性地加强污染物排放控制和环境风险防控，解决生态环境质量不达标、生态环境风险突出等问题，制定差别化的生态环境准入要求。对环境质量不达标区域，提出污染物削减比例要求；对环境质量达标区域，提出允许排放量建议指标。</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shd w:val="clear" w:color="auto" w:fill="FFFFFF"/>
              </w:rPr>
            </w:pPr>
            <w:r>
              <w:rPr>
                <w:rFonts w:hint="eastAsia" w:ascii="Times New Roman" w:hAnsi="Times New Roman" w:eastAsia="宋体" w:cs="Times New Roman"/>
                <w:color w:val="auto"/>
                <w:sz w:val="24"/>
                <w:shd w:val="clear" w:color="auto" w:fill="FFFFFF"/>
              </w:rPr>
              <w:t>3.一般管控单元。除优先保护单元和重点管控单元之外的其他区域，全市共划分一般管控单元6个。执行区域生态环境保护的基本要求，重点加强农业、生活等领域污染治理。</w:t>
            </w:r>
          </w:p>
          <w:p>
            <w:pPr>
              <w:autoSpaceDE w:val="0"/>
              <w:autoSpaceDN w:val="0"/>
              <w:adjustRightInd w:val="0"/>
              <w:snapToGrid w:val="0"/>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为实现生态环境精细化管理，建立国土空间全覆盖的生态环境保护制度，将全市行政区划从生态环境保护角度划分为优先保护、重点管控和一般管控三类环境管控单元，在一张图上落实生态保护、环境质量目标管理、资源利用管控要求，按照环境管控单元编制生态环境准入清单，构建生态环境分区管控体系。</w:t>
            </w:r>
          </w:p>
          <w:p>
            <w:pPr>
              <w:autoSpaceDE w:val="0"/>
              <w:autoSpaceDN w:val="0"/>
              <w:adjustRightInd w:val="0"/>
              <w:snapToGrid w:val="0"/>
              <w:spacing w:line="360" w:lineRule="auto"/>
              <w:jc w:val="center"/>
              <w:rPr>
                <w:rFonts w:hint="eastAsia" w:ascii="Times New Roman" w:hAnsi="Times New Roman" w:eastAsia="宋体" w:cs="Times New Roman"/>
                <w:color w:val="auto"/>
              </w:rPr>
            </w:pPr>
            <w:r>
              <w:rPr>
                <w:rFonts w:ascii="Times New Roman" w:hAnsi="Times New Roman" w:eastAsia="宋体" w:cs="Times New Roman"/>
                <w:color w:val="auto"/>
                <w:sz w:val="24"/>
              </w:rPr>
              <mc:AlternateContent>
                <mc:Choice Requires="wps">
                  <w:drawing>
                    <wp:anchor distT="0" distB="0" distL="114300" distR="114300" simplePos="0" relativeHeight="251660288" behindDoc="0" locked="0" layoutInCell="1" allowOverlap="1">
                      <wp:simplePos x="0" y="0"/>
                      <wp:positionH relativeFrom="column">
                        <wp:posOffset>2289175</wp:posOffset>
                      </wp:positionH>
                      <wp:positionV relativeFrom="paragraph">
                        <wp:posOffset>1310640</wp:posOffset>
                      </wp:positionV>
                      <wp:extent cx="685165" cy="353060"/>
                      <wp:effectExtent l="21590" t="292100" r="17145" b="21590"/>
                      <wp:wrapNone/>
                      <wp:docPr id="185" name="矩形标注 185"/>
                      <wp:cNvGraphicFramePr/>
                      <a:graphic xmlns:a="http://schemas.openxmlformats.org/drawingml/2006/main">
                        <a:graphicData uri="http://schemas.microsoft.com/office/word/2010/wordprocessingShape">
                          <wps:wsp>
                            <wps:cNvSpPr/>
                            <wps:spPr>
                              <a:xfrm flipV="1">
                                <a:off x="0" y="0"/>
                                <a:ext cx="685165" cy="353060"/>
                              </a:xfrm>
                              <a:prstGeom prst="wedgeRectCallout">
                                <a:avLst>
                                  <a:gd name="adj1" fmla="val -51106"/>
                                  <a:gd name="adj2" fmla="val 127250"/>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Times New Roman" w:hAnsi="Times New Roman" w:eastAsia="宋体" w:cs="Times New Roman"/>
                                    </w:rPr>
                                  </w:pPr>
                                  <w:r>
                                    <w:rPr>
                                      <w:rFonts w:hint="eastAsia" w:ascii="Times New Roman" w:hAnsi="Times New Roman" w:eastAsia="宋体" w:cs="Times New Roman"/>
                                    </w:rPr>
                                    <w:t>本项目</w:t>
                                  </w:r>
                                </w:p>
                              </w:txbxContent>
                            </wps:txbx>
                            <wps:bodyPr upright="1"/>
                          </wps:wsp>
                        </a:graphicData>
                      </a:graphic>
                    </wp:anchor>
                  </w:drawing>
                </mc:Choice>
                <mc:Fallback>
                  <w:pict>
                    <v:shape id="_x0000_s1026" o:spid="_x0000_s1026" o:spt="61" type="#_x0000_t61" style="position:absolute;left:0pt;flip:y;margin-left:180.25pt;margin-top:103.2pt;height:27.8pt;width:53.95pt;z-index:251660288;mso-width-relative:page;mso-height-relative:page;" fillcolor="#FFFFFF" filled="t" stroked="t" coordsize="21600,21600" o:gfxdata="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VXd3HYAAAACwEAAA8AAAAAAAAAAQAgAAAAIgAA&#10;AGRycy9kb3ducmV2LnhtbFBLAQIUABQAAAAIAIdO4kC/VvNEQQIAAJsEAAAOAAAAAAAAAAEAIAAA&#10;ACcBAABkcnMvZTJvRG9jLnhtbFBLBQYAAAAABgAGAFkBAADaBQAAAAA=&#10;" adj="-239,38286">
                      <v:fill on="t" focussize="0,0"/>
                      <v:stroke color="#000000" joinstyle="miter"/>
                      <v:imagedata o:title=""/>
                      <o:lock v:ext="edit" aspectratio="f"/>
                      <v:textbox>
                        <w:txbxContent>
                          <w:p>
                            <w:pPr>
                              <w:jc w:val="center"/>
                              <w:rPr>
                                <w:rFonts w:hint="eastAsia" w:ascii="Times New Roman" w:hAnsi="Times New Roman" w:eastAsia="宋体" w:cs="Times New Roman"/>
                              </w:rPr>
                            </w:pPr>
                            <w:r>
                              <w:rPr>
                                <w:rFonts w:hint="eastAsia" w:ascii="Times New Roman" w:hAnsi="Times New Roman" w:eastAsia="宋体" w:cs="Times New Roman"/>
                              </w:rPr>
                              <w:t>本项目</w:t>
                            </w:r>
                          </w:p>
                        </w:txbxContent>
                      </v:textbox>
                    </v:shape>
                  </w:pict>
                </mc:Fallback>
              </mc:AlternateContent>
            </w:r>
            <w:r>
              <w:rPr>
                <w:rFonts w:hint="eastAsia" w:ascii="Times New Roman" w:hAnsi="Times New Roman" w:eastAsia="宋体" w:cs="Times New Roman"/>
                <w:color w:val="auto"/>
              </w:rPr>
              <w:drawing>
                <wp:inline distT="0" distB="0" distL="114300" distR="114300">
                  <wp:extent cx="4396105" cy="3131820"/>
                  <wp:effectExtent l="0" t="0" r="4445" b="11430"/>
                  <wp:docPr id="186" name="图片 7" descr="关于落实生态保护红线、环境质量底线、资源利用上线制定生态环境准入清单实施生态环境分区管控的通知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7" descr="关于落实生态保护红线、环境质量底线、资源利用上线制定生态环境准入清单实施生态环境分区管控的通知_页面_07"/>
                          <pic:cNvPicPr>
                            <a:picLocks noChangeAspect="1"/>
                          </pic:cNvPicPr>
                        </pic:nvPicPr>
                        <pic:blipFill>
                          <a:blip r:embed="rId16"/>
                          <a:stretch>
                            <a:fillRect/>
                          </a:stretch>
                        </pic:blipFill>
                        <pic:spPr>
                          <a:xfrm>
                            <a:off x="0" y="0"/>
                            <a:ext cx="4396105" cy="3131820"/>
                          </a:xfrm>
                          <a:prstGeom prst="rect">
                            <a:avLst/>
                          </a:prstGeom>
                          <a:noFill/>
                          <a:ln>
                            <a:noFill/>
                          </a:ln>
                        </pic:spPr>
                      </pic:pic>
                    </a:graphicData>
                  </a:graphic>
                </wp:inline>
              </w:drawing>
            </w:r>
          </w:p>
          <w:p>
            <w:pPr>
              <w:autoSpaceDE w:val="0"/>
              <w:autoSpaceDN w:val="0"/>
              <w:adjustRightInd w:val="0"/>
              <w:snapToGrid w:val="0"/>
              <w:spacing w:line="360" w:lineRule="auto"/>
              <w:ind w:firstLine="482" w:firstLineChars="200"/>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图1-</w:t>
            </w:r>
            <w:r>
              <w:rPr>
                <w:rFonts w:hint="eastAsia" w:ascii="Times New Roman" w:hAnsi="Times New Roman" w:eastAsia="宋体" w:cs="Times New Roman"/>
                <w:b/>
                <w:bCs/>
                <w:color w:val="auto"/>
                <w:szCs w:val="21"/>
                <w:lang w:val="en-US" w:eastAsia="zh-CN"/>
              </w:rPr>
              <w:t>2</w:t>
            </w:r>
            <w:r>
              <w:rPr>
                <w:rFonts w:hint="eastAsia" w:ascii="Times New Roman" w:hAnsi="Times New Roman" w:eastAsia="宋体" w:cs="Times New Roman"/>
                <w:b/>
                <w:bCs/>
                <w:color w:val="auto"/>
                <w:szCs w:val="21"/>
              </w:rPr>
              <w:t xml:space="preserve">  乐山市环境管控单元图</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shd w:val="clear" w:color="auto" w:fill="FFFFFF"/>
              </w:rPr>
            </w:pPr>
            <w:r>
              <w:rPr>
                <w:rFonts w:hint="eastAsia" w:ascii="Times New Roman" w:hAnsi="Times New Roman" w:eastAsia="宋体" w:cs="Times New Roman"/>
                <w:color w:val="auto"/>
                <w:sz w:val="24"/>
                <w:shd w:val="clear" w:color="auto" w:fill="FFFFFF"/>
              </w:rPr>
              <w:t>本项目位于</w:t>
            </w:r>
            <w:r>
              <w:rPr>
                <w:rFonts w:hint="default" w:ascii="Times New Roman" w:hAnsi="Times New Roman" w:cs="Times New Roman"/>
                <w:kern w:val="21"/>
                <w:sz w:val="24"/>
                <w:szCs w:val="24"/>
              </w:rPr>
              <w:t>乐山市</w:t>
            </w:r>
            <w:r>
              <w:rPr>
                <w:rFonts w:hint="eastAsia" w:cs="Times New Roman"/>
                <w:kern w:val="21"/>
                <w:sz w:val="24"/>
                <w:szCs w:val="24"/>
                <w:lang w:val="en-US" w:eastAsia="zh-CN"/>
              </w:rPr>
              <w:t>市</w:t>
            </w:r>
            <w:r>
              <w:rPr>
                <w:rFonts w:hint="default" w:ascii="Times New Roman" w:hAnsi="Times New Roman" w:cs="Times New Roman"/>
                <w:kern w:val="21"/>
                <w:sz w:val="24"/>
                <w:szCs w:val="24"/>
              </w:rPr>
              <w:t>中区平兴镇游坝村</w:t>
            </w:r>
            <w:r>
              <w:rPr>
                <w:rFonts w:hint="eastAsia" w:cs="Times New Roman"/>
                <w:kern w:val="21"/>
                <w:sz w:val="24"/>
                <w:szCs w:val="24"/>
                <w:lang w:val="en-US" w:eastAsia="zh-CN"/>
              </w:rPr>
              <w:t>皂角冲~</w:t>
            </w:r>
            <w:r>
              <w:rPr>
                <w:rFonts w:hint="default" w:ascii="Times New Roman" w:hAnsi="Times New Roman" w:cs="Times New Roman"/>
                <w:kern w:val="21"/>
                <w:sz w:val="24"/>
                <w:szCs w:val="24"/>
              </w:rPr>
              <w:t>三圣村</w:t>
            </w:r>
            <w:r>
              <w:rPr>
                <w:rFonts w:hint="eastAsia" w:cs="Times New Roman"/>
                <w:kern w:val="21"/>
                <w:sz w:val="24"/>
                <w:szCs w:val="24"/>
                <w:lang w:val="en-US" w:eastAsia="zh-CN"/>
              </w:rPr>
              <w:t>琵琶沱</w:t>
            </w:r>
            <w:r>
              <w:rPr>
                <w:rFonts w:hint="eastAsia" w:ascii="Times New Roman" w:hAnsi="Times New Roman" w:eastAsia="宋体" w:cs="Times New Roman"/>
                <w:color w:val="auto"/>
                <w:sz w:val="24"/>
                <w:shd w:val="clear" w:color="auto" w:fill="FFFFFF"/>
              </w:rPr>
              <w:t>，根据乐山市环境管控单元图，本项目所在区域为</w:t>
            </w:r>
            <w:r>
              <w:rPr>
                <w:rFonts w:hint="eastAsia" w:ascii="Times New Roman" w:hAnsi="Times New Roman" w:eastAsia="宋体" w:cs="Times New Roman"/>
                <w:color w:val="auto"/>
                <w:sz w:val="24"/>
                <w:shd w:val="clear" w:color="auto" w:fill="FFFFFF"/>
                <w:lang w:val="en-US" w:eastAsia="zh-CN"/>
              </w:rPr>
              <w:t>要素</w:t>
            </w:r>
            <w:r>
              <w:rPr>
                <w:rFonts w:hint="eastAsia" w:ascii="Times New Roman" w:hAnsi="Times New Roman" w:eastAsia="宋体" w:cs="Times New Roman"/>
                <w:color w:val="auto"/>
                <w:sz w:val="24"/>
                <w:shd w:val="clear" w:color="auto" w:fill="FFFFFF"/>
              </w:rPr>
              <w:t>重点管控单元，重点管控单元要求见下表：</w:t>
            </w:r>
          </w:p>
          <w:p>
            <w:pPr>
              <w:autoSpaceDE w:val="0"/>
              <w:autoSpaceDN w:val="0"/>
              <w:adjustRightInd w:val="0"/>
              <w:snapToGrid w:val="0"/>
              <w:spacing w:line="360" w:lineRule="auto"/>
              <w:ind w:firstLine="482" w:firstLineChars="200"/>
              <w:jc w:val="center"/>
              <w:rPr>
                <w:rFonts w:ascii="Times New Roman" w:hAnsi="Times New Roman" w:eastAsia="宋体" w:cs="Times New Roman"/>
                <w:color w:val="auto"/>
                <w:sz w:val="24"/>
              </w:rPr>
            </w:pPr>
            <w:r>
              <w:rPr>
                <w:rFonts w:hint="eastAsia" w:ascii="Times New Roman" w:hAnsi="Times New Roman" w:eastAsia="宋体" w:cs="Times New Roman"/>
                <w:b/>
                <w:bCs/>
                <w:color w:val="auto"/>
                <w:szCs w:val="21"/>
              </w:rPr>
              <w:t>表1-</w:t>
            </w:r>
            <w:r>
              <w:rPr>
                <w:rFonts w:hint="eastAsia" w:ascii="Times New Roman" w:hAnsi="Times New Roman" w:eastAsia="宋体" w:cs="Times New Roman"/>
                <w:b/>
                <w:bCs/>
                <w:color w:val="auto"/>
                <w:szCs w:val="21"/>
                <w:lang w:val="en-US" w:eastAsia="zh-CN"/>
              </w:rPr>
              <w:t>4</w:t>
            </w:r>
            <w:r>
              <w:rPr>
                <w:rFonts w:hint="eastAsia" w:ascii="Times New Roman" w:hAnsi="Times New Roman" w:eastAsia="宋体" w:cs="Times New Roman"/>
                <w:b/>
                <w:bCs/>
                <w:color w:val="auto"/>
                <w:szCs w:val="21"/>
              </w:rPr>
              <w:t xml:space="preserve">  全市环境管控单元生态环境管控要求</w:t>
            </w:r>
          </w:p>
          <w:tbl>
            <w:tblPr>
              <w:tblStyle w:val="42"/>
              <w:tblW w:w="481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2"/>
              <w:gridCol w:w="5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1330" w:type="pct"/>
                  <w:noWrap w:val="0"/>
                  <w:vAlign w:val="center"/>
                </w:tcPr>
                <w:p>
                  <w:pPr>
                    <w:adjustRightInd w:val="0"/>
                    <w:snapToGrid w:val="0"/>
                    <w:jc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环境管控单元类型</w:t>
                  </w:r>
                </w:p>
              </w:tc>
              <w:tc>
                <w:tcPr>
                  <w:tcW w:w="3669" w:type="pct"/>
                  <w:noWrap w:val="0"/>
                  <w:vAlign w:val="center"/>
                </w:tcPr>
                <w:p>
                  <w:pPr>
                    <w:adjustRightInd w:val="0"/>
                    <w:snapToGrid w:val="0"/>
                    <w:jc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总体生态环境管控要求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atLeast"/>
                <w:jc w:val="center"/>
              </w:trPr>
              <w:tc>
                <w:tcPr>
                  <w:tcW w:w="1330" w:type="pct"/>
                  <w:noWrap w:val="0"/>
                  <w:vAlign w:val="center"/>
                </w:tcPr>
                <w:p>
                  <w:pPr>
                    <w:adjustRightInd w:val="0"/>
                    <w:snapToGrid w:val="0"/>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重点管控单元</w:t>
                  </w:r>
                </w:p>
              </w:tc>
              <w:tc>
                <w:tcPr>
                  <w:tcW w:w="3669" w:type="pct"/>
                  <w:noWrap w:val="0"/>
                  <w:vAlign w:val="center"/>
                </w:tcPr>
                <w:p>
                  <w:pPr>
                    <w:adjustRightInd w:val="0"/>
                    <w:snapToGrid w:val="0"/>
                    <w:jc w:val="center"/>
                    <w:rPr>
                      <w:rFonts w:ascii="Times New Roman" w:hAnsi="Times New Roman" w:eastAsia="宋体" w:cs="Times New Roman"/>
                      <w:bCs/>
                      <w:color w:val="auto"/>
                      <w:szCs w:val="21"/>
                    </w:rPr>
                  </w:pPr>
                  <w:r>
                    <w:rPr>
                      <w:rFonts w:ascii="Times New Roman" w:hAnsi="Times New Roman" w:eastAsia="宋体" w:cs="Times New Roman"/>
                      <w:color w:val="auto"/>
                      <w:szCs w:val="21"/>
                    </w:rPr>
                    <w:t>重点管控单元中，针对环境质量是否达标以及经济社会发展水平等因素，制定差别化的生态环境准入要求，对环境质量不达标区域，提出污染物削减比例要求，对环境质量达标区域，提出允许排放量建议指标。</w:t>
                  </w:r>
                </w:p>
              </w:tc>
            </w:tr>
          </w:tbl>
          <w:p>
            <w:pPr>
              <w:autoSpaceDE w:val="0"/>
              <w:autoSpaceDN w:val="0"/>
              <w:adjustRightInd w:val="0"/>
              <w:snapToGrid w:val="0"/>
              <w:spacing w:line="360" w:lineRule="auto"/>
              <w:ind w:firstLine="480" w:firstLineChars="200"/>
              <w:rPr>
                <w:rFonts w:hint="eastAsia" w:ascii="Times New Roman" w:hAnsi="Times New Roman" w:eastAsia="宋体" w:cs="Times New Roman"/>
                <w:b/>
                <w:bCs/>
                <w:color w:val="auto"/>
                <w:szCs w:val="21"/>
              </w:rPr>
            </w:pPr>
            <w:r>
              <w:rPr>
                <w:rFonts w:hint="eastAsia" w:ascii="Times New Roman" w:hAnsi="Times New Roman" w:eastAsia="宋体" w:cs="Times New Roman"/>
                <w:color w:val="auto"/>
                <w:sz w:val="24"/>
                <w:shd w:val="clear" w:color="auto" w:fill="FFFFFF"/>
              </w:rPr>
              <w:t>根据乐山市生态环境分区管控方案，本项目管控要求见下表：</w:t>
            </w:r>
          </w:p>
          <w:p>
            <w:pPr>
              <w:autoSpaceDE w:val="0"/>
              <w:autoSpaceDN w:val="0"/>
              <w:adjustRightInd w:val="0"/>
              <w:snapToGrid w:val="0"/>
              <w:spacing w:line="360" w:lineRule="auto"/>
              <w:ind w:firstLine="422" w:firstLineChars="200"/>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表1-5  全市及各县（市、区）总体生态环境管控要求</w:t>
            </w:r>
          </w:p>
          <w:tbl>
            <w:tblPr>
              <w:tblStyle w:val="42"/>
              <w:tblW w:w="485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5"/>
              <w:gridCol w:w="6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9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bCs w:val="0"/>
                      <w:color w:val="auto"/>
                      <w:sz w:val="21"/>
                      <w:szCs w:val="21"/>
                      <w:vertAlign w:val="baseline"/>
                      <w:lang w:eastAsia="zh-CN"/>
                    </w:rPr>
                  </w:pPr>
                  <w:r>
                    <w:rPr>
                      <w:rFonts w:hint="default" w:ascii="Times New Roman" w:hAnsi="Times New Roman" w:eastAsia="宋体" w:cs="Times New Roman"/>
                      <w:b/>
                      <w:bCs w:val="0"/>
                      <w:color w:val="auto"/>
                      <w:sz w:val="21"/>
                      <w:szCs w:val="21"/>
                      <w:vertAlign w:val="baseline"/>
                      <w:lang w:val="en-US" w:eastAsia="zh-CN"/>
                    </w:rPr>
                    <w:t>行政区划</w:t>
                  </w:r>
                </w:p>
              </w:tc>
              <w:tc>
                <w:tcPr>
                  <w:tcW w:w="408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
                      <w:bCs w:val="0"/>
                      <w:color w:val="auto"/>
                      <w:sz w:val="21"/>
                      <w:szCs w:val="21"/>
                      <w:vertAlign w:val="baseline"/>
                    </w:rPr>
                  </w:pPr>
                  <w:r>
                    <w:rPr>
                      <w:rFonts w:hint="default" w:ascii="Times New Roman" w:hAnsi="Times New Roman" w:eastAsia="宋体" w:cs="Times New Roman"/>
                      <w:b/>
                      <w:bCs w:val="0"/>
                      <w:color w:val="auto"/>
                      <w:sz w:val="21"/>
                      <w:szCs w:val="21"/>
                      <w:vertAlign w:val="baseline"/>
                      <w:lang w:val="en-US" w:eastAsia="zh-CN"/>
                    </w:rPr>
                    <w:t>全市及各县（市、区）总体生态环境管控要求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5" w:hRule="atLeast"/>
                <w:jc w:val="center"/>
              </w:trPr>
              <w:tc>
                <w:tcPr>
                  <w:tcW w:w="9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乐山市</w:t>
                  </w:r>
                </w:p>
              </w:tc>
              <w:tc>
                <w:tcPr>
                  <w:tcW w:w="408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both"/>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1.对化工、钢铁、水泥、陶瓷、造纸、铁合金、砖瓦等重点产业提出严格资源环境绩效水平要求；</w:t>
                  </w:r>
                </w:p>
                <w:p>
                  <w:pPr>
                    <w:keepNext w:val="0"/>
                    <w:keepLines w:val="0"/>
                    <w:pageBreakBefore w:val="0"/>
                    <w:widowControl w:val="0"/>
                    <w:kinsoku/>
                    <w:wordWrap/>
                    <w:overflowPunct/>
                    <w:topLinePunct w:val="0"/>
                    <w:autoSpaceDE/>
                    <w:autoSpaceDN/>
                    <w:bidi w:val="0"/>
                    <w:adjustRightInd w:val="0"/>
                    <w:snapToGrid w:val="0"/>
                    <w:spacing w:line="240" w:lineRule="auto"/>
                    <w:ind w:left="0"/>
                    <w:jc w:val="both"/>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2.禁止在长江干支流岸线一公里范围内新建、扩建化工园区和化工项目；鼓励现有化工企业逐步搬入合规园区；</w:t>
                  </w:r>
                </w:p>
                <w:p>
                  <w:pPr>
                    <w:keepNext w:val="0"/>
                    <w:keepLines w:val="0"/>
                    <w:pageBreakBefore w:val="0"/>
                    <w:widowControl w:val="0"/>
                    <w:kinsoku/>
                    <w:wordWrap/>
                    <w:overflowPunct/>
                    <w:topLinePunct w:val="0"/>
                    <w:autoSpaceDE/>
                    <w:autoSpaceDN/>
                    <w:bidi w:val="0"/>
                    <w:adjustRightInd w:val="0"/>
                    <w:snapToGrid w:val="0"/>
                    <w:spacing w:line="240" w:lineRule="auto"/>
                    <w:ind w:left="0"/>
                    <w:jc w:val="both"/>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3.按照“一总部五基地”工业总体布局，推进城区以及布局不合理的高排放、高能耗企业“退城入园”，引导企业在搬迁改造中压减低端、低效、负效产能；</w:t>
                  </w:r>
                </w:p>
                <w:p>
                  <w:pPr>
                    <w:keepNext w:val="0"/>
                    <w:keepLines w:val="0"/>
                    <w:pageBreakBefore w:val="0"/>
                    <w:widowControl w:val="0"/>
                    <w:kinsoku/>
                    <w:wordWrap/>
                    <w:overflowPunct/>
                    <w:topLinePunct w:val="0"/>
                    <w:autoSpaceDE/>
                    <w:autoSpaceDN/>
                    <w:bidi w:val="0"/>
                    <w:adjustRightInd w:val="0"/>
                    <w:snapToGrid w:val="0"/>
                    <w:spacing w:line="240" w:lineRule="auto"/>
                    <w:ind w:left="0"/>
                    <w:jc w:val="both"/>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4.严格控制高排放、高能耗项目准入；严格执行能源消费总量和强度双控制度；严格执行煤炭消费总量控制要求；</w:t>
                  </w:r>
                </w:p>
                <w:p>
                  <w:pPr>
                    <w:keepNext w:val="0"/>
                    <w:keepLines w:val="0"/>
                    <w:pageBreakBefore w:val="0"/>
                    <w:widowControl w:val="0"/>
                    <w:kinsoku/>
                    <w:wordWrap/>
                    <w:overflowPunct/>
                    <w:topLinePunct w:val="0"/>
                    <w:autoSpaceDE/>
                    <w:autoSpaceDN/>
                    <w:bidi w:val="0"/>
                    <w:adjustRightInd w:val="0"/>
                    <w:snapToGrid w:val="0"/>
                    <w:spacing w:line="240" w:lineRule="auto"/>
                    <w:ind w:left="0"/>
                    <w:jc w:val="both"/>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5.引进项目应符合园区规划环评和区域产业准入清单要求。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5" w:hRule="atLeast"/>
                <w:jc w:val="center"/>
              </w:trPr>
              <w:tc>
                <w:tcPr>
                  <w:tcW w:w="91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市中区</w:t>
                  </w:r>
                </w:p>
              </w:tc>
              <w:tc>
                <w:tcPr>
                  <w:tcW w:w="408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both"/>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1.优化调整产业结构，严格生态环境准入要求；</w:t>
                  </w:r>
                </w:p>
                <w:p>
                  <w:pPr>
                    <w:keepNext w:val="0"/>
                    <w:keepLines w:val="0"/>
                    <w:pageBreakBefore w:val="0"/>
                    <w:widowControl w:val="0"/>
                    <w:kinsoku/>
                    <w:wordWrap/>
                    <w:overflowPunct/>
                    <w:topLinePunct w:val="0"/>
                    <w:autoSpaceDE/>
                    <w:autoSpaceDN/>
                    <w:bidi w:val="0"/>
                    <w:adjustRightInd w:val="0"/>
                    <w:snapToGrid w:val="0"/>
                    <w:spacing w:line="240" w:lineRule="auto"/>
                    <w:ind w:left="0"/>
                    <w:jc w:val="both"/>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2.推动城市建成区内企业“退城入园”，严格控制园外企业无序扩张；</w:t>
                  </w:r>
                </w:p>
                <w:p>
                  <w:pPr>
                    <w:keepNext w:val="0"/>
                    <w:keepLines w:val="0"/>
                    <w:pageBreakBefore w:val="0"/>
                    <w:widowControl w:val="0"/>
                    <w:kinsoku/>
                    <w:wordWrap/>
                    <w:overflowPunct/>
                    <w:topLinePunct w:val="0"/>
                    <w:autoSpaceDE/>
                    <w:autoSpaceDN/>
                    <w:bidi w:val="0"/>
                    <w:adjustRightInd w:val="0"/>
                    <w:snapToGrid w:val="0"/>
                    <w:spacing w:line="240" w:lineRule="auto"/>
                    <w:ind w:left="0"/>
                    <w:jc w:val="both"/>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3.加强泥溪河、茫溪河等小流域污染治理，严控泥溪河、茫溪河流域涉水排放项目及水产养殖规模；加强农业面源污染治理，严格控制化肥农药使用量，积极推广畜禽清洁养殖和畜禽粪污无害化、资源化利用技术；</w:t>
                  </w:r>
                </w:p>
                <w:p>
                  <w:pPr>
                    <w:keepNext w:val="0"/>
                    <w:keepLines w:val="0"/>
                    <w:pageBreakBefore w:val="0"/>
                    <w:widowControl w:val="0"/>
                    <w:kinsoku/>
                    <w:wordWrap/>
                    <w:overflowPunct/>
                    <w:topLinePunct w:val="0"/>
                    <w:autoSpaceDE/>
                    <w:autoSpaceDN/>
                    <w:bidi w:val="0"/>
                    <w:adjustRightInd w:val="0"/>
                    <w:snapToGrid w:val="0"/>
                    <w:spacing w:line="240" w:lineRule="auto"/>
                    <w:ind w:left="0"/>
                    <w:jc w:val="both"/>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4.加强区域大气污染治理，推进涉挥发性有机物排放项目、砖瓦企业深度治理改造；执行大气污染物特别排放限值；</w:t>
                  </w:r>
                </w:p>
                <w:p>
                  <w:pPr>
                    <w:keepNext w:val="0"/>
                    <w:keepLines w:val="0"/>
                    <w:pageBreakBefore w:val="0"/>
                    <w:widowControl w:val="0"/>
                    <w:kinsoku/>
                    <w:wordWrap/>
                    <w:overflowPunct/>
                    <w:topLinePunct w:val="0"/>
                    <w:autoSpaceDE/>
                    <w:autoSpaceDN/>
                    <w:bidi w:val="0"/>
                    <w:adjustRightInd w:val="0"/>
                    <w:snapToGrid w:val="0"/>
                    <w:spacing w:line="240" w:lineRule="auto"/>
                    <w:ind w:left="0"/>
                    <w:jc w:val="both"/>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5.加强涉危涉化企业管控，严控环境风险；</w:t>
                  </w:r>
                </w:p>
                <w:p>
                  <w:pPr>
                    <w:keepNext w:val="0"/>
                    <w:keepLines w:val="0"/>
                    <w:pageBreakBefore w:val="0"/>
                    <w:widowControl w:val="0"/>
                    <w:kinsoku/>
                    <w:wordWrap/>
                    <w:overflowPunct/>
                    <w:topLinePunct w:val="0"/>
                    <w:autoSpaceDE/>
                    <w:autoSpaceDN/>
                    <w:bidi w:val="0"/>
                    <w:adjustRightInd w:val="0"/>
                    <w:snapToGrid w:val="0"/>
                    <w:spacing w:line="240" w:lineRule="auto"/>
                    <w:ind w:left="0"/>
                    <w:jc w:val="both"/>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6.加强城乡生态环境保护基础设施建设。</w:t>
                  </w:r>
                </w:p>
              </w:tc>
            </w:tr>
          </w:tbl>
          <w:p>
            <w:pPr>
              <w:widowControl w:val="0"/>
              <w:adjustRightInd w:val="0"/>
              <w:snapToGrid w:val="0"/>
              <w:spacing w:line="360" w:lineRule="auto"/>
              <w:ind w:firstLine="482"/>
              <w:jc w:val="both"/>
              <w:rPr>
                <w:rFonts w:ascii="Times New Roman" w:hAnsi="Times New Roman" w:eastAsia="宋体" w:cs="Times New Roman"/>
                <w:b/>
                <w:color w:val="auto"/>
                <w:kern w:val="2"/>
                <w:sz w:val="24"/>
                <w:szCs w:val="24"/>
                <w:lang w:val="en-US" w:eastAsia="zh-CN" w:bidi="ar-SA"/>
              </w:rPr>
            </w:pPr>
            <w:r>
              <w:rPr>
                <w:rFonts w:ascii="Times New Roman" w:hAnsi="Times New Roman" w:eastAsia="宋体" w:cs="Times New Roman"/>
                <w:b/>
                <w:color w:val="auto"/>
                <w:kern w:val="2"/>
                <w:sz w:val="24"/>
                <w:szCs w:val="24"/>
                <w:lang w:val="en-US" w:eastAsia="zh-CN" w:bidi="ar-SA"/>
              </w:rPr>
              <w:t>（2）本项目与生态保护红线符合性分析</w:t>
            </w:r>
          </w:p>
          <w:p>
            <w:pPr>
              <w:widowControl w:val="0"/>
              <w:adjustRightInd w:val="0"/>
              <w:snapToGrid w:val="0"/>
              <w:spacing w:line="360" w:lineRule="auto"/>
              <w:ind w:firstLine="480"/>
              <w:jc w:val="both"/>
              <w:rPr>
                <w:rFonts w:ascii="Times New Roman" w:hAnsi="Times New Roman" w:eastAsia="宋体" w:cs="Times New Roman"/>
                <w:color w:val="auto"/>
                <w:kern w:val="2"/>
                <w:sz w:val="24"/>
                <w:szCs w:val="24"/>
                <w:shd w:val="clear" w:color="auto" w:fill="FFFFFF"/>
                <w:lang w:val="en-US" w:eastAsia="zh-CN" w:bidi="ar-SA"/>
              </w:rPr>
            </w:pPr>
            <w:r>
              <w:rPr>
                <w:rFonts w:ascii="Times New Roman" w:hAnsi="Times New Roman" w:eastAsia="宋体" w:cs="Times New Roman"/>
                <w:color w:val="auto"/>
                <w:kern w:val="2"/>
                <w:sz w:val="24"/>
                <w:szCs w:val="24"/>
                <w:shd w:val="clear" w:color="auto" w:fill="FFFFFF"/>
                <w:lang w:val="en-US" w:eastAsia="zh-CN" w:bidi="ar-SA"/>
              </w:rPr>
              <w:t>《四川省生态保护红线方案》明确“四轴九核”生态保护红线空间分布格局，四川省生态保护红线总面积14.80万平方公里，</w:t>
            </w:r>
            <w:r>
              <w:rPr>
                <w:rFonts w:hint="eastAsia" w:ascii="Times New Roman" w:hAnsi="Times New Roman" w:eastAsia="宋体" w:cs="Times New Roman"/>
                <w:color w:val="auto"/>
                <w:kern w:val="2"/>
                <w:sz w:val="24"/>
                <w:szCs w:val="24"/>
                <w:shd w:val="clear" w:color="auto" w:fill="FFFFFF"/>
                <w:lang w:val="en-US" w:eastAsia="zh-CN" w:bidi="ar-SA"/>
              </w:rPr>
              <w:t>占</w:t>
            </w:r>
            <w:r>
              <w:rPr>
                <w:rFonts w:ascii="Times New Roman" w:hAnsi="Times New Roman" w:eastAsia="宋体" w:cs="Times New Roman"/>
                <w:color w:val="auto"/>
                <w:kern w:val="2"/>
                <w:sz w:val="24"/>
                <w:szCs w:val="24"/>
                <w:shd w:val="clear" w:color="auto" w:fill="FFFFFF"/>
                <w:lang w:val="en-US" w:eastAsia="zh-CN" w:bidi="ar-SA"/>
              </w:rPr>
              <w:t>全省幅员面积的30.45%，空间分布格局呈“四轴九核”，分为5大类13个区块，主要分布在川西高原山地、盆周山地的水源涵养、生物多样性维护、水土保持生态功能富集区和金沙江下游水土流失敏感区、川东南石漠化敏感区。</w:t>
            </w:r>
          </w:p>
          <w:p>
            <w:pPr>
              <w:widowControl w:val="0"/>
              <w:adjustRightInd w:val="0"/>
              <w:snapToGrid w:val="0"/>
              <w:spacing w:line="360" w:lineRule="auto"/>
              <w:ind w:firstLine="480"/>
              <w:jc w:val="both"/>
              <w:rPr>
                <w:rFonts w:ascii="Times New Roman" w:hAnsi="Times New Roman" w:eastAsia="宋体" w:cs="Times New Roman"/>
                <w:color w:val="auto"/>
                <w:kern w:val="2"/>
                <w:sz w:val="24"/>
                <w:szCs w:val="24"/>
                <w:shd w:val="clear" w:color="auto" w:fill="FFFFFF"/>
                <w:lang w:val="en-US" w:eastAsia="zh-CN" w:bidi="ar-SA"/>
              </w:rPr>
            </w:pPr>
            <w:r>
              <w:rPr>
                <w:rFonts w:ascii="Times New Roman" w:hAnsi="Times New Roman" w:eastAsia="宋体" w:cs="Times New Roman"/>
                <w:color w:val="auto"/>
                <w:kern w:val="2"/>
                <w:sz w:val="24"/>
                <w:szCs w:val="24"/>
                <w:shd w:val="clear" w:color="auto" w:fill="FFFFFF"/>
                <w:lang w:val="en-US" w:eastAsia="zh-CN" w:bidi="ar-SA"/>
              </w:rPr>
              <w:t>《四川省生态保护红线方案》明确，13个红线区块中，属于水源涵养功能的2个——雅砻江源水源涵养红线区、大渡河源水源涵养红线区；属于生物多样性保护功能的3个——沙鲁里山生物多样性保护红线区、邛崃山生物多样性保护红线区、川南生物多样性保护红线区；属于土壤保持功能的1个——金沙江下游干热河谷土壤保持红线区；属于双重功能的7个——黄河源水源涵养-生物多样性保护红线区、大雪山生物多样性保护-土壤保持红线区、岷山生物多样性保护-水源涵养红线区、凉山-相岭生物多样性保护-土壤保持红线区、锦屏山水源涵养-土壤保持红线区、大巴山生物多样性保护-水源涵养红线区、盆中城市饮水水源-土壤保持红线区。</w:t>
            </w:r>
          </w:p>
          <w:p>
            <w:pPr>
              <w:widowControl w:val="0"/>
              <w:adjustRightInd w:val="0"/>
              <w:snapToGrid w:val="0"/>
              <w:spacing w:line="360" w:lineRule="auto"/>
              <w:ind w:firstLine="480"/>
              <w:jc w:val="both"/>
              <w:rPr>
                <w:rFonts w:hint="default"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kern w:val="2"/>
                <w:sz w:val="24"/>
                <w:szCs w:val="24"/>
                <w:shd w:val="clear" w:color="auto" w:fill="FFFFFF"/>
                <w:lang w:val="en-US" w:eastAsia="zh-CN" w:bidi="ar-SA"/>
              </w:rPr>
              <w:t>本项目</w:t>
            </w:r>
            <w:r>
              <w:rPr>
                <w:rFonts w:hint="eastAsia" w:ascii="Times New Roman" w:hAnsi="Times New Roman" w:eastAsia="宋体" w:cs="Times New Roman"/>
                <w:color w:val="auto"/>
                <w:kern w:val="2"/>
                <w:sz w:val="24"/>
                <w:szCs w:val="24"/>
                <w:shd w:val="clear" w:color="auto" w:fill="FFFFFF"/>
                <w:lang w:val="en-US" w:eastAsia="zh-CN" w:bidi="ar-SA"/>
              </w:rPr>
              <w:t>为</w:t>
            </w:r>
            <w:r>
              <w:rPr>
                <w:rFonts w:hint="eastAsia" w:cs="Times New Roman"/>
                <w:color w:val="auto"/>
                <w:kern w:val="2"/>
                <w:sz w:val="24"/>
                <w:szCs w:val="24"/>
                <w:shd w:val="clear" w:color="auto" w:fill="FFFFFF"/>
                <w:lang w:val="en-US" w:eastAsia="zh-CN" w:bidi="ar-SA"/>
              </w:rPr>
              <w:t>四川省乐山市中区临江河平兴镇防洪治理工程</w:t>
            </w:r>
            <w:r>
              <w:rPr>
                <w:rFonts w:hint="eastAsia" w:ascii="Times New Roman" w:hAnsi="Times New Roman" w:eastAsia="宋体" w:cs="Times New Roman"/>
                <w:color w:val="auto"/>
                <w:kern w:val="2"/>
                <w:sz w:val="24"/>
                <w:szCs w:val="24"/>
                <w:shd w:val="clear" w:color="auto" w:fill="FFFFFF"/>
                <w:lang w:val="en-US" w:eastAsia="zh-CN" w:bidi="ar-SA"/>
              </w:rPr>
              <w:t>，</w:t>
            </w:r>
            <w:r>
              <w:rPr>
                <w:rFonts w:ascii="Times New Roman" w:hAnsi="Times New Roman" w:eastAsia="宋体" w:cs="Times New Roman"/>
                <w:color w:val="auto"/>
                <w:kern w:val="2"/>
                <w:sz w:val="24"/>
                <w:szCs w:val="24"/>
                <w:shd w:val="clear" w:color="auto" w:fill="FFFFFF"/>
                <w:lang w:val="en-US" w:eastAsia="zh-CN" w:bidi="ar-SA"/>
              </w:rPr>
              <w:t>根据《四川省生态保护红线方案》，本项目不涉及《四川省生态保护红线方案》划定的生态红线区域，符合四川省生态保护红线实施意见的相关要求。</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color w:val="auto"/>
                <w:kern w:val="2"/>
                <w:sz w:val="21"/>
                <w:szCs w:val="21"/>
                <w:lang w:val="en-US" w:eastAsia="zh-CN" w:bidi="ar-SA"/>
              </w:rPr>
              <mc:AlternateContent>
                <mc:Choice Requires="wps">
                  <w:drawing>
                    <wp:anchor distT="0" distB="0" distL="114300" distR="114300" simplePos="0" relativeHeight="251661312" behindDoc="0" locked="0" layoutInCell="1" allowOverlap="1">
                      <wp:simplePos x="0" y="0"/>
                      <wp:positionH relativeFrom="column">
                        <wp:posOffset>2195830</wp:posOffset>
                      </wp:positionH>
                      <wp:positionV relativeFrom="paragraph">
                        <wp:posOffset>1335405</wp:posOffset>
                      </wp:positionV>
                      <wp:extent cx="777875" cy="276225"/>
                      <wp:effectExtent l="4445" t="212725" r="17780" b="6350"/>
                      <wp:wrapNone/>
                      <wp:docPr id="187" name="矩形标注 187"/>
                      <wp:cNvGraphicFramePr/>
                      <a:graphic xmlns:a="http://schemas.openxmlformats.org/drawingml/2006/main">
                        <a:graphicData uri="http://schemas.microsoft.com/office/word/2010/wordprocessingShape">
                          <wps:wsp>
                            <wps:cNvSpPr/>
                            <wps:spPr>
                              <a:xfrm>
                                <a:off x="0" y="0"/>
                                <a:ext cx="777875" cy="240665"/>
                              </a:xfrm>
                              <a:prstGeom prst="wedgeRectCallout">
                                <a:avLst>
                                  <a:gd name="adj1" fmla="val -23958"/>
                                  <a:gd name="adj2" fmla="val -123083"/>
                                </a:avLst>
                              </a:prstGeom>
                              <a:noFill/>
                              <a:ln w="9525" cap="flat" cmpd="sng">
                                <a:solidFill>
                                  <a:srgbClr val="000000"/>
                                </a:solidFill>
                                <a:prstDash val="solid"/>
                                <a:miter/>
                                <a:headEnd type="none" w="med" len="med"/>
                                <a:tailEnd type="none" w="med" len="med"/>
                              </a:ln>
                              <a:effectLst/>
                            </wps:spPr>
                            <wps:txb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项目位置</w:t>
                                  </w:r>
                                </w:p>
                              </w:txbxContent>
                            </wps:txbx>
                            <wps:bodyPr upright="1"/>
                          </wps:wsp>
                        </a:graphicData>
                      </a:graphic>
                    </wp:anchor>
                  </w:drawing>
                </mc:Choice>
                <mc:Fallback>
                  <w:pict>
                    <v:shape id="_x0000_s1026" o:spid="_x0000_s1026" o:spt="61" type="#_x0000_t61" style="position:absolute;left:0pt;margin-left:172.9pt;margin-top:105.15pt;height:21.75pt;width:61.25pt;z-index:251661312;mso-width-relative:page;mso-height-relative:page;" filled="f" stroked="t" coordsize="21600,21600" o:gfxdata="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WGM9QtsAAAALAQAADwAAAAAAAAABACAAAAAiAAAA&#10;ZHJzL2Rvd25yZXYueG1sUEsBAhQAFAAAAAgAh07iQB/e+4w9AgAAdwQAAA4AAAAAAAAAAQAgAAAA&#10;KgEAAGRycy9lMm9Eb2MueG1sUEsFBgAAAAAGAAYAWQEAANkFAAAAAA==&#10;" adj="5625,-15786">
                      <v:fill on="f" focussize="0,0"/>
                      <v:stroke color="#000000" joinstyle="miter"/>
                      <v:imagedata o:title=""/>
                      <o:lock v:ext="edit" aspectratio="f"/>
                      <v:textbox>
                        <w:txbxContent>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项目位置</w:t>
                            </w:r>
                          </w:p>
                        </w:txbxContent>
                      </v:textbox>
                    </v:shape>
                  </w:pict>
                </mc:Fallback>
              </mc:AlternateContent>
            </w:r>
            <w:r>
              <w:rPr>
                <w:rFonts w:hint="default" w:ascii="Times New Roman" w:hAnsi="Times New Roman" w:eastAsia="宋体" w:cs="Times New Roman"/>
                <w:b/>
                <w:bCs/>
                <w:color w:val="auto"/>
                <w:lang w:val="en-US" w:eastAsia="zh-CN"/>
              </w:rPr>
              <w:drawing>
                <wp:inline distT="0" distB="0" distL="114300" distR="114300">
                  <wp:extent cx="4678045" cy="3472815"/>
                  <wp:effectExtent l="0" t="0" r="8255" b="13335"/>
                  <wp:docPr id="188" name="图片 9" descr="生态红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9" descr="生态红线图"/>
                          <pic:cNvPicPr>
                            <a:picLocks noChangeAspect="1"/>
                          </pic:cNvPicPr>
                        </pic:nvPicPr>
                        <pic:blipFill>
                          <a:blip r:embed="rId17"/>
                          <a:stretch>
                            <a:fillRect/>
                          </a:stretch>
                        </pic:blipFill>
                        <pic:spPr>
                          <a:xfrm>
                            <a:off x="0" y="0"/>
                            <a:ext cx="4678045" cy="34728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Times New Roman" w:hAnsi="Times New Roman" w:eastAsia="宋体" w:cs="Times New Roman"/>
                <w:color w:val="auto"/>
                <w:sz w:val="24"/>
                <w:szCs w:val="24"/>
                <w:shd w:val="clear" w:color="auto" w:fill="FFFFFF"/>
              </w:rPr>
            </w:pPr>
            <w:r>
              <w:rPr>
                <w:rFonts w:hint="default" w:ascii="Times New Roman" w:hAnsi="Times New Roman" w:eastAsia="宋体" w:cs="Times New Roman"/>
                <w:b/>
                <w:bCs/>
                <w:color w:val="auto"/>
                <w:lang w:val="en-US" w:eastAsia="zh-CN"/>
              </w:rPr>
              <w:t>图1-</w:t>
            </w:r>
            <w:r>
              <w:rPr>
                <w:rFonts w:hint="eastAsia" w:ascii="Times New Roman" w:hAnsi="Times New Roman" w:eastAsia="宋体" w:cs="Times New Roman"/>
                <w:b/>
                <w:bCs/>
                <w:color w:val="auto"/>
                <w:lang w:val="en-US" w:eastAsia="zh-CN"/>
              </w:rPr>
              <w:t>3</w:t>
            </w:r>
            <w:r>
              <w:rPr>
                <w:rFonts w:hint="default" w:ascii="Times New Roman" w:hAnsi="Times New Roman" w:eastAsia="宋体" w:cs="Times New Roman"/>
                <w:b/>
                <w:bCs/>
                <w:color w:val="auto"/>
                <w:lang w:val="en-US" w:eastAsia="zh-CN"/>
              </w:rPr>
              <w:t xml:space="preserve">  项目与生态红线的位置关系图</w:t>
            </w:r>
          </w:p>
          <w:p>
            <w:pPr>
              <w:adjustRightInd w:val="0"/>
              <w:snapToGrid w:val="0"/>
              <w:spacing w:line="360" w:lineRule="auto"/>
              <w:ind w:firstLine="482"/>
              <w:rPr>
                <w:rFonts w:hint="default" w:ascii="Times New Roman" w:hAnsi="Times New Roman" w:eastAsia="宋体" w:cs="Times New Roman"/>
                <w:b/>
                <w:color w:val="auto"/>
                <w:sz w:val="24"/>
                <w:lang w:val="en-US" w:eastAsia="zh-CN"/>
              </w:rPr>
            </w:pPr>
            <w:r>
              <w:rPr>
                <w:rFonts w:hint="eastAsia" w:ascii="Times New Roman" w:hAnsi="Times New Roman" w:eastAsia="宋体" w:cs="Times New Roman"/>
                <w:b/>
                <w:color w:val="auto"/>
                <w:sz w:val="24"/>
                <w:lang w:eastAsia="zh-CN"/>
              </w:rPr>
              <w:t>（</w:t>
            </w:r>
            <w:r>
              <w:rPr>
                <w:rFonts w:hint="eastAsia" w:ascii="Times New Roman" w:hAnsi="Times New Roman" w:eastAsia="宋体" w:cs="Times New Roman"/>
                <w:b/>
                <w:color w:val="auto"/>
                <w:sz w:val="24"/>
                <w:lang w:val="en-US" w:eastAsia="zh-CN"/>
              </w:rPr>
              <w:t>3</w:t>
            </w:r>
            <w:r>
              <w:rPr>
                <w:rFonts w:hint="eastAsia" w:ascii="Times New Roman" w:hAnsi="Times New Roman" w:eastAsia="宋体" w:cs="Times New Roman"/>
                <w:b/>
                <w:color w:val="auto"/>
                <w:sz w:val="24"/>
                <w:lang w:eastAsia="zh-CN"/>
              </w:rPr>
              <w:t>）</w:t>
            </w:r>
            <w:r>
              <w:rPr>
                <w:rFonts w:hint="eastAsia" w:ascii="Times New Roman" w:hAnsi="Times New Roman" w:eastAsia="宋体" w:cs="Times New Roman"/>
                <w:b/>
                <w:color w:val="auto"/>
                <w:sz w:val="24"/>
                <w:lang w:val="en-US" w:eastAsia="zh-CN"/>
              </w:rPr>
              <w:t>本项目与四川省生态环境厅办公室关于印发《产业园区规划环评“三线一单”符合性分析技术要点（试行）》和《项目环评“三线一单”符合性分析技术要点（试行）》的通知（川环办函〔2021〕469号）符合性分析</w:t>
            </w:r>
          </w:p>
          <w:p>
            <w:pPr>
              <w:adjustRightInd w:val="0"/>
              <w:snapToGrid w:val="0"/>
              <w:spacing w:line="360" w:lineRule="auto"/>
              <w:ind w:firstLine="482"/>
              <w:rPr>
                <w:rFonts w:hint="default" w:ascii="Times New Roman" w:hAnsi="Times New Roman" w:eastAsia="宋体" w:cs="Times New Roman"/>
                <w:b w:val="0"/>
                <w:bCs/>
                <w:color w:val="auto"/>
                <w:sz w:val="24"/>
              </w:rPr>
            </w:pPr>
            <w:r>
              <w:rPr>
                <w:rFonts w:hint="eastAsia" w:ascii="Times New Roman" w:hAnsi="Times New Roman" w:eastAsia="宋体" w:cs="Times New Roman"/>
                <w:b w:val="0"/>
                <w:bCs/>
                <w:color w:val="auto"/>
                <w:sz w:val="24"/>
              </w:rPr>
              <w:t>根据项目所在地所属环境管控单元的生态环境准入清单</w:t>
            </w:r>
            <w:r>
              <w:rPr>
                <w:rFonts w:hint="eastAsia" w:ascii="Times New Roman" w:hAnsi="Times New Roman" w:eastAsia="宋体" w:cs="Times New Roman"/>
                <w:b w:val="0"/>
                <w:bCs/>
                <w:color w:val="auto"/>
                <w:sz w:val="24"/>
                <w:lang w:eastAsia="zh-CN"/>
              </w:rPr>
              <w:t>，</w:t>
            </w:r>
            <w:r>
              <w:rPr>
                <w:rFonts w:hint="eastAsia" w:ascii="Times New Roman" w:hAnsi="Times New Roman" w:eastAsia="宋体" w:cs="Times New Roman"/>
                <w:b w:val="0"/>
                <w:bCs/>
                <w:color w:val="auto"/>
                <w:sz w:val="24"/>
              </w:rPr>
              <w:t>从空间布局约束、污染物排放管控、环境风险防控、资源开发效率四个维度，论述项目的符合性。</w:t>
            </w:r>
            <w:r>
              <w:rPr>
                <w:rFonts w:hint="eastAsia" w:ascii="Times New Roman" w:hAnsi="Times New Roman" w:eastAsia="宋体" w:cs="Times New Roman"/>
                <w:b w:val="0"/>
                <w:bCs/>
                <w:color w:val="auto"/>
                <w:sz w:val="24"/>
                <w:lang w:val="en-US" w:eastAsia="zh-CN"/>
              </w:rPr>
              <w:t>分析见下表：</w:t>
            </w:r>
          </w:p>
          <w:p>
            <w:pPr>
              <w:autoSpaceDE w:val="0"/>
              <w:autoSpaceDN w:val="0"/>
              <w:adjustRightInd w:val="0"/>
              <w:snapToGrid w:val="0"/>
              <w:spacing w:line="360" w:lineRule="auto"/>
              <w:ind w:firstLine="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w:t>
            </w:r>
            <w:r>
              <w:rPr>
                <w:rFonts w:hint="eastAsia" w:ascii="Times New Roman" w:hAnsi="Times New Roman" w:eastAsia="宋体" w:cs="Times New Roman"/>
                <w:b/>
                <w:bCs/>
                <w:color w:val="auto"/>
                <w:sz w:val="21"/>
                <w:szCs w:val="21"/>
                <w:lang w:val="en-US" w:eastAsia="zh-CN"/>
              </w:rPr>
              <w:t>6</w:t>
            </w:r>
            <w:r>
              <w:rPr>
                <w:rFonts w:hint="default" w:ascii="Times New Roman" w:hAnsi="Times New Roman" w:eastAsia="宋体" w:cs="Times New Roman"/>
                <w:b/>
                <w:bCs/>
                <w:color w:val="auto"/>
                <w:sz w:val="21"/>
                <w:szCs w:val="21"/>
                <w:lang w:val="en-US" w:eastAsia="zh-CN"/>
              </w:rPr>
              <w:t xml:space="preserve">  </w:t>
            </w:r>
            <w:r>
              <w:rPr>
                <w:rFonts w:hint="eastAsia" w:cs="Times New Roman"/>
                <w:b/>
                <w:bCs/>
                <w:color w:val="auto"/>
                <w:sz w:val="21"/>
                <w:szCs w:val="21"/>
                <w:lang w:val="en-US" w:eastAsia="zh-CN"/>
              </w:rPr>
              <w:t>本项目</w:t>
            </w:r>
            <w:r>
              <w:rPr>
                <w:rFonts w:hint="default" w:ascii="Times New Roman" w:hAnsi="Times New Roman" w:eastAsia="宋体" w:cs="Times New Roman"/>
                <w:b/>
                <w:bCs/>
                <w:color w:val="auto"/>
                <w:sz w:val="21"/>
                <w:szCs w:val="21"/>
                <w:lang w:val="en-US" w:eastAsia="zh-CN"/>
              </w:rPr>
              <w:t>“三线一单”相关</w:t>
            </w:r>
            <w:r>
              <w:rPr>
                <w:rFonts w:hint="eastAsia" w:cs="Times New Roman"/>
                <w:b/>
                <w:bCs/>
                <w:color w:val="auto"/>
                <w:sz w:val="21"/>
                <w:szCs w:val="21"/>
                <w:lang w:val="en-US" w:eastAsia="zh-CN"/>
              </w:rPr>
              <w:t>信息一览表</w:t>
            </w:r>
          </w:p>
          <w:tbl>
            <w:tblPr>
              <w:tblStyle w:val="41"/>
              <w:tblW w:w="48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8"/>
              <w:gridCol w:w="1373"/>
              <w:gridCol w:w="992"/>
              <w:gridCol w:w="722"/>
              <w:gridCol w:w="1306"/>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atLeast"/>
                <w:tblHeader/>
                <w:jc w:val="center"/>
              </w:trPr>
              <w:tc>
                <w:tcPr>
                  <w:tcW w:w="1299" w:type="pct"/>
                  <w:noWrap w:val="0"/>
                  <w:vAlign w:val="center"/>
                </w:tcPr>
                <w:p>
                  <w:pPr>
                    <w:pStyle w:val="192"/>
                    <w:widowControl/>
                    <w:spacing w:line="240" w:lineRule="auto"/>
                    <w:ind w:firstLine="0" w:firstLineChars="0"/>
                    <w:jc w:val="center"/>
                    <w:rPr>
                      <w:rStyle w:val="43"/>
                      <w:rFonts w:hint="default" w:ascii="Times New Roman" w:hAnsi="Times New Roman" w:eastAsia="宋体" w:cs="Times New Roman"/>
                      <w:b/>
                      <w:bCs/>
                      <w:kern w:val="2"/>
                      <w:sz w:val="21"/>
                      <w:szCs w:val="21"/>
                      <w:lang w:val="en-US" w:eastAsia="zh-CN" w:bidi="ar-SA"/>
                    </w:rPr>
                  </w:pPr>
                  <w:r>
                    <w:rPr>
                      <w:rStyle w:val="43"/>
                      <w:rFonts w:hint="eastAsia" w:ascii="Times New Roman" w:hAnsi="Times New Roman" w:eastAsia="宋体" w:cs="Times New Roman"/>
                      <w:b/>
                      <w:bCs/>
                      <w:kern w:val="2"/>
                      <w:sz w:val="21"/>
                      <w:szCs w:val="21"/>
                      <w:lang w:val="en-US" w:eastAsia="zh-CN" w:bidi="ar-SA"/>
                    </w:rPr>
                    <w:t>环境管控单元编码</w:t>
                  </w:r>
                </w:p>
              </w:tc>
              <w:tc>
                <w:tcPr>
                  <w:tcW w:w="875" w:type="pct"/>
                  <w:noWrap w:val="0"/>
                  <w:vAlign w:val="center"/>
                </w:tcPr>
                <w:p>
                  <w:pPr>
                    <w:pStyle w:val="192"/>
                    <w:widowControl/>
                    <w:spacing w:line="240" w:lineRule="auto"/>
                    <w:ind w:firstLine="0" w:firstLineChars="0"/>
                    <w:jc w:val="center"/>
                    <w:rPr>
                      <w:rStyle w:val="43"/>
                      <w:rFonts w:hint="default" w:ascii="Times New Roman" w:hAnsi="Times New Roman" w:eastAsia="宋体" w:cs="Times New Roman"/>
                      <w:b/>
                      <w:bCs/>
                      <w:kern w:val="2"/>
                      <w:sz w:val="21"/>
                      <w:szCs w:val="21"/>
                      <w:lang w:val="en-US" w:eastAsia="zh-CN" w:bidi="ar-SA"/>
                    </w:rPr>
                  </w:pPr>
                  <w:r>
                    <w:rPr>
                      <w:rStyle w:val="43"/>
                      <w:rFonts w:hint="eastAsia" w:ascii="Times New Roman" w:hAnsi="Times New Roman" w:eastAsia="宋体" w:cs="Times New Roman"/>
                      <w:b/>
                      <w:bCs/>
                      <w:kern w:val="2"/>
                      <w:sz w:val="21"/>
                      <w:szCs w:val="21"/>
                      <w:lang w:val="en-US" w:eastAsia="zh-CN" w:bidi="ar-SA"/>
                    </w:rPr>
                    <w:t>环境管控单元名称</w:t>
                  </w:r>
                </w:p>
              </w:tc>
              <w:tc>
                <w:tcPr>
                  <w:tcW w:w="632" w:type="pct"/>
                  <w:noWrap w:val="0"/>
                  <w:vAlign w:val="top"/>
                </w:tcPr>
                <w:p>
                  <w:pPr>
                    <w:pStyle w:val="192"/>
                    <w:widowControl/>
                    <w:spacing w:line="240" w:lineRule="auto"/>
                    <w:ind w:firstLine="0" w:firstLineChars="0"/>
                    <w:jc w:val="center"/>
                    <w:rPr>
                      <w:rStyle w:val="43"/>
                      <w:rFonts w:hint="default" w:ascii="Times New Roman" w:hAnsi="Times New Roman" w:eastAsia="宋体" w:cs="Times New Roman"/>
                      <w:b/>
                      <w:bCs/>
                      <w:kern w:val="2"/>
                      <w:sz w:val="21"/>
                      <w:szCs w:val="21"/>
                      <w:lang w:val="en-US" w:eastAsia="zh-CN" w:bidi="ar-SA"/>
                    </w:rPr>
                  </w:pPr>
                  <w:r>
                    <w:rPr>
                      <w:rStyle w:val="43"/>
                      <w:rFonts w:hint="eastAsia" w:ascii="Times New Roman" w:hAnsi="Times New Roman" w:eastAsia="宋体" w:cs="Times New Roman"/>
                      <w:b/>
                      <w:bCs/>
                      <w:kern w:val="2"/>
                      <w:sz w:val="21"/>
                      <w:szCs w:val="21"/>
                      <w:lang w:val="en-US" w:eastAsia="zh-CN" w:bidi="ar-SA"/>
                    </w:rPr>
                    <w:t>所属市（州）</w:t>
                  </w:r>
                </w:p>
              </w:tc>
              <w:tc>
                <w:tcPr>
                  <w:tcW w:w="460" w:type="pct"/>
                  <w:noWrap w:val="0"/>
                  <w:vAlign w:val="top"/>
                </w:tcPr>
                <w:p>
                  <w:pPr>
                    <w:pStyle w:val="192"/>
                    <w:widowControl/>
                    <w:spacing w:line="240" w:lineRule="auto"/>
                    <w:ind w:firstLine="0" w:firstLineChars="0"/>
                    <w:jc w:val="center"/>
                    <w:rPr>
                      <w:rStyle w:val="43"/>
                      <w:rFonts w:hint="default" w:ascii="Times New Roman" w:hAnsi="Times New Roman" w:eastAsia="宋体" w:cs="Times New Roman"/>
                      <w:b/>
                      <w:bCs/>
                      <w:kern w:val="2"/>
                      <w:sz w:val="21"/>
                      <w:szCs w:val="21"/>
                      <w:lang w:val="en-US" w:eastAsia="zh-CN" w:bidi="ar-SA"/>
                    </w:rPr>
                  </w:pPr>
                  <w:r>
                    <w:rPr>
                      <w:rStyle w:val="43"/>
                      <w:rFonts w:hint="eastAsia" w:ascii="Times New Roman" w:hAnsi="Times New Roman" w:eastAsia="宋体" w:cs="Times New Roman"/>
                      <w:b/>
                      <w:bCs/>
                      <w:kern w:val="2"/>
                      <w:sz w:val="21"/>
                      <w:szCs w:val="21"/>
                      <w:lang w:val="en-US" w:eastAsia="zh-CN" w:bidi="ar-SA"/>
                    </w:rPr>
                    <w:t>所属区县</w:t>
                  </w:r>
                </w:p>
              </w:tc>
              <w:tc>
                <w:tcPr>
                  <w:tcW w:w="832" w:type="pct"/>
                  <w:noWrap w:val="0"/>
                  <w:vAlign w:val="center"/>
                </w:tcPr>
                <w:p>
                  <w:pPr>
                    <w:pStyle w:val="192"/>
                    <w:widowControl/>
                    <w:spacing w:line="240" w:lineRule="auto"/>
                    <w:ind w:firstLine="0" w:firstLineChars="0"/>
                    <w:jc w:val="center"/>
                    <w:rPr>
                      <w:rStyle w:val="43"/>
                      <w:rFonts w:hint="default" w:ascii="Times New Roman" w:hAnsi="Times New Roman" w:eastAsia="宋体" w:cs="Times New Roman"/>
                      <w:b/>
                      <w:bCs/>
                      <w:kern w:val="2"/>
                      <w:sz w:val="21"/>
                      <w:szCs w:val="21"/>
                      <w:lang w:val="en-US" w:eastAsia="zh-CN" w:bidi="ar-SA"/>
                    </w:rPr>
                  </w:pPr>
                  <w:r>
                    <w:rPr>
                      <w:rStyle w:val="43"/>
                      <w:rFonts w:hint="eastAsia" w:ascii="Times New Roman" w:hAnsi="Times New Roman" w:eastAsia="宋体" w:cs="Times New Roman"/>
                      <w:b/>
                      <w:bCs/>
                      <w:kern w:val="2"/>
                      <w:sz w:val="21"/>
                      <w:szCs w:val="21"/>
                      <w:lang w:val="en-US" w:eastAsia="zh-CN" w:bidi="ar-SA"/>
                    </w:rPr>
                    <w:t>准入清单类型</w:t>
                  </w:r>
                </w:p>
              </w:tc>
              <w:tc>
                <w:tcPr>
                  <w:tcW w:w="900" w:type="pct"/>
                  <w:noWrap w:val="0"/>
                  <w:vAlign w:val="center"/>
                </w:tcPr>
                <w:p>
                  <w:pPr>
                    <w:pStyle w:val="192"/>
                    <w:widowControl/>
                    <w:spacing w:line="240" w:lineRule="auto"/>
                    <w:ind w:firstLine="0" w:firstLineChars="0"/>
                    <w:jc w:val="center"/>
                    <w:rPr>
                      <w:rStyle w:val="43"/>
                      <w:rFonts w:hint="default" w:ascii="Times New Roman" w:hAnsi="Times New Roman" w:eastAsia="宋体" w:cs="Times New Roman"/>
                      <w:b/>
                      <w:bCs/>
                      <w:kern w:val="2"/>
                      <w:sz w:val="21"/>
                      <w:szCs w:val="21"/>
                      <w:lang w:val="en-US" w:eastAsia="zh-CN" w:bidi="ar-SA"/>
                    </w:rPr>
                  </w:pPr>
                  <w:r>
                    <w:rPr>
                      <w:rStyle w:val="43"/>
                      <w:rFonts w:hint="eastAsia" w:ascii="Times New Roman" w:hAnsi="Times New Roman" w:eastAsia="宋体" w:cs="Times New Roman"/>
                      <w:b/>
                      <w:bCs/>
                      <w:kern w:val="2"/>
                      <w:sz w:val="21"/>
                      <w:szCs w:val="21"/>
                      <w:lang w:val="en-US" w:eastAsia="zh-CN" w:bidi="ar-SA"/>
                    </w:rPr>
                    <w:t>管控类型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1" w:hRule="atLeast"/>
                <w:tblHeader/>
                <w:jc w:val="center"/>
              </w:trPr>
              <w:tc>
                <w:tcPr>
                  <w:tcW w:w="1299" w:type="pct"/>
                  <w:noWrap w:val="0"/>
                  <w:vAlign w:val="center"/>
                </w:tcPr>
                <w:p>
                  <w:pPr>
                    <w:pStyle w:val="192"/>
                    <w:widowControl/>
                    <w:spacing w:line="240" w:lineRule="auto"/>
                    <w:ind w:firstLine="0" w:firstLineChars="0"/>
                    <w:jc w:val="center"/>
                    <w:rPr>
                      <w:rStyle w:val="43"/>
                      <w:rFonts w:hint="default" w:ascii="Times New Roman" w:hAnsi="Times New Roman" w:eastAsia="宋体" w:cs="Times New Roman"/>
                      <w:kern w:val="2"/>
                      <w:sz w:val="21"/>
                      <w:szCs w:val="21"/>
                      <w:lang w:val="en-US" w:eastAsia="zh-CN" w:bidi="ar-SA"/>
                    </w:rPr>
                  </w:pPr>
                  <w:r>
                    <w:rPr>
                      <w:rStyle w:val="43"/>
                      <w:rFonts w:hint="eastAsia" w:ascii="Times New Roman" w:hAnsi="Times New Roman" w:eastAsia="宋体" w:cs="Times New Roman"/>
                      <w:kern w:val="2"/>
                      <w:sz w:val="21"/>
                      <w:szCs w:val="21"/>
                      <w:lang w:val="en-US" w:eastAsia="zh-CN" w:bidi="ar-SA"/>
                    </w:rPr>
                    <w:t>ZH51110220004</w:t>
                  </w:r>
                </w:p>
              </w:tc>
              <w:tc>
                <w:tcPr>
                  <w:tcW w:w="875" w:type="pct"/>
                  <w:noWrap w:val="0"/>
                  <w:vAlign w:val="center"/>
                </w:tcPr>
                <w:p>
                  <w:pPr>
                    <w:pStyle w:val="192"/>
                    <w:widowControl/>
                    <w:spacing w:line="240" w:lineRule="auto"/>
                    <w:ind w:firstLine="0" w:firstLineChars="0"/>
                    <w:jc w:val="center"/>
                    <w:rPr>
                      <w:rStyle w:val="43"/>
                      <w:rFonts w:hint="default" w:ascii="Times New Roman" w:hAnsi="Times New Roman" w:eastAsia="宋体" w:cs="Times New Roman"/>
                      <w:kern w:val="2"/>
                      <w:sz w:val="21"/>
                      <w:szCs w:val="21"/>
                      <w:lang w:val="en-US" w:eastAsia="zh-CN" w:bidi="ar-SA"/>
                    </w:rPr>
                  </w:pPr>
                  <w:r>
                    <w:rPr>
                      <w:rStyle w:val="43"/>
                      <w:rFonts w:hint="eastAsia" w:ascii="Times New Roman" w:hAnsi="Times New Roman" w:eastAsia="宋体" w:cs="Times New Roman"/>
                      <w:kern w:val="2"/>
                      <w:sz w:val="21"/>
                      <w:szCs w:val="21"/>
                      <w:lang w:val="en-US" w:eastAsia="zh-CN" w:bidi="ar-SA"/>
                    </w:rPr>
                    <w:t>市中区要素重点管控单元</w:t>
                  </w:r>
                </w:p>
              </w:tc>
              <w:tc>
                <w:tcPr>
                  <w:tcW w:w="632" w:type="pct"/>
                  <w:noWrap w:val="0"/>
                  <w:vAlign w:val="center"/>
                </w:tcPr>
                <w:p>
                  <w:pPr>
                    <w:pStyle w:val="192"/>
                    <w:widowControl/>
                    <w:spacing w:line="240" w:lineRule="auto"/>
                    <w:ind w:firstLine="0" w:firstLineChars="0"/>
                    <w:jc w:val="center"/>
                    <w:rPr>
                      <w:rStyle w:val="43"/>
                      <w:rFonts w:hint="default" w:ascii="Times New Roman" w:hAnsi="Times New Roman" w:eastAsia="宋体" w:cs="Times New Roman"/>
                      <w:kern w:val="2"/>
                      <w:sz w:val="21"/>
                      <w:szCs w:val="21"/>
                      <w:lang w:val="en-US" w:eastAsia="zh-CN" w:bidi="ar-SA"/>
                    </w:rPr>
                  </w:pPr>
                  <w:r>
                    <w:rPr>
                      <w:rStyle w:val="43"/>
                      <w:rFonts w:hint="eastAsia" w:ascii="Times New Roman" w:hAnsi="Times New Roman" w:eastAsia="宋体" w:cs="Times New Roman"/>
                      <w:kern w:val="2"/>
                      <w:sz w:val="21"/>
                      <w:szCs w:val="21"/>
                      <w:lang w:val="en-US" w:eastAsia="zh-CN" w:bidi="ar-SA"/>
                    </w:rPr>
                    <w:t>乐山市</w:t>
                  </w:r>
                </w:p>
              </w:tc>
              <w:tc>
                <w:tcPr>
                  <w:tcW w:w="460" w:type="pct"/>
                  <w:noWrap w:val="0"/>
                  <w:vAlign w:val="center"/>
                </w:tcPr>
                <w:p>
                  <w:pPr>
                    <w:pStyle w:val="192"/>
                    <w:widowControl/>
                    <w:spacing w:line="240" w:lineRule="auto"/>
                    <w:ind w:firstLine="0" w:firstLineChars="0"/>
                    <w:jc w:val="center"/>
                    <w:rPr>
                      <w:rStyle w:val="43"/>
                      <w:rFonts w:hint="default" w:ascii="Times New Roman" w:hAnsi="Times New Roman" w:eastAsia="宋体" w:cs="Times New Roman"/>
                      <w:kern w:val="2"/>
                      <w:sz w:val="21"/>
                      <w:szCs w:val="21"/>
                      <w:lang w:val="en-US" w:eastAsia="zh-CN" w:bidi="ar-SA"/>
                    </w:rPr>
                  </w:pPr>
                  <w:r>
                    <w:rPr>
                      <w:rStyle w:val="43"/>
                      <w:rFonts w:hint="eastAsia" w:ascii="Times New Roman" w:hAnsi="Times New Roman" w:eastAsia="宋体" w:cs="Times New Roman"/>
                      <w:kern w:val="2"/>
                      <w:sz w:val="21"/>
                      <w:szCs w:val="21"/>
                      <w:lang w:val="en-US" w:eastAsia="zh-CN" w:bidi="ar-SA"/>
                    </w:rPr>
                    <w:t>市中区</w:t>
                  </w:r>
                </w:p>
              </w:tc>
              <w:tc>
                <w:tcPr>
                  <w:tcW w:w="832" w:type="pct"/>
                  <w:noWrap w:val="0"/>
                  <w:vAlign w:val="center"/>
                </w:tcPr>
                <w:p>
                  <w:pPr>
                    <w:pStyle w:val="192"/>
                    <w:widowControl/>
                    <w:spacing w:line="240" w:lineRule="auto"/>
                    <w:ind w:firstLine="0" w:firstLineChars="0"/>
                    <w:jc w:val="center"/>
                    <w:rPr>
                      <w:rStyle w:val="43"/>
                      <w:rFonts w:hint="default" w:ascii="Times New Roman" w:hAnsi="Times New Roman" w:eastAsia="宋体" w:cs="Times New Roman"/>
                      <w:kern w:val="2"/>
                      <w:sz w:val="21"/>
                      <w:szCs w:val="21"/>
                      <w:lang w:val="en-US" w:eastAsia="zh-CN" w:bidi="ar-SA"/>
                    </w:rPr>
                  </w:pPr>
                  <w:r>
                    <w:rPr>
                      <w:rStyle w:val="43"/>
                      <w:rFonts w:hint="eastAsia" w:ascii="Times New Roman" w:hAnsi="Times New Roman" w:eastAsia="宋体" w:cs="Times New Roman"/>
                      <w:kern w:val="2"/>
                      <w:sz w:val="21"/>
                      <w:szCs w:val="21"/>
                      <w:lang w:val="en-US" w:eastAsia="zh-CN" w:bidi="ar-SA"/>
                    </w:rPr>
                    <w:t>环境管控单元-单元管控要求</w:t>
                  </w:r>
                </w:p>
              </w:tc>
              <w:tc>
                <w:tcPr>
                  <w:tcW w:w="900" w:type="pct"/>
                  <w:noWrap w:val="0"/>
                  <w:vAlign w:val="center"/>
                </w:tcPr>
                <w:p>
                  <w:pPr>
                    <w:pStyle w:val="192"/>
                    <w:widowControl/>
                    <w:spacing w:line="240" w:lineRule="auto"/>
                    <w:ind w:firstLine="0" w:firstLineChars="0"/>
                    <w:jc w:val="center"/>
                    <w:rPr>
                      <w:rStyle w:val="43"/>
                      <w:rFonts w:hint="default" w:ascii="Times New Roman" w:hAnsi="Times New Roman" w:eastAsia="宋体" w:cs="Times New Roman"/>
                      <w:kern w:val="2"/>
                      <w:sz w:val="21"/>
                      <w:szCs w:val="21"/>
                      <w:lang w:val="en-US" w:eastAsia="zh-CN" w:bidi="ar-SA"/>
                    </w:rPr>
                  </w:pPr>
                  <w:r>
                    <w:rPr>
                      <w:rStyle w:val="43"/>
                      <w:rFonts w:hint="eastAsia" w:ascii="Times New Roman" w:hAnsi="Times New Roman" w:eastAsia="宋体" w:cs="Times New Roman"/>
                      <w:kern w:val="2"/>
                      <w:sz w:val="21"/>
                      <w:szCs w:val="21"/>
                      <w:lang w:val="en-US" w:eastAsia="zh-CN" w:bidi="ar-SA"/>
                    </w:rPr>
                    <w:t>环境综合管控单元要素重点管控单元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1" w:hRule="atLeast"/>
                <w:tblHeader/>
                <w:jc w:val="center"/>
              </w:trPr>
              <w:tc>
                <w:tcPr>
                  <w:tcW w:w="1299" w:type="pct"/>
                  <w:noWrap w:val="0"/>
                  <w:vAlign w:val="center"/>
                </w:tcPr>
                <w:p>
                  <w:pPr>
                    <w:pStyle w:val="192"/>
                    <w:widowControl/>
                    <w:spacing w:line="240" w:lineRule="auto"/>
                    <w:ind w:firstLine="0" w:firstLineChars="0"/>
                    <w:jc w:val="center"/>
                    <w:rPr>
                      <w:rStyle w:val="43"/>
                      <w:rFonts w:hint="default" w:ascii="Times New Roman" w:hAnsi="Times New Roman" w:eastAsia="宋体" w:cs="Times New Roman"/>
                      <w:kern w:val="2"/>
                      <w:sz w:val="21"/>
                      <w:szCs w:val="21"/>
                      <w:lang w:val="en-US" w:eastAsia="zh-CN" w:bidi="ar-SA"/>
                    </w:rPr>
                  </w:pPr>
                  <w:r>
                    <w:rPr>
                      <w:rStyle w:val="43"/>
                      <w:rFonts w:hint="eastAsia" w:ascii="Times New Roman" w:hAnsi="Times New Roman" w:eastAsia="宋体" w:cs="Times New Roman"/>
                      <w:kern w:val="2"/>
                      <w:sz w:val="21"/>
                      <w:szCs w:val="21"/>
                      <w:lang w:val="en-US" w:eastAsia="zh-CN" w:bidi="ar-SA"/>
                    </w:rPr>
                    <w:t>YS5111023210023</w:t>
                  </w:r>
                </w:p>
              </w:tc>
              <w:tc>
                <w:tcPr>
                  <w:tcW w:w="875" w:type="pct"/>
                  <w:noWrap w:val="0"/>
                  <w:vAlign w:val="center"/>
                </w:tcPr>
                <w:p>
                  <w:pPr>
                    <w:pStyle w:val="192"/>
                    <w:widowControl/>
                    <w:spacing w:line="240" w:lineRule="auto"/>
                    <w:ind w:firstLine="0" w:firstLineChars="0"/>
                    <w:jc w:val="center"/>
                    <w:rPr>
                      <w:rStyle w:val="43"/>
                      <w:rFonts w:hint="default" w:ascii="Times New Roman" w:hAnsi="Times New Roman" w:eastAsia="宋体" w:cs="Times New Roman"/>
                      <w:kern w:val="2"/>
                      <w:sz w:val="21"/>
                      <w:szCs w:val="21"/>
                      <w:lang w:val="en-US" w:eastAsia="zh-CN" w:bidi="ar-SA"/>
                    </w:rPr>
                  </w:pPr>
                  <w:r>
                    <w:rPr>
                      <w:rStyle w:val="43"/>
                      <w:rFonts w:hint="eastAsia" w:ascii="Times New Roman" w:hAnsi="Times New Roman" w:eastAsia="宋体" w:cs="Times New Roman"/>
                      <w:kern w:val="2"/>
                      <w:sz w:val="21"/>
                      <w:szCs w:val="21"/>
                      <w:lang w:val="en-US" w:eastAsia="zh-CN" w:bidi="ar-SA"/>
                    </w:rPr>
                    <w:t>大渡河市中区李码头控制单元</w:t>
                  </w:r>
                </w:p>
              </w:tc>
              <w:tc>
                <w:tcPr>
                  <w:tcW w:w="632" w:type="pct"/>
                  <w:noWrap w:val="0"/>
                  <w:vAlign w:val="center"/>
                </w:tcPr>
                <w:p>
                  <w:pPr>
                    <w:pStyle w:val="192"/>
                    <w:widowControl/>
                    <w:spacing w:line="240" w:lineRule="auto"/>
                    <w:ind w:firstLine="0" w:firstLineChars="0"/>
                    <w:jc w:val="center"/>
                    <w:rPr>
                      <w:rStyle w:val="43"/>
                      <w:rFonts w:hint="default" w:ascii="Times New Roman" w:hAnsi="Times New Roman" w:eastAsia="宋体" w:cs="Times New Roman"/>
                      <w:kern w:val="2"/>
                      <w:sz w:val="21"/>
                      <w:szCs w:val="21"/>
                      <w:lang w:val="en-US" w:eastAsia="zh-CN" w:bidi="ar-SA"/>
                    </w:rPr>
                  </w:pPr>
                  <w:r>
                    <w:rPr>
                      <w:rStyle w:val="43"/>
                      <w:rFonts w:hint="eastAsia" w:ascii="Times New Roman" w:hAnsi="Times New Roman" w:eastAsia="宋体" w:cs="Times New Roman"/>
                      <w:kern w:val="2"/>
                      <w:sz w:val="21"/>
                      <w:szCs w:val="21"/>
                      <w:lang w:val="en-US" w:eastAsia="zh-CN" w:bidi="ar-SA"/>
                    </w:rPr>
                    <w:t>乐山市</w:t>
                  </w:r>
                </w:p>
              </w:tc>
              <w:tc>
                <w:tcPr>
                  <w:tcW w:w="460" w:type="pct"/>
                  <w:noWrap w:val="0"/>
                  <w:vAlign w:val="center"/>
                </w:tcPr>
                <w:p>
                  <w:pPr>
                    <w:pStyle w:val="192"/>
                    <w:widowControl/>
                    <w:spacing w:line="240" w:lineRule="auto"/>
                    <w:ind w:firstLine="0" w:firstLineChars="0"/>
                    <w:jc w:val="center"/>
                    <w:rPr>
                      <w:rStyle w:val="43"/>
                      <w:rFonts w:hint="default" w:ascii="Times New Roman" w:hAnsi="Times New Roman" w:eastAsia="宋体" w:cs="Times New Roman"/>
                      <w:kern w:val="2"/>
                      <w:sz w:val="21"/>
                      <w:szCs w:val="21"/>
                      <w:lang w:val="en-US" w:eastAsia="zh-CN" w:bidi="ar-SA"/>
                    </w:rPr>
                  </w:pPr>
                  <w:r>
                    <w:rPr>
                      <w:rStyle w:val="43"/>
                      <w:rFonts w:hint="eastAsia" w:ascii="Times New Roman" w:hAnsi="Times New Roman" w:eastAsia="宋体" w:cs="Times New Roman"/>
                      <w:kern w:val="2"/>
                      <w:sz w:val="21"/>
                      <w:szCs w:val="21"/>
                      <w:lang w:val="en-US" w:eastAsia="zh-CN" w:bidi="ar-SA"/>
                    </w:rPr>
                    <w:t>市中区</w:t>
                  </w:r>
                </w:p>
              </w:tc>
              <w:tc>
                <w:tcPr>
                  <w:tcW w:w="832" w:type="pct"/>
                  <w:noWrap w:val="0"/>
                  <w:vAlign w:val="center"/>
                </w:tcPr>
                <w:p>
                  <w:pPr>
                    <w:pStyle w:val="192"/>
                    <w:widowControl/>
                    <w:spacing w:line="240" w:lineRule="auto"/>
                    <w:ind w:firstLine="0" w:firstLineChars="0"/>
                    <w:jc w:val="center"/>
                    <w:rPr>
                      <w:rStyle w:val="43"/>
                      <w:rFonts w:hint="default" w:ascii="Times New Roman" w:hAnsi="Times New Roman" w:eastAsia="宋体" w:cs="Times New Roman"/>
                      <w:kern w:val="2"/>
                      <w:sz w:val="21"/>
                      <w:szCs w:val="21"/>
                      <w:lang w:val="en-US" w:eastAsia="zh-CN" w:bidi="ar-SA"/>
                    </w:rPr>
                  </w:pPr>
                  <w:r>
                    <w:rPr>
                      <w:rStyle w:val="43"/>
                      <w:rFonts w:hint="eastAsia" w:ascii="Times New Roman" w:hAnsi="Times New Roman" w:eastAsia="宋体" w:cs="Times New Roman"/>
                      <w:kern w:val="2"/>
                      <w:sz w:val="21"/>
                      <w:szCs w:val="21"/>
                      <w:lang w:val="en-US" w:eastAsia="zh-CN" w:bidi="ar-SA"/>
                    </w:rPr>
                    <w:t>水环境一般分区</w:t>
                  </w:r>
                </w:p>
              </w:tc>
              <w:tc>
                <w:tcPr>
                  <w:tcW w:w="900" w:type="pct"/>
                  <w:noWrap w:val="0"/>
                  <w:vAlign w:val="center"/>
                </w:tcPr>
                <w:p>
                  <w:pPr>
                    <w:pStyle w:val="192"/>
                    <w:widowControl/>
                    <w:spacing w:line="240" w:lineRule="auto"/>
                    <w:ind w:firstLine="0" w:firstLineChars="0"/>
                    <w:jc w:val="center"/>
                    <w:rPr>
                      <w:rStyle w:val="43"/>
                      <w:rFonts w:hint="default" w:ascii="Times New Roman" w:hAnsi="Times New Roman" w:eastAsia="宋体" w:cs="Times New Roman"/>
                      <w:kern w:val="2"/>
                      <w:sz w:val="21"/>
                      <w:szCs w:val="21"/>
                      <w:lang w:val="en-US" w:eastAsia="zh-CN" w:bidi="ar-SA"/>
                    </w:rPr>
                  </w:pPr>
                  <w:r>
                    <w:rPr>
                      <w:rStyle w:val="43"/>
                      <w:rFonts w:hint="eastAsia" w:ascii="Times New Roman" w:hAnsi="Times New Roman" w:eastAsia="宋体" w:cs="Times New Roman"/>
                      <w:kern w:val="2"/>
                      <w:sz w:val="21"/>
                      <w:szCs w:val="21"/>
                      <w:lang w:val="en-US" w:eastAsia="zh-CN" w:bidi="ar-SA"/>
                    </w:rPr>
                    <w:t>水环境一般管控区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0" w:hRule="atLeast"/>
                <w:tblHeader/>
                <w:jc w:val="center"/>
              </w:trPr>
              <w:tc>
                <w:tcPr>
                  <w:tcW w:w="1299" w:type="pct"/>
                  <w:noWrap w:val="0"/>
                  <w:vAlign w:val="center"/>
                </w:tcPr>
                <w:p>
                  <w:pPr>
                    <w:pStyle w:val="192"/>
                    <w:widowControl/>
                    <w:spacing w:line="240" w:lineRule="auto"/>
                    <w:ind w:firstLine="0" w:firstLineChars="0"/>
                    <w:jc w:val="center"/>
                    <w:rPr>
                      <w:rStyle w:val="43"/>
                      <w:rFonts w:hint="default" w:ascii="Times New Roman" w:hAnsi="Times New Roman" w:eastAsia="宋体" w:cs="Times New Roman"/>
                      <w:kern w:val="2"/>
                      <w:sz w:val="21"/>
                      <w:szCs w:val="21"/>
                      <w:lang w:val="en-US" w:eastAsia="zh-CN" w:bidi="ar-SA"/>
                    </w:rPr>
                  </w:pPr>
                  <w:r>
                    <w:rPr>
                      <w:rStyle w:val="43"/>
                      <w:rFonts w:hint="eastAsia" w:ascii="Times New Roman" w:hAnsi="Times New Roman" w:eastAsia="宋体" w:cs="Times New Roman"/>
                      <w:kern w:val="2"/>
                      <w:sz w:val="21"/>
                      <w:szCs w:val="21"/>
                      <w:lang w:val="en-US" w:eastAsia="zh-CN" w:bidi="ar-SA"/>
                    </w:rPr>
                    <w:t>YS5111022320001</w:t>
                  </w:r>
                </w:p>
              </w:tc>
              <w:tc>
                <w:tcPr>
                  <w:tcW w:w="875" w:type="pct"/>
                  <w:noWrap w:val="0"/>
                  <w:vAlign w:val="center"/>
                </w:tcPr>
                <w:p>
                  <w:pPr>
                    <w:pStyle w:val="192"/>
                    <w:widowControl/>
                    <w:spacing w:line="240" w:lineRule="auto"/>
                    <w:ind w:firstLine="0" w:firstLineChars="0"/>
                    <w:jc w:val="center"/>
                    <w:rPr>
                      <w:rStyle w:val="43"/>
                      <w:rFonts w:hint="default" w:ascii="Times New Roman" w:hAnsi="Times New Roman" w:eastAsia="宋体" w:cs="Times New Roman"/>
                      <w:kern w:val="2"/>
                      <w:sz w:val="21"/>
                      <w:szCs w:val="21"/>
                      <w:lang w:val="en-US" w:eastAsia="zh-CN" w:bidi="ar-SA"/>
                    </w:rPr>
                  </w:pPr>
                  <w:r>
                    <w:rPr>
                      <w:rStyle w:val="43"/>
                      <w:rFonts w:hint="eastAsia" w:ascii="Times New Roman" w:hAnsi="Times New Roman" w:eastAsia="宋体" w:cs="Times New Roman"/>
                      <w:kern w:val="2"/>
                      <w:sz w:val="21"/>
                      <w:szCs w:val="21"/>
                      <w:lang w:val="en-US" w:eastAsia="zh-CN" w:bidi="ar-SA"/>
                    </w:rPr>
                    <w:t>乐山市市中区大气环境布局敏感重点管控区</w:t>
                  </w:r>
                </w:p>
              </w:tc>
              <w:tc>
                <w:tcPr>
                  <w:tcW w:w="632" w:type="pct"/>
                  <w:noWrap w:val="0"/>
                  <w:vAlign w:val="center"/>
                </w:tcPr>
                <w:p>
                  <w:pPr>
                    <w:pStyle w:val="192"/>
                    <w:widowControl/>
                    <w:spacing w:line="240" w:lineRule="auto"/>
                    <w:ind w:firstLine="0" w:firstLineChars="0"/>
                    <w:jc w:val="center"/>
                    <w:rPr>
                      <w:rStyle w:val="43"/>
                      <w:rFonts w:hint="default" w:ascii="Times New Roman" w:hAnsi="Times New Roman" w:eastAsia="宋体" w:cs="Times New Roman"/>
                      <w:kern w:val="2"/>
                      <w:sz w:val="21"/>
                      <w:szCs w:val="21"/>
                      <w:lang w:val="en-US" w:eastAsia="zh-CN" w:bidi="ar-SA"/>
                    </w:rPr>
                  </w:pPr>
                  <w:r>
                    <w:rPr>
                      <w:rStyle w:val="43"/>
                      <w:rFonts w:hint="eastAsia" w:ascii="Times New Roman" w:hAnsi="Times New Roman" w:eastAsia="宋体" w:cs="Times New Roman"/>
                      <w:kern w:val="2"/>
                      <w:sz w:val="21"/>
                      <w:szCs w:val="21"/>
                      <w:lang w:val="en-US" w:eastAsia="zh-CN" w:bidi="ar-SA"/>
                    </w:rPr>
                    <w:t>乐山市</w:t>
                  </w:r>
                </w:p>
              </w:tc>
              <w:tc>
                <w:tcPr>
                  <w:tcW w:w="460" w:type="pct"/>
                  <w:noWrap w:val="0"/>
                  <w:vAlign w:val="center"/>
                </w:tcPr>
                <w:p>
                  <w:pPr>
                    <w:pStyle w:val="192"/>
                    <w:widowControl/>
                    <w:spacing w:line="240" w:lineRule="auto"/>
                    <w:ind w:firstLine="0" w:firstLineChars="0"/>
                    <w:jc w:val="center"/>
                    <w:rPr>
                      <w:rStyle w:val="43"/>
                      <w:rFonts w:hint="default" w:ascii="Times New Roman" w:hAnsi="Times New Roman" w:eastAsia="宋体" w:cs="Times New Roman"/>
                      <w:kern w:val="2"/>
                      <w:sz w:val="21"/>
                      <w:szCs w:val="21"/>
                      <w:lang w:val="en-US" w:eastAsia="zh-CN" w:bidi="ar-SA"/>
                    </w:rPr>
                  </w:pPr>
                  <w:r>
                    <w:rPr>
                      <w:rStyle w:val="43"/>
                      <w:rFonts w:hint="eastAsia" w:ascii="Times New Roman" w:hAnsi="Times New Roman" w:eastAsia="宋体" w:cs="Times New Roman"/>
                      <w:kern w:val="2"/>
                      <w:sz w:val="21"/>
                      <w:szCs w:val="21"/>
                      <w:lang w:val="en-US" w:eastAsia="zh-CN" w:bidi="ar-SA"/>
                    </w:rPr>
                    <w:t>市中区</w:t>
                  </w:r>
                </w:p>
              </w:tc>
              <w:tc>
                <w:tcPr>
                  <w:tcW w:w="832" w:type="pct"/>
                  <w:noWrap w:val="0"/>
                  <w:vAlign w:val="center"/>
                </w:tcPr>
                <w:p>
                  <w:pPr>
                    <w:pStyle w:val="192"/>
                    <w:widowControl/>
                    <w:spacing w:line="240" w:lineRule="auto"/>
                    <w:ind w:firstLine="0" w:firstLineChars="0"/>
                    <w:jc w:val="center"/>
                    <w:rPr>
                      <w:rStyle w:val="43"/>
                      <w:rFonts w:hint="default" w:ascii="Times New Roman" w:hAnsi="Times New Roman" w:eastAsia="宋体" w:cs="Times New Roman"/>
                      <w:kern w:val="2"/>
                      <w:sz w:val="21"/>
                      <w:szCs w:val="21"/>
                      <w:lang w:val="en-US" w:eastAsia="zh-CN" w:bidi="ar-SA"/>
                    </w:rPr>
                  </w:pPr>
                  <w:r>
                    <w:rPr>
                      <w:rStyle w:val="43"/>
                      <w:rFonts w:hint="eastAsia" w:ascii="Times New Roman" w:hAnsi="Times New Roman" w:eastAsia="宋体" w:cs="Times New Roman"/>
                      <w:kern w:val="2"/>
                      <w:sz w:val="21"/>
                      <w:szCs w:val="21"/>
                      <w:lang w:val="en-US" w:eastAsia="zh-CN" w:bidi="ar-SA"/>
                    </w:rPr>
                    <w:t>大气环境一般分区</w:t>
                  </w:r>
                </w:p>
              </w:tc>
              <w:tc>
                <w:tcPr>
                  <w:tcW w:w="900" w:type="pct"/>
                  <w:noWrap w:val="0"/>
                  <w:vAlign w:val="center"/>
                </w:tcPr>
                <w:p>
                  <w:pPr>
                    <w:pStyle w:val="192"/>
                    <w:widowControl/>
                    <w:spacing w:line="240" w:lineRule="auto"/>
                    <w:ind w:firstLine="0" w:firstLineChars="0"/>
                    <w:jc w:val="center"/>
                    <w:rPr>
                      <w:rStyle w:val="43"/>
                      <w:rFonts w:hint="default" w:ascii="Times New Roman" w:hAnsi="Times New Roman" w:eastAsia="宋体" w:cs="Times New Roman"/>
                      <w:kern w:val="2"/>
                      <w:sz w:val="21"/>
                      <w:szCs w:val="21"/>
                      <w:lang w:val="en-US" w:eastAsia="zh-CN" w:bidi="ar-SA"/>
                    </w:rPr>
                  </w:pPr>
                  <w:r>
                    <w:rPr>
                      <w:rStyle w:val="43"/>
                      <w:rFonts w:hint="eastAsia" w:ascii="Times New Roman" w:hAnsi="Times New Roman" w:eastAsia="宋体" w:cs="Times New Roman"/>
                      <w:kern w:val="2"/>
                      <w:sz w:val="21"/>
                      <w:szCs w:val="21"/>
                      <w:lang w:val="en-US" w:eastAsia="zh-CN" w:bidi="ar-SA"/>
                    </w:rPr>
                    <w:t>大气环境布局敏感重点管控区</w:t>
                  </w:r>
                </w:p>
              </w:tc>
            </w:tr>
          </w:tbl>
          <w:p>
            <w:pPr>
              <w:keepNext w:val="0"/>
              <w:keepLines w:val="0"/>
              <w:pageBreakBefore w:val="0"/>
              <w:kinsoku/>
              <w:wordWrap/>
              <w:overflowPunct/>
              <w:topLinePunct w:val="0"/>
              <w:autoSpaceDE w:val="0"/>
              <w:autoSpaceDN w:val="0"/>
              <w:bidi w:val="0"/>
              <w:adjustRightInd w:val="0"/>
              <w:snapToGrid w:val="0"/>
              <w:spacing w:line="360" w:lineRule="auto"/>
              <w:ind w:left="48" w:leftChars="20" w:right="48" w:rightChars="20" w:firstLine="480" w:firstLineChars="200"/>
              <w:jc w:val="left"/>
              <w:textAlignment w:val="auto"/>
              <w:rPr>
                <w:rFonts w:hint="eastAsia" w:ascii="Times New Roman" w:hAnsi="Times New Roman" w:eastAsia="宋体" w:cs="Times New Roman"/>
                <w:color w:val="auto"/>
                <w:sz w:val="24"/>
                <w:shd w:val="clear" w:color="auto" w:fill="FFFFFF"/>
              </w:rPr>
            </w:pPr>
          </w:p>
          <w:p>
            <w:pPr>
              <w:keepNext w:val="0"/>
              <w:keepLines w:val="0"/>
              <w:pageBreakBefore w:val="0"/>
              <w:kinsoku/>
              <w:wordWrap/>
              <w:overflowPunct/>
              <w:topLinePunct w:val="0"/>
              <w:autoSpaceDE w:val="0"/>
              <w:autoSpaceDN w:val="0"/>
              <w:bidi w:val="0"/>
              <w:adjustRightInd w:val="0"/>
              <w:snapToGrid w:val="0"/>
              <w:spacing w:line="360" w:lineRule="auto"/>
              <w:ind w:right="48" w:rightChars="20"/>
              <w:jc w:val="center"/>
              <w:textAlignment w:val="auto"/>
              <w:rPr>
                <w:rFonts w:hint="eastAsia" w:ascii="Times New Roman" w:hAnsi="Times New Roman" w:eastAsia="宋体" w:cs="Times New Roman"/>
                <w:color w:val="auto"/>
                <w:sz w:val="24"/>
                <w:shd w:val="clear" w:color="auto" w:fill="FFFFFF"/>
                <w:lang w:eastAsia="zh-CN"/>
              </w:rPr>
            </w:pPr>
            <w:r>
              <w:rPr>
                <w:rFonts w:hint="eastAsia" w:ascii="Times New Roman" w:hAnsi="Times New Roman" w:eastAsia="宋体" w:cs="Times New Roman"/>
                <w:color w:val="auto"/>
                <w:sz w:val="24"/>
                <w:shd w:val="clear" w:color="auto" w:fill="FFFFFF"/>
                <w:lang w:eastAsia="zh-CN"/>
              </w:rPr>
              <w:drawing>
                <wp:inline distT="0" distB="0" distL="114300" distR="114300">
                  <wp:extent cx="2542540" cy="4824095"/>
                  <wp:effectExtent l="0" t="0" r="14605" b="10160"/>
                  <wp:docPr id="189" name="图片 189" descr="管控单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descr="管控单元"/>
                          <pic:cNvPicPr>
                            <a:picLocks noChangeAspect="1"/>
                          </pic:cNvPicPr>
                        </pic:nvPicPr>
                        <pic:blipFill>
                          <a:blip r:embed="rId18"/>
                          <a:srcRect l="14625" t="1980" r="13946" b="2196"/>
                          <a:stretch>
                            <a:fillRect/>
                          </a:stretch>
                        </pic:blipFill>
                        <pic:spPr>
                          <a:xfrm rot="16200000">
                            <a:off x="0" y="0"/>
                            <a:ext cx="2542540" cy="4824095"/>
                          </a:xfrm>
                          <a:prstGeom prst="rect">
                            <a:avLst/>
                          </a:prstGeom>
                        </pic:spPr>
                      </pic:pic>
                    </a:graphicData>
                  </a:graphic>
                </wp:inline>
              </w:drawing>
            </w:r>
          </w:p>
          <w:p>
            <w:pPr>
              <w:pStyle w:val="2"/>
              <w:adjustRightInd w:val="0"/>
              <w:spacing w:before="0" w:after="0" w:line="360" w:lineRule="auto"/>
              <w:ind w:right="0" w:firstLine="422" w:firstLineChars="200"/>
              <w:jc w:val="center"/>
              <w:rPr>
                <w:rFonts w:hint="eastAsia" w:ascii="Times New Roman" w:hAnsi="Times New Roman" w:eastAsia="宋体" w:cs="Times New Roman"/>
                <w:color w:val="auto"/>
                <w:sz w:val="24"/>
                <w:shd w:val="clear" w:color="auto" w:fill="FFFFFF"/>
              </w:rPr>
            </w:pPr>
            <w:r>
              <w:rPr>
                <w:rFonts w:hint="default"/>
                <w:b/>
                <w:bCs/>
                <w:color w:val="auto"/>
                <w:sz w:val="21"/>
                <w:szCs w:val="21"/>
              </w:rPr>
              <w:t>图1-</w:t>
            </w:r>
            <w:r>
              <w:rPr>
                <w:rFonts w:hint="eastAsia"/>
                <w:b/>
                <w:bCs/>
                <w:color w:val="auto"/>
                <w:sz w:val="21"/>
                <w:szCs w:val="21"/>
                <w:lang w:val="en-US" w:eastAsia="zh-CN"/>
              </w:rPr>
              <w:t xml:space="preserve">4 </w:t>
            </w:r>
            <w:r>
              <w:rPr>
                <w:rFonts w:hint="default"/>
                <w:b/>
                <w:bCs/>
                <w:color w:val="auto"/>
                <w:sz w:val="21"/>
                <w:szCs w:val="21"/>
              </w:rPr>
              <w:t xml:space="preserve"> 项目与所在区域环境管控单元的位置关系图</w:t>
            </w:r>
          </w:p>
          <w:p>
            <w:pPr>
              <w:keepNext w:val="0"/>
              <w:keepLines w:val="0"/>
              <w:pageBreakBefore w:val="0"/>
              <w:kinsoku/>
              <w:wordWrap/>
              <w:overflowPunct/>
              <w:topLinePunct w:val="0"/>
              <w:bidi w:val="0"/>
              <w:adjustRightInd w:val="0"/>
              <w:snapToGrid w:val="0"/>
              <w:jc w:val="left"/>
              <w:textAlignment w:val="auto"/>
              <w:rPr>
                <w:rFonts w:hint="default" w:ascii="Times New Roman" w:hAnsi="Times New Roman" w:eastAsia="宋体" w:cs="Times New Roman"/>
                <w:kern w:val="21"/>
                <w:sz w:val="24"/>
                <w:szCs w:val="24"/>
                <w:highlight w:val="none"/>
                <w:lang w:val="en-US" w:eastAsia="zh-CN"/>
              </w:rPr>
            </w:pPr>
          </w:p>
        </w:tc>
      </w:tr>
    </w:tbl>
    <w:p>
      <w:pPr>
        <w:sectPr>
          <w:footerReference r:id="rId9" w:type="default"/>
          <w:pgSz w:w="11906" w:h="16838"/>
          <w:pgMar w:top="1440" w:right="1242" w:bottom="1440" w:left="1242"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4"/>
        <w:gridCol w:w="12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dxa"/>
          </w:tcPr>
          <w:p>
            <w:pPr>
              <w:pStyle w:val="40"/>
              <w:rPr>
                <w:vertAlign w:val="baseline"/>
              </w:rPr>
            </w:pPr>
          </w:p>
        </w:tc>
        <w:tc>
          <w:tcPr>
            <w:tcW w:w="12950" w:type="dxa"/>
          </w:tcPr>
          <w:p>
            <w:pPr>
              <w:pStyle w:val="2"/>
              <w:adjustRightInd w:val="0"/>
              <w:spacing w:before="0" w:after="0" w:line="360" w:lineRule="auto"/>
              <w:ind w:right="0" w:firstLine="422" w:firstLineChars="200"/>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 xml:space="preserve">表1-7  </w:t>
            </w:r>
            <w:r>
              <w:rPr>
                <w:rFonts w:hint="default" w:ascii="Times New Roman" w:hAnsi="Times New Roman" w:eastAsia="宋体" w:cs="Times New Roman"/>
                <w:b/>
                <w:bCs/>
                <w:color w:val="auto"/>
                <w:sz w:val="21"/>
                <w:szCs w:val="21"/>
                <w:lang w:val="en-US" w:eastAsia="zh-CN"/>
              </w:rPr>
              <w:t>本项目生态环境准入清单</w:t>
            </w:r>
          </w:p>
          <w:tbl>
            <w:tblPr>
              <w:tblStyle w:val="20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4"/>
              <w:gridCol w:w="1064"/>
              <w:gridCol w:w="6641"/>
              <w:gridCol w:w="981"/>
              <w:gridCol w:w="2253"/>
              <w:gridCol w:w="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noWrap w:val="0"/>
                  <w:vAlign w:val="center"/>
                </w:tcPr>
                <w:p>
                  <w:pPr>
                    <w:widowControl/>
                    <w:spacing w:line="240" w:lineRule="auto"/>
                    <w:ind w:firstLine="0" w:firstLineChars="0"/>
                    <w:jc w:val="center"/>
                    <w:rPr>
                      <w:rStyle w:val="43"/>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bCs/>
                      <w:color w:val="000000"/>
                      <w:kern w:val="0"/>
                      <w:sz w:val="21"/>
                      <w:szCs w:val="21"/>
                      <w:lang w:val="en-US" w:eastAsia="zh-CN" w:bidi="ar-SA"/>
                    </w:rPr>
                    <w:t>环境管控单元编码</w:t>
                  </w:r>
                </w:p>
              </w:tc>
              <w:tc>
                <w:tcPr>
                  <w:tcW w:w="1064" w:type="dxa"/>
                  <w:noWrap w:val="0"/>
                  <w:vAlign w:val="center"/>
                </w:tcPr>
                <w:p>
                  <w:pPr>
                    <w:widowControl/>
                    <w:spacing w:line="240" w:lineRule="auto"/>
                    <w:ind w:firstLine="0" w:firstLineChars="0"/>
                    <w:jc w:val="center"/>
                    <w:rPr>
                      <w:rStyle w:val="43"/>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bCs/>
                      <w:color w:val="000000"/>
                      <w:kern w:val="0"/>
                      <w:sz w:val="21"/>
                      <w:szCs w:val="21"/>
                      <w:lang w:val="en-US" w:eastAsia="zh-CN" w:bidi="ar-SA"/>
                    </w:rPr>
                    <w:t>环境管控单元名称</w:t>
                  </w:r>
                </w:p>
              </w:tc>
              <w:tc>
                <w:tcPr>
                  <w:tcW w:w="6641" w:type="dxa"/>
                  <w:noWrap w:val="0"/>
                  <w:vAlign w:val="center"/>
                </w:tcPr>
                <w:p>
                  <w:pPr>
                    <w:widowControl w:val="0"/>
                    <w:spacing w:line="360" w:lineRule="auto"/>
                    <w:ind w:firstLine="0" w:firstLineChars="0"/>
                    <w:jc w:val="center"/>
                    <w:rPr>
                      <w:rStyle w:val="43"/>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b/>
                      <w:bCs/>
                      <w:color w:val="000000"/>
                      <w:kern w:val="0"/>
                      <w:sz w:val="21"/>
                      <w:szCs w:val="21"/>
                      <w:lang w:val="en-US" w:eastAsia="zh-CN" w:bidi="ar-SA"/>
                    </w:rPr>
                    <w:t>乐山市普适性清单</w:t>
                  </w:r>
                </w:p>
              </w:tc>
              <w:tc>
                <w:tcPr>
                  <w:tcW w:w="981" w:type="dxa"/>
                  <w:noWrap w:val="0"/>
                  <w:vAlign w:val="center"/>
                </w:tcPr>
                <w:p>
                  <w:pPr>
                    <w:widowControl/>
                    <w:spacing w:line="240" w:lineRule="auto"/>
                    <w:ind w:firstLine="0" w:firstLineChars="0"/>
                    <w:jc w:val="center"/>
                    <w:rPr>
                      <w:rStyle w:val="43"/>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bCs/>
                      <w:color w:val="000000"/>
                      <w:kern w:val="0"/>
                      <w:sz w:val="21"/>
                      <w:szCs w:val="21"/>
                      <w:lang w:val="en-US" w:eastAsia="zh-CN" w:bidi="ar-SA"/>
                    </w:rPr>
                    <w:t>管控类别</w:t>
                  </w:r>
                </w:p>
              </w:tc>
              <w:tc>
                <w:tcPr>
                  <w:tcW w:w="2253" w:type="dxa"/>
                  <w:noWrap w:val="0"/>
                  <w:vAlign w:val="center"/>
                </w:tcPr>
                <w:p>
                  <w:pPr>
                    <w:widowControl/>
                    <w:spacing w:line="240" w:lineRule="auto"/>
                    <w:ind w:firstLine="0" w:firstLineChars="0"/>
                    <w:jc w:val="center"/>
                    <w:rPr>
                      <w:rStyle w:val="43"/>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bCs/>
                      <w:color w:val="000000"/>
                      <w:kern w:val="0"/>
                      <w:sz w:val="21"/>
                      <w:szCs w:val="21"/>
                      <w:lang w:val="en-US" w:eastAsia="zh-CN" w:bidi="ar-SA"/>
                    </w:rPr>
                    <w:t>单元特性管控要求</w:t>
                  </w:r>
                </w:p>
              </w:tc>
              <w:tc>
                <w:tcPr>
                  <w:tcW w:w="671" w:type="dxa"/>
                  <w:noWrap w:val="0"/>
                  <w:vAlign w:val="center"/>
                </w:tcPr>
                <w:p>
                  <w:pPr>
                    <w:widowControl/>
                    <w:spacing w:line="240" w:lineRule="auto"/>
                    <w:ind w:firstLine="0" w:firstLineChars="0"/>
                    <w:jc w:val="center"/>
                    <w:rPr>
                      <w:rFonts w:hint="default" w:ascii="Times New Roman" w:hAnsi="Times New Roman" w:eastAsia="宋体" w:cs="Times New Roman"/>
                      <w:b/>
                      <w:bCs/>
                      <w:color w:val="000000"/>
                      <w:kern w:val="0"/>
                      <w:sz w:val="21"/>
                      <w:szCs w:val="21"/>
                      <w:lang w:val="en-US" w:eastAsia="zh-CN" w:bidi="ar-SA"/>
                    </w:rPr>
                  </w:pPr>
                  <w:r>
                    <w:rPr>
                      <w:rFonts w:hint="eastAsia" w:ascii="Times New Roman" w:hAnsi="Times New Roman" w:eastAsia="宋体" w:cs="Times New Roman"/>
                      <w:b/>
                      <w:bCs/>
                      <w:color w:val="000000"/>
                      <w:kern w:val="0"/>
                      <w:sz w:val="21"/>
                      <w:szCs w:val="21"/>
                      <w:lang w:val="en-US" w:eastAsia="zh-CN" w:bidi="ar-SA"/>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vMerge w:val="restart"/>
                  <w:noWrap w:val="0"/>
                  <w:vAlign w:val="center"/>
                </w:tcPr>
                <w:p>
                  <w:pPr>
                    <w:pStyle w:val="201"/>
                    <w:widowControl/>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ZH51110220004</w:t>
                  </w:r>
                </w:p>
              </w:tc>
              <w:tc>
                <w:tcPr>
                  <w:tcW w:w="1064" w:type="dxa"/>
                  <w:vMerge w:val="restart"/>
                  <w:noWrap w:val="0"/>
                  <w:vAlign w:val="center"/>
                </w:tcPr>
                <w:p>
                  <w:pPr>
                    <w:pStyle w:val="201"/>
                    <w:widowControl/>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市中区要素重点管控单元</w:t>
                  </w:r>
                </w:p>
              </w:tc>
              <w:tc>
                <w:tcPr>
                  <w:tcW w:w="6641" w:type="dxa"/>
                  <w:vMerge w:val="restart"/>
                  <w:noWrap w:val="0"/>
                  <w:vAlign w:val="top"/>
                </w:tcPr>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空间布局约束：</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禁止开发建设活动的要求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（1）禁止在长江干支流岸线一公里范围内新建、扩建化工园区和化工项目；禁止在长江重要支流岸线一公里范围内新建、改建、扩建尾矿库（以提升安全、生态环境保护水平为目的的改建除外）；</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（2）禁止在长江流域开放水域养殖、投放外来物种或者其他非本地物种种质资源。禁止在长江流域禁止采砂区和禁止采砂期从事采砂活动。全面停止小型水电项目开发，已建成的中小型水电站不再扩容；</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（3）禁止在法律法规规定的禁采区内开采矿产；禁止土法采、选、冶严重污染环境的矿产资源；</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（4）对于基本农田，除法律规定的重点建设项目选址确实无法避让外，其他任何建设不得占用；</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（5）畜禽养殖严格按照乐山市各区县畜禽养殖区域划定方案执行，依法关闭或搬迁禁养区内的畜禽养殖场（小区）和养殖专业户。</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限制开发建设活动的要求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（1）现有化工、建材、有色、钢铁等工业企业，原则上限制发展，污染物排放只降不增，允许以提升安全、生态环境保护水平为目的的改建，引导企业结合产业升级等适时搬迁入园；</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（2）单元内若新布局工业园区，应符合最新的国土空间规划，并结合区域环境特点、三线成果、园区产业类别，充分论证选址的环境合理性；</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3）水环境农业污染重点管控区应严格限制布设以电力、钢铁、造纸、石化、化工、印染、化纤等高耗水行业为主导产业的园区；新建屠宰、用排水量大的农副产品加工等以水污染为主的企业，严格实行水污染物倍量替代；控制畜禽养殖规模，全面治理畜禽养殖污染；</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4）大气环境布局敏感区应严格限制布设以钢铁、建材、石化、化工、有色等高污染行业为主导产业的园区，大气环境弱扩散区谨慎布局垃圾发电、危废焚烧等以大气污染为主的企业；位于不达标区域的大气环境布局敏感严格限制新建、扩建涉气三类工业项目；</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5）国家重大战略资源勘查、生态保护修复和环境治理、重大基础设施、军事国防以及农牧民基本生产生活等必要的民生项目（包括深度贫困地区、集中连片特困地区、国家扶贫开发工作重点县省级以下基础设施、易地扶贫搬迁、民生发展等建设项目），选址确实难以避让永久基本农田的，按程序严格论证后依法依规报批；</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（6）坚持最严格的耕地保护制度，对全部耕地按限制开发的要求进行管理。严格限制农用地转为建设用地，控制建设用地总量，对耕地实行特殊保护；</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7）新建大中型水电工程，应当经科学论证，并报国务院或者国务院授权的部门批准。除与生态环境保护相协调的且是国务院及其相关部门、省级人民政府认可的脱贫攻坚项目外，严控新建商业开发的小水电项目；</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（8）长江流域河道采砂应当依法取得国务院水行政主管部门有关流域管理机构或者县级以上地方人民政府水行政主管部门的许可。严格控制采砂区域、采砂总量和采砂区域内的采砂船舶数量。</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不符合空间布局要求活动的退出要求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（1）全面取缔禁养区内规模化畜禽养殖场。岷江岸线延伸至陆域200米范围内基本消除畜禽养殖场（小区）；</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（2）对长江流域已建小水电工程，不符合生态保护要求的，县级以上地方人民政府应当组织分类整改或者采取措施逐步退出；</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（3）长江主要支流重点管控岸线：按照长江干线非法码头治理标准和生态保护红线管控等要求，持续开展长江主要支流非法码头整治。</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其他空间布局约束要求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污染物排放管控：</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允许排放量要求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（1）对新建排放二氧化硫、氮氧化物、工业烟粉尘和挥发性有机物的项目实施现役源2倍削减替代；</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（2）上一年度水环境质量未完成目标的，新建排放水污染的建设项目按照总量管控要求进行倍量削减替代；</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（3）水质超标的水功能区，应当实施更严格的污染物排放总量削减要求。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现有源提标升级改造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 xml:space="preserve">（1）现有处理规模大于1000吨日的城镇生活污水处理厂，以及存栏量≥300 头猪、粪污经处理后向环境排放的畜禽养殖场，应执行《四川省岷江、沱江流域水污染物排放标准》（DB512311-2016）相关要求； </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2）市中区、五通桥区、沙湾区、犍为县、井研县、夹江县、峨眉山市的现有企业执行相应行业以及锅炉大气污染物排放标准中颗粒物、二氧化硫、氮氧化物和挥发性有机物特别排放限值和特别控制要求。全市燃煤锅炉稳定达到超低排放限值要求，烟粉尘低于10毫克立方米，二氧化硫低于35毫克立方米，氮氧化物低于50毫克立方米；</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3）严禁新增钢铁、电力、水泥、玻璃、砖瓦、陶瓷、焦化、电解铝、有色等重点行业大气污染物排放。持续推进水泥、陶瓷、砖瓦、铸造、铁合金、钢铁等行业大气污染深度治理，深入推进颗粒物、二氧化硫、氮氧化物和挥发性有机物治理，持续推进陶瓷行业（喷雾干燥塔）清洁能源改造工程，加快推进五通桥涉氨排放化工企业氨排放治理。</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其他污染物排放管控要求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（1）新、改、扩建工业项目全面执行大气污染物特别排放限值。</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（2）乡镇生活污水处理设施全覆盖，生活污水收集处理率80%。到 2022 年底，65%以上的行政村农村生活污水得到有效治理。</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3）新、改扩建规模化畜禽养殖场（小区）要实施雨污分流、粪便污水资源化利用。主要农作物化肥、农药使用量实现零增长，利用率提高到40%以上，测土配方施肥技术推广覆盖率提高到90%以上，控制农村面源污染，采取灌排分离等措施控制农田氮磷流失。</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（4）新、改扩造纸企业参考执行乐山市“三线一单”生态环境分区管控中制浆造纸行业资源环境绩效准入门槛相应要求。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（5）屠宰项目如需接入城市污水管网，必须按照排水许可证要求排放污水，同时接受所在地的城镇排水主管部门的监督管理。</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（6）到 2023 年底，乡镇及行政村生活垃圾收转运处置体系基本实现全覆盖。</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7）大气环境布局敏感区强化挥发性有机物整治。扎实推进机械设备制造、家具制造等重点行业挥发性有机物治理，确保全面达标；推广使用符合环保要求的建筑涂料、木器涂料、胶黏剂等产品；全面推广汽修行业使用低挥发性涂料，采用高效涂装工艺，完善有机废气收集和处理系统，取缔露天和敞开式汽修喷涂作业。</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8）严格执行《关于实施第六阶段机动车排放标准的通告》及《四川省机动车和非道路移动机械排气污染防治办法》。加强油品的监督管理，按照国家、省要求全面供应国六标准的车用汽柴油，严厉打击生产、销售、使用不合格油品和车用尿素行为。</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9）严格控制道路扬尘。国省道路、高速路连接线等重点通行线路和建成区城乡结合部每天机械化清扫、冲洗不少于1次。强化城郊结合部扬尘污染管控。重点抓好重点交通建筑工地扬尘治理，切实加强城郊结合部重点货车绕行道路扬尘治理。熏制腊肉集中规划布点，加强宣传和引导，防止腌制品熏制污染大气环境。</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环境风险防控：</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联防联控要求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其他环境风险防控要求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（1）严禁新增以铅、汞、镉、铬、砷五类重金属为主的污染物排放，引导现有企业结合产业升级等适时搬入产业对口园区；</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2）对拟收回土地使用权的有色金属矿采选、有色金属冶炼、石油加工、化工、焦化、电镀、制革、天然（页岩）气开采、铅蓄电池、汽车制造、农药、危废处置、电子拆解等行业企业用地，以及用途拟变更为居住和商业、学校、医疗、养老机构等公共设施的上述企业用地，应按相关要求进行土壤环境状况调查评估，符合相应规划用地土壤环境质量要求的地块，方可进入用地程序；</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（3）严禁将城镇生活垃圾、污泥、工业废物直接用作肥料，禁止处理不达标的污泥进入耕地；禁止在农用地排放、倾倒、使用污泥、清淤底泥、尾矿（渣）等可能对土壤造成污染的固体废物；</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4）严格控制在优先保护类耕地集中的区县新建有色金属矿采选、有色金属冶炼、石油加工、化工、焦化、电镀、制革、天然（页岩）气开采、铅蓄电池、汽车制造、农药、危废处置、电子拆解、涉重等行业企业。严格控制林地、草地、园地的农药使用量，禁止使用高毒、高残留农药。</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资源开发利用效率要求：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水资源利用总量要求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1）加强农业灌溉管理，发展喷灌、微灌、管道输水灌溉、水肥一体化等高效农业节水灌溉方式和农耕农艺节水技术，提高输配水效率和调度水平。发展节水渔业、牧业，组织实施规模养殖场节水建设和改造，推行节水型畜禽养殖技术和方式。</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地下水开采要求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能源利用总量及效率要求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（1）禁止焚烧秸秆，大力推进秸秆肥料化、饲料化、基料化、原料化、能源化等多种形式的秸秆综合利用。</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（2）到2030年，农业废弃物全部实现资源化利用，</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（3）在秋收和夏收阶段开展秸秆禁烧专项巡查，强化成都平原地区区域联动。</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禁燃区要求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（1）能源结构以天然气和电为主。保留20蒸吨小时以上燃煤锅炉，并执行超低排放要求，鼓励搬入园区；</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（2）禁燃区内禁止审批（核准、备案）、新建、扩建燃用高污染燃料的项目和设施。</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其他资源利用效率要求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tc>
              <w:tc>
                <w:tcPr>
                  <w:tcW w:w="981" w:type="dxa"/>
                  <w:noWrap w:val="0"/>
                  <w:vAlign w:val="center"/>
                </w:tcPr>
                <w:p>
                  <w:pPr>
                    <w:pStyle w:val="201"/>
                    <w:widowControl/>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空间布局约束</w:t>
                  </w:r>
                </w:p>
              </w:tc>
              <w:tc>
                <w:tcPr>
                  <w:tcW w:w="2253" w:type="dxa"/>
                  <w:noWrap w:val="0"/>
                  <w:vAlign w:val="center"/>
                </w:tcPr>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禁止开发建设活动的要求</w:t>
                  </w:r>
                </w:p>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执行乐山市要素重点管控单元普适性总体准入要求</w:t>
                  </w:r>
                </w:p>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限制开发建设活动的要求</w:t>
                  </w:r>
                </w:p>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1、严控新（改、扩）建排放污染物的项目；2、其他执行乐山市要素重点管控单元普适性总体准入要求</w:t>
                  </w:r>
                </w:p>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允许开发建设活动的要求</w:t>
                  </w:r>
                </w:p>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不符合空间布局要求活动的退出要求</w:t>
                  </w:r>
                </w:p>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1、单元内既有合法手续的、且污染物排放和环境风险满足管控要求的企业可继续保留，不得新增污染物排放，并进一步加强监管；否则限期进行整改，整改后任不能达到要求的，属地政府责令关停退出；2、执行乐山市要素重点管控单元普适性总体准入要求</w:t>
                  </w:r>
                </w:p>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其他空间布局约束要求</w:t>
                  </w:r>
                </w:p>
              </w:tc>
              <w:tc>
                <w:tcPr>
                  <w:tcW w:w="671" w:type="dxa"/>
                  <w:noWrap w:val="0"/>
                  <w:vAlign w:val="center"/>
                </w:tcPr>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eastAsia" w:ascii="Times New Roman" w:hAnsi="Times New Roman" w:eastAsia="宋体" w:cs="Times New Roman"/>
                      <w:color w:val="auto"/>
                      <w:kern w:val="2"/>
                      <w:sz w:val="21"/>
                      <w:szCs w:val="21"/>
                      <w:lang w:val="en-US" w:eastAsia="zh-CN" w:bidi="ar-SA"/>
                    </w:rPr>
                    <w:t>本项目为</w:t>
                  </w:r>
                  <w:r>
                    <w:rPr>
                      <w:rStyle w:val="43"/>
                      <w:rFonts w:hint="eastAsia" w:eastAsia="宋体" w:cs="Times New Roman"/>
                      <w:color w:val="auto"/>
                      <w:kern w:val="2"/>
                      <w:sz w:val="21"/>
                      <w:szCs w:val="21"/>
                      <w:lang w:val="en-US" w:eastAsia="zh-CN" w:bidi="ar-SA"/>
                    </w:rPr>
                    <w:t>水利中</w:t>
                  </w:r>
                  <w:r>
                    <w:rPr>
                      <w:rStyle w:val="43"/>
                      <w:rFonts w:hint="eastAsia" w:ascii="Times New Roman" w:hAnsi="Times New Roman" w:eastAsia="宋体" w:cs="Times New Roman"/>
                      <w:color w:val="auto"/>
                      <w:kern w:val="2"/>
                      <w:sz w:val="21"/>
                      <w:szCs w:val="21"/>
                      <w:lang w:val="en-US" w:eastAsia="zh-CN" w:bidi="ar-SA"/>
                    </w:rPr>
                    <w:t>防洪除涝工程，不属于污染类项目</w:t>
                  </w:r>
                  <w:r>
                    <w:rPr>
                      <w:rStyle w:val="43"/>
                      <w:rFonts w:hint="eastAsia" w:eastAsia="宋体" w:cs="Times New Roman"/>
                      <w:color w:val="auto"/>
                      <w:kern w:val="2"/>
                      <w:sz w:val="21"/>
                      <w:szCs w:val="21"/>
                      <w:lang w:val="en-US" w:eastAsia="zh-CN" w:bidi="ar-SA"/>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vMerge w:val="continue"/>
                  <w:noWrap w:val="0"/>
                  <w:vAlign w:val="center"/>
                </w:tcPr>
                <w:p>
                  <w:pPr>
                    <w:pStyle w:val="201"/>
                    <w:widowControl/>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ZH51110220004</w:t>
                  </w:r>
                </w:p>
              </w:tc>
              <w:tc>
                <w:tcPr>
                  <w:tcW w:w="1064" w:type="dxa"/>
                  <w:vMerge w:val="continue"/>
                  <w:noWrap w:val="0"/>
                  <w:vAlign w:val="center"/>
                </w:tcPr>
                <w:p>
                  <w:pPr>
                    <w:pStyle w:val="201"/>
                    <w:widowControl/>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市中区要素重点管控单元</w:t>
                  </w:r>
                </w:p>
              </w:tc>
              <w:tc>
                <w:tcPr>
                  <w:tcW w:w="6641" w:type="dxa"/>
                  <w:vMerge w:val="continue"/>
                  <w:noWrap w:val="0"/>
                  <w:vAlign w:val="top"/>
                </w:tcPr>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空间布局约束：</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禁止开发建设活动的要求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（1）禁止在长江干支流岸线一公里范围内新建、扩建化工园区和化工项目；禁止在长江重要支流岸线一公里范围内新建、改建、扩建尾矿库（以提升安全、生态环境保护水平为目的的改建除外）；</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（2）禁止在长江流域开放水域养殖、投放外来物种或者其他非本地物种种质资源。禁止在长江流域禁止采砂区和禁止采砂期从事采砂活动。全面停止小型水电项目开发，已建成的中小型水电站不再扩容；</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（3）禁止在法律法规规定的禁采区内开采矿产；禁止土法采、选、冶严重污染环境的矿产资源；</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（4）对于基本农田，除法律规定的重点建设项目选址确实无法避让外，其他任何建设不得占用；</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（5）畜禽养殖严格按照乐山市各区县畜禽养殖区域划定方案执行，依法关闭或搬迁禁养区内的畜禽养殖场（小区）和养殖专业户。</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限制开发建设活动的要求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（1）现有化工、建材、有色、钢铁等工业企业，原则上限制发展，污染物排放只降不增，允许以提升安全、生态环境保护水平为目的的改建，引导企业结合产业升级等适时搬迁入园；</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（2）单元内若新布局工业园区，应符合最新的国土空间规划，并结合区域环境特点、三线成果、园区产业类别，充分论证选址的环境合理性；</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3）水环境农业污染重点管控区应严格限制布设以电力、钢铁、造纸、石化、化工、印染、化纤等高耗水行业为主导产业的园区；新建屠宰、用排水量大的农副产品加工等以水污染为主的企业，严格实行水污染物倍量替代；控制畜禽养殖规模，全面治理畜禽养殖污染；</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4）大气环境布局敏感区应严格限制布设以钢铁、建材、石化、化工、有色等高污染行业为主导产业的园区，大气环境弱扩散区谨慎布局垃圾发电、危废焚烧等以大气污染为主的企业；位于不达标区域的大气环境布局敏感严格限制新建、扩建涉气三类工业项目；</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5）国家重大战略资源勘查、生态保护修复和环境治理、重大基础设施、军事国防以及农牧民基本生产生活等必要的民生项目（包括深度贫困地区、集中连片特困地区、国家扶贫开发工作重点县省级以下基础设施、易地扶贫搬迁、民生发展等建设项目），选址确实难以避让永久基本农田的，按程序严格论证后依法依规报批；</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（6）坚持最严格的耕地保护制度，对全部耕地按限制开发的要求进行管理。严格限制农用地转为建设用地，控制建设用地总量，对耕地实行特殊保护；</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7）新建大中型水电工程，应当经科学论证，并报国务院或者国务院授权的部门批准。除与生态环境保护相协调的且是国务院及其相关部门、省级人民政府认可的脱贫攻坚项目外，严控新建商业开发的小水电项目；</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（8）长江流域河道采砂应当依法取得国务院水行政主管部门有关流域管理机构或者县级以上地方人民政府水行政主管部门的许可。严格控制采砂区域、采砂总量和采砂区域内的采砂船舶数量。</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不符合空间布局要求活动的退出要求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（1）全面取缔禁养区内规模化畜禽养殖场。岷江岸线延伸至陆域200米范围内基本消除畜禽养殖场（小区）；</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（2）对长江流域已建小水电工程，不符合生态保护要求的，县级以上地方人民政府应当组织分类整改或者采取措施逐步退出；</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（3）长江主要支流重点管控岸线：按照长江干线非法码头治理标准和生态保护红线管控等要求，持续开展长江主要支流非法码头整治。</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其他空间布局约束要求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污染物排放管控：</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允许排放量要求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（1）对新建排放二氧化硫、氮氧化物、工业烟粉尘和挥发性有机物的项目实施现役源2倍削减替代；</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（2）上一年度水环境质量未完成目标的，新建排放水污染的建设项目按照总量管控要求进行倍量削减替代；</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（3）水质超标的水功能区，应当实施更严格的污染物排放总量削减要求。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现有源提标升级改造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 xml:space="preserve">（1）现有处理规模大于1000吨日的城镇生活污水处理厂，以及存栏量≥300 头猪、粪污经处理后向环境排放的畜禽养殖场，应执行《四川省岷江、沱江流域水污染物排放标准》（DB512311-2016）相关要求； </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2）市中区、五通桥区、沙湾区、犍为县、井研县、夹江县、峨眉山市的现有企业执行相应行业以及锅炉大气污染物排放标准中颗粒物、二氧化硫、氮氧化物和挥发性有机物特别排放限值和特别控制要求。全市燃煤锅炉稳定达到超低排放限值要求，烟粉尘低于10毫克立方米，二氧化硫低于35毫克立方米，氮氧化物低于50毫克立方米；</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3）严禁新增钢铁、电力、水泥、玻璃、砖瓦、陶瓷、焦化、电解铝、有色等重点行业大气污染物排放。持续推进水泥、陶瓷、砖瓦、铸造、铁合金、钢铁等行业大气污染深度治理，深入推进颗粒物、二氧化硫、氮氧化物和挥发性有机物治理，持续推进陶瓷行业（喷雾干燥塔）清洁能源改造工程，加快推进五通桥涉氨排放化工企业氨排放治理。</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其他污染物排放管控要求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（1）新、改、扩建工业项目全面执行大气污染物特别排放限值。</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（2）乡镇生活污水处理设施全覆盖，生活污水收集处理率80%。到 2022 年底，65%以上的行政村农村生活污水得到有效治理。</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3）新、改扩建规模化畜禽养殖场（小区）要实施雨污分流、粪便污水资源化利用。主要农作物化肥、农药使用量实现零增长，利用率提高到40%以上，测土配方施肥技术推广覆盖率提高到90%以上，控制农村面源污染，采取灌排分离等措施控制农田氮磷流失。</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（4）新、改扩造纸企业参考执行乐山市“三线一单”生态环境分区管控中制浆造纸行业资源环境绩效准入门槛相应要求。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（5）屠宰项目如需接入城市污水管网，必须按照排水许可证要求排放污水，同时接受所在地的城镇排水主管部门的监督管理。</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（6）到 2023 年底，乡镇及行政村生活垃圾收转运处置体系基本实现全覆盖。</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7）大气环境布局敏感区强化挥发性有机物整治。扎实推进机械设备制造、家具制造等重点行业挥发性有机物治理，确保全面达标；推广使用符合环保要求的建筑涂料、木器涂料、胶黏剂等产品；全面推广汽修行业使用低挥发性涂料，采用高效涂装工艺，完善有机废气收集和处理系统，取缔露天和敞开式汽修喷涂作业。</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8）严格执行《关于实施第六阶段机动车排放标准的通告》及《四川省机动车和非道路移动机械排气污染防治办法》。加强油品的监督管理，按照国家、省要求全面供应国六标准的车用汽柴油，严厉打击生产、销售、使用不合格油品和车用尿素行为。</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9）严格控制道路扬尘。国省道路、高速路连接线等重点通行线路和建成区城乡结合部每天机械化清扫、冲洗不少于1次。强化城郊结合部扬尘污染管控。重点抓好重点交通建筑工地扬尘治理，切实加强城郊结合部重点货车绕行道路扬尘治理。熏制腊肉集中规划布点，加强宣传和引导，防止腌制品熏制污染大气环境。</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环境风险防控：</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联防联控要求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其他环境风险防控要求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（1）严禁新增以铅、汞、镉、铬、砷五类重金属为主的污染物排放，引导现有企业结合产业升级等适时搬入产业对口园区；</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2）对拟收回土地使用权的有色金属矿采选、有色金属冶炼、石油加工、化工、焦化、电镀、制革、天然（页岩）气开采、铅蓄电池、汽车制造、农药、危废处置、电子拆解等行业企业用地，以及用途拟变更为居住和商业、学校、医疗、养老机构等公共设施的上述企业用地，应按相关要求进行土壤环境状况调查评估，符合相应规划用地土壤环境质量要求的地块，方可进入用地程序；</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（3）严禁将城镇生活垃圾、污泥、工业废物直接用作肥料，禁止处理不达标的污泥进入耕地；禁止在农用地排放、倾倒、使用污泥、清淤底泥、尾矿（渣）等可能对土壤造成污染的固体废物；</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4）严格控制在优先保护类耕地集中的区县新建有色金属矿采选、有色金属冶炼、石油加工、化工、焦化、电镀、制革、天然（页岩）气开采、铅蓄电池、汽车制造、农药、危废处置、电子拆解、涉重等行业企业。严格控制林地、草地、园地的农药使用量，禁止使用高毒、高残留农药。</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资源开发利用效率要求：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水资源利用总量要求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1）加强农业灌溉管理，发展喷灌、微灌、管道输水灌溉、水肥一体化等高效农业节水灌溉方式和农耕农艺节水技术，提高输配水效率和调度水平。发展节水渔业、牧业，组织实施规模养殖场节水建设和改造，推行节水型畜禽养殖技术和方式。</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地下水开采要求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能源利用总量及效率要求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（1）禁止焚烧秸秆，大力推进秸秆肥料化、饲料化、基料化、原料化、能源化等多种形式的秸秆综合利用。</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（2）到2030年，农业废弃物全部实现资源化利用，</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（3）在秋收和夏收阶段开展秸秆禁烧专项巡查，强化成都平原地区区域联动。</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禁燃区要求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（1）能源结构以天然气和电为主。保留20蒸吨小时以上燃煤锅炉，并执行超低排放要求，鼓励搬入园区；</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（2）禁燃区内禁止审批（核准、备案）、新建、扩建燃用高污染燃料的项目和设施。</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其他资源利用效率要求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tc>
              <w:tc>
                <w:tcPr>
                  <w:tcW w:w="981" w:type="dxa"/>
                  <w:noWrap w:val="0"/>
                  <w:vAlign w:val="center"/>
                </w:tcPr>
                <w:p>
                  <w:pPr>
                    <w:pStyle w:val="201"/>
                    <w:widowControl/>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污染物排放管控</w:t>
                  </w:r>
                </w:p>
              </w:tc>
              <w:tc>
                <w:tcPr>
                  <w:tcW w:w="2253" w:type="dxa"/>
                  <w:noWrap w:val="0"/>
                  <w:vAlign w:val="center"/>
                </w:tcPr>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现有源提标升级改造</w:t>
                  </w:r>
                </w:p>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1、现有白酒、造纸等水污染企业，限期进行深度治理，不达标的企业关停并转；2、执行乐山市要素重点管控单元普适性总体准入要求</w:t>
                  </w:r>
                </w:p>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新增源等量或倍量替代</w:t>
                  </w:r>
                </w:p>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执行乐山市要素重点管控单元普适性总体准入要求。</w:t>
                  </w:r>
                </w:p>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新增源排放标准限值</w:t>
                  </w:r>
                </w:p>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污染物排放绩效水平准入要求</w:t>
                  </w:r>
                </w:p>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1、控制工业、生活污染源，减少移动源污染物排放。打好柴油货车污染治理攻坚战，实施“车、油、路、管”综合整治；加快老旧车辆的淘汰和不达标车辆的整治。加强渣土运输车辆规范化管理，严格实施密闭运输，强化城乡结合部环境监管。</w:t>
                  </w:r>
                </w:p>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其他污染物排放管控要求</w:t>
                  </w:r>
                </w:p>
              </w:tc>
              <w:tc>
                <w:tcPr>
                  <w:tcW w:w="671" w:type="dxa"/>
                  <w:noWrap w:val="0"/>
                  <w:vAlign w:val="center"/>
                </w:tcPr>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eastAsia" w:ascii="Times New Roman" w:hAnsi="Times New Roman" w:eastAsia="宋体" w:cs="Times New Roman"/>
                      <w:color w:val="auto"/>
                      <w:kern w:val="2"/>
                      <w:sz w:val="21"/>
                      <w:szCs w:val="21"/>
                      <w:lang w:val="en-US" w:eastAsia="zh-CN" w:bidi="ar-SA"/>
                    </w:rPr>
                    <w:t>本项目为</w:t>
                  </w:r>
                  <w:r>
                    <w:rPr>
                      <w:rStyle w:val="43"/>
                      <w:rFonts w:hint="eastAsia" w:eastAsia="宋体" w:cs="Times New Roman"/>
                      <w:color w:val="auto"/>
                      <w:kern w:val="2"/>
                      <w:sz w:val="21"/>
                      <w:szCs w:val="21"/>
                      <w:lang w:val="en-US" w:eastAsia="zh-CN" w:bidi="ar-SA"/>
                    </w:rPr>
                    <w:t>水利中</w:t>
                  </w:r>
                  <w:r>
                    <w:rPr>
                      <w:rStyle w:val="43"/>
                      <w:rFonts w:hint="eastAsia" w:ascii="Times New Roman" w:hAnsi="Times New Roman" w:eastAsia="宋体" w:cs="Times New Roman"/>
                      <w:color w:val="auto"/>
                      <w:kern w:val="2"/>
                      <w:sz w:val="21"/>
                      <w:szCs w:val="21"/>
                      <w:lang w:val="en-US" w:eastAsia="zh-CN" w:bidi="ar-SA"/>
                    </w:rPr>
                    <w:t>防洪除涝工程，不属于污染类项目</w:t>
                  </w:r>
                  <w:r>
                    <w:rPr>
                      <w:rStyle w:val="43"/>
                      <w:rFonts w:hint="eastAsia" w:eastAsia="宋体" w:cs="Times New Roman"/>
                      <w:color w:val="auto"/>
                      <w:kern w:val="2"/>
                      <w:sz w:val="21"/>
                      <w:szCs w:val="21"/>
                      <w:lang w:val="en-US" w:eastAsia="zh-CN" w:bidi="ar-SA"/>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vMerge w:val="continue"/>
                  <w:noWrap w:val="0"/>
                  <w:vAlign w:val="center"/>
                </w:tcPr>
                <w:p>
                  <w:pPr>
                    <w:pStyle w:val="201"/>
                    <w:widowControl/>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ZH51110220004</w:t>
                  </w:r>
                </w:p>
              </w:tc>
              <w:tc>
                <w:tcPr>
                  <w:tcW w:w="1064" w:type="dxa"/>
                  <w:vMerge w:val="continue"/>
                  <w:noWrap w:val="0"/>
                  <w:vAlign w:val="center"/>
                </w:tcPr>
                <w:p>
                  <w:pPr>
                    <w:pStyle w:val="201"/>
                    <w:widowControl/>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市中区要素重点管控单元</w:t>
                  </w:r>
                </w:p>
              </w:tc>
              <w:tc>
                <w:tcPr>
                  <w:tcW w:w="6641" w:type="dxa"/>
                  <w:vMerge w:val="continue"/>
                  <w:noWrap w:val="0"/>
                  <w:vAlign w:val="top"/>
                </w:tcPr>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空间布局约束：</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禁止开发建设活动的要求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（1）禁止在长江干支流岸线一公里范围内新建、扩建化工园区和化工项目；禁止在长江重要支流岸线一公里范围内新建、改建、扩建尾矿库（以提升安全、生态环境保护水平为目的的改建除外）；</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（2）禁止在长江流域开放水域养殖、投放外来物种或者其他非本地物种种质资源。禁止在长江流域禁止采砂区和禁止采砂期从事采砂活动。全面停止小型水电项目开发，已建成的中小型水电站不再扩容；</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（3）禁止在法律法规规定的禁采区内开采矿产；禁止土法采、选、冶严重污染环境的矿产资源；</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（4）对于基本农田，除法律规定的重点建设项目选址确实无法避让外，其他任何建设不得占用；</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（5）畜禽养殖严格按照乐山市各区县畜禽养殖区域划定方案执行，依法关闭或搬迁禁养区内的畜禽养殖场（小区）和养殖专业户。</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限制开发建设活动的要求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（1）现有化工、建材、有色、钢铁等工业企业，原则上限制发展，污染物排放只降不增，允许以提升安全、生态环境保护水平为目的的改建，引导企业结合产业升级等适时搬迁入园；</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（2）单元内若新布局工业园区，应符合最新的国土空间规划，并结合区域环境特点、三线成果、园区产业类别，充分论证选址的环境合理性；</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3）水环境农业污染重点管控区应严格限制布设以电力、钢铁、造纸、石化、化工、印染、化纤等高耗水行业为主导产业的园区；新建屠宰、用排水量大的农副产品加工等以水污染为主的企业，严格实行水污染物倍量替代；控制畜禽养殖规模，全面治理畜禽养殖污染；</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4）大气环境布局敏感区应严格限制布设以钢铁、建材、石化、化工、有色等高污染行业为主导产业的园区，大气环境弱扩散区谨慎布局垃圾发电、危废焚烧等以大气污染为主的企业；位于不达标区域的大气环境布局敏感严格限制新建、扩建涉气三类工业项目；</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5）国家重大战略资源勘查、生态保护修复和环境治理、重大基础设施、军事国防以及农牧民基本生产生活等必要的民生项目（包括深度贫困地区、集中连片特困地区、国家扶贫开发工作重点县省级以下基础设施、易地扶贫搬迁、民生发展等建设项目），选址确实难以避让永久基本农田的，按程序严格论证后依法依规报批；</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（6）坚持最严格的耕地保护制度，对全部耕地按限制开发的要求进行管理。严格限制农用地转为建设用地，控制建设用地总量，对耕地实行特殊保护；</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7）新建大中型水电工程，应当经科学论证，并报国务院或者国务院授权的部门批准。除与生态环境保护相协调的且是国务院及其相关部门、省级人民政府认可的脱贫攻坚项目外，严控新建商业开发的小水电项目；</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（8）长江流域河道采砂应当依法取得国务院水行政主管部门有关流域管理机构或者县级以上地方人民政府水行政主管部门的许可。严格控制采砂区域、采砂总量和采砂区域内的采砂船舶数量。</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不符合空间布局要求活动的退出要求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（1）全面取缔禁养区内规模化畜禽养殖场。岷江岸线延伸至陆域200米范围内基本消除畜禽养殖场（小区）；</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（2）对长江流域已建小水电工程，不符合生态保护要求的，县级以上地方人民政府应当组织分类整改或者采取措施逐步退出；</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（3）长江主要支流重点管控岸线：按照长江干线非法码头治理标准和生态保护红线管控等要求，持续开展长江主要支流非法码头整治。</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其他空间布局约束要求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污染物排放管控：</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允许排放量要求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（1）对新建排放二氧化硫、氮氧化物、工业烟粉尘和挥发性有机物的项目实施现役源2倍削减替代；</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（2）上一年度水环境质量未完成目标的，新建排放水污染的建设项目按照总量管控要求进行倍量削减替代；</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（3）水质超标的水功能区，应当实施更严格的污染物排放总量削减要求。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现有源提标升级改造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 xml:space="preserve">（1）现有处理规模大于1000吨日的城镇生活污水处理厂，以及存栏量≥300 头猪、粪污经处理后向环境排放的畜禽养殖场，应执行《四川省岷江、沱江流域水污染物排放标准》（DB512311-2016）相关要求； </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2）市中区、五通桥区、沙湾区、犍为县、井研县、夹江县、峨眉山市的现有企业执行相应行业以及锅炉大气污染物排放标准中颗粒物、二氧化硫、氮氧化物和挥发性有机物特别排放限值和特别控制要求。全市燃煤锅炉稳定达到超低排放限值要求，烟粉尘低于10毫克立方米，二氧化硫低于35毫克立方米，氮氧化物低于50毫克立方米；</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3）严禁新增钢铁、电力、水泥、玻璃、砖瓦、陶瓷、焦化、电解铝、有色等重点行业大气污染物排放。持续推进水泥、陶瓷、砖瓦、铸造、铁合金、钢铁等行业大气污染深度治理，深入推进颗粒物、二氧化硫、氮氧化物和挥发性有机物治理，持续推进陶瓷行业（喷雾干燥塔）清洁能源改造工程，加快推进五通桥涉氨排放化工企业氨排放治理。</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其他污染物排放管控要求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（1）新、改、扩建工业项目全面执行大气污染物特别排放限值。</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（2）乡镇生活污水处理设施全覆盖，生活污水收集处理率80%。到 2022 年底，65%以上的行政村农村生活污水得到有效治理。</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3）新、改扩建规模化畜禽养殖场（小区）要实施雨污分流、粪便污水资源化利用。主要农作物化肥、农药使用量实现零增长，利用率提高到40%以上，测土配方施肥技术推广覆盖率提高到90%以上，控制农村面源污染，采取灌排分离等措施控制农田氮磷流失。</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（4）新、改扩造纸企业参考执行乐山市“三线一单”生态环境分区管控中制浆造纸行业资源环境绩效准入门槛相应要求。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（5）屠宰项目如需接入城市污水管网，必须按照排水许可证要求排放污水，同时接受所在地的城镇排水主管部门的监督管理。</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（6）到 2023 年底，乡镇及行政村生活垃圾收转运处置体系基本实现全覆盖。</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7）大气环境布局敏感区强化挥发性有机物整治。扎实推进机械设备制造、家具制造等重点行业挥发性有机物治理，确保全面达标；推广使用符合环保要求的建筑涂料、木器涂料、胶黏剂等产品；全面推广汽修行业使用低挥发性涂料，采用高效涂装工艺，完善有机废气收集和处理系统，取缔露天和敞开式汽修喷涂作业。</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8）严格执行《关于实施第六阶段机动车排放标准的通告》及《四川省机动车和非道路移动机械排气污染防治办法》。加强油品的监督管理，按照国家、省要求全面供应国六标准的车用汽柴油，严厉打击生产、销售、使用不合格油品和车用尿素行为。</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9）严格控制道路扬尘。国省道路、高速路连接线等重点通行线路和建成区城乡结合部每天机械化清扫、冲洗不少于1次。强化城郊结合部扬尘污染管控。重点抓好重点交通建筑工地扬尘治理，切实加强城郊结合部重点货车绕行道路扬尘治理。熏制腊肉集中规划布点，加强宣传和引导，防止腌制品熏制污染大气环境。</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环境风险防控：</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联防联控要求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其他环境风险防控要求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（1）严禁新增以铅、汞、镉、铬、砷五类重金属为主的污染物排放，引导现有企业结合产业升级等适时搬入产业对口园区；</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2）对拟收回土地使用权的有色金属矿采选、有色金属冶炼、石油加工、化工、焦化、电镀、制革、天然（页岩）气开采、铅蓄电池、汽车制造、农药、危废处置、电子拆解等行业企业用地，以及用途拟变更为居住和商业、学校、医疗、养老机构等公共设施的上述企业用地，应按相关要求进行土壤环境状况调查评估，符合相应规划用地土壤环境质量要求的地块，方可进入用地程序；</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（3）严禁将城镇生活垃圾、污泥、工业废物直接用作肥料，禁止处理不达标的污泥进入耕地；禁止在农用地排放、倾倒、使用污泥、清淤底泥、尾矿（渣）等可能对土壤造成污染的固体废物；</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4）严格控制在优先保护类耕地集中的区县新建有色金属矿采选、有色金属冶炼、石油加工、化工、焦化、电镀、制革、天然（页岩）气开采、铅蓄电池、汽车制造、农药、危废处置、电子拆解、涉重等行业企业。严格控制林地、草地、园地的农药使用量，禁止使用高毒、高残留农药。</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资源开发利用效率要求：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水资源利用总量要求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1）加强农业灌溉管理，发展喷灌、微灌、管道输水灌溉、水肥一体化等高效农业节水灌溉方式和农耕农艺节水技术，提高输配水效率和调度水平。发展节水渔业、牧业，组织实施规模养殖场节水建设和改造，推行节水型畜禽养殖技术和方式。</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地下水开采要求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能源利用总量及效率要求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（1）禁止焚烧秸秆，大力推进秸秆肥料化、饲料化、基料化、原料化、能源化等多种形式的秸秆综合利用。</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（2）到2030年，农业废弃物全部实现资源化利用，</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（3）在秋收和夏收阶段开展秸秆禁烧专项巡查，强化成都平原地区区域联动。</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禁燃区要求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（1）能源结构以天然气和电为主。保留20蒸吨小时以上燃煤锅炉，并执行超低排放要求，鼓励搬入园区；</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（2）禁燃区内禁止审批（核准、备案）、新建、扩建燃用高污染燃料的项目和设施。</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其他资源利用效率要求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tc>
              <w:tc>
                <w:tcPr>
                  <w:tcW w:w="981" w:type="dxa"/>
                  <w:noWrap w:val="0"/>
                  <w:vAlign w:val="center"/>
                </w:tcPr>
                <w:p>
                  <w:pPr>
                    <w:pStyle w:val="201"/>
                    <w:widowControl/>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环境风险防控</w:t>
                  </w:r>
                </w:p>
              </w:tc>
              <w:tc>
                <w:tcPr>
                  <w:tcW w:w="2253" w:type="dxa"/>
                  <w:noWrap w:val="0"/>
                  <w:vAlign w:val="center"/>
                </w:tcPr>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严格管控类农用地管控要求</w:t>
                  </w:r>
                </w:p>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安全利用类农用地管控要求</w:t>
                  </w:r>
                </w:p>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污染地块管控要求</w:t>
                  </w:r>
                </w:p>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园区环境风险防控要求</w:t>
                  </w:r>
                </w:p>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企业环境风险防控要求</w:t>
                  </w:r>
                </w:p>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1、土壤污染重点监管企业和污染地块应严格执行《中华人民共和国土壤污染防治法》、《工矿用地土壤环境管理办法（试行）》、《四川省工况用地土壤环境管理办法》、《土壤污染防治行动计划四川省工作方案》、《四川省污染地块土壤环境管理办法》等要求；2、其他执行乐山市要素重点管控单元普适性总体准入要求。</w:t>
                  </w:r>
                </w:p>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其他环境风险防控要求</w:t>
                  </w:r>
                </w:p>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执行乐山市要素重点管控单元普适性总体准入要求。</w:t>
                  </w:r>
                </w:p>
              </w:tc>
              <w:tc>
                <w:tcPr>
                  <w:tcW w:w="671" w:type="dxa"/>
                  <w:noWrap w:val="0"/>
                  <w:vAlign w:val="center"/>
                </w:tcPr>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eastAsia" w:ascii="Times New Roman" w:hAnsi="Times New Roman" w:eastAsia="宋体" w:cs="Times New Roman"/>
                      <w:kern w:val="2"/>
                      <w:sz w:val="21"/>
                      <w:szCs w:val="21"/>
                      <w:lang w:val="en-US" w:eastAsia="zh-CN" w:bidi="ar-SA"/>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vMerge w:val="continue"/>
                  <w:noWrap w:val="0"/>
                  <w:vAlign w:val="center"/>
                </w:tcPr>
                <w:p>
                  <w:pPr>
                    <w:pStyle w:val="201"/>
                    <w:widowControl/>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ZH51110220004</w:t>
                  </w:r>
                </w:p>
              </w:tc>
              <w:tc>
                <w:tcPr>
                  <w:tcW w:w="1064" w:type="dxa"/>
                  <w:vMerge w:val="continue"/>
                  <w:noWrap w:val="0"/>
                  <w:vAlign w:val="center"/>
                </w:tcPr>
                <w:p>
                  <w:pPr>
                    <w:pStyle w:val="201"/>
                    <w:widowControl/>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市中区要素重点管控单元</w:t>
                  </w:r>
                </w:p>
              </w:tc>
              <w:tc>
                <w:tcPr>
                  <w:tcW w:w="6641" w:type="dxa"/>
                  <w:vMerge w:val="continue"/>
                  <w:noWrap w:val="0"/>
                  <w:vAlign w:val="top"/>
                </w:tcPr>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空间布局约束：</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禁止开发建设活动的要求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（1）禁止在长江干支流岸线一公里范围内新建、扩建化工园区和化工项目；禁止在长江重要支流岸线一公里范围内新建、改建、扩建尾矿库（以提升安全、生态环境保护水平为目的的改建除外）；</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（2）禁止在长江流域开放水域养殖、投放外来物种或者其他非本地物种种质资源。禁止在长江流域禁止采砂区和禁止采砂期从事采砂活动。全面停止小型水电项目开发，已建成的中小型水电站不再扩容；</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（3）禁止在法律法规规定的禁采区内开采矿产；禁止土法采、选、冶严重污染环境的矿产资源；</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（4）对于基本农田，除法律规定的重点建设项目选址确实无法避让外，其他任何建设不得占用；</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（5）畜禽养殖严格按照乐山市各区县畜禽养殖区域划定方案执行，依法关闭或搬迁禁养区内的畜禽养殖场（小区）和养殖专业户。</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限制开发建设活动的要求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（1）现有化工、建材、有色、钢铁等工业企业，原则上限制发展，污染物排放只降不增，允许以提升安全、生态环境保护水平为目的的改建，引导企业结合产业升级等适时搬迁入园；</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（2）单元内若新布局工业园区，应符合最新的国土空间规划，并结合区域环境特点、三线成果、园区产业类别，充分论证选址的环境合理性；</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3）水环境农业污染重点管控区应严格限制布设以电力、钢铁、造纸、石化、化工、印染、化纤等高耗水行业为主导产业的园区；新建屠宰、用排水量大的农副产品加工等以水污染为主的企业，严格实行水污染物倍量替代；控制畜禽养殖规模，全面治理畜禽养殖污染；</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4）大气环境布局敏感区应严格限制布设以钢铁、建材、石化、化工、有色等高污染行业为主导产业的园区，大气环境弱扩散区谨慎布局垃圾发电、危废焚烧等以大气污染为主的企业；位于不达标区域的大气环境布局敏感严格限制新建、扩建涉气三类工业项目；</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5）国家重大战略资源勘查、生态保护修复和环境治理、重大基础设施、军事国防以及农牧民基本生产生活等必要的民生项目（包括深度贫困地区、集中连片特困地区、国家扶贫开发工作重点县省级以下基础设施、易地扶贫搬迁、民生发展等建设项目），选址确实难以避让永久基本农田的，按程序严格论证后依法依规报批；</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（6）坚持最严格的耕地保护制度，对全部耕地按限制开发的要求进行管理。严格限制农用地转为建设用地，控制建设用地总量，对耕地实行特殊保护；</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7）新建大中型水电工程，应当经科学论证，并报国务院或者国务院授权的部门批准。除与生态环境保护相协调的且是国务院及其相关部门、省级人民政府认可的脱贫攻坚项目外，严控新建商业开发的小水电项目；</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（8）长江流域河道采砂应当依法取得国务院水行政主管部门有关流域管理机构或者县级以上地方人民政府水行政主管部门的许可。严格控制采砂区域、采砂总量和采砂区域内的采砂船舶数量。</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不符合空间布局要求活动的退出要求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（1）全面取缔禁养区内规模化畜禽养殖场。岷江岸线延伸至陆域200米范围内基本消除畜禽养殖场（小区）；</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（2）对长江流域已建小水电工程，不符合生态保护要求的，县级以上地方人民政府应当组织分类整改或者采取措施逐步退出；</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（3）长江主要支流重点管控岸线：按照长江干线非法码头治理标准和生态保护红线管控等要求，持续开展长江主要支流非法码头整治。</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其他空间布局约束要求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污染物排放管控：</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允许排放量要求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（1）对新建排放二氧化硫、氮氧化物、工业烟粉尘和挥发性有机物的项目实施现役源2倍削减替代；</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（2）上一年度水环境质量未完成目标的，新建排放水污染的建设项目按照总量管控要求进行倍量削减替代；</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（3）水质超标的水功能区，应当实施更严格的污染物排放总量削减要求。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现有源提标升级改造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 xml:space="preserve">（1）现有处理规模大于1000吨日的城镇生活污水处理厂，以及存栏量≥300 头猪、粪污经处理后向环境排放的畜禽养殖场，应执行《四川省岷江、沱江流域水污染物排放标准》（DB512311-2016）相关要求； </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2）市中区、五通桥区、沙湾区、犍为县、井研县、夹江县、峨眉山市的现有企业执行相应行业以及锅炉大气污染物排放标准中颗粒物、二氧化硫、氮氧化物和挥发性有机物特别排放限值和特别控制要求。全市燃煤锅炉稳定达到超低排放限值要求，烟粉尘低于10毫克立方米，二氧化硫低于35毫克立方米，氮氧化物低于50毫克立方米；</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3）严禁新增钢铁、电力、水泥、玻璃、砖瓦、陶瓷、焦化、电解铝、有色等重点行业大气污染物排放。持续推进水泥、陶瓷、砖瓦、铸造、铁合金、钢铁等行业大气污染深度治理，深入推进颗粒物、二氧化硫、氮氧化物和挥发性有机物治理，持续推进陶瓷行业（喷雾干燥塔）清洁能源改造工程，加快推进五通桥涉氨排放化工企业氨排放治理。</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其他污染物排放管控要求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（1）新、改、扩建工业项目全面执行大气污染物特别排放限值。</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（2）乡镇生活污水处理设施全覆盖，生活污水收集处理率80%。到 2022 年底，65%以上的行政村农村生活污水得到有效治理。</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3）新、改扩建规模化畜禽养殖场（小区）要实施雨污分流、粪便污水资源化利用。主要农作物化肥、农药使用量实现零增长，利用率提高到40%以上，测土配方施肥技术推广覆盖率提高到90%以上，控制农村面源污染，采取灌排分离等措施控制农田氮磷流失。</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（4）新、改扩造纸企业参考执行乐山市“三线一单”生态环境分区管控中制浆造纸行业资源环境绩效准入门槛相应要求。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（5）屠宰项目如需接入城市污水管网，必须按照排水许可证要求排放污水，同时接受所在地的城镇排水主管部门的监督管理。</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（6）到 2023 年底，乡镇及行政村生活垃圾收转运处置体系基本实现全覆盖。</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7）大气环境布局敏感区强化挥发性有机物整治。扎实推进机械设备制造、家具制造等重点行业挥发性有机物治理，确保全面达标；推广使用符合环保要求的建筑涂料、木器涂料、胶黏剂等产品；全面推广汽修行业使用低挥发性涂料，采用高效涂装工艺，完善有机废气收集和处理系统，取缔露天和敞开式汽修喷涂作业。</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8）严格执行《关于实施第六阶段机动车排放标准的通告》及《四川省机动车和非道路移动机械排气污染防治办法》。加强油品的监督管理，按照国家、省要求全面供应国六标准的车用汽柴油，严厉打击生产、销售、使用不合格油品和车用尿素行为。</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9）严格控制道路扬尘。国省道路、高速路连接线等重点通行线路和建成区城乡结合部每天机械化清扫、冲洗不少于1次。强化城郊结合部扬尘污染管控。重点抓好重点交通建筑工地扬尘治理，切实加强城郊结合部重点货车绕行道路扬尘治理。熏制腊肉集中规划布点，加强宣传和引导，防止腌制品熏制污染大气环境。</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环境风险防控：</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联防联控要求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其他环境风险防控要求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（1）严禁新增以铅、汞、镉、铬、砷五类重金属为主的污染物排放，引导现有企业结合产业升级等适时搬入产业对口园区；</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2）对拟收回土地使用权的有色金属矿采选、有色金属冶炼、石油加工、化工、焦化、电镀、制革、天然（页岩）气开采、铅蓄电池、汽车制造、农药、危废处置、电子拆解等行业企业用地，以及用途拟变更为居住和商业、学校、医疗、养老机构等公共设施的上述企业用地，应按相关要求进行土壤环境状况调查评估，符合相应规划用地土壤环境质量要求的地块，方可进入用地程序；</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（3）严禁将城镇生活垃圾、污泥、工业废物直接用作肥料，禁止处理不达标的污泥进入耕地；禁止在农用地排放、倾倒、使用污泥、清淤底泥、尾矿（渣）等可能对土壤造成污染的固体废物；</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4）严格控制在优先保护类耕地集中的区县新建有色金属矿采选、有色金属冶炼、石油加工、化工、焦化、电镀、制革、天然（页岩）气开采、铅蓄电池、汽车制造、农药、危废处置、电子拆解、涉重等行业企业。严格控制林地、草地、园地的农药使用量，禁止使用高毒、高残留农药。</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资源开发利用效率要求：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水资源利用总量要求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1）加强农业灌溉管理，发展喷灌、微灌、管道输水灌溉、水肥一体化等高效农业节水灌溉方式和农耕农艺节水技术，提高输配水效率和调度水平。发展节水渔业、牧业，组织实施规模养殖场节水建设和改造，推行节水型畜禽养殖技术和方式。</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地下水开采要求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能源利用总量及效率要求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（1）禁止焚烧秸秆，大力推进秸秆肥料化、饲料化、基料化、原料化、能源化等多种形式的秸秆综合利用。</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（2）到2030年，农业废弃物全部实现资源化利用，</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（3）在秋收和夏收阶段开展秸秆禁烧专项巡查，强化成都平原地区区域联动。</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禁燃区要求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（1）能源结构以天然气和电为主。保留20蒸吨小时以上燃煤锅炉，并执行超低排放要求，鼓励搬入园区；</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（2）禁燃区内禁止审批（核准、备案）、新建、扩建燃用高污染燃料的项目和设施。</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其他资源利用效率要求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tc>
              <w:tc>
                <w:tcPr>
                  <w:tcW w:w="981" w:type="dxa"/>
                  <w:noWrap w:val="0"/>
                  <w:vAlign w:val="center"/>
                </w:tcPr>
                <w:p>
                  <w:pPr>
                    <w:pStyle w:val="201"/>
                    <w:widowControl/>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资源开发效率要求</w:t>
                  </w:r>
                </w:p>
              </w:tc>
              <w:tc>
                <w:tcPr>
                  <w:tcW w:w="2253" w:type="dxa"/>
                  <w:noWrap w:val="0"/>
                  <w:vAlign w:val="center"/>
                </w:tcPr>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水资源利用效率要求</w:t>
                  </w:r>
                </w:p>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执行乐山市要素重点管控单元普适性总体准入要求。</w:t>
                  </w:r>
                </w:p>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地下水开采要求</w:t>
                  </w:r>
                </w:p>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能源利用效率要求</w:t>
                  </w:r>
                </w:p>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执行乐山市要素重点管控单元普适性总体准入要求。</w:t>
                  </w:r>
                </w:p>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其他资源利用效率要求</w:t>
                  </w:r>
                </w:p>
              </w:tc>
              <w:tc>
                <w:tcPr>
                  <w:tcW w:w="671" w:type="dxa"/>
                  <w:noWrap w:val="0"/>
                  <w:vAlign w:val="center"/>
                </w:tcPr>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eastAsia" w:ascii="Times New Roman" w:hAnsi="Times New Roman" w:eastAsia="宋体" w:cs="Times New Roman"/>
                      <w:kern w:val="2"/>
                      <w:sz w:val="21"/>
                      <w:szCs w:val="21"/>
                      <w:lang w:val="en-US" w:eastAsia="zh-CN" w:bidi="ar-SA"/>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vMerge w:val="restart"/>
                  <w:noWrap w:val="0"/>
                  <w:vAlign w:val="center"/>
                </w:tcPr>
                <w:p>
                  <w:pPr>
                    <w:pStyle w:val="201"/>
                    <w:widowControl/>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YS5111023210023</w:t>
                  </w:r>
                </w:p>
              </w:tc>
              <w:tc>
                <w:tcPr>
                  <w:tcW w:w="1064" w:type="dxa"/>
                  <w:vMerge w:val="restart"/>
                  <w:noWrap w:val="0"/>
                  <w:vAlign w:val="center"/>
                </w:tcPr>
                <w:p>
                  <w:pPr>
                    <w:pStyle w:val="201"/>
                    <w:widowControl/>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大渡河市中区李码头控制单元</w:t>
                  </w:r>
                </w:p>
              </w:tc>
              <w:tc>
                <w:tcPr>
                  <w:tcW w:w="6641" w:type="dxa"/>
                  <w:vMerge w:val="restart"/>
                  <w:noWrap w:val="0"/>
                  <w:vAlign w:val="top"/>
                </w:tcPr>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空间布局约束：</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禁止开发建设活动的要求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限制开发建设活动的要求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不符合空间布局要求活动的退出要求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其他空间布局约束要求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污染物排放管控：</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允许排放量要求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现有源提标升级改造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其他污染物排放管控要求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环境风险防控：</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联防联控要求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其他环境风险防控要求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资源开发利用效率要求：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水资源利用总量要求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地下水开采要求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能源利用总量及效率要求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禁燃区要求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其他资源利用效率要求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tc>
              <w:tc>
                <w:tcPr>
                  <w:tcW w:w="981" w:type="dxa"/>
                  <w:noWrap w:val="0"/>
                  <w:vAlign w:val="center"/>
                </w:tcPr>
                <w:p>
                  <w:pPr>
                    <w:pStyle w:val="201"/>
                    <w:widowControl/>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空间布局约束</w:t>
                  </w:r>
                </w:p>
              </w:tc>
              <w:tc>
                <w:tcPr>
                  <w:tcW w:w="2253" w:type="dxa"/>
                  <w:noWrap w:val="0"/>
                  <w:vAlign w:val="center"/>
                </w:tcPr>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禁止开发建设活动的要求</w:t>
                  </w:r>
                </w:p>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限制开发建设活动的要求</w:t>
                  </w:r>
                </w:p>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允许开发建设活动的要求</w:t>
                  </w:r>
                </w:p>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不符合空间布局要求活动的退出要求</w:t>
                  </w:r>
                </w:p>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其他空间布局约束要求</w:t>
                  </w:r>
                </w:p>
              </w:tc>
              <w:tc>
                <w:tcPr>
                  <w:tcW w:w="671" w:type="dxa"/>
                  <w:noWrap w:val="0"/>
                  <w:vAlign w:val="center"/>
                </w:tcPr>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eastAsia" w:ascii="Times New Roman" w:hAnsi="Times New Roman" w:eastAsia="宋体" w:cs="Times New Roman"/>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vMerge w:val="continue"/>
                  <w:noWrap w:val="0"/>
                  <w:vAlign w:val="center"/>
                </w:tcPr>
                <w:p>
                  <w:pPr>
                    <w:pStyle w:val="201"/>
                    <w:widowControl/>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YS5111023210023</w:t>
                  </w:r>
                </w:p>
              </w:tc>
              <w:tc>
                <w:tcPr>
                  <w:tcW w:w="1064" w:type="dxa"/>
                  <w:vMerge w:val="continue"/>
                  <w:noWrap w:val="0"/>
                  <w:vAlign w:val="center"/>
                </w:tcPr>
                <w:p>
                  <w:pPr>
                    <w:pStyle w:val="201"/>
                    <w:widowControl/>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大渡河市中区李码头控制单元</w:t>
                  </w:r>
                </w:p>
              </w:tc>
              <w:tc>
                <w:tcPr>
                  <w:tcW w:w="6641" w:type="dxa"/>
                  <w:vMerge w:val="continue"/>
                  <w:noWrap w:val="0"/>
                  <w:vAlign w:val="top"/>
                </w:tcPr>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空间布局约束：</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禁止开发建设活动的要求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限制开发建设活动的要求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不符合空间布局要求活动的退出要求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其他空间布局约束要求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污染物排放管控：</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允许排放量要求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现有源提标升级改造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其他污染物排放管控要求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环境风险防控：</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联防联控要求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其他环境风险防控要求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资源开发利用效率要求：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水资源利用总量要求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地下水开采要求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能源利用总量及效率要求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禁燃区要求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其他资源利用效率要求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tc>
              <w:tc>
                <w:tcPr>
                  <w:tcW w:w="981" w:type="dxa"/>
                  <w:noWrap w:val="0"/>
                  <w:vAlign w:val="center"/>
                </w:tcPr>
                <w:p>
                  <w:pPr>
                    <w:pStyle w:val="201"/>
                    <w:widowControl/>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污染物排放管控</w:t>
                  </w:r>
                </w:p>
              </w:tc>
              <w:tc>
                <w:tcPr>
                  <w:tcW w:w="2253" w:type="dxa"/>
                  <w:noWrap w:val="0"/>
                  <w:vAlign w:val="center"/>
                </w:tcPr>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城镇污水污染控制措施要求</w:t>
                  </w:r>
                </w:p>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工业废水污染控制措施要求</w:t>
                  </w:r>
                </w:p>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农业面源水污染控制措施要求</w:t>
                  </w:r>
                </w:p>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合理布局畜禽养殖规模，单位面积耕地的畜禽承载力不突破《四川省畜禽养殖污染防治技术指南》要求；强化畜禽养殖场污染治理，提高养殖粪污资源化利用率。</w:t>
                  </w:r>
                </w:p>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船舶港口水污染控制措施要求</w:t>
                  </w:r>
                </w:p>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饮用水水源和其它特殊水体保护要求</w:t>
                  </w:r>
                </w:p>
              </w:tc>
              <w:tc>
                <w:tcPr>
                  <w:tcW w:w="671" w:type="dxa"/>
                  <w:noWrap w:val="0"/>
                  <w:vAlign w:val="center"/>
                </w:tcPr>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eastAsia" w:ascii="Times New Roman" w:hAnsi="Times New Roman" w:eastAsia="宋体" w:cs="Times New Roman"/>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vMerge w:val="continue"/>
                  <w:noWrap w:val="0"/>
                  <w:vAlign w:val="center"/>
                </w:tcPr>
                <w:p>
                  <w:pPr>
                    <w:pStyle w:val="201"/>
                    <w:widowControl/>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YS5111023210023</w:t>
                  </w:r>
                </w:p>
              </w:tc>
              <w:tc>
                <w:tcPr>
                  <w:tcW w:w="1064" w:type="dxa"/>
                  <w:vMerge w:val="continue"/>
                  <w:noWrap w:val="0"/>
                  <w:vAlign w:val="center"/>
                </w:tcPr>
                <w:p>
                  <w:pPr>
                    <w:pStyle w:val="201"/>
                    <w:widowControl/>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大渡河市中区李码头控制单元</w:t>
                  </w:r>
                </w:p>
              </w:tc>
              <w:tc>
                <w:tcPr>
                  <w:tcW w:w="6641" w:type="dxa"/>
                  <w:vMerge w:val="continue"/>
                  <w:noWrap w:val="0"/>
                  <w:vAlign w:val="top"/>
                </w:tcPr>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空间布局约束：</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禁止开发建设活动的要求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限制开发建设活动的要求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不符合空间布局要求活动的退出要求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其他空间布局约束要求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污染物排放管控：</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允许排放量要求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现有源提标升级改造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其他污染物排放管控要求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环境风险防控：</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联防联控要求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其他环境风险防控要求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资源开发利用效率要求：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水资源利用总量要求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地下水开采要求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能源利用总量及效率要求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禁燃区要求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其他资源利用效率要求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tc>
              <w:tc>
                <w:tcPr>
                  <w:tcW w:w="981" w:type="dxa"/>
                  <w:noWrap w:val="0"/>
                  <w:vAlign w:val="center"/>
                </w:tcPr>
                <w:p>
                  <w:pPr>
                    <w:pStyle w:val="201"/>
                    <w:widowControl/>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环境风险防控</w:t>
                  </w:r>
                </w:p>
              </w:tc>
              <w:tc>
                <w:tcPr>
                  <w:tcW w:w="2253" w:type="dxa"/>
                  <w:vMerge w:val="restart"/>
                  <w:noWrap w:val="0"/>
                  <w:vAlign w:val="center"/>
                </w:tcPr>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w:t>
                  </w:r>
                </w:p>
              </w:tc>
              <w:tc>
                <w:tcPr>
                  <w:tcW w:w="671" w:type="dxa"/>
                  <w:noWrap w:val="0"/>
                  <w:vAlign w:val="center"/>
                </w:tcPr>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eastAsia" w:ascii="Times New Roman" w:hAnsi="Times New Roman" w:eastAsia="宋体" w:cs="Times New Roman"/>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vMerge w:val="continue"/>
                  <w:noWrap w:val="0"/>
                  <w:vAlign w:val="center"/>
                </w:tcPr>
                <w:p>
                  <w:pPr>
                    <w:pStyle w:val="201"/>
                    <w:widowControl/>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YS5111023210023</w:t>
                  </w:r>
                </w:p>
              </w:tc>
              <w:tc>
                <w:tcPr>
                  <w:tcW w:w="1064" w:type="dxa"/>
                  <w:vMerge w:val="continue"/>
                  <w:noWrap w:val="0"/>
                  <w:vAlign w:val="center"/>
                </w:tcPr>
                <w:p>
                  <w:pPr>
                    <w:pStyle w:val="201"/>
                    <w:widowControl/>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大渡河市中区李码头控制单元</w:t>
                  </w:r>
                </w:p>
              </w:tc>
              <w:tc>
                <w:tcPr>
                  <w:tcW w:w="6641" w:type="dxa"/>
                  <w:vMerge w:val="continue"/>
                  <w:noWrap w:val="0"/>
                  <w:vAlign w:val="top"/>
                </w:tcPr>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空间布局约束：</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禁止开发建设活动的要求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限制开发建设活动的要求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不符合空间布局要求活动的退出要求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其他空间布局约束要求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污染物排放管控：</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允许排放量要求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现有源提标升级改造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其他污染物排放管控要求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环境风险防控：</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联防联控要求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其他环境风险防控要求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资源开发利用效率要求：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水资源利用总量要求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地下水开采要求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能源利用总量及效率要求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禁燃区要求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其他资源利用效率要求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tc>
              <w:tc>
                <w:tcPr>
                  <w:tcW w:w="981" w:type="dxa"/>
                  <w:noWrap w:val="0"/>
                  <w:vAlign w:val="center"/>
                </w:tcPr>
                <w:p>
                  <w:pPr>
                    <w:pStyle w:val="201"/>
                    <w:widowControl/>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资源开发效率要求</w:t>
                  </w:r>
                </w:p>
              </w:tc>
              <w:tc>
                <w:tcPr>
                  <w:tcW w:w="2253" w:type="dxa"/>
                  <w:vMerge w:val="continue"/>
                  <w:noWrap w:val="0"/>
                  <w:vAlign w:val="center"/>
                </w:tcPr>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w:t>
                  </w:r>
                </w:p>
              </w:tc>
              <w:tc>
                <w:tcPr>
                  <w:tcW w:w="671" w:type="dxa"/>
                  <w:noWrap w:val="0"/>
                  <w:vAlign w:val="center"/>
                </w:tcPr>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eastAsia" w:ascii="Times New Roman" w:hAnsi="Times New Roman" w:eastAsia="宋体" w:cs="Times New Roman"/>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vMerge w:val="restart"/>
                  <w:noWrap w:val="0"/>
                  <w:vAlign w:val="center"/>
                </w:tcPr>
                <w:p>
                  <w:pPr>
                    <w:pStyle w:val="201"/>
                    <w:widowControl/>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YS5111022320001</w:t>
                  </w:r>
                </w:p>
              </w:tc>
              <w:tc>
                <w:tcPr>
                  <w:tcW w:w="1064" w:type="dxa"/>
                  <w:vMerge w:val="restart"/>
                  <w:noWrap w:val="0"/>
                  <w:vAlign w:val="center"/>
                </w:tcPr>
                <w:p>
                  <w:pPr>
                    <w:pStyle w:val="201"/>
                    <w:widowControl/>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乐山市市中区大气环境布局敏感重点管控区</w:t>
                  </w:r>
                </w:p>
              </w:tc>
              <w:tc>
                <w:tcPr>
                  <w:tcW w:w="6641" w:type="dxa"/>
                  <w:vMerge w:val="continue"/>
                  <w:noWrap w:val="0"/>
                  <w:vAlign w:val="top"/>
                </w:tcPr>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空间布局约束：</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禁止开发建设活动的要求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限制开发建设活动的要求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不符合空间布局要求活动的退出要求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其他空间布局约束要求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污染物排放管控：</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允许排放量要求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现有源提标升级改造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其他污染物排放管控要求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环境风险防控：</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联防联控要求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其他环境风险防控要求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资源开发利用效率要求：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水资源利用总量要求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地下水开采要求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能源利用总量及效率要求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禁燃区要求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其他资源利用效率要求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tc>
              <w:tc>
                <w:tcPr>
                  <w:tcW w:w="981" w:type="dxa"/>
                  <w:noWrap w:val="0"/>
                  <w:vAlign w:val="center"/>
                </w:tcPr>
                <w:p>
                  <w:pPr>
                    <w:pStyle w:val="201"/>
                    <w:widowControl/>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空间布局约束</w:t>
                  </w:r>
                </w:p>
              </w:tc>
              <w:tc>
                <w:tcPr>
                  <w:tcW w:w="2253" w:type="dxa"/>
                  <w:noWrap w:val="0"/>
                  <w:vAlign w:val="center"/>
                </w:tcPr>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禁止开发建设活动的要求</w:t>
                  </w:r>
                </w:p>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限制开发建设活动的要求</w:t>
                  </w:r>
                </w:p>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允许开发建设活动的要求</w:t>
                  </w:r>
                </w:p>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不符合空间布局要求活动的退出要求</w:t>
                  </w:r>
                </w:p>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其他空间布局约束要求</w:t>
                  </w:r>
                </w:p>
              </w:tc>
              <w:tc>
                <w:tcPr>
                  <w:tcW w:w="671" w:type="dxa"/>
                  <w:noWrap w:val="0"/>
                  <w:vAlign w:val="center"/>
                </w:tcPr>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eastAsia" w:ascii="Times New Roman" w:hAnsi="Times New Roman" w:eastAsia="宋体" w:cs="Times New Roman"/>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vMerge w:val="continue"/>
                  <w:noWrap w:val="0"/>
                  <w:vAlign w:val="center"/>
                </w:tcPr>
                <w:p>
                  <w:pPr>
                    <w:pStyle w:val="201"/>
                    <w:widowControl/>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YS5111022320001</w:t>
                  </w:r>
                </w:p>
              </w:tc>
              <w:tc>
                <w:tcPr>
                  <w:tcW w:w="1064" w:type="dxa"/>
                  <w:vMerge w:val="continue"/>
                  <w:noWrap w:val="0"/>
                  <w:vAlign w:val="center"/>
                </w:tcPr>
                <w:p>
                  <w:pPr>
                    <w:pStyle w:val="201"/>
                    <w:widowControl/>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乐山市市中区大气环境布局敏感重点管控区</w:t>
                  </w:r>
                </w:p>
              </w:tc>
              <w:tc>
                <w:tcPr>
                  <w:tcW w:w="6641" w:type="dxa"/>
                  <w:vMerge w:val="continue"/>
                  <w:noWrap w:val="0"/>
                  <w:vAlign w:val="top"/>
                </w:tcPr>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空间布局约束：</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禁止开发建设活动的要求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限制开发建设活动的要求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不符合空间布局要求活动的退出要求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其他空间布局约束要求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污染物排放管控：</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允许排放量要求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现有源提标升级改造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其他污染物排放管控要求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环境风险防控：</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联防联控要求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其他环境风险防控要求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资源开发利用效率要求：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水资源利用总量要求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地下水开采要求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能源利用总量及效率要求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禁燃区要求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其他资源利用效率要求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tc>
              <w:tc>
                <w:tcPr>
                  <w:tcW w:w="981" w:type="dxa"/>
                  <w:noWrap w:val="0"/>
                  <w:vAlign w:val="center"/>
                </w:tcPr>
                <w:p>
                  <w:pPr>
                    <w:pStyle w:val="201"/>
                    <w:widowControl/>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污染物排放管控</w:t>
                  </w:r>
                </w:p>
              </w:tc>
              <w:tc>
                <w:tcPr>
                  <w:tcW w:w="2253" w:type="dxa"/>
                  <w:noWrap w:val="0"/>
                  <w:vAlign w:val="center"/>
                </w:tcPr>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大气环境质量执行标准</w:t>
                  </w:r>
                </w:p>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《环境空气质量标准》（GB3095-2012）：二级</w:t>
                  </w:r>
                </w:p>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区域大气污染物削减/替代要求</w:t>
                  </w:r>
                </w:p>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新增大气污染物排放的建设项目实施总量削减替代。</w:t>
                  </w:r>
                </w:p>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燃煤和其他能源大气污染控制要求</w:t>
                  </w:r>
                </w:p>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工业废气污染控制要求</w:t>
                  </w:r>
                </w:p>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机动车船大气污染控制要求</w:t>
                  </w:r>
                </w:p>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扬尘污染控制要求</w:t>
                  </w:r>
                </w:p>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农业生产经营活动大气污染控制要求</w:t>
                  </w:r>
                </w:p>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重点行业企业专项治理要求</w:t>
                  </w:r>
                </w:p>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其他大气污染物排放管控要求</w:t>
                  </w:r>
                </w:p>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禁止新建高污染项目，新上涉及大气污染物排放的项目必须采用国际领先、国内一流的清洁生产技术。把能源消耗与污染物排放总量指标作为环评审批的前置条件，对新建排放二氧化硫、氮氧化物、工业烟粉尘和挥发性有机物的项目实施现役源2倍削减量替代。提高挥发性有机物污染企业环境准入门槛。对涉VOCs新建项目进行严格把关，要求各类涉VOCs的建设项目在设计、建设中使用国际领先、国内一流的清洁生产和密闭化工艺。</w:t>
                  </w:r>
                </w:p>
              </w:tc>
              <w:tc>
                <w:tcPr>
                  <w:tcW w:w="671" w:type="dxa"/>
                  <w:noWrap w:val="0"/>
                  <w:vAlign w:val="center"/>
                </w:tcPr>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eastAsia" w:ascii="Times New Roman" w:hAnsi="Times New Roman" w:eastAsia="宋体" w:cs="Times New Roman"/>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vMerge w:val="continue"/>
                  <w:noWrap w:val="0"/>
                  <w:vAlign w:val="center"/>
                </w:tcPr>
                <w:p>
                  <w:pPr>
                    <w:pStyle w:val="201"/>
                    <w:widowControl/>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YS5111022320001</w:t>
                  </w:r>
                </w:p>
              </w:tc>
              <w:tc>
                <w:tcPr>
                  <w:tcW w:w="1064" w:type="dxa"/>
                  <w:vMerge w:val="continue"/>
                  <w:noWrap w:val="0"/>
                  <w:vAlign w:val="center"/>
                </w:tcPr>
                <w:p>
                  <w:pPr>
                    <w:pStyle w:val="201"/>
                    <w:widowControl/>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乐山市市中区大气环境布局敏感重点管控区</w:t>
                  </w:r>
                </w:p>
              </w:tc>
              <w:tc>
                <w:tcPr>
                  <w:tcW w:w="6641" w:type="dxa"/>
                  <w:vMerge w:val="continue"/>
                  <w:noWrap w:val="0"/>
                  <w:vAlign w:val="top"/>
                </w:tcPr>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空间布局约束：</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禁止开发建设活动的要求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限制开发建设活动的要求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不符合空间布局要求活动的退出要求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其他空间布局约束要求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污染物排放管控：</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允许排放量要求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现有源提标升级改造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其他污染物排放管控要求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环境风险防控：</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联防联控要求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其他环境风险防控要求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资源开发利用效率要求：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水资源利用总量要求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地下水开采要求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能源利用总量及效率要求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禁燃区要求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其他资源利用效率要求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tc>
              <w:tc>
                <w:tcPr>
                  <w:tcW w:w="981" w:type="dxa"/>
                  <w:noWrap w:val="0"/>
                  <w:vAlign w:val="center"/>
                </w:tcPr>
                <w:p>
                  <w:pPr>
                    <w:pStyle w:val="201"/>
                    <w:widowControl/>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环境风险防控</w:t>
                  </w:r>
                </w:p>
              </w:tc>
              <w:tc>
                <w:tcPr>
                  <w:tcW w:w="2253" w:type="dxa"/>
                  <w:vMerge w:val="restart"/>
                  <w:noWrap w:val="0"/>
                  <w:vAlign w:val="center"/>
                </w:tcPr>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w:t>
                  </w:r>
                </w:p>
              </w:tc>
              <w:tc>
                <w:tcPr>
                  <w:tcW w:w="671" w:type="dxa"/>
                  <w:noWrap w:val="0"/>
                  <w:vAlign w:val="center"/>
                </w:tcPr>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eastAsia" w:ascii="Times New Roman" w:hAnsi="Times New Roman" w:eastAsia="宋体" w:cs="Times New Roman"/>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4" w:type="dxa"/>
                  <w:vMerge w:val="continue"/>
                  <w:noWrap w:val="0"/>
                  <w:vAlign w:val="center"/>
                </w:tcPr>
                <w:p>
                  <w:pPr>
                    <w:pStyle w:val="201"/>
                    <w:widowControl/>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YS5111022320001</w:t>
                  </w:r>
                </w:p>
              </w:tc>
              <w:tc>
                <w:tcPr>
                  <w:tcW w:w="1064" w:type="dxa"/>
                  <w:vMerge w:val="continue"/>
                  <w:noWrap w:val="0"/>
                  <w:vAlign w:val="center"/>
                </w:tcPr>
                <w:p>
                  <w:pPr>
                    <w:pStyle w:val="201"/>
                    <w:widowControl/>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乐山市市中区大气环境布局敏感重点管控区</w:t>
                  </w:r>
                </w:p>
              </w:tc>
              <w:tc>
                <w:tcPr>
                  <w:tcW w:w="6641" w:type="dxa"/>
                  <w:vMerge w:val="continue"/>
                  <w:noWrap w:val="0"/>
                  <w:vAlign w:val="top"/>
                </w:tcPr>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空间布局约束：</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禁止开发建设活动的要求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限制开发建设活动的要求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不符合空间布局要求活动的退出要求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其他空间布局约束要求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污染物排放管控：</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允许排放量要求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现有源提标升级改造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其他污染物排放管控要求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环境风险防控：</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联防联控要求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其他环境风险防控要求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资源开发利用效率要求：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水资源利用总量要求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地下水开采要求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能源利用总量及效率要求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禁燃区要求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其他资源利用效率要求</w:t>
                  </w:r>
                </w:p>
                <w:p>
                  <w:pPr>
                    <w:pStyle w:val="201"/>
                    <w:widowControl w:val="0"/>
                    <w:spacing w:line="360" w:lineRule="auto"/>
                    <w:ind w:firstLine="0" w:firstLineChars="0"/>
                    <w:jc w:val="both"/>
                    <w:rPr>
                      <w:rStyle w:val="43"/>
                      <w:rFonts w:hint="default" w:ascii="Times New Roman" w:hAnsi="Times New Roman" w:eastAsia="宋体" w:cs="Times New Roman"/>
                      <w:color w:val="000000"/>
                      <w:kern w:val="0"/>
                      <w:sz w:val="21"/>
                      <w:szCs w:val="21"/>
                      <w:lang w:val="en-US" w:eastAsia="zh-CN" w:bidi="ar-SA"/>
                    </w:rPr>
                  </w:pPr>
                  <w:r>
                    <w:rPr>
                      <w:rStyle w:val="43"/>
                      <w:rFonts w:hint="default" w:ascii="Times New Roman" w:hAnsi="Times New Roman" w:eastAsia="宋体" w:cs="Times New Roman"/>
                      <w:color w:val="000000"/>
                      <w:kern w:val="0"/>
                      <w:sz w:val="21"/>
                      <w:szCs w:val="21"/>
                      <w:lang w:val="en-US" w:eastAsia="zh-CN" w:bidi="ar-SA"/>
                    </w:rPr>
                    <w:t>暂无</w:t>
                  </w:r>
                </w:p>
              </w:tc>
              <w:tc>
                <w:tcPr>
                  <w:tcW w:w="981" w:type="dxa"/>
                  <w:noWrap w:val="0"/>
                  <w:vAlign w:val="center"/>
                </w:tcPr>
                <w:p>
                  <w:pPr>
                    <w:pStyle w:val="201"/>
                    <w:widowControl/>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资源开发效率要求</w:t>
                  </w:r>
                </w:p>
              </w:tc>
              <w:tc>
                <w:tcPr>
                  <w:tcW w:w="2253" w:type="dxa"/>
                  <w:vMerge w:val="continue"/>
                  <w:noWrap w:val="0"/>
                  <w:vAlign w:val="center"/>
                </w:tcPr>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default" w:ascii="Times New Roman" w:hAnsi="Times New Roman" w:eastAsia="宋体" w:cs="Times New Roman"/>
                      <w:kern w:val="2"/>
                      <w:sz w:val="21"/>
                      <w:szCs w:val="21"/>
                      <w:lang w:val="en-US" w:eastAsia="zh-CN" w:bidi="ar-SA"/>
                    </w:rPr>
                    <w:t>/</w:t>
                  </w:r>
                </w:p>
              </w:tc>
              <w:tc>
                <w:tcPr>
                  <w:tcW w:w="671" w:type="dxa"/>
                  <w:noWrap w:val="0"/>
                  <w:vAlign w:val="center"/>
                </w:tcPr>
                <w:p>
                  <w:pPr>
                    <w:pStyle w:val="201"/>
                    <w:widowControl/>
                    <w:shd w:val="clear" w:color="auto" w:fill="FFFFFF"/>
                    <w:spacing w:line="240" w:lineRule="auto"/>
                    <w:ind w:firstLine="0" w:firstLineChars="0"/>
                    <w:jc w:val="left"/>
                    <w:rPr>
                      <w:rStyle w:val="43"/>
                      <w:rFonts w:hint="default" w:ascii="Times New Roman" w:hAnsi="Times New Roman" w:eastAsia="宋体" w:cs="Times New Roman"/>
                      <w:kern w:val="2"/>
                      <w:sz w:val="21"/>
                      <w:szCs w:val="21"/>
                      <w:lang w:val="en-US" w:eastAsia="zh-CN" w:bidi="ar-SA"/>
                    </w:rPr>
                  </w:pPr>
                  <w:r>
                    <w:rPr>
                      <w:rStyle w:val="43"/>
                      <w:rFonts w:hint="eastAsia" w:ascii="Times New Roman" w:hAnsi="Times New Roman" w:eastAsia="宋体" w:cs="Times New Roman"/>
                      <w:kern w:val="2"/>
                      <w:sz w:val="21"/>
                      <w:szCs w:val="21"/>
                      <w:lang w:val="en-US" w:eastAsia="zh-CN" w:bidi="ar-SA"/>
                    </w:rPr>
                    <w:t>/</w:t>
                  </w:r>
                </w:p>
              </w:tc>
            </w:tr>
          </w:tbl>
          <w:p>
            <w:pPr>
              <w:rPr>
                <w:rFonts w:hint="default"/>
                <w:lang w:val="en-US" w:eastAsia="zh-CN"/>
              </w:rPr>
            </w:pPr>
          </w:p>
          <w:p>
            <w:pPr>
              <w:pStyle w:val="40"/>
              <w:ind w:left="0" w:leftChars="0" w:firstLine="0" w:firstLineChars="0"/>
            </w:pPr>
          </w:p>
        </w:tc>
      </w:tr>
    </w:tbl>
    <w:p>
      <w:pPr>
        <w:pStyle w:val="40"/>
        <w:sectPr>
          <w:pgSz w:w="16838" w:h="11906" w:orient="landscape"/>
          <w:pgMar w:top="1242" w:right="1440" w:bottom="1242"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7"/>
        <w:gridCol w:w="8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7" w:type="dxa"/>
          </w:tcPr>
          <w:p>
            <w:pPr>
              <w:rPr>
                <w:vertAlign w:val="baseline"/>
              </w:rPr>
            </w:pPr>
          </w:p>
        </w:tc>
        <w:tc>
          <w:tcPr>
            <w:tcW w:w="8541" w:type="dxa"/>
          </w:tcPr>
          <w:p>
            <w:pPr>
              <w:adjustRightInd w:val="0"/>
              <w:snapToGrid w:val="0"/>
              <w:spacing w:line="360" w:lineRule="auto"/>
              <w:ind w:firstLine="480" w:firstLineChars="200"/>
              <w:rPr>
                <w:rFonts w:hint="eastAsia" w:ascii="Times New Roman" w:hAnsi="Times New Roman" w:eastAsia="宋体" w:cs="Times New Roman"/>
                <w:bCs/>
                <w:color w:val="auto"/>
                <w:sz w:val="24"/>
              </w:rPr>
            </w:pPr>
            <w:r>
              <w:rPr>
                <w:rFonts w:hint="eastAsia" w:ascii="Times New Roman" w:hAnsi="Times New Roman" w:eastAsia="宋体" w:cs="Times New Roman"/>
                <w:bCs/>
                <w:color w:val="auto"/>
                <w:sz w:val="24"/>
              </w:rPr>
              <w:t>综上所述，本项目</w:t>
            </w:r>
            <w:r>
              <w:rPr>
                <w:rFonts w:hint="eastAsia" w:ascii="Times New Roman" w:hAnsi="Times New Roman" w:eastAsia="宋体" w:cs="Times New Roman"/>
                <w:bCs/>
                <w:color w:val="auto"/>
                <w:kern w:val="0"/>
                <w:sz w:val="24"/>
                <w:szCs w:val="24"/>
                <w:lang w:val="en-US" w:eastAsia="zh-CN"/>
              </w:rPr>
              <w:t>符合</w:t>
            </w:r>
            <w:r>
              <w:rPr>
                <w:rFonts w:hint="eastAsia" w:ascii="Times New Roman" w:hAnsi="Times New Roman" w:eastAsia="宋体" w:cs="Times New Roman"/>
                <w:bCs/>
                <w:color w:val="auto"/>
                <w:sz w:val="24"/>
              </w:rPr>
              <w:t>四川省生态环境厅办公室关于印发《产业园区规划环评“三线一单”符合性分析技术要点（试行</w:t>
            </w: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rPr>
              <w:t>》和《项目环评“三线一单”符合性分析技术要点</w:t>
            </w: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rPr>
              <w:t>试行</w:t>
            </w: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rPr>
              <w:t>》的通知（川环办函〔2021〕469号）的相关要求。</w:t>
            </w:r>
          </w:p>
          <w:p>
            <w:pPr>
              <w:widowControl w:val="0"/>
              <w:adjustRightInd w:val="0"/>
              <w:snapToGrid w:val="0"/>
              <w:spacing w:line="360" w:lineRule="auto"/>
              <w:ind w:firstLine="482"/>
              <w:jc w:val="both"/>
              <w:rPr>
                <w:rFonts w:ascii="Times New Roman" w:hAnsi="Times New Roman" w:eastAsia="宋体" w:cs="Times New Roman"/>
                <w:b/>
                <w:color w:val="auto"/>
                <w:kern w:val="2"/>
                <w:sz w:val="24"/>
                <w:szCs w:val="24"/>
                <w:lang w:val="en-US" w:eastAsia="zh-CN" w:bidi="ar-SA"/>
              </w:rPr>
            </w:pPr>
            <w:r>
              <w:rPr>
                <w:rFonts w:ascii="Times New Roman" w:hAnsi="Times New Roman" w:eastAsia="宋体" w:cs="Times New Roman"/>
                <w:b/>
                <w:color w:val="000000"/>
                <w:kern w:val="2"/>
                <w:sz w:val="24"/>
                <w:szCs w:val="24"/>
                <w:lang w:val="en-US" w:eastAsia="zh-CN" w:bidi="ar-SA"/>
              </w:rPr>
              <w:t>（</w:t>
            </w:r>
            <w:r>
              <w:rPr>
                <w:rFonts w:hint="eastAsia" w:cs="Times New Roman"/>
                <w:b/>
                <w:color w:val="000000"/>
                <w:kern w:val="2"/>
                <w:sz w:val="24"/>
                <w:szCs w:val="24"/>
                <w:lang w:val="en-US" w:eastAsia="zh-CN" w:bidi="ar-SA"/>
              </w:rPr>
              <w:t>4</w:t>
            </w:r>
            <w:r>
              <w:rPr>
                <w:rFonts w:ascii="Times New Roman" w:hAnsi="Times New Roman" w:eastAsia="宋体" w:cs="Times New Roman"/>
                <w:b/>
                <w:color w:val="auto"/>
                <w:kern w:val="2"/>
                <w:sz w:val="24"/>
                <w:szCs w:val="24"/>
                <w:lang w:val="en-US" w:eastAsia="zh-CN" w:bidi="ar-SA"/>
              </w:rPr>
              <w:t>）本项目与环境质量底线符合性分析</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kern w:val="2"/>
                <w:sz w:val="24"/>
                <w:szCs w:val="24"/>
                <w:highlight w:val="none"/>
                <w:shd w:val="clear" w:color="auto" w:fill="FFFFFF"/>
                <w:lang w:val="en-US" w:eastAsia="zh-CN" w:bidi="ar-SA"/>
              </w:rPr>
            </w:pPr>
            <w:r>
              <w:rPr>
                <w:rFonts w:hint="default" w:ascii="Times New Roman" w:hAnsi="Times New Roman" w:eastAsia="宋体" w:cs="Times New Roman"/>
                <w:color w:val="auto"/>
                <w:kern w:val="2"/>
                <w:sz w:val="24"/>
                <w:szCs w:val="24"/>
                <w:shd w:val="clear" w:color="auto" w:fill="FFFFFF"/>
                <w:lang w:val="en-US" w:eastAsia="zh-CN" w:bidi="ar-SA"/>
              </w:rPr>
              <w:t>根据</w:t>
            </w:r>
            <w:r>
              <w:rPr>
                <w:rFonts w:hint="eastAsia" w:cs="Times New Roman"/>
                <w:color w:val="auto"/>
                <w:sz w:val="24"/>
                <w:szCs w:val="24"/>
                <w:lang w:val="en-US" w:eastAsia="zh-CN"/>
              </w:rPr>
              <w:t>污染防治攻坚战领导小组办公室发布的《乐山市污染防治攻坚战工作通报》（2023年第2期）</w:t>
            </w:r>
            <w:r>
              <w:rPr>
                <w:rFonts w:ascii="Times New Roman" w:hAnsi="Times New Roman" w:eastAsia="宋体" w:cs="Times New Roman"/>
                <w:color w:val="auto"/>
                <w:kern w:val="2"/>
                <w:sz w:val="24"/>
                <w:szCs w:val="24"/>
                <w:shd w:val="clear" w:color="auto" w:fill="FFFFFF"/>
                <w:lang w:val="en-US" w:eastAsia="zh-CN" w:bidi="ar-SA"/>
              </w:rPr>
              <w:t>，项目所在区域大气环境质量满足《环境空气质量标准》（GB3095-2012）二级标准限</w:t>
            </w:r>
            <w:r>
              <w:rPr>
                <w:rFonts w:ascii="Times New Roman" w:hAnsi="Times New Roman" w:eastAsia="宋体" w:cs="Times New Roman"/>
                <w:color w:val="auto"/>
                <w:kern w:val="2"/>
                <w:sz w:val="24"/>
                <w:szCs w:val="24"/>
                <w:highlight w:val="none"/>
                <w:shd w:val="clear" w:color="auto" w:fill="FFFFFF"/>
                <w:lang w:val="en-US" w:eastAsia="zh-CN" w:bidi="ar-SA"/>
              </w:rPr>
              <w:t>值要求</w:t>
            </w:r>
            <w:r>
              <w:rPr>
                <w:rFonts w:hint="eastAsia" w:ascii="Times New Roman" w:hAnsi="Times New Roman" w:eastAsia="宋体" w:cs="Times New Roman"/>
                <w:color w:val="auto"/>
                <w:kern w:val="2"/>
                <w:sz w:val="24"/>
                <w:szCs w:val="24"/>
                <w:highlight w:val="none"/>
                <w:shd w:val="clear" w:color="auto" w:fill="FFFFFF"/>
                <w:lang w:val="en-US" w:eastAsia="zh-CN" w:bidi="ar-SA"/>
              </w:rPr>
              <w:t>；</w:t>
            </w:r>
            <w:r>
              <w:rPr>
                <w:rFonts w:hint="default" w:ascii="Times New Roman" w:hAnsi="Times New Roman" w:eastAsia="宋体" w:cs="Times New Roman"/>
                <w:color w:val="auto"/>
                <w:sz w:val="24"/>
                <w:szCs w:val="24"/>
              </w:rPr>
              <w:t>区域地表水满足《地表水环境质量标准》（GB3838-2002）中Ⅲ类标准</w:t>
            </w:r>
            <w:r>
              <w:rPr>
                <w:rFonts w:hint="eastAsia" w:ascii="Times New Roman" w:hAnsi="Times New Roman" w:cs="Times New Roman"/>
                <w:color w:val="auto"/>
                <w:sz w:val="24"/>
                <w:szCs w:val="24"/>
                <w:lang w:eastAsia="zh-CN"/>
              </w:rPr>
              <w:t>；</w:t>
            </w:r>
            <w:r>
              <w:rPr>
                <w:rFonts w:hint="eastAsia" w:ascii="Times New Roman" w:hAnsi="Times New Roman" w:eastAsia="宋体" w:cs="Times New Roman"/>
                <w:color w:val="auto"/>
                <w:kern w:val="2"/>
                <w:sz w:val="24"/>
                <w:szCs w:val="24"/>
                <w:highlight w:val="none"/>
                <w:shd w:val="clear" w:color="auto" w:fill="FFFFFF"/>
                <w:lang w:val="en-US" w:eastAsia="zh-CN" w:bidi="ar-SA"/>
              </w:rPr>
              <w:t>根据环境质量现状监测，声环境质量满足《声环境质量标准》（GB3096-2008）中2类标准要求。本项目为防洪除</w:t>
            </w:r>
            <w:r>
              <w:rPr>
                <w:rFonts w:hint="eastAsia" w:cs="Times New Roman"/>
                <w:color w:val="auto"/>
                <w:kern w:val="2"/>
                <w:sz w:val="24"/>
                <w:szCs w:val="24"/>
                <w:highlight w:val="none"/>
                <w:shd w:val="clear" w:color="auto" w:fill="FFFFFF"/>
                <w:lang w:val="en-US" w:eastAsia="zh-CN" w:bidi="ar-SA"/>
              </w:rPr>
              <w:t>涝</w:t>
            </w:r>
            <w:r>
              <w:rPr>
                <w:rFonts w:hint="eastAsia" w:ascii="Times New Roman" w:hAnsi="Times New Roman" w:eastAsia="宋体" w:cs="Times New Roman"/>
                <w:color w:val="auto"/>
                <w:kern w:val="2"/>
                <w:sz w:val="24"/>
                <w:szCs w:val="24"/>
                <w:highlight w:val="none"/>
                <w:shd w:val="clear" w:color="auto" w:fill="FFFFFF"/>
                <w:lang w:val="en-US" w:eastAsia="zh-CN" w:bidi="ar-SA"/>
              </w:rPr>
              <w:t>项目，运营期无污染，对周围环境影响较小。本项目</w:t>
            </w:r>
            <w:r>
              <w:rPr>
                <w:rFonts w:hint="eastAsia" w:ascii="Times New Roman" w:hAnsi="Times New Roman" w:eastAsia="宋体" w:cs="Times New Roman"/>
                <w:color w:val="auto"/>
                <w:kern w:val="2"/>
                <w:sz w:val="24"/>
                <w:szCs w:val="24"/>
                <w:shd w:val="clear" w:color="auto" w:fill="FFFFFF"/>
                <w:lang w:val="en-US" w:eastAsia="zh-CN" w:bidi="ar-SA"/>
              </w:rPr>
              <w:t>在采取相应的环保措施后，对周围环境影响较小，不会突破环境质量底线。</w:t>
            </w:r>
          </w:p>
          <w:p>
            <w:pPr>
              <w:adjustRightInd w:val="0"/>
              <w:snapToGrid w:val="0"/>
              <w:spacing w:line="360" w:lineRule="auto"/>
              <w:ind w:firstLine="482" w:firstLineChars="200"/>
              <w:rPr>
                <w:rFonts w:ascii="Times New Roman" w:hAnsi="Times New Roman" w:eastAsia="宋体" w:cs="Times New Roman"/>
                <w:b/>
                <w:bCs/>
                <w:sz w:val="24"/>
                <w:lang w:val="zh-CN"/>
              </w:rPr>
            </w:pPr>
            <w:r>
              <w:rPr>
                <w:rFonts w:ascii="Times New Roman" w:hAnsi="Times New Roman" w:eastAsia="宋体" w:cs="Times New Roman"/>
                <w:b/>
                <w:bCs/>
                <w:sz w:val="24"/>
                <w:lang w:val="zh-CN"/>
              </w:rPr>
              <w:t>（</w:t>
            </w:r>
            <w:r>
              <w:rPr>
                <w:rFonts w:hint="eastAsia" w:cs="Times New Roman"/>
                <w:b/>
                <w:bCs/>
                <w:sz w:val="24"/>
                <w:lang w:val="en-US" w:eastAsia="zh-CN"/>
              </w:rPr>
              <w:t>5</w:t>
            </w:r>
            <w:r>
              <w:rPr>
                <w:rFonts w:ascii="Times New Roman" w:hAnsi="Times New Roman" w:eastAsia="宋体" w:cs="Times New Roman"/>
                <w:b/>
                <w:bCs/>
                <w:sz w:val="24"/>
                <w:lang w:val="zh-CN"/>
              </w:rPr>
              <w:t>）本项目与资源利用上线符合性分析</w:t>
            </w:r>
          </w:p>
          <w:p>
            <w:pPr>
              <w:snapToGrid w:val="0"/>
              <w:spacing w:line="360" w:lineRule="auto"/>
              <w:ind w:firstLine="480" w:firstLineChars="200"/>
              <w:rPr>
                <w:rFonts w:ascii="Times New Roman" w:hAnsi="Times New Roman" w:eastAsia="宋体" w:cs="Times New Roman"/>
                <w:sz w:val="24"/>
                <w:lang w:val="zh-CN"/>
              </w:rPr>
            </w:pPr>
            <w:r>
              <w:rPr>
                <w:rFonts w:ascii="Times New Roman" w:hAnsi="Times New Roman" w:eastAsia="宋体" w:cs="Times New Roman"/>
                <w:sz w:val="24"/>
              </w:rPr>
              <w:t>本项目区域水资源、能源和土地供应充足，不存在资源枯竭及供给不足的情况</w:t>
            </w:r>
            <w:r>
              <w:rPr>
                <w:rFonts w:ascii="Times New Roman" w:hAnsi="Times New Roman" w:eastAsia="宋体" w:cs="Times New Roman"/>
                <w:sz w:val="24"/>
                <w:lang w:val="zh-CN"/>
              </w:rPr>
              <w:t>，项目未涉及土地资源利用上线</w:t>
            </w:r>
            <w:r>
              <w:rPr>
                <w:rFonts w:hint="eastAsia" w:ascii="Times New Roman" w:hAnsi="Times New Roman" w:eastAsia="宋体" w:cs="Times New Roman"/>
                <w:sz w:val="24"/>
                <w:lang w:val="zh-CN"/>
              </w:rPr>
              <w:t>。</w:t>
            </w:r>
          </w:p>
          <w:p>
            <w:pPr>
              <w:snapToGrid w:val="0"/>
              <w:spacing w:line="360" w:lineRule="auto"/>
              <w:ind w:firstLine="482" w:firstLineChars="200"/>
              <w:rPr>
                <w:rFonts w:hint="eastAsia" w:ascii="Times New Roman" w:hAnsi="Times New Roman" w:eastAsia="宋体" w:cs="Times New Roman"/>
                <w:b/>
                <w:sz w:val="24"/>
              </w:rPr>
            </w:pPr>
            <w:r>
              <w:rPr>
                <w:rFonts w:hint="eastAsia" w:ascii="Times New Roman" w:hAnsi="Times New Roman" w:eastAsia="宋体" w:cs="Times New Roman"/>
                <w:b/>
                <w:sz w:val="24"/>
              </w:rPr>
              <w:t>（</w:t>
            </w:r>
            <w:r>
              <w:rPr>
                <w:rFonts w:hint="eastAsia" w:cs="Times New Roman"/>
                <w:b/>
                <w:sz w:val="24"/>
                <w:lang w:val="en-US" w:eastAsia="zh-CN"/>
              </w:rPr>
              <w:t>6</w:t>
            </w:r>
            <w:r>
              <w:rPr>
                <w:rFonts w:hint="eastAsia" w:ascii="Times New Roman" w:hAnsi="Times New Roman" w:eastAsia="宋体" w:cs="Times New Roman"/>
                <w:b/>
                <w:sz w:val="24"/>
              </w:rPr>
              <w:t>）本项目与环境准入负面清单符合性分析</w:t>
            </w:r>
          </w:p>
          <w:p>
            <w:pPr>
              <w:snapToGrid w:val="0"/>
              <w:spacing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rPr>
              <w:t>根据《四川省国家重点生态功能区产业准入负面清单（第一批）（试行）》、《四川省重点生态功能区产业准入负面清单（第二批）（试行）》</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《长江经济带发展负面清单指南（试行，2022年版）的通知》（长江办〔2022〕7）号）</w:t>
            </w:r>
            <w:r>
              <w:rPr>
                <w:rFonts w:ascii="Times New Roman" w:hAnsi="Times New Roman" w:eastAsia="宋体" w:cs="Times New Roman"/>
                <w:color w:val="auto"/>
                <w:sz w:val="24"/>
              </w:rPr>
              <w:t>以及</w:t>
            </w:r>
            <w:r>
              <w:rPr>
                <w:rFonts w:hint="eastAsia" w:cs="Times New Roman"/>
                <w:color w:val="auto"/>
                <w:sz w:val="24"/>
                <w:lang w:eastAsia="zh-CN"/>
              </w:rPr>
              <w:t>《</w:t>
            </w:r>
            <w:r>
              <w:rPr>
                <w:rFonts w:hint="eastAsia" w:ascii="Times New Roman" w:hAnsi="Times New Roman" w:eastAsia="宋体" w:cs="Times New Roman"/>
                <w:color w:val="auto"/>
                <w:sz w:val="24"/>
                <w:lang w:val="en-US" w:eastAsia="zh-CN"/>
              </w:rPr>
              <w:t>四川省、重庆市长江经济带发展负面清单实施细则（试行，2022年版）（征求意见稿）》</w:t>
            </w:r>
            <w:r>
              <w:rPr>
                <w:rFonts w:ascii="Times New Roman" w:hAnsi="Times New Roman" w:eastAsia="宋体" w:cs="Times New Roman"/>
                <w:color w:val="auto"/>
                <w:sz w:val="24"/>
              </w:rPr>
              <w:t>可</w:t>
            </w:r>
            <w:r>
              <w:rPr>
                <w:rFonts w:ascii="Times New Roman" w:hAnsi="Times New Roman" w:eastAsia="宋体" w:cs="Times New Roman"/>
                <w:color w:val="auto"/>
                <w:sz w:val="24"/>
                <w:highlight w:val="none"/>
              </w:rPr>
              <w:t>知项目</w:t>
            </w:r>
            <w:r>
              <w:rPr>
                <w:rFonts w:hint="eastAsia" w:ascii="Times New Roman" w:hAnsi="Times New Roman" w:eastAsia="宋体" w:cs="Times New Roman"/>
                <w:color w:val="auto"/>
                <w:sz w:val="24"/>
                <w:highlight w:val="none"/>
                <w:lang w:val="en-US" w:eastAsia="zh-CN"/>
              </w:rPr>
              <w:t>未被列入</w:t>
            </w:r>
            <w:r>
              <w:rPr>
                <w:rFonts w:ascii="Times New Roman" w:hAnsi="Times New Roman" w:eastAsia="宋体" w:cs="Times New Roman"/>
                <w:color w:val="auto"/>
                <w:sz w:val="24"/>
                <w:highlight w:val="none"/>
              </w:rPr>
              <w:t>环境准入负面清单，故本项目不属于禁止准入类和限制准入类。</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表1-</w:t>
            </w:r>
            <w:r>
              <w:rPr>
                <w:rFonts w:hint="eastAsia" w:ascii="Times New Roman" w:hAnsi="Times New Roman" w:eastAsia="宋体" w:cs="Times New Roman"/>
                <w:b/>
                <w:bCs/>
                <w:color w:val="auto"/>
                <w:sz w:val="21"/>
                <w:szCs w:val="21"/>
                <w:highlight w:val="none"/>
                <w:lang w:val="en-US" w:eastAsia="zh-CN"/>
              </w:rPr>
              <w:t>8</w:t>
            </w:r>
            <w:r>
              <w:rPr>
                <w:rFonts w:hint="default" w:ascii="Times New Roman" w:hAnsi="Times New Roman" w:eastAsia="宋体" w:cs="Times New Roman"/>
                <w:b/>
                <w:bCs/>
                <w:color w:val="auto"/>
                <w:sz w:val="21"/>
                <w:szCs w:val="21"/>
                <w:highlight w:val="none"/>
                <w:lang w:val="en-US" w:eastAsia="zh-CN"/>
              </w:rPr>
              <w:t xml:space="preserve">  与长江办〔2022〕7号符合性分析</w:t>
            </w:r>
          </w:p>
          <w:tbl>
            <w:tblPr>
              <w:tblStyle w:val="42"/>
              <w:tblW w:w="4997"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519"/>
              <w:gridCol w:w="5222"/>
              <w:gridCol w:w="1798"/>
              <w:gridCol w:w="77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312" w:type="pct"/>
                  <w:tcBorders>
                    <w:tl2br w:val="nil"/>
                    <w:tr2bl w:val="nil"/>
                  </w:tcBorders>
                  <w:noWrap w:val="0"/>
                  <w:vAlign w:val="center"/>
                </w:tcPr>
                <w:p>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3139" w:type="pct"/>
                  <w:tcBorders>
                    <w:tl2br w:val="nil"/>
                    <w:tr2bl w:val="nil"/>
                  </w:tcBorders>
                  <w:noWrap w:val="0"/>
                  <w:vAlign w:val="center"/>
                </w:tcPr>
                <w:p>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文件中要求</w:t>
                  </w:r>
                </w:p>
              </w:tc>
              <w:tc>
                <w:tcPr>
                  <w:tcW w:w="1081" w:type="pct"/>
                  <w:tcBorders>
                    <w:tl2br w:val="nil"/>
                    <w:tr2bl w:val="nil"/>
                  </w:tcBorders>
                  <w:noWrap w:val="0"/>
                  <w:vAlign w:val="center"/>
                </w:tcPr>
                <w:p>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本项目情况</w:t>
                  </w:r>
                </w:p>
              </w:tc>
              <w:tc>
                <w:tcPr>
                  <w:tcW w:w="466" w:type="pct"/>
                  <w:tcBorders>
                    <w:tl2br w:val="nil"/>
                    <w:tr2bl w:val="nil"/>
                  </w:tcBorders>
                  <w:noWrap w:val="0"/>
                  <w:vAlign w:val="center"/>
                </w:tcPr>
                <w:p>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符合性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41" w:hRule="atLeast"/>
                <w:jc w:val="center"/>
              </w:trPr>
              <w:tc>
                <w:tcPr>
                  <w:tcW w:w="31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3139"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禁止建设不符合全国和省级港口布局规划以及港口总体规划的码头项目，禁止建设不符合《长江干线过江通道布局规划》的过长江通道项目。</w:t>
                  </w:r>
                </w:p>
              </w:tc>
              <w:tc>
                <w:tcPr>
                  <w:tcW w:w="108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不涉及</w:t>
                  </w:r>
                </w:p>
              </w:tc>
              <w:tc>
                <w:tcPr>
                  <w:tcW w:w="466"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04" w:hRule="atLeast"/>
                <w:jc w:val="center"/>
              </w:trPr>
              <w:tc>
                <w:tcPr>
                  <w:tcW w:w="31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3139"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禁止在自然保护区核心区、缓冲区的岸线和河段范围内投资建设旅游和生产经营项目。禁止在风景名胜区核心景区的岸线和河段范围内投资建设与风景名胜资源保护无关的项目</w:t>
                  </w:r>
                  <w:r>
                    <w:rPr>
                      <w:rFonts w:hint="default" w:ascii="Times New Roman" w:hAnsi="Times New Roman" w:eastAsia="宋体" w:cs="Times New Roman"/>
                      <w:color w:val="auto"/>
                      <w:sz w:val="21"/>
                      <w:szCs w:val="21"/>
                      <w:highlight w:val="none"/>
                      <w:lang w:eastAsia="zh-CN"/>
                    </w:rPr>
                    <w:t>。</w:t>
                  </w:r>
                </w:p>
              </w:tc>
              <w:tc>
                <w:tcPr>
                  <w:tcW w:w="108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不涉及</w:t>
                  </w:r>
                </w:p>
              </w:tc>
              <w:tc>
                <w:tcPr>
                  <w:tcW w:w="466"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3" w:hRule="atLeast"/>
                <w:jc w:val="center"/>
              </w:trPr>
              <w:tc>
                <w:tcPr>
                  <w:tcW w:w="31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3139"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08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不涉及</w:t>
                  </w:r>
                </w:p>
              </w:tc>
              <w:tc>
                <w:tcPr>
                  <w:tcW w:w="466"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89" w:hRule="atLeast"/>
                <w:jc w:val="center"/>
              </w:trPr>
              <w:tc>
                <w:tcPr>
                  <w:tcW w:w="31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4</w:t>
                  </w:r>
                </w:p>
              </w:tc>
              <w:tc>
                <w:tcPr>
                  <w:tcW w:w="3139"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08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不涉及</w:t>
                  </w:r>
                </w:p>
              </w:tc>
              <w:tc>
                <w:tcPr>
                  <w:tcW w:w="466"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890" w:hRule="atLeast"/>
                <w:jc w:val="center"/>
              </w:trPr>
              <w:tc>
                <w:tcPr>
                  <w:tcW w:w="31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5</w:t>
                  </w:r>
                </w:p>
              </w:tc>
              <w:tc>
                <w:tcPr>
                  <w:tcW w:w="3139"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08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不涉及</w:t>
                  </w:r>
                </w:p>
              </w:tc>
              <w:tc>
                <w:tcPr>
                  <w:tcW w:w="466"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42" w:hRule="atLeast"/>
                <w:jc w:val="center"/>
              </w:trPr>
              <w:tc>
                <w:tcPr>
                  <w:tcW w:w="31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3139"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禁止未经许可在长江干支流及湖泊新设、改设或扩大排污口。</w:t>
                  </w:r>
                </w:p>
              </w:tc>
              <w:tc>
                <w:tcPr>
                  <w:tcW w:w="108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不涉及</w:t>
                  </w:r>
                </w:p>
              </w:tc>
              <w:tc>
                <w:tcPr>
                  <w:tcW w:w="466"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3" w:hRule="atLeast"/>
                <w:jc w:val="center"/>
              </w:trPr>
              <w:tc>
                <w:tcPr>
                  <w:tcW w:w="31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w:t>
                  </w:r>
                </w:p>
              </w:tc>
              <w:tc>
                <w:tcPr>
                  <w:tcW w:w="3139"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禁止在“一江一口两湖七河”和332个水生生物保护区开展生产性捕捞。</w:t>
                  </w:r>
                </w:p>
              </w:tc>
              <w:tc>
                <w:tcPr>
                  <w:tcW w:w="108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不涉及</w:t>
                  </w:r>
                </w:p>
              </w:tc>
              <w:tc>
                <w:tcPr>
                  <w:tcW w:w="466"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31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3139"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禁止在长江干支流、重要湖泊岸线一公里范围内新建、扩建化工园区和化工项目。禁止在长江</w:t>
                  </w:r>
                  <w:r>
                    <w:rPr>
                      <w:rFonts w:hint="default" w:ascii="Times New Roman" w:hAnsi="Times New Roman" w:eastAsia="宋体" w:cs="Times New Roman"/>
                      <w:color w:val="auto"/>
                      <w:sz w:val="21"/>
                      <w:szCs w:val="21"/>
                      <w:highlight w:val="none"/>
                      <w:lang w:val="en-US" w:eastAsia="zh-CN"/>
                    </w:rPr>
                    <w:t>干</w:t>
                  </w:r>
                  <w:r>
                    <w:rPr>
                      <w:rFonts w:hint="default" w:ascii="Times New Roman" w:hAnsi="Times New Roman" w:eastAsia="宋体" w:cs="Times New Roman"/>
                      <w:color w:val="auto"/>
                      <w:sz w:val="21"/>
                      <w:szCs w:val="21"/>
                      <w:highlight w:val="none"/>
                    </w:rPr>
                    <w:t>流岸线三公里范围内和重要支流岸线一公里范围内新建、改建、扩建尾矿库、冶炼渣库和磷石膏库，以提升安全、生态环境保护水平为目的的改建除外。</w:t>
                  </w:r>
                </w:p>
              </w:tc>
              <w:tc>
                <w:tcPr>
                  <w:tcW w:w="108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不涉及</w:t>
                  </w:r>
                </w:p>
              </w:tc>
              <w:tc>
                <w:tcPr>
                  <w:tcW w:w="466"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2" w:hRule="atLeast"/>
                <w:jc w:val="center"/>
              </w:trPr>
              <w:tc>
                <w:tcPr>
                  <w:tcW w:w="31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w:t>
                  </w:r>
                </w:p>
              </w:tc>
              <w:tc>
                <w:tcPr>
                  <w:tcW w:w="3139"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禁止在合规园区外新建、扩建钢铁、石化、化工、焦化、建材、有色、制浆造纸等高污染项目。</w:t>
                  </w:r>
                </w:p>
              </w:tc>
              <w:tc>
                <w:tcPr>
                  <w:tcW w:w="108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不涉及</w:t>
                  </w:r>
                </w:p>
              </w:tc>
              <w:tc>
                <w:tcPr>
                  <w:tcW w:w="466"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1" w:hRule="atLeast"/>
                <w:jc w:val="center"/>
              </w:trPr>
              <w:tc>
                <w:tcPr>
                  <w:tcW w:w="31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3139"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禁止新建、扩建不符合国家石化、现代煤化工等产业布局规划的项目。</w:t>
                  </w:r>
                </w:p>
              </w:tc>
              <w:tc>
                <w:tcPr>
                  <w:tcW w:w="108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不涉及</w:t>
                  </w:r>
                </w:p>
              </w:tc>
              <w:tc>
                <w:tcPr>
                  <w:tcW w:w="466"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13" w:hRule="atLeast"/>
                <w:jc w:val="center"/>
              </w:trPr>
              <w:tc>
                <w:tcPr>
                  <w:tcW w:w="31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w:t>
                  </w:r>
                </w:p>
              </w:tc>
              <w:tc>
                <w:tcPr>
                  <w:tcW w:w="3139"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禁止新建、扩建法律法规和相关政策明令禁止的落后产能项目。禁止新建、扩建不符合国家产能置换要求的严重过剩产能行业的项目。禁止新建、扩建不符合要求的高耗能高排放项目。</w:t>
                  </w:r>
                </w:p>
              </w:tc>
              <w:tc>
                <w:tcPr>
                  <w:tcW w:w="108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不涉及</w:t>
                  </w:r>
                </w:p>
              </w:tc>
              <w:tc>
                <w:tcPr>
                  <w:tcW w:w="466"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0" w:hRule="atLeast"/>
                <w:jc w:val="center"/>
              </w:trPr>
              <w:tc>
                <w:tcPr>
                  <w:tcW w:w="31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w:t>
                  </w:r>
                </w:p>
              </w:tc>
              <w:tc>
                <w:tcPr>
                  <w:tcW w:w="3139"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法律法规及相关政策文件有更加严格规定的从其规定。</w:t>
                  </w:r>
                </w:p>
              </w:tc>
              <w:tc>
                <w:tcPr>
                  <w:tcW w:w="108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466"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r>
          </w:tbl>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与</w:t>
            </w:r>
            <w:r>
              <w:rPr>
                <w:rFonts w:hint="eastAsia" w:cs="Times New Roman"/>
                <w:color w:val="auto"/>
                <w:sz w:val="24"/>
                <w:lang w:eastAsia="zh-CN"/>
              </w:rPr>
              <w:t>《</w:t>
            </w:r>
            <w:r>
              <w:rPr>
                <w:rFonts w:hint="eastAsia" w:ascii="Times New Roman" w:hAnsi="Times New Roman" w:eastAsia="宋体" w:cs="Times New Roman"/>
                <w:color w:val="auto"/>
                <w:sz w:val="24"/>
                <w:lang w:val="en-US" w:eastAsia="zh-CN"/>
              </w:rPr>
              <w:t>四川省、重庆市长江经济带发展负面清单实施细则（试行，2022年版）（征求意见稿）》</w:t>
            </w:r>
            <w:r>
              <w:rPr>
                <w:rFonts w:hint="eastAsia" w:ascii="Times New Roman" w:hAnsi="Times New Roman" w:eastAsia="宋体" w:cs="Times New Roman"/>
                <w:color w:val="auto"/>
                <w:sz w:val="24"/>
                <w:highlight w:val="none"/>
                <w:lang w:val="en-US" w:eastAsia="zh-CN"/>
              </w:rPr>
              <w:t>的符合性分析</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表1-</w:t>
            </w:r>
            <w:r>
              <w:rPr>
                <w:rFonts w:hint="eastAsia" w:ascii="Times New Roman" w:hAnsi="Times New Roman" w:eastAsia="宋体" w:cs="Times New Roman"/>
                <w:b/>
                <w:bCs/>
                <w:color w:val="auto"/>
                <w:sz w:val="21"/>
                <w:szCs w:val="21"/>
                <w:highlight w:val="none"/>
                <w:lang w:val="en-US" w:eastAsia="zh-CN"/>
              </w:rPr>
              <w:t>9</w:t>
            </w:r>
            <w:r>
              <w:rPr>
                <w:rFonts w:hint="default" w:ascii="Times New Roman" w:hAnsi="Times New Roman" w:eastAsia="宋体" w:cs="Times New Roman"/>
                <w:b/>
                <w:bCs/>
                <w:color w:val="auto"/>
                <w:sz w:val="21"/>
                <w:szCs w:val="21"/>
                <w:highlight w:val="none"/>
                <w:lang w:val="en-US" w:eastAsia="zh-CN"/>
              </w:rPr>
              <w:t xml:space="preserve">  与《四川省、重庆市长江经济带发展负面清单实施细则（试行，2022年版）（征求意见稿）》符合性分析</w:t>
            </w:r>
          </w:p>
          <w:tbl>
            <w:tblPr>
              <w:tblStyle w:val="42"/>
              <w:tblW w:w="4996"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515"/>
              <w:gridCol w:w="5357"/>
              <w:gridCol w:w="1666"/>
              <w:gridCol w:w="77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310" w:type="pct"/>
                  <w:tcBorders>
                    <w:tl2br w:val="nil"/>
                    <w:tr2bl w:val="nil"/>
                  </w:tcBorders>
                  <w:noWrap w:val="0"/>
                  <w:vAlign w:val="center"/>
                </w:tcPr>
                <w:p>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3221" w:type="pct"/>
                  <w:tcBorders>
                    <w:tl2br w:val="nil"/>
                    <w:tr2bl w:val="nil"/>
                  </w:tcBorders>
                  <w:noWrap w:val="0"/>
                  <w:vAlign w:val="center"/>
                </w:tcPr>
                <w:p>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文件中要求</w:t>
                  </w:r>
                </w:p>
              </w:tc>
              <w:tc>
                <w:tcPr>
                  <w:tcW w:w="1002" w:type="pct"/>
                  <w:tcBorders>
                    <w:tl2br w:val="nil"/>
                    <w:tr2bl w:val="nil"/>
                  </w:tcBorders>
                  <w:noWrap w:val="0"/>
                  <w:vAlign w:val="center"/>
                </w:tcPr>
                <w:p>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本项目情况</w:t>
                  </w:r>
                </w:p>
              </w:tc>
              <w:tc>
                <w:tcPr>
                  <w:tcW w:w="466" w:type="pct"/>
                  <w:tcBorders>
                    <w:tl2br w:val="nil"/>
                    <w:tr2bl w:val="nil"/>
                  </w:tcBorders>
                  <w:noWrap w:val="0"/>
                  <w:vAlign w:val="center"/>
                </w:tcPr>
                <w:p>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符合性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41" w:hRule="atLeast"/>
                <w:jc w:val="center"/>
              </w:trPr>
              <w:tc>
                <w:tcPr>
                  <w:tcW w:w="310"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322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第五条</w:t>
                  </w:r>
                  <w:r>
                    <w:rPr>
                      <w:rFonts w:hint="default" w:ascii="Times New Roman" w:hAnsi="Times New Roman" w:eastAsia="宋体" w:cs="Times New Roman"/>
                      <w:color w:val="auto"/>
                      <w:sz w:val="21"/>
                      <w:szCs w:val="21"/>
                      <w:highlight w:val="none"/>
                      <w:lang w:val="en-US" w:eastAsia="zh-CN"/>
                    </w:rPr>
                    <w:t>禁止新建、改建和扩建不符合全国港口布局规划，以及《四川省内河水运发展规划》《泸州—宜宾—乐山港口群布局规划》《重庆港总体规划（2035年)》等省级港口布局规划及市级港口总体规划的码头项目。</w:t>
                  </w:r>
                </w:p>
              </w:tc>
              <w:tc>
                <w:tcPr>
                  <w:tcW w:w="100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不涉及</w:t>
                  </w:r>
                </w:p>
              </w:tc>
              <w:tc>
                <w:tcPr>
                  <w:tcW w:w="466"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4" w:hRule="atLeast"/>
                <w:jc w:val="center"/>
              </w:trPr>
              <w:tc>
                <w:tcPr>
                  <w:tcW w:w="310"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322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第六条</w:t>
                  </w:r>
                  <w:r>
                    <w:rPr>
                      <w:rFonts w:hint="default" w:ascii="Times New Roman" w:hAnsi="Times New Roman" w:eastAsia="宋体" w:cs="Times New Roman"/>
                      <w:color w:val="auto"/>
                      <w:sz w:val="21"/>
                      <w:szCs w:val="21"/>
                      <w:highlight w:val="none"/>
                      <w:lang w:val="en-US" w:eastAsia="zh-CN"/>
                    </w:rPr>
                    <w:t>禁止新建、改建和扩建不符合《长江干线过江通道布局规划（2020—2035年)》的过长江通道项目(含桥梁、隧道)，国家发展改革委同意过长江通道线位调整的除外。</w:t>
                  </w:r>
                </w:p>
              </w:tc>
              <w:tc>
                <w:tcPr>
                  <w:tcW w:w="100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不涉及</w:t>
                  </w:r>
                </w:p>
              </w:tc>
              <w:tc>
                <w:tcPr>
                  <w:tcW w:w="466"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3" w:hRule="atLeast"/>
                <w:jc w:val="center"/>
              </w:trPr>
              <w:tc>
                <w:tcPr>
                  <w:tcW w:w="310"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322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第七条</w:t>
                  </w:r>
                  <w:r>
                    <w:rPr>
                      <w:rFonts w:hint="default" w:ascii="Times New Roman" w:hAnsi="Times New Roman" w:eastAsia="宋体" w:cs="Times New Roman"/>
                      <w:color w:val="auto"/>
                      <w:sz w:val="21"/>
                      <w:szCs w:val="21"/>
                      <w:highlight w:val="none"/>
                      <w:lang w:val="en-US" w:eastAsia="zh-CN"/>
                    </w:rPr>
                    <w:t>禁止在自然保护区核心区、缓冲区的岸线和河段范围内投资建设旅游和生产经营项目。自然保护区的内部未分区的，依照核心区和缓冲区的规定管控。</w:t>
                  </w:r>
                </w:p>
              </w:tc>
              <w:tc>
                <w:tcPr>
                  <w:tcW w:w="100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不涉及</w:t>
                  </w:r>
                </w:p>
              </w:tc>
              <w:tc>
                <w:tcPr>
                  <w:tcW w:w="466"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89" w:hRule="atLeast"/>
                <w:jc w:val="center"/>
              </w:trPr>
              <w:tc>
                <w:tcPr>
                  <w:tcW w:w="310"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4</w:t>
                  </w:r>
                </w:p>
              </w:tc>
              <w:tc>
                <w:tcPr>
                  <w:tcW w:w="322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第八条</w:t>
                  </w:r>
                  <w:r>
                    <w:rPr>
                      <w:rFonts w:hint="default" w:ascii="Times New Roman" w:hAnsi="Times New Roman" w:eastAsia="宋体" w:cs="Times New Roman"/>
                      <w:color w:val="auto"/>
                      <w:sz w:val="21"/>
                      <w:szCs w:val="21"/>
                      <w:highlight w:val="none"/>
                    </w:rPr>
                    <w:t>禁止违反风景名胜区规划，在风景名胜区内设立各类开发区。禁止在风景名胜区核心景区的岸线和河段范围内建设宾馆、招待所、培训中心、疗养院以及与风景名胜资源保护无关的项目。</w:t>
                  </w:r>
                </w:p>
              </w:tc>
              <w:tc>
                <w:tcPr>
                  <w:tcW w:w="100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不涉及</w:t>
                  </w:r>
                </w:p>
              </w:tc>
              <w:tc>
                <w:tcPr>
                  <w:tcW w:w="466"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99" w:hRule="atLeast"/>
                <w:jc w:val="center"/>
              </w:trPr>
              <w:tc>
                <w:tcPr>
                  <w:tcW w:w="310"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5</w:t>
                  </w:r>
                </w:p>
              </w:tc>
              <w:tc>
                <w:tcPr>
                  <w:tcW w:w="322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第九条</w:t>
                  </w:r>
                  <w:r>
                    <w:rPr>
                      <w:rFonts w:hint="default" w:ascii="Times New Roman" w:hAnsi="Times New Roman" w:eastAsia="宋体" w:cs="Times New Roman"/>
                      <w:color w:val="auto"/>
                      <w:sz w:val="21"/>
                      <w:szCs w:val="21"/>
                      <w:highlight w:val="none"/>
                    </w:rPr>
                    <w:t>禁止在饮用水水源准保护区的岸线和河段范围内新建、扩建对水体污染严重的建设项目，禁止改建增加排污量的建设项目。</w:t>
                  </w:r>
                </w:p>
              </w:tc>
              <w:tc>
                <w:tcPr>
                  <w:tcW w:w="100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不涉及</w:t>
                  </w:r>
                </w:p>
              </w:tc>
              <w:tc>
                <w:tcPr>
                  <w:tcW w:w="466"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42" w:hRule="atLeast"/>
                <w:jc w:val="center"/>
              </w:trPr>
              <w:tc>
                <w:tcPr>
                  <w:tcW w:w="310"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322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第十条</w:t>
                  </w:r>
                  <w:r>
                    <w:rPr>
                      <w:rFonts w:hint="default" w:ascii="Times New Roman" w:hAnsi="Times New Roman" w:eastAsia="宋体" w:cs="Times New Roman"/>
                      <w:color w:val="auto"/>
                      <w:sz w:val="21"/>
                      <w:szCs w:val="21"/>
                      <w:highlight w:val="none"/>
                      <w:lang w:val="en-US" w:eastAsia="zh-CN"/>
                    </w:rPr>
                    <w:t>饮用水水源二级保护区的岸线和河段范围内，除遵守准保护区规定外</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禁止新建、改建、扩建排放污染物的投资建设项目</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禁止从事对水体有污染的水产养殖等活动。</w:t>
                  </w:r>
                </w:p>
              </w:tc>
              <w:tc>
                <w:tcPr>
                  <w:tcW w:w="100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不涉及</w:t>
                  </w:r>
                </w:p>
              </w:tc>
              <w:tc>
                <w:tcPr>
                  <w:tcW w:w="466"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3" w:hRule="atLeast"/>
                <w:jc w:val="center"/>
              </w:trPr>
              <w:tc>
                <w:tcPr>
                  <w:tcW w:w="310"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w:t>
                  </w:r>
                </w:p>
              </w:tc>
              <w:tc>
                <w:tcPr>
                  <w:tcW w:w="322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第十一条</w:t>
                  </w:r>
                  <w:r>
                    <w:rPr>
                      <w:rFonts w:hint="default" w:ascii="Times New Roman" w:hAnsi="Times New Roman" w:eastAsia="宋体" w:cs="Times New Roman"/>
                      <w:color w:val="auto"/>
                      <w:sz w:val="21"/>
                      <w:szCs w:val="21"/>
                      <w:highlight w:val="none"/>
                      <w:lang w:val="en-US" w:eastAsia="zh-CN"/>
                    </w:rPr>
                    <w:t>饮用水水源一级保护区的岸线和河段范围内，除遵守二级保护区规定外，禁止新建和保护水源无关的项目，以及网箱养殖、畜禽养殖、旅游等可能污染饮用水水体的投资建设项目。改建、扩建与供水设施和保护水源无关的项目，以及网箱养殖、畜禽养殖、旅游等可能污染饮用水水体的投资建设项目。</w:t>
                  </w:r>
                </w:p>
              </w:tc>
              <w:tc>
                <w:tcPr>
                  <w:tcW w:w="1002" w:type="pct"/>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不涉及</w:t>
                  </w:r>
                </w:p>
              </w:tc>
              <w:tc>
                <w:tcPr>
                  <w:tcW w:w="466"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310"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322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第十二条</w:t>
                  </w:r>
                  <w:r>
                    <w:rPr>
                      <w:rFonts w:hint="default" w:ascii="Times New Roman" w:hAnsi="Times New Roman" w:eastAsia="宋体" w:cs="Times New Roman"/>
                      <w:color w:val="auto"/>
                      <w:sz w:val="21"/>
                      <w:szCs w:val="21"/>
                      <w:highlight w:val="none"/>
                      <w:lang w:val="en-US" w:eastAsia="zh-CN"/>
                    </w:rPr>
                    <w:t>禁止在水产种质资源保护区岸线和河段范围内新建围湖造田、围湖造地或挖沙采石等投资建设项目。</w:t>
                  </w:r>
                </w:p>
              </w:tc>
              <w:tc>
                <w:tcPr>
                  <w:tcW w:w="100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不涉及</w:t>
                  </w:r>
                </w:p>
              </w:tc>
              <w:tc>
                <w:tcPr>
                  <w:tcW w:w="466"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2" w:hRule="atLeast"/>
                <w:jc w:val="center"/>
              </w:trPr>
              <w:tc>
                <w:tcPr>
                  <w:tcW w:w="310"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w:t>
                  </w:r>
                </w:p>
              </w:tc>
              <w:tc>
                <w:tcPr>
                  <w:tcW w:w="322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第十三条</w:t>
                  </w:r>
                  <w:r>
                    <w:rPr>
                      <w:rFonts w:hint="default" w:ascii="Times New Roman" w:hAnsi="Times New Roman" w:eastAsia="宋体" w:cs="Times New Roman"/>
                      <w:color w:val="auto"/>
                      <w:sz w:val="21"/>
                      <w:szCs w:val="21"/>
                      <w:highlight w:val="none"/>
                      <w:lang w:val="en-US" w:eastAsia="zh-CN"/>
                    </w:rPr>
                    <w:t>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徊游通道。</w:t>
                  </w:r>
                </w:p>
              </w:tc>
              <w:tc>
                <w:tcPr>
                  <w:tcW w:w="100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不涉及</w:t>
                  </w:r>
                </w:p>
              </w:tc>
              <w:tc>
                <w:tcPr>
                  <w:tcW w:w="466"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1" w:hRule="atLeast"/>
                <w:jc w:val="center"/>
              </w:trPr>
              <w:tc>
                <w:tcPr>
                  <w:tcW w:w="310"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322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第十四条</w:t>
                  </w:r>
                  <w:r>
                    <w:rPr>
                      <w:rFonts w:hint="default" w:ascii="Times New Roman" w:hAnsi="Times New Roman" w:eastAsia="宋体" w:cs="Times New Roman"/>
                      <w:color w:val="auto"/>
                      <w:sz w:val="21"/>
                      <w:szCs w:val="21"/>
                      <w:highlight w:val="none"/>
                      <w:lang w:val="en-US" w:eastAsia="zh-CN"/>
                    </w:rP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00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不涉及</w:t>
                  </w:r>
                </w:p>
              </w:tc>
              <w:tc>
                <w:tcPr>
                  <w:tcW w:w="466"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13" w:hRule="atLeast"/>
                <w:jc w:val="center"/>
              </w:trPr>
              <w:tc>
                <w:tcPr>
                  <w:tcW w:w="310"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w:t>
                  </w:r>
                </w:p>
              </w:tc>
              <w:tc>
                <w:tcPr>
                  <w:tcW w:w="322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第十五条</w:t>
                  </w:r>
                  <w:r>
                    <w:rPr>
                      <w:rFonts w:hint="default" w:ascii="Times New Roman" w:hAnsi="Times New Roman" w:eastAsia="宋体" w:cs="Times New Roman"/>
                      <w:color w:val="auto"/>
                      <w:sz w:val="21"/>
                      <w:szCs w:val="21"/>
                      <w:highlight w:val="none"/>
                      <w:lang w:val="en-US" w:eastAsia="zh-CN"/>
                    </w:rPr>
                    <w:t>禁止在《全国重要江河湖泊水功能区划》划定的河段及湖泊保护区、保留区内投资建设不利于水资源及自然生态保护的项目。</w:t>
                  </w:r>
                </w:p>
              </w:tc>
              <w:tc>
                <w:tcPr>
                  <w:tcW w:w="100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不涉及</w:t>
                  </w:r>
                </w:p>
              </w:tc>
              <w:tc>
                <w:tcPr>
                  <w:tcW w:w="466"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0" w:hRule="atLeast"/>
                <w:jc w:val="center"/>
              </w:trPr>
              <w:tc>
                <w:tcPr>
                  <w:tcW w:w="310"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w:t>
                  </w:r>
                </w:p>
              </w:tc>
              <w:tc>
                <w:tcPr>
                  <w:tcW w:w="322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第十六条</w:t>
                  </w:r>
                  <w:r>
                    <w:rPr>
                      <w:rFonts w:hint="default" w:ascii="Times New Roman" w:hAnsi="Times New Roman" w:eastAsia="宋体" w:cs="Times New Roman"/>
                      <w:color w:val="auto"/>
                      <w:sz w:val="21"/>
                      <w:szCs w:val="21"/>
                      <w:highlight w:val="none"/>
                      <w:lang w:val="en-US" w:eastAsia="zh-CN"/>
                    </w:rPr>
                    <w:t>禁止在长江流域江河、湖泊新设、改设或者扩大排污口</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经有管辖权的生态环境主管部门或者长江流域生态环境监督管理机构同意的除外。</w:t>
                  </w:r>
                </w:p>
              </w:tc>
              <w:tc>
                <w:tcPr>
                  <w:tcW w:w="100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不涉及</w:t>
                  </w:r>
                </w:p>
              </w:tc>
              <w:tc>
                <w:tcPr>
                  <w:tcW w:w="466"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0" w:hRule="atLeast"/>
                <w:jc w:val="center"/>
              </w:trPr>
              <w:tc>
                <w:tcPr>
                  <w:tcW w:w="310"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w:t>
                  </w:r>
                </w:p>
              </w:tc>
              <w:tc>
                <w:tcPr>
                  <w:tcW w:w="322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第十七条</w:t>
                  </w:r>
                  <w:r>
                    <w:rPr>
                      <w:rFonts w:hint="default" w:ascii="Times New Roman" w:hAnsi="Times New Roman" w:eastAsia="宋体" w:cs="Times New Roman"/>
                      <w:color w:val="auto"/>
                      <w:sz w:val="21"/>
                      <w:szCs w:val="21"/>
                      <w:highlight w:val="none"/>
                      <w:lang w:val="en-US" w:eastAsia="zh-CN"/>
                    </w:rPr>
                    <w:t>禁止在长江干流、大渡河、岷江、赤水河、沱江、嘉陵江、乌江、汉江和51个（四川省45个、重庆市6个）水生生物保护区开展生产性捕捞。</w:t>
                  </w:r>
                </w:p>
              </w:tc>
              <w:tc>
                <w:tcPr>
                  <w:tcW w:w="100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不涉及</w:t>
                  </w:r>
                </w:p>
              </w:tc>
              <w:tc>
                <w:tcPr>
                  <w:tcW w:w="466"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0" w:hRule="atLeast"/>
                <w:jc w:val="center"/>
              </w:trPr>
              <w:tc>
                <w:tcPr>
                  <w:tcW w:w="310"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w:t>
                  </w:r>
                </w:p>
              </w:tc>
              <w:tc>
                <w:tcPr>
                  <w:tcW w:w="322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第十八条</w:t>
                  </w:r>
                  <w:r>
                    <w:rPr>
                      <w:rFonts w:hint="default" w:ascii="Times New Roman" w:hAnsi="Times New Roman" w:eastAsia="宋体" w:cs="Times New Roman"/>
                      <w:color w:val="auto"/>
                      <w:sz w:val="21"/>
                      <w:szCs w:val="21"/>
                      <w:highlight w:val="none"/>
                      <w:lang w:val="en-US" w:eastAsia="zh-CN"/>
                    </w:rPr>
                    <w:t>禁止在长江干支流、重要湖泊岸线一公里范围内新建、扩建化工园区和化工项目。</w:t>
                  </w:r>
                </w:p>
              </w:tc>
              <w:tc>
                <w:tcPr>
                  <w:tcW w:w="100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不涉及</w:t>
                  </w:r>
                </w:p>
              </w:tc>
              <w:tc>
                <w:tcPr>
                  <w:tcW w:w="466"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0" w:hRule="atLeast"/>
                <w:jc w:val="center"/>
              </w:trPr>
              <w:tc>
                <w:tcPr>
                  <w:tcW w:w="310"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p>
              </w:tc>
              <w:tc>
                <w:tcPr>
                  <w:tcW w:w="322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第十九条</w:t>
                  </w:r>
                  <w:r>
                    <w:rPr>
                      <w:rFonts w:hint="default" w:ascii="Times New Roman" w:hAnsi="Times New Roman" w:eastAsia="宋体" w:cs="Times New Roman"/>
                      <w:color w:val="auto"/>
                      <w:sz w:val="21"/>
                      <w:szCs w:val="21"/>
                      <w:highlight w:val="none"/>
                      <w:lang w:val="en-US" w:eastAsia="zh-CN"/>
                    </w:rPr>
                    <w:t>禁止在长江干流岸线三公里范围内和重要支流岸线一公里范围内新建、改建、扩建尾矿库、冶炼渣库、磷石膏库，以提升安全、生态环境保护水平为目的的改建除外。</w:t>
                  </w:r>
                </w:p>
              </w:tc>
              <w:tc>
                <w:tcPr>
                  <w:tcW w:w="100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不涉及</w:t>
                  </w:r>
                </w:p>
              </w:tc>
              <w:tc>
                <w:tcPr>
                  <w:tcW w:w="466"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0" w:hRule="atLeast"/>
                <w:jc w:val="center"/>
              </w:trPr>
              <w:tc>
                <w:tcPr>
                  <w:tcW w:w="310"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w:t>
                  </w:r>
                </w:p>
              </w:tc>
              <w:tc>
                <w:tcPr>
                  <w:tcW w:w="322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第二十条</w:t>
                  </w:r>
                  <w:r>
                    <w:rPr>
                      <w:rFonts w:hint="default" w:ascii="Times New Roman" w:hAnsi="Times New Roman" w:eastAsia="宋体" w:cs="Times New Roman"/>
                      <w:color w:val="auto"/>
                      <w:sz w:val="21"/>
                      <w:szCs w:val="21"/>
                      <w:highlight w:val="none"/>
                      <w:lang w:val="en-US" w:eastAsia="zh-CN"/>
                    </w:rPr>
                    <w:t>禁止在生态保护红线区域、永久基本农田集中区域和其他需要特别保护的区域内选址建设尾矿库、冶炼渣库、磷石膏库。</w:t>
                  </w:r>
                </w:p>
              </w:tc>
              <w:tc>
                <w:tcPr>
                  <w:tcW w:w="100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不涉及</w:t>
                  </w:r>
                </w:p>
              </w:tc>
              <w:tc>
                <w:tcPr>
                  <w:tcW w:w="466"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0" w:hRule="atLeast"/>
                <w:jc w:val="center"/>
              </w:trPr>
              <w:tc>
                <w:tcPr>
                  <w:tcW w:w="310"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17</w:t>
                  </w:r>
                </w:p>
              </w:tc>
              <w:tc>
                <w:tcPr>
                  <w:tcW w:w="322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第二十一条</w:t>
                  </w:r>
                  <w:r>
                    <w:rPr>
                      <w:rFonts w:hint="default" w:ascii="Times New Roman" w:hAnsi="Times New Roman" w:eastAsia="宋体" w:cs="Times New Roman"/>
                      <w:color w:val="auto"/>
                      <w:sz w:val="21"/>
                      <w:szCs w:val="21"/>
                      <w:highlight w:val="none"/>
                      <w:lang w:val="en-US" w:eastAsia="zh-CN"/>
                    </w:rPr>
                    <w:t>禁止在合规园区外新建、扩建钢铁、石化、化工、焦化、建材、有色、制浆造纸等高污染项目。</w:t>
                  </w:r>
                </w:p>
              </w:tc>
              <w:tc>
                <w:tcPr>
                  <w:tcW w:w="100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不涉及</w:t>
                  </w:r>
                </w:p>
              </w:tc>
              <w:tc>
                <w:tcPr>
                  <w:tcW w:w="466"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0" w:hRule="atLeast"/>
                <w:jc w:val="center"/>
              </w:trPr>
              <w:tc>
                <w:tcPr>
                  <w:tcW w:w="310"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18</w:t>
                  </w:r>
                </w:p>
              </w:tc>
              <w:tc>
                <w:tcPr>
                  <w:tcW w:w="322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第二十二条</w:t>
                  </w:r>
                  <w:r>
                    <w:rPr>
                      <w:rFonts w:hint="default" w:ascii="Times New Roman" w:hAnsi="Times New Roman" w:eastAsia="宋体" w:cs="Times New Roman"/>
                      <w:color w:val="auto"/>
                      <w:sz w:val="21"/>
                      <w:szCs w:val="21"/>
                      <w:highlight w:val="none"/>
                      <w:lang w:val="en-US" w:eastAsia="zh-CN"/>
                    </w:rPr>
                    <w:t>禁止新建、扩建不符合国家石化、现代煤化工等产业布局规划的项目。</w:t>
                  </w:r>
                </w:p>
                <w:p>
                  <w:pPr>
                    <w:numPr>
                      <w:ilvl w:val="0"/>
                      <w:numId w:val="5"/>
                    </w:num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严格控制新增炼油产能，未列入《石化产业规划布局方案（修订版)》的新增炼油产能一律不得建设。</w:t>
                  </w:r>
                </w:p>
                <w:p>
                  <w:pPr>
                    <w:numPr>
                      <w:ilvl w:val="0"/>
                      <w:numId w:val="0"/>
                    </w:numPr>
                    <w:adjustRightInd w:val="0"/>
                    <w:snapToGrid w:val="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(二）新建煤制烯怪、煤制芳怪项目必须列入《现代煤化工产业创新发展布局方案》，必须符合《现代煤化工建设项目环境准入条件（试行)》要求。</w:t>
                  </w:r>
                </w:p>
              </w:tc>
              <w:tc>
                <w:tcPr>
                  <w:tcW w:w="100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不涉及</w:t>
                  </w:r>
                </w:p>
              </w:tc>
              <w:tc>
                <w:tcPr>
                  <w:tcW w:w="466"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0" w:hRule="atLeast"/>
                <w:jc w:val="center"/>
              </w:trPr>
              <w:tc>
                <w:tcPr>
                  <w:tcW w:w="310"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19</w:t>
                  </w:r>
                </w:p>
              </w:tc>
              <w:tc>
                <w:tcPr>
                  <w:tcW w:w="322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第二十三条</w:t>
                  </w:r>
                  <w:r>
                    <w:rPr>
                      <w:rFonts w:hint="default" w:ascii="Times New Roman" w:hAnsi="Times New Roman" w:eastAsia="宋体" w:cs="Times New Roman"/>
                      <w:color w:val="auto"/>
                      <w:sz w:val="21"/>
                      <w:szCs w:val="21"/>
                      <w:highlight w:val="none"/>
                      <w:lang w:val="en-US" w:eastAsia="zh-CN"/>
                    </w:rPr>
                    <w:t>禁止新建、扩建法律法规和相关政策明令禁止的落后产能项目。对《产业结构调整指导目录》中淘汰类项目，禁止投资</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限制类的新建项目，禁止投资，对属于限制类的现有生产能力，允许企业在一定期限内采取措施改造升级。</w:t>
                  </w:r>
                </w:p>
              </w:tc>
              <w:tc>
                <w:tcPr>
                  <w:tcW w:w="100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不涉及</w:t>
                  </w:r>
                </w:p>
              </w:tc>
              <w:tc>
                <w:tcPr>
                  <w:tcW w:w="466"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0" w:hRule="atLeast"/>
                <w:jc w:val="center"/>
              </w:trPr>
              <w:tc>
                <w:tcPr>
                  <w:tcW w:w="310"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w:t>
                  </w:r>
                </w:p>
              </w:tc>
              <w:tc>
                <w:tcPr>
                  <w:tcW w:w="322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第二十四条</w:t>
                  </w:r>
                  <w:r>
                    <w:rPr>
                      <w:rFonts w:hint="default" w:ascii="Times New Roman" w:hAnsi="Times New Roman" w:eastAsia="宋体" w:cs="Times New Roman"/>
                      <w:color w:val="auto"/>
                      <w:sz w:val="21"/>
                      <w:szCs w:val="21"/>
                      <w:highlight w:val="none"/>
                      <w:lang w:val="en-US" w:eastAsia="zh-CN"/>
                    </w:rPr>
                    <w:t>禁止新建、扩建不符合国家产能置换要求的严重过剩产能行业的项目。对于不符合国家产能置换要求的严重过剩产能行业</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不得以其他任何名义、任何方式备案新增产能项目。</w:t>
                  </w:r>
                </w:p>
              </w:tc>
              <w:tc>
                <w:tcPr>
                  <w:tcW w:w="100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不涉及</w:t>
                  </w:r>
                </w:p>
              </w:tc>
              <w:tc>
                <w:tcPr>
                  <w:tcW w:w="466"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0" w:hRule="atLeast"/>
                <w:jc w:val="center"/>
              </w:trPr>
              <w:tc>
                <w:tcPr>
                  <w:tcW w:w="310"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21</w:t>
                  </w:r>
                </w:p>
              </w:tc>
              <w:tc>
                <w:tcPr>
                  <w:tcW w:w="322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第二十五条</w:t>
                  </w:r>
                  <w:r>
                    <w:rPr>
                      <w:rFonts w:hint="default" w:ascii="Times New Roman" w:hAnsi="Times New Roman" w:eastAsia="宋体" w:cs="Times New Roman"/>
                      <w:color w:val="auto"/>
                      <w:sz w:val="21"/>
                      <w:szCs w:val="21"/>
                      <w:highlight w:val="none"/>
                      <w:lang w:val="en-US" w:eastAsia="zh-CN"/>
                    </w:rPr>
                    <w:t>禁止建设以下燃油汽车投资项目(不在中国境内销售产品的投资项目除外)</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(一）新建独立燃油汽车企业</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(二）现有汽车企业跨乘用车、商用车类别建设燃油汽车生产能力</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(三）外省现有燃油汽车企业整体搬迁至本省（列入国家级区域发展规划或不改变企业股权结构的项目除外)</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(四）对行业管理部门特别公示的燃油汽车企业进行投资(企业原有股东投资或将该企业转为非独立法人的投资项目除</w:t>
                  </w:r>
                  <w:r>
                    <w:rPr>
                      <w:rFonts w:hint="eastAsia" w:ascii="Times New Roman" w:hAnsi="Times New Roman" w:eastAsia="宋体" w:cs="Times New Roman"/>
                      <w:color w:val="auto"/>
                      <w:sz w:val="21"/>
                      <w:szCs w:val="21"/>
                      <w:highlight w:val="none"/>
                      <w:lang w:val="en-US" w:eastAsia="zh-CN"/>
                    </w:rPr>
                    <w:t>外）。</w:t>
                  </w:r>
                </w:p>
              </w:tc>
              <w:tc>
                <w:tcPr>
                  <w:tcW w:w="100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不涉及</w:t>
                  </w:r>
                </w:p>
              </w:tc>
              <w:tc>
                <w:tcPr>
                  <w:tcW w:w="466"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0" w:hRule="atLeast"/>
                <w:jc w:val="center"/>
              </w:trPr>
              <w:tc>
                <w:tcPr>
                  <w:tcW w:w="310"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22</w:t>
                  </w:r>
                </w:p>
              </w:tc>
              <w:tc>
                <w:tcPr>
                  <w:tcW w:w="322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第二十六条</w:t>
                  </w:r>
                  <w:r>
                    <w:rPr>
                      <w:rFonts w:hint="default" w:ascii="Times New Roman" w:hAnsi="Times New Roman" w:eastAsia="宋体" w:cs="Times New Roman"/>
                      <w:color w:val="auto"/>
                      <w:sz w:val="21"/>
                      <w:szCs w:val="21"/>
                      <w:highlight w:val="none"/>
                      <w:lang w:val="en-US" w:eastAsia="zh-CN"/>
                    </w:rPr>
                    <w:t>禁止新建、扩建不符合要求的高耗能、高排放、低水平项目。</w:t>
                  </w:r>
                </w:p>
              </w:tc>
              <w:tc>
                <w:tcPr>
                  <w:tcW w:w="1002"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不涉及</w:t>
                  </w:r>
                </w:p>
              </w:tc>
              <w:tc>
                <w:tcPr>
                  <w:tcW w:w="466"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符合</w:t>
                  </w:r>
                </w:p>
              </w:tc>
            </w:tr>
          </w:tbl>
          <w:p>
            <w:pPr>
              <w:adjustRightInd w:val="0"/>
              <w:snapToGrid w:val="0"/>
              <w:spacing w:line="360" w:lineRule="auto"/>
              <w:ind w:firstLine="480" w:firstLineChars="200"/>
              <w:rPr>
                <w:vertAlign w:val="baseline"/>
              </w:rPr>
            </w:pPr>
            <w:r>
              <w:rPr>
                <w:rFonts w:ascii="Times New Roman" w:hAnsi="Times New Roman" w:eastAsia="宋体" w:cs="Times New Roman"/>
                <w:color w:val="auto"/>
                <w:sz w:val="24"/>
                <w:lang w:val="zh-CN"/>
              </w:rPr>
              <w:t>综上所述，经过与“三线一单”进行对照后，项目不在生态保护红线内、未超出资源利用上线、未列入环境准入</w:t>
            </w:r>
            <w:r>
              <w:rPr>
                <w:rFonts w:ascii="Times New Roman" w:hAnsi="Times New Roman" w:eastAsia="宋体" w:cs="Times New Roman"/>
                <w:sz w:val="24"/>
                <w:lang w:val="zh-CN"/>
              </w:rPr>
              <w:t>负面清单内，符合环境质量底线的要求，能够与周边环境相容。</w:t>
            </w:r>
          </w:p>
        </w:tc>
      </w:tr>
    </w:tbl>
    <w:p>
      <w:pPr>
        <w:sectPr>
          <w:pgSz w:w="11906" w:h="16838"/>
          <w:pgMar w:top="1440" w:right="1242" w:bottom="1440" w:left="1242"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7"/>
        <w:keepNext w:val="0"/>
        <w:keepLines w:val="0"/>
        <w:pageBreakBefore w:val="0"/>
        <w:kinsoku/>
        <w:wordWrap/>
        <w:overflowPunct/>
        <w:topLinePunct w:val="0"/>
        <w:bidi w:val="0"/>
        <w:adjustRightInd w:val="0"/>
        <w:snapToGrid w:val="0"/>
        <w:jc w:val="center"/>
        <w:textAlignment w:val="auto"/>
        <w:outlineLvl w:val="0"/>
        <w:rPr>
          <w:rFonts w:ascii="黑体" w:hAnsi="黑体" w:eastAsia="黑体"/>
          <w:snapToGrid w:val="0"/>
          <w:sz w:val="30"/>
          <w:szCs w:val="30"/>
        </w:rPr>
      </w:pPr>
      <w:r>
        <w:rPr>
          <w:rFonts w:hint="eastAsia" w:ascii="黑体" w:hAnsi="黑体" w:eastAsia="黑体"/>
          <w:snapToGrid w:val="0"/>
          <w:sz w:val="30"/>
          <w:szCs w:val="30"/>
        </w:rPr>
        <w:t>二、建设内容</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71"/>
        <w:gridCol w:w="926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02" w:hRule="atLeast"/>
          <w:jc w:val="center"/>
        </w:trPr>
        <w:tc>
          <w:tcPr>
            <w:tcW w:w="20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kern w:val="0"/>
                <w:sz w:val="24"/>
                <w:szCs w:val="24"/>
              </w:rPr>
            </w:pPr>
            <w:r>
              <w:rPr>
                <w:rFonts w:hint="default" w:ascii="Times New Roman" w:hAnsi="Times New Roman" w:cs="Times New Roman"/>
                <w:kern w:val="0"/>
                <w:sz w:val="24"/>
                <w:szCs w:val="24"/>
              </w:rPr>
              <w:t>地理位置</w:t>
            </w:r>
          </w:p>
        </w:tc>
        <w:tc>
          <w:tcPr>
            <w:tcW w:w="4796" w:type="pct"/>
            <w:noWrap w:val="0"/>
            <w:vAlign w:val="center"/>
          </w:tcPr>
          <w:p>
            <w:pPr>
              <w:adjustRightInd w:val="0"/>
              <w:snapToGrid w:val="0"/>
              <w:spacing w:line="360" w:lineRule="auto"/>
              <w:ind w:firstLine="482" w:firstLineChars="200"/>
              <w:rPr>
                <w:rFonts w:hint="default" w:ascii="Times New Roman" w:hAnsi="Times New Roman" w:eastAsia="宋体" w:cs="Times New Roman"/>
                <w:b/>
                <w:bCs/>
                <w:sz w:val="24"/>
                <w:lang w:val="en-US" w:eastAsia="zh-CN"/>
              </w:rPr>
            </w:pPr>
            <w:r>
              <w:rPr>
                <w:rFonts w:hint="eastAsia" w:ascii="Times New Roman" w:hAnsi="Times New Roman" w:eastAsia="宋体" w:cs="Times New Roman"/>
                <w:b/>
                <w:bCs/>
                <w:sz w:val="24"/>
                <w:lang w:val="en-US" w:eastAsia="zh-CN"/>
              </w:rPr>
              <w:t>1 地理位置</w:t>
            </w:r>
          </w:p>
          <w:p>
            <w:pPr>
              <w:adjustRightInd w:val="0"/>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sz w:val="24"/>
                <w:lang w:val="en-US" w:eastAsia="zh-CN"/>
              </w:rPr>
              <w:t>乐山市市中区位于四川盆地西南部，面积约825平方公里。地理坐标介于东经103°31′56″~103°59′25″、北纬29°28′00″~29°45′45″之间。东临井研，北靠夹江，西接峨眉、沙湾，</w:t>
            </w:r>
            <w:r>
              <w:rPr>
                <w:rFonts w:hint="default" w:ascii="Times New Roman" w:hAnsi="Times New Roman" w:eastAsia="宋体" w:cs="Times New Roman"/>
                <w:color w:val="auto"/>
                <w:sz w:val="24"/>
                <w:lang w:val="en-US" w:eastAsia="zh-CN"/>
              </w:rPr>
              <w:t>南界五通。</w:t>
            </w:r>
          </w:p>
          <w:p>
            <w:pPr>
              <w:pageBreakBefore w:val="0"/>
              <w:kinsoku/>
              <w:wordWrap/>
              <w:overflowPunct/>
              <w:topLinePunct w:val="0"/>
              <w:bidi w:val="0"/>
              <w:adjustRightInd w:val="0"/>
              <w:snapToGrid w:val="0"/>
              <w:spacing w:line="360" w:lineRule="auto"/>
              <w:ind w:left="0" w:leftChars="0" w:right="0" w:rightChars="0" w:firstLine="480" w:firstLineChars="200"/>
              <w:jc w:val="both"/>
              <w:rPr>
                <w:rFonts w:hint="default" w:ascii="Times New Roman" w:hAnsi="Times New Roman" w:eastAsia="宋体" w:cs="Times New Roman"/>
                <w:b w:val="0"/>
                <w:bCs w:val="0"/>
                <w:color w:val="auto"/>
                <w:sz w:val="24"/>
              </w:rPr>
            </w:pPr>
            <w:r>
              <w:rPr>
                <w:rFonts w:hint="default" w:ascii="Times New Roman" w:hAnsi="Times New Roman" w:eastAsia="宋体" w:cs="Times New Roman"/>
                <w:color w:val="auto"/>
                <w:sz w:val="24"/>
                <w:lang w:val="en-US" w:eastAsia="zh-CN"/>
              </w:rPr>
              <w:t>项目位于乐山市市中区平兴镇游坝村皂角冲~三圣村琵琶沱</w:t>
            </w:r>
            <w:r>
              <w:rPr>
                <w:rFonts w:hint="default" w:ascii="Times New Roman" w:hAnsi="Times New Roman" w:eastAsia="宋体" w:cs="Times New Roman"/>
                <w:color w:val="auto"/>
                <w:sz w:val="24"/>
                <w:lang w:val="zh-CN" w:eastAsia="zh-CN"/>
              </w:rPr>
              <w:t>，工程起于游坝村皂角冲</w:t>
            </w:r>
            <w:r>
              <w:rPr>
                <w:rFonts w:hint="default" w:ascii="Times New Roman" w:hAnsi="Times New Roman" w:cs="Times New Roman"/>
                <w:color w:val="auto"/>
                <w:sz w:val="24"/>
                <w:lang w:val="zh-CN" w:eastAsia="zh-CN"/>
              </w:rPr>
              <w:t>，</w:t>
            </w:r>
            <w:r>
              <w:rPr>
                <w:rFonts w:hint="default" w:ascii="Times New Roman" w:hAnsi="Times New Roman" w:eastAsia="宋体" w:cs="Times New Roman"/>
                <w:color w:val="auto"/>
                <w:sz w:val="24"/>
                <w:lang w:val="zh-CN" w:eastAsia="zh-CN"/>
              </w:rPr>
              <w:t>起点坐标（103</w:t>
            </w:r>
            <w:r>
              <w:rPr>
                <w:rFonts w:hint="default" w:ascii="Times New Roman" w:hAnsi="Times New Roman" w:cs="Times New Roman"/>
                <w:color w:val="auto"/>
                <w:sz w:val="24"/>
                <w:lang w:val="en-US" w:eastAsia="zh-CN"/>
              </w:rPr>
              <w:t>°</w:t>
            </w:r>
            <w:r>
              <w:rPr>
                <w:rFonts w:hint="default" w:ascii="Times New Roman" w:hAnsi="Times New Roman" w:eastAsia="宋体" w:cs="Times New Roman"/>
                <w:color w:val="auto"/>
                <w:sz w:val="24"/>
                <w:lang w:val="zh-CN" w:eastAsia="zh-CN"/>
              </w:rPr>
              <w:t>34</w:t>
            </w:r>
            <w:r>
              <w:rPr>
                <w:rFonts w:hint="default" w:ascii="Times New Roman" w:hAnsi="Times New Roman" w:cs="Times New Roman"/>
                <w:color w:val="auto"/>
                <w:sz w:val="24"/>
                <w:lang w:val="en-US" w:eastAsia="zh-CN"/>
              </w:rPr>
              <w:t>′</w:t>
            </w:r>
            <w:r>
              <w:rPr>
                <w:rFonts w:hint="default" w:ascii="Times New Roman" w:hAnsi="Times New Roman" w:eastAsia="宋体" w:cs="Times New Roman"/>
                <w:color w:val="auto"/>
                <w:sz w:val="24"/>
                <w:lang w:val="zh-CN" w:eastAsia="zh-CN"/>
              </w:rPr>
              <w:t>39.001</w:t>
            </w:r>
            <w:r>
              <w:rPr>
                <w:rFonts w:hint="default" w:ascii="Times New Roman" w:hAnsi="Times New Roman" w:cs="Times New Roman"/>
                <w:color w:val="auto"/>
                <w:sz w:val="24"/>
                <w:lang w:val="en-US" w:eastAsia="zh-CN"/>
              </w:rPr>
              <w:t>″</w:t>
            </w:r>
            <w:r>
              <w:rPr>
                <w:rFonts w:hint="default" w:ascii="Times New Roman" w:hAnsi="Times New Roman" w:eastAsia="宋体" w:cs="Times New Roman"/>
                <w:color w:val="auto"/>
                <w:sz w:val="24"/>
                <w:lang w:val="zh-CN" w:eastAsia="zh-CN"/>
              </w:rPr>
              <w:t>，29</w:t>
            </w:r>
            <w:r>
              <w:rPr>
                <w:rFonts w:hint="default" w:ascii="Times New Roman" w:hAnsi="Times New Roman" w:cs="Times New Roman"/>
                <w:color w:val="auto"/>
                <w:sz w:val="24"/>
                <w:lang w:val="en-US" w:eastAsia="zh-CN"/>
              </w:rPr>
              <w:t>°</w:t>
            </w:r>
            <w:r>
              <w:rPr>
                <w:rFonts w:hint="default" w:ascii="Times New Roman" w:hAnsi="Times New Roman" w:eastAsia="宋体" w:cs="Times New Roman"/>
                <w:color w:val="auto"/>
                <w:sz w:val="24"/>
                <w:lang w:val="zh-CN" w:eastAsia="zh-CN"/>
              </w:rPr>
              <w:t>31</w:t>
            </w:r>
            <w:r>
              <w:rPr>
                <w:rFonts w:hint="default" w:ascii="Times New Roman" w:hAnsi="Times New Roman" w:cs="Times New Roman"/>
                <w:color w:val="auto"/>
                <w:sz w:val="24"/>
                <w:lang w:val="en-US" w:eastAsia="zh-CN"/>
              </w:rPr>
              <w:t>′</w:t>
            </w:r>
            <w:r>
              <w:rPr>
                <w:rFonts w:hint="default" w:ascii="Times New Roman" w:hAnsi="Times New Roman" w:eastAsia="宋体" w:cs="Times New Roman"/>
                <w:color w:val="auto"/>
                <w:sz w:val="24"/>
                <w:lang w:val="zh-CN" w:eastAsia="zh-CN"/>
              </w:rPr>
              <w:t>39.039</w:t>
            </w:r>
            <w:r>
              <w:rPr>
                <w:rFonts w:hint="default" w:ascii="Times New Roman" w:hAnsi="Times New Roman" w:cs="Times New Roman"/>
                <w:color w:val="auto"/>
                <w:sz w:val="24"/>
                <w:lang w:val="en-US" w:eastAsia="zh-CN"/>
              </w:rPr>
              <w:t>″</w:t>
            </w:r>
            <w:r>
              <w:rPr>
                <w:rFonts w:hint="default" w:ascii="Times New Roman" w:hAnsi="Times New Roman" w:eastAsia="宋体" w:cs="Times New Roman"/>
                <w:color w:val="auto"/>
                <w:sz w:val="24"/>
                <w:lang w:val="zh-CN" w:eastAsia="zh-CN"/>
              </w:rPr>
              <w:t>），止于三圣村琵琶沱</w:t>
            </w:r>
            <w:r>
              <w:rPr>
                <w:rFonts w:hint="default" w:ascii="Times New Roman" w:hAnsi="Times New Roman" w:eastAsia="宋体" w:cs="Times New Roman"/>
                <w:color w:val="auto"/>
                <w:sz w:val="24"/>
                <w:lang w:val="zh-CN"/>
              </w:rPr>
              <w:t>，</w:t>
            </w:r>
            <w:r>
              <w:rPr>
                <w:rFonts w:hint="default" w:ascii="Times New Roman" w:hAnsi="Times New Roman" w:eastAsia="宋体" w:cs="Times New Roman"/>
                <w:color w:val="auto"/>
                <w:sz w:val="24"/>
                <w:lang w:val="zh-CN" w:eastAsia="zh-CN"/>
              </w:rPr>
              <w:t>终点坐标（103度36分9.004秒，29度33分41.998秒），</w:t>
            </w:r>
            <w:r>
              <w:rPr>
                <w:rFonts w:hint="default" w:ascii="Times New Roman" w:hAnsi="Times New Roman" w:cs="Times New Roman"/>
                <w:color w:val="auto"/>
                <w:sz w:val="24"/>
                <w:lang w:val="en-US" w:eastAsia="zh-CN"/>
              </w:rPr>
              <w:t>综合治理长度6.27km，</w:t>
            </w:r>
            <w:r>
              <w:rPr>
                <w:rFonts w:hint="default" w:ascii="Times New Roman" w:hAnsi="Times New Roman" w:eastAsia="宋体" w:cs="Times New Roman"/>
                <w:b w:val="0"/>
                <w:bCs w:val="0"/>
                <w:color w:val="auto"/>
                <w:sz w:val="24"/>
              </w:rPr>
              <w:t>新建堤防护岸长度1853m</w:t>
            </w:r>
            <w:r>
              <w:rPr>
                <w:rFonts w:hint="eastAsia" w:cs="Times New Roman"/>
                <w:b w:val="0"/>
                <w:bCs w:val="0"/>
                <w:color w:val="auto"/>
                <w:sz w:val="24"/>
                <w:lang w:eastAsia="zh-CN"/>
              </w:rPr>
              <w:t>（</w:t>
            </w:r>
            <w:r>
              <w:rPr>
                <w:rFonts w:hint="eastAsia" w:cs="Times New Roman"/>
                <w:b w:val="0"/>
                <w:bCs w:val="0"/>
                <w:color w:val="auto"/>
                <w:sz w:val="24"/>
                <w:lang w:val="en-US" w:eastAsia="zh-CN"/>
              </w:rPr>
              <w:t>左岸堤防1110m，右岸堤防170m，右岸护岸573m</w:t>
            </w:r>
            <w:r>
              <w:rPr>
                <w:rFonts w:hint="eastAsia" w:cs="Times New Roman"/>
                <w:b w:val="0"/>
                <w:bCs w:val="0"/>
                <w:color w:val="auto"/>
                <w:sz w:val="24"/>
                <w:lang w:eastAsia="zh-CN"/>
              </w:rPr>
              <w:t>）</w:t>
            </w:r>
            <w:r>
              <w:rPr>
                <w:rFonts w:hint="default" w:ascii="Times New Roman" w:hAnsi="Times New Roman" w:eastAsia="宋体" w:cs="Times New Roman"/>
                <w:b w:val="0"/>
                <w:bCs w:val="0"/>
                <w:color w:val="auto"/>
                <w:sz w:val="24"/>
              </w:rPr>
              <w:t>，加固堤防1520m，疏浚河道3</w:t>
            </w:r>
            <w:r>
              <w:rPr>
                <w:rFonts w:hint="eastAsia" w:cs="Times New Roman"/>
                <w:b w:val="0"/>
                <w:bCs w:val="0"/>
                <w:color w:val="auto"/>
                <w:sz w:val="24"/>
                <w:lang w:val="en-US" w:eastAsia="zh-CN"/>
              </w:rPr>
              <w:t>000</w:t>
            </w:r>
            <w:r>
              <w:rPr>
                <w:rFonts w:hint="default" w:ascii="Times New Roman" w:hAnsi="Times New Roman" w:eastAsia="宋体" w:cs="Times New Roman"/>
                <w:b w:val="0"/>
                <w:bCs w:val="0"/>
                <w:color w:val="auto"/>
                <w:sz w:val="24"/>
              </w:rPr>
              <w:t>m。</w:t>
            </w:r>
          </w:p>
          <w:p>
            <w:pPr>
              <w:pageBreakBefore w:val="0"/>
              <w:kinsoku/>
              <w:wordWrap/>
              <w:overflowPunct/>
              <w:topLinePunct w:val="0"/>
              <w:bidi w:val="0"/>
              <w:adjustRightInd w:val="0"/>
              <w:snapToGrid w:val="0"/>
              <w:spacing w:line="360" w:lineRule="auto"/>
              <w:ind w:left="0" w:leftChars="0" w:right="0" w:rightChars="0" w:firstLine="480" w:firstLineChars="200"/>
              <w:jc w:val="both"/>
              <w:rPr>
                <w:rFonts w:hint="default"/>
                <w:lang w:val="en-US" w:eastAsia="zh-CN"/>
              </w:rPr>
            </w:pPr>
            <w:r>
              <w:rPr>
                <w:rFonts w:hint="default" w:ascii="Times New Roman" w:hAnsi="Times New Roman" w:eastAsia="宋体" w:cs="Times New Roman"/>
                <w:color w:val="auto"/>
                <w:sz w:val="24"/>
                <w:lang w:val="zh-CN" w:eastAsia="zh-CN"/>
              </w:rPr>
              <w:t>详见附图1 地理位置图</w:t>
            </w:r>
            <w:r>
              <w:rPr>
                <w:rFonts w:hint="default" w:ascii="Times New Roman" w:hAnsi="Times New Roman" w:cs="Times New Roman"/>
                <w:color w:val="auto"/>
                <w:sz w:val="24"/>
                <w:lang w:val="zh-CN"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49" w:hRule="atLeast"/>
          <w:jc w:val="center"/>
        </w:trPr>
        <w:tc>
          <w:tcPr>
            <w:tcW w:w="20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kern w:val="0"/>
                <w:sz w:val="24"/>
                <w:szCs w:val="24"/>
              </w:rPr>
            </w:pPr>
            <w:r>
              <w:rPr>
                <w:rFonts w:hint="default" w:ascii="Times New Roman" w:hAnsi="Times New Roman" w:cs="Times New Roman"/>
                <w:kern w:val="0"/>
                <w:sz w:val="24"/>
                <w:szCs w:val="24"/>
              </w:rPr>
              <w:t>项目组成及规模</w:t>
            </w:r>
          </w:p>
        </w:tc>
        <w:tc>
          <w:tcPr>
            <w:tcW w:w="4796"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2" w:firstLineChars="200"/>
              <w:jc w:val="both"/>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1</w:t>
            </w:r>
            <w:r>
              <w:rPr>
                <w:rFonts w:hint="eastAsia" w:ascii="Times New Roman" w:hAnsi="Times New Roman" w:cs="Times New Roman"/>
                <w:b/>
                <w:bCs/>
                <w:color w:val="auto"/>
                <w:sz w:val="24"/>
                <w:lang w:val="en-US" w:eastAsia="zh-CN"/>
              </w:rPr>
              <w:t xml:space="preserve"> </w:t>
            </w:r>
            <w:r>
              <w:rPr>
                <w:rFonts w:hint="default" w:ascii="Times New Roman" w:hAnsi="Times New Roman" w:eastAsia="宋体" w:cs="Times New Roman"/>
                <w:b/>
                <w:bCs/>
                <w:color w:val="auto"/>
                <w:sz w:val="24"/>
                <w:lang w:val="en-US" w:eastAsia="zh-CN"/>
              </w:rPr>
              <w:t>项目由来</w:t>
            </w:r>
          </w:p>
          <w:p>
            <w:pPr>
              <w:pageBreakBefore w:val="0"/>
              <w:kinsoku/>
              <w:wordWrap/>
              <w:overflowPunct/>
              <w:topLinePunct w:val="0"/>
              <w:bidi w:val="0"/>
              <w:adjustRightInd w:val="0"/>
              <w:snapToGrid w:val="0"/>
              <w:spacing w:line="360" w:lineRule="auto"/>
              <w:ind w:left="0" w:leftChars="0" w:right="0" w:rightChars="0"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临江河流域地处峨眉山-青衣江暴雨区，洪水均由暴雨形成，洪水季节与暴雨季节基本一致。每年汛期为5～10月，主汛期7～9月。降水强度从上游往下游逐渐减弱。受降水分布及临江河流域形状、河道特性影响，临江河流域洪水涨落很快，峰顶持续时间短暂，一般为2～3h，水位变幅很大，据上游青龙站的观测资料统计，水位变幅达5m以上。临江河河道相对大河来说较窄，河槽调蓄能力不大，洪水过程线尖瘦，且多呈单峰过程。</w:t>
            </w:r>
          </w:p>
          <w:p>
            <w:pPr>
              <w:pageBreakBefore w:val="0"/>
              <w:kinsoku/>
              <w:wordWrap/>
              <w:overflowPunct/>
              <w:topLinePunct w:val="0"/>
              <w:bidi w:val="0"/>
              <w:adjustRightInd w:val="0"/>
              <w:snapToGrid w:val="0"/>
              <w:spacing w:line="360" w:lineRule="auto"/>
              <w:ind w:left="0" w:leftChars="0" w:right="0" w:rightChars="0"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val="en-US" w:eastAsia="zh-CN"/>
              </w:rPr>
              <w:t>因此，四川省</w:t>
            </w:r>
            <w:r>
              <w:rPr>
                <w:rFonts w:hint="eastAsia" w:cs="Times New Roman"/>
                <w:color w:val="auto"/>
                <w:sz w:val="24"/>
                <w:szCs w:val="24"/>
                <w:lang w:val="en-US" w:eastAsia="zh-CN"/>
              </w:rPr>
              <w:t>乐山市中区临江河平兴镇防洪治理工程</w:t>
            </w:r>
            <w:r>
              <w:rPr>
                <w:rFonts w:hint="default" w:ascii="Times New Roman" w:hAnsi="Times New Roman" w:eastAsia="宋体" w:cs="Times New Roman"/>
                <w:color w:val="auto"/>
                <w:sz w:val="24"/>
                <w:szCs w:val="24"/>
                <w:lang w:val="en-US" w:eastAsia="zh-CN"/>
              </w:rPr>
              <w:t>的建设，可以有效的保护河道两岸人民生命财产安全</w:t>
            </w:r>
            <w:r>
              <w:rPr>
                <w:rFonts w:hint="default" w:ascii="Times New Roman" w:hAnsi="Times New Roman" w:eastAsia="宋体" w:cs="Times New Roman"/>
                <w:color w:val="auto"/>
                <w:sz w:val="24"/>
                <w:szCs w:val="24"/>
                <w:highlight w:val="none"/>
                <w:lang w:val="en-US" w:eastAsia="zh-CN"/>
              </w:rPr>
              <w:t>，是十分必要和迫切的。</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right="0" w:rightChars="0" w:firstLine="482" w:firstLineChars="200"/>
              <w:jc w:val="both"/>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2</w:t>
            </w:r>
            <w:r>
              <w:rPr>
                <w:rFonts w:hint="eastAsia" w:ascii="Times New Roman" w:hAnsi="Times New Roman" w:cs="Times New Roman"/>
                <w:b/>
                <w:bCs/>
                <w:color w:val="auto"/>
                <w:sz w:val="24"/>
                <w:highlight w:val="none"/>
                <w:lang w:val="en-US" w:eastAsia="zh-CN"/>
              </w:rPr>
              <w:t xml:space="preserve"> </w:t>
            </w:r>
            <w:r>
              <w:rPr>
                <w:rFonts w:hint="default" w:ascii="Times New Roman" w:hAnsi="Times New Roman" w:eastAsia="宋体" w:cs="Times New Roman"/>
                <w:b/>
                <w:bCs/>
                <w:color w:val="auto"/>
                <w:sz w:val="24"/>
                <w:highlight w:val="none"/>
                <w:lang w:val="en-US" w:eastAsia="zh-CN"/>
              </w:rPr>
              <w:t>项目基本情况</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项目名称：</w:t>
            </w:r>
            <w:r>
              <w:rPr>
                <w:rFonts w:hint="eastAsia" w:cs="Times New Roman"/>
                <w:b w:val="0"/>
                <w:bCs w:val="0"/>
                <w:color w:val="auto"/>
                <w:sz w:val="24"/>
                <w:highlight w:val="none"/>
                <w:lang w:val="en-US" w:eastAsia="zh-CN"/>
              </w:rPr>
              <w:t>四川省乐山市中区临江河平兴镇防洪治理工程</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 w:val="0"/>
                <w:bCs w:val="0"/>
                <w:color w:val="auto"/>
                <w:sz w:val="24"/>
                <w:highlight w:val="none"/>
                <w:lang w:val="en-US" w:eastAsia="zh-CN"/>
              </w:rPr>
              <w:t>建设单位：乐山浩淼生态环境工程有限公司</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建设性质：新建</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建设地点：</w:t>
            </w:r>
            <w:r>
              <w:rPr>
                <w:rFonts w:hint="default" w:ascii="Times New Roman" w:hAnsi="Times New Roman" w:eastAsia="宋体" w:cs="Times New Roman"/>
                <w:sz w:val="24"/>
                <w:lang w:val="en-US" w:eastAsia="zh-CN"/>
              </w:rPr>
              <w:t>乐山市市中区平兴镇游坝村皂角冲~三圣村琵琶沱</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val="0"/>
                <w:bCs w:val="0"/>
                <w:color w:val="auto"/>
                <w:sz w:val="24"/>
                <w:lang w:val="en-US" w:eastAsia="zh-CN"/>
              </w:rPr>
              <w:t>项目投资</w:t>
            </w:r>
            <w:r>
              <w:rPr>
                <w:rFonts w:hint="eastAsia" w:cs="Times New Roman"/>
                <w:b w:val="0"/>
                <w:bCs w:val="0"/>
                <w:color w:val="auto"/>
                <w:sz w:val="24"/>
                <w:lang w:val="en-US" w:eastAsia="zh-CN"/>
              </w:rPr>
              <w:t>：</w:t>
            </w:r>
            <w:r>
              <w:rPr>
                <w:rFonts w:hint="default" w:ascii="Times New Roman" w:hAnsi="Times New Roman" w:eastAsia="宋体" w:cs="Times New Roman"/>
                <w:b w:val="0"/>
                <w:bCs w:val="0"/>
                <w:color w:val="auto"/>
                <w:sz w:val="24"/>
                <w:lang w:val="en-US" w:eastAsia="zh-CN"/>
              </w:rPr>
              <w:t>总投资2229.38万元，环保投资约</w:t>
            </w:r>
            <w:r>
              <w:rPr>
                <w:rFonts w:hint="eastAsia" w:cs="Times New Roman"/>
                <w:b w:val="0"/>
                <w:bCs w:val="0"/>
                <w:color w:val="auto"/>
                <w:sz w:val="24"/>
                <w:lang w:val="en-US" w:eastAsia="zh-CN"/>
              </w:rPr>
              <w:t>41.72</w:t>
            </w:r>
            <w:r>
              <w:rPr>
                <w:rFonts w:hint="default" w:ascii="Times New Roman" w:hAnsi="Times New Roman" w:eastAsia="宋体" w:cs="Times New Roman"/>
                <w:b w:val="0"/>
                <w:bCs w:val="0"/>
                <w:color w:val="auto"/>
                <w:sz w:val="24"/>
                <w:lang w:val="en-US" w:eastAsia="zh-CN"/>
              </w:rPr>
              <w:t>万元，占工程总投资的</w:t>
            </w:r>
            <w:r>
              <w:rPr>
                <w:rFonts w:hint="eastAsia" w:cs="Times New Roman"/>
                <w:b w:val="0"/>
                <w:bCs w:val="0"/>
                <w:color w:val="auto"/>
                <w:sz w:val="24"/>
                <w:lang w:val="en-US" w:eastAsia="zh-CN"/>
              </w:rPr>
              <w:t>1.87</w:t>
            </w:r>
            <w:r>
              <w:rPr>
                <w:rFonts w:hint="default" w:ascii="Times New Roman" w:hAnsi="Times New Roman" w:eastAsia="宋体" w:cs="Times New Roman"/>
                <w:b w:val="0"/>
                <w:bCs w:val="0"/>
                <w:color w:val="auto"/>
                <w:sz w:val="24"/>
                <w:lang w:val="en-US" w:eastAsia="zh-CN"/>
              </w:rPr>
              <w:t>%</w:t>
            </w:r>
          </w:p>
          <w:p>
            <w:pPr>
              <w:pageBreakBefore w:val="0"/>
              <w:kinsoku/>
              <w:wordWrap/>
              <w:overflowPunct/>
              <w:topLinePunct w:val="0"/>
              <w:bidi w:val="0"/>
              <w:adjustRightInd w:val="0"/>
              <w:snapToGrid w:val="0"/>
              <w:spacing w:line="360" w:lineRule="auto"/>
              <w:ind w:left="0" w:leftChars="0" w:right="0" w:rightChars="0" w:firstLine="480" w:firstLineChars="200"/>
              <w:jc w:val="both"/>
              <w:rPr>
                <w:rFonts w:hint="eastAsia" w:cs="Times New Roman"/>
                <w:b w:val="0"/>
                <w:bCs w:val="0"/>
                <w:color w:val="auto"/>
                <w:sz w:val="24"/>
                <w:lang w:val="en-US" w:eastAsia="zh-CN"/>
              </w:rPr>
            </w:pPr>
            <w:r>
              <w:rPr>
                <w:rFonts w:hint="eastAsia" w:cs="Times New Roman"/>
                <w:b w:val="0"/>
                <w:bCs w:val="0"/>
                <w:color w:val="auto"/>
                <w:sz w:val="24"/>
                <w:lang w:val="en-US" w:eastAsia="zh-CN"/>
              </w:rPr>
              <w:t>高峰期施工人员：劳动力人数为100人</w:t>
            </w:r>
          </w:p>
          <w:p>
            <w:pPr>
              <w:pageBreakBefore w:val="0"/>
              <w:kinsoku/>
              <w:wordWrap/>
              <w:overflowPunct/>
              <w:topLinePunct w:val="0"/>
              <w:bidi w:val="0"/>
              <w:adjustRightInd w:val="0"/>
              <w:snapToGrid w:val="0"/>
              <w:spacing w:line="360" w:lineRule="auto"/>
              <w:ind w:left="0" w:leftChars="0" w:right="0" w:rightChars="0" w:firstLine="480" w:firstLineChars="200"/>
              <w:jc w:val="both"/>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建设内容及规模：本工程综合治理长度6.27km，治理段上起游坝村皂角冲，终点止于三圣村琵琶沱；本工程设计基准年为2020年，设计水平年为2030年。设计洪水标准游坝村段保护对象为居民密集区，防洪标准采用10年一遇，其余段堤防护岸保护对象为农田采用5年一遇防洪标准，保护区排涝标准为5年一遇。</w:t>
            </w:r>
          </w:p>
          <w:p>
            <w:pPr>
              <w:pageBreakBefore w:val="0"/>
              <w:kinsoku/>
              <w:wordWrap/>
              <w:overflowPunct/>
              <w:topLinePunct w:val="0"/>
              <w:bidi w:val="0"/>
              <w:adjustRightInd w:val="0"/>
              <w:snapToGrid w:val="0"/>
              <w:spacing w:line="360" w:lineRule="auto"/>
              <w:ind w:left="0" w:leftChars="0" w:right="0" w:rightChars="0" w:firstLine="480" w:firstLineChars="200"/>
              <w:jc w:val="both"/>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rPr>
              <w:t>新建堤防护岸长度1853m</w:t>
            </w:r>
            <w:r>
              <w:rPr>
                <w:rFonts w:hint="eastAsia" w:cs="Times New Roman"/>
                <w:b w:val="0"/>
                <w:bCs w:val="0"/>
                <w:color w:val="auto"/>
                <w:sz w:val="24"/>
                <w:lang w:eastAsia="zh-CN"/>
              </w:rPr>
              <w:t>（</w:t>
            </w:r>
            <w:r>
              <w:rPr>
                <w:rFonts w:hint="eastAsia" w:cs="Times New Roman"/>
                <w:b w:val="0"/>
                <w:bCs w:val="0"/>
                <w:color w:val="auto"/>
                <w:sz w:val="24"/>
                <w:lang w:val="en-US" w:eastAsia="zh-CN"/>
              </w:rPr>
              <w:t>左岸堤防1110m，右岸堤防170m，右岸护岸573m</w:t>
            </w:r>
            <w:r>
              <w:rPr>
                <w:rFonts w:hint="eastAsia" w:cs="Times New Roman"/>
                <w:b w:val="0"/>
                <w:bCs w:val="0"/>
                <w:color w:val="auto"/>
                <w:sz w:val="24"/>
                <w:lang w:eastAsia="zh-CN"/>
              </w:rPr>
              <w:t>）</w:t>
            </w:r>
            <w:r>
              <w:rPr>
                <w:rFonts w:hint="default" w:ascii="Times New Roman" w:hAnsi="Times New Roman" w:eastAsia="宋体" w:cs="Times New Roman"/>
                <w:b w:val="0"/>
                <w:bCs w:val="0"/>
                <w:color w:val="auto"/>
                <w:sz w:val="24"/>
              </w:rPr>
              <w:t>，加固堤防1520m，疏浚河道3</w:t>
            </w:r>
            <w:r>
              <w:rPr>
                <w:rFonts w:hint="eastAsia" w:cs="Times New Roman"/>
                <w:b w:val="0"/>
                <w:bCs w:val="0"/>
                <w:color w:val="auto"/>
                <w:sz w:val="24"/>
                <w:lang w:val="en-US" w:eastAsia="zh-CN"/>
              </w:rPr>
              <w:t>000</w:t>
            </w:r>
            <w:r>
              <w:rPr>
                <w:rFonts w:hint="default" w:ascii="Times New Roman" w:hAnsi="Times New Roman" w:eastAsia="宋体" w:cs="Times New Roman"/>
                <w:b w:val="0"/>
                <w:bCs w:val="0"/>
                <w:color w:val="auto"/>
                <w:sz w:val="24"/>
              </w:rPr>
              <w:t>m。</w:t>
            </w:r>
          </w:p>
          <w:p>
            <w:pPr>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right="0" w:rightChars="0"/>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表2-1  项目组成及主要环境问题表</w:t>
            </w:r>
          </w:p>
          <w:tbl>
            <w:tblPr>
              <w:tblStyle w:val="4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2"/>
              <w:gridCol w:w="343"/>
              <w:gridCol w:w="417"/>
              <w:gridCol w:w="5548"/>
              <w:gridCol w:w="972"/>
              <w:gridCol w:w="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27" w:type="pct"/>
                  <w:vMerge w:val="restart"/>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snapToGrid w:val="0"/>
                    <w:spacing w:before="60" w:after="160" w:line="259" w:lineRule="auto"/>
                    <w:ind w:right="113"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bCs/>
                      <w:color w:val="auto"/>
                      <w:kern w:val="0"/>
                      <w:sz w:val="21"/>
                      <w:szCs w:val="21"/>
                      <w:highlight w:val="none"/>
                      <w:lang w:val="en-US" w:eastAsia="zh-CN" w:bidi="ar-SA"/>
                    </w:rPr>
                    <w:t>工程分类</w:t>
                  </w:r>
                </w:p>
              </w:tc>
              <w:tc>
                <w:tcPr>
                  <w:tcW w:w="421" w:type="pct"/>
                  <w:gridSpan w:val="2"/>
                  <w:vMerge w:val="restart"/>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项目名称</w:t>
                  </w:r>
                </w:p>
              </w:tc>
              <w:tc>
                <w:tcPr>
                  <w:tcW w:w="3070" w:type="pct"/>
                  <w:vMerge w:val="restart"/>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建设内容及规模</w:t>
                  </w:r>
                </w:p>
              </w:tc>
              <w:tc>
                <w:tcPr>
                  <w:tcW w:w="1081" w:type="pct"/>
                  <w:gridSpan w:val="2"/>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sz w:val="21"/>
                      <w:szCs w:val="21"/>
                      <w:highlight w:val="none"/>
                    </w:rPr>
                    <w:t>环境问题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7" w:type="pct"/>
                  <w:vMerge w:val="continue"/>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none"/>
                    </w:rPr>
                  </w:pPr>
                </w:p>
              </w:tc>
              <w:tc>
                <w:tcPr>
                  <w:tcW w:w="421" w:type="pct"/>
                  <w:gridSpan w:val="2"/>
                  <w:vMerge w:val="continue"/>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none"/>
                    </w:rPr>
                  </w:pPr>
                </w:p>
              </w:tc>
              <w:tc>
                <w:tcPr>
                  <w:tcW w:w="3070" w:type="pct"/>
                  <w:vMerge w:val="continue"/>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none"/>
                    </w:rPr>
                  </w:pPr>
                </w:p>
              </w:tc>
              <w:tc>
                <w:tcPr>
                  <w:tcW w:w="538" w:type="pct"/>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b/>
                      <w:color w:val="auto"/>
                      <w:kern w:val="2"/>
                      <w:sz w:val="21"/>
                      <w:szCs w:val="21"/>
                      <w:highlight w:val="none"/>
                      <w:lang w:val="en-US" w:eastAsia="zh-CN" w:bidi="ar-SA"/>
                    </w:rPr>
                  </w:pPr>
                  <w:r>
                    <w:rPr>
                      <w:rFonts w:hint="default" w:ascii="Times New Roman" w:hAnsi="Times New Roman" w:eastAsia="宋体" w:cs="Times New Roman"/>
                      <w:b/>
                      <w:color w:val="auto"/>
                      <w:sz w:val="21"/>
                      <w:szCs w:val="21"/>
                      <w:highlight w:val="none"/>
                    </w:rPr>
                    <w:t>施工期</w:t>
                  </w:r>
                </w:p>
              </w:tc>
              <w:tc>
                <w:tcPr>
                  <w:tcW w:w="543" w:type="pct"/>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color w:val="auto"/>
                      <w:sz w:val="21"/>
                      <w:szCs w:val="21"/>
                      <w:highlight w:val="none"/>
                    </w:rPr>
                    <w:t>营运期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427" w:type="pct"/>
                  <w:vMerge w:val="restart"/>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主体</w:t>
                  </w:r>
                </w:p>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工程</w:t>
                  </w:r>
                </w:p>
              </w:tc>
              <w:tc>
                <w:tcPr>
                  <w:tcW w:w="421" w:type="pct"/>
                  <w:gridSpan w:val="2"/>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堤防护岸工程</w:t>
                  </w:r>
                </w:p>
              </w:tc>
              <w:tc>
                <w:tcPr>
                  <w:tcW w:w="3070" w:type="pct"/>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eastAsia"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新建堤防护岸长度1853m，分为3段</w:t>
                  </w:r>
                  <w:r>
                    <w:rPr>
                      <w:rFonts w:hint="eastAsia" w:ascii="Times New Roman" w:hAnsi="Times New Roman" w:cs="Times New Roman"/>
                      <w:color w:val="auto"/>
                      <w:sz w:val="21"/>
                      <w:szCs w:val="21"/>
                      <w:highlight w:val="none"/>
                      <w:lang w:val="en-US" w:eastAsia="zh-CN"/>
                    </w:rPr>
                    <w:t>。第一段为右岸游坝村皂角冲段，起点游坝村破屋基，终点周桃枝家，</w:t>
                  </w:r>
                  <w:r>
                    <w:rPr>
                      <w:rFonts w:hint="eastAsia" w:cs="Times New Roman"/>
                      <w:color w:val="auto"/>
                      <w:sz w:val="21"/>
                      <w:szCs w:val="21"/>
                      <w:highlight w:val="none"/>
                      <w:lang w:val="en-US" w:eastAsia="zh-CN"/>
                    </w:rPr>
                    <w:t>右岸</w:t>
                  </w:r>
                  <w:r>
                    <w:rPr>
                      <w:rFonts w:hint="eastAsia" w:ascii="Times New Roman" w:hAnsi="Times New Roman" w:cs="Times New Roman"/>
                      <w:color w:val="auto"/>
                      <w:sz w:val="21"/>
                      <w:szCs w:val="21"/>
                      <w:highlight w:val="none"/>
                      <w:lang w:val="en-US" w:eastAsia="zh-CN"/>
                    </w:rPr>
                    <w:t>新建堤防长170m；第二段为右岸游坝村桥段，起点为石材公司对岸，终点为游坝村桥，</w:t>
                  </w:r>
                  <w:r>
                    <w:rPr>
                      <w:rFonts w:hint="eastAsia" w:cs="Times New Roman"/>
                      <w:color w:val="auto"/>
                      <w:sz w:val="21"/>
                      <w:szCs w:val="21"/>
                      <w:highlight w:val="none"/>
                      <w:lang w:val="en-US" w:eastAsia="zh-CN"/>
                    </w:rPr>
                    <w:t>右岸</w:t>
                  </w:r>
                  <w:r>
                    <w:rPr>
                      <w:rFonts w:hint="eastAsia" w:ascii="Times New Roman" w:hAnsi="Times New Roman" w:cs="Times New Roman"/>
                      <w:color w:val="auto"/>
                      <w:sz w:val="21"/>
                      <w:szCs w:val="21"/>
                      <w:highlight w:val="none"/>
                      <w:lang w:val="en-US" w:eastAsia="zh-CN"/>
                    </w:rPr>
                    <w:t>新建护岸长573m；</w:t>
                  </w:r>
                </w:p>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第三段为左岸三圣村段，起点为三圣村流滴岩，终点三圣村琵琶沱，</w:t>
                  </w:r>
                  <w:r>
                    <w:rPr>
                      <w:rFonts w:hint="eastAsia" w:cs="Times New Roman"/>
                      <w:color w:val="auto"/>
                      <w:sz w:val="21"/>
                      <w:szCs w:val="21"/>
                      <w:highlight w:val="none"/>
                      <w:lang w:val="en-US" w:eastAsia="zh-CN"/>
                    </w:rPr>
                    <w:t>左岸</w:t>
                  </w:r>
                  <w:r>
                    <w:rPr>
                      <w:rFonts w:hint="eastAsia" w:ascii="Times New Roman" w:hAnsi="Times New Roman" w:cs="Times New Roman"/>
                      <w:color w:val="auto"/>
                      <w:sz w:val="21"/>
                      <w:szCs w:val="21"/>
                      <w:highlight w:val="none"/>
                      <w:lang w:val="en-US" w:eastAsia="zh-CN"/>
                    </w:rPr>
                    <w:t>新建长1110m。</w:t>
                  </w:r>
                </w:p>
              </w:tc>
              <w:tc>
                <w:tcPr>
                  <w:tcW w:w="538" w:type="pct"/>
                  <w:vMerge w:val="restart"/>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扬尘、施工噪声、施工废水、生活垃圾、破坏植被、影响交通</w:t>
                  </w:r>
                </w:p>
              </w:tc>
              <w:tc>
                <w:tcPr>
                  <w:tcW w:w="543" w:type="pct"/>
                  <w:vMerge w:val="restart"/>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427" w:type="pct"/>
                  <w:vMerge w:val="continue"/>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cs="Times New Roman"/>
                      <w:color w:val="auto"/>
                      <w:sz w:val="21"/>
                      <w:szCs w:val="21"/>
                      <w:highlight w:val="red"/>
                    </w:rPr>
                  </w:pPr>
                </w:p>
              </w:tc>
              <w:tc>
                <w:tcPr>
                  <w:tcW w:w="421" w:type="pct"/>
                  <w:gridSpan w:val="2"/>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加固</w:t>
                  </w:r>
                </w:p>
              </w:tc>
              <w:tc>
                <w:tcPr>
                  <w:tcW w:w="3070" w:type="pct"/>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加固堤防1520m，均在右岸，分为三段：</w:t>
                  </w:r>
                </w:p>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第一段起点周桃枝家，终点为石材公司对岸，加固长度635m；第二段起点原杜村，终点新漫水桥，长度607m；第三段起点原夏村，终点为铁二局拌合楼，长度278m。</w:t>
                  </w:r>
                </w:p>
              </w:tc>
              <w:tc>
                <w:tcPr>
                  <w:tcW w:w="538" w:type="pct"/>
                  <w:vMerge w:val="continue"/>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red"/>
                      <w:lang w:val="en-US" w:eastAsia="zh-CN"/>
                    </w:rPr>
                  </w:pPr>
                </w:p>
              </w:tc>
              <w:tc>
                <w:tcPr>
                  <w:tcW w:w="543" w:type="pct"/>
                  <w:vMerge w:val="continue"/>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red"/>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427" w:type="pct"/>
                  <w:vMerge w:val="continue"/>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cs="Times New Roman"/>
                      <w:color w:val="auto"/>
                      <w:sz w:val="21"/>
                      <w:szCs w:val="21"/>
                      <w:highlight w:val="red"/>
                    </w:rPr>
                  </w:pPr>
                </w:p>
              </w:tc>
              <w:tc>
                <w:tcPr>
                  <w:tcW w:w="421" w:type="pct"/>
                  <w:gridSpan w:val="2"/>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下河梯步</w:t>
                  </w:r>
                </w:p>
              </w:tc>
              <w:tc>
                <w:tcPr>
                  <w:tcW w:w="3070" w:type="pct"/>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本工程平均每隔200m设一处下河梯步，共设置9处梯步，共156m。下河梯步宽3m，梯步面向河心，坡比同堤防外坡面，为C20砼浇筑，踏步宽30cm。</w:t>
                  </w:r>
                </w:p>
              </w:tc>
              <w:tc>
                <w:tcPr>
                  <w:tcW w:w="538" w:type="pct"/>
                  <w:vMerge w:val="continue"/>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red"/>
                      <w:lang w:val="en-US" w:eastAsia="zh-CN"/>
                    </w:rPr>
                  </w:pPr>
                </w:p>
              </w:tc>
              <w:tc>
                <w:tcPr>
                  <w:tcW w:w="543" w:type="pct"/>
                  <w:vMerge w:val="continue"/>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red"/>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427" w:type="pct"/>
                  <w:vMerge w:val="continue"/>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cs="Times New Roman"/>
                      <w:color w:val="auto"/>
                      <w:sz w:val="21"/>
                      <w:szCs w:val="21"/>
                      <w:highlight w:val="red"/>
                    </w:rPr>
                  </w:pPr>
                </w:p>
              </w:tc>
              <w:tc>
                <w:tcPr>
                  <w:tcW w:w="421" w:type="pct"/>
                  <w:gridSpan w:val="2"/>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马道</w:t>
                  </w:r>
                </w:p>
              </w:tc>
              <w:tc>
                <w:tcPr>
                  <w:tcW w:w="3070" w:type="pct"/>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本次设计的复合式堤型，在现状路面高程设置公路平台，自上而下为20cm厚C20砼路面，5cm厚M10砂浆垫层。由于三圣村居民交通需要，公路内侧采用30cm×40cm 抗滑墙进行隔档，临河侧设80cm×60cmC25钢筋砼防撞墩。</w:t>
                  </w:r>
                </w:p>
              </w:tc>
              <w:tc>
                <w:tcPr>
                  <w:tcW w:w="538" w:type="pct"/>
                  <w:vMerge w:val="continue"/>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red"/>
                      <w:lang w:val="en-US" w:eastAsia="zh-CN"/>
                    </w:rPr>
                  </w:pPr>
                </w:p>
              </w:tc>
              <w:tc>
                <w:tcPr>
                  <w:tcW w:w="543" w:type="pct"/>
                  <w:vMerge w:val="continue"/>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red"/>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427" w:type="pct"/>
                  <w:vMerge w:val="continue"/>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red"/>
                      <w:lang w:val="en-US" w:eastAsia="zh-CN"/>
                    </w:rPr>
                  </w:pPr>
                </w:p>
              </w:tc>
              <w:tc>
                <w:tcPr>
                  <w:tcW w:w="421" w:type="pct"/>
                  <w:gridSpan w:val="2"/>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疏浚工程</w:t>
                  </w:r>
                </w:p>
              </w:tc>
              <w:tc>
                <w:tcPr>
                  <w:tcW w:w="3070" w:type="pct"/>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疏浚河道</w:t>
                  </w:r>
                  <w:r>
                    <w:rPr>
                      <w:rFonts w:hint="eastAsia" w:cs="Times New Roman"/>
                      <w:color w:val="auto"/>
                      <w:sz w:val="21"/>
                      <w:szCs w:val="21"/>
                      <w:highlight w:val="none"/>
                      <w:lang w:val="en-US" w:eastAsia="zh-CN"/>
                    </w:rPr>
                    <w:t>3000</w:t>
                  </w:r>
                  <w:r>
                    <w:rPr>
                      <w:rFonts w:hint="default" w:ascii="Times New Roman" w:hAnsi="Times New Roman" w:eastAsia="宋体" w:cs="Times New Roman"/>
                      <w:color w:val="auto"/>
                      <w:sz w:val="21"/>
                      <w:szCs w:val="21"/>
                      <w:highlight w:val="none"/>
                      <w:lang w:val="en-US" w:eastAsia="zh-CN"/>
                    </w:rPr>
                    <w:t>m。分为</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val="en-US" w:eastAsia="zh-CN"/>
                    </w:rPr>
                    <w:t>段，其中：</w:t>
                  </w:r>
                </w:p>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第一段起点跃进村游坎，终点石材公司，长1024m</w:t>
                  </w:r>
                  <w:r>
                    <w:rPr>
                      <w:rFonts w:hint="eastAsia" w:cs="Times New Roman"/>
                      <w:color w:val="auto"/>
                      <w:sz w:val="21"/>
                      <w:szCs w:val="21"/>
                      <w:highlight w:val="none"/>
                      <w:lang w:val="en-US" w:eastAsia="zh-CN"/>
                    </w:rPr>
                    <w:t>；第二段</w:t>
                  </w:r>
                  <w:r>
                    <w:rPr>
                      <w:rFonts w:hint="default" w:ascii="Times New Roman" w:hAnsi="Times New Roman" w:eastAsia="宋体" w:cs="Times New Roman"/>
                      <w:color w:val="auto"/>
                      <w:sz w:val="21"/>
                      <w:szCs w:val="21"/>
                      <w:highlight w:val="none"/>
                      <w:lang w:val="en-US" w:eastAsia="zh-CN"/>
                    </w:rPr>
                    <w:t>起点游坝村桥，终点冯堰碥，长1159m</w:t>
                  </w:r>
                  <w:r>
                    <w:rPr>
                      <w:rFonts w:hint="eastAsia" w:cs="Times New Roman"/>
                      <w:color w:val="auto"/>
                      <w:sz w:val="21"/>
                      <w:szCs w:val="21"/>
                      <w:highlight w:val="none"/>
                      <w:lang w:val="en-US" w:eastAsia="zh-CN"/>
                    </w:rPr>
                    <w:t>；第三段起点朱岗漫水桥</w:t>
                  </w:r>
                  <w:r>
                    <w:rPr>
                      <w:rFonts w:hint="default" w:ascii="Times New Roman" w:hAnsi="Times New Roman" w:eastAsia="宋体" w:cs="Times New Roman"/>
                      <w:color w:val="auto"/>
                      <w:sz w:val="21"/>
                      <w:szCs w:val="21"/>
                      <w:highlight w:val="none"/>
                      <w:lang w:val="en-US" w:eastAsia="zh-CN"/>
                    </w:rPr>
                    <w:t>，终点</w:t>
                  </w:r>
                  <w:r>
                    <w:rPr>
                      <w:rFonts w:hint="eastAsia" w:cs="Times New Roman"/>
                      <w:color w:val="auto"/>
                      <w:sz w:val="21"/>
                      <w:szCs w:val="21"/>
                      <w:highlight w:val="none"/>
                      <w:lang w:val="en-US" w:eastAsia="zh-CN"/>
                    </w:rPr>
                    <w:t>苏九路</w:t>
                  </w:r>
                  <w:r>
                    <w:rPr>
                      <w:rFonts w:hint="default" w:cs="Times New Roman"/>
                      <w:color w:val="auto"/>
                      <w:sz w:val="21"/>
                      <w:szCs w:val="21"/>
                      <w:highlight w:val="none"/>
                      <w:lang w:eastAsia="zh-CN"/>
                    </w:rPr>
                    <w:t>1#桥</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长357m；第四段</w:t>
                  </w:r>
                  <w:r>
                    <w:rPr>
                      <w:rFonts w:hint="default" w:ascii="Times New Roman" w:hAnsi="Times New Roman" w:eastAsia="宋体" w:cs="Times New Roman"/>
                      <w:color w:val="auto"/>
                      <w:sz w:val="21"/>
                      <w:szCs w:val="21"/>
                      <w:highlight w:val="none"/>
                      <w:lang w:val="en-US" w:eastAsia="zh-CN"/>
                    </w:rPr>
                    <w:t>起点三圣村流滴岩，终点中铁二局钢筋棚，长436m</w:t>
                  </w:r>
                  <w:r>
                    <w:rPr>
                      <w:rFonts w:hint="eastAsia" w:cs="Times New Roman"/>
                      <w:color w:val="auto"/>
                      <w:sz w:val="21"/>
                      <w:szCs w:val="21"/>
                      <w:highlight w:val="none"/>
                      <w:lang w:val="en-US" w:eastAsia="zh-CN"/>
                    </w:rPr>
                    <w:t>；第五段</w:t>
                  </w:r>
                  <w:r>
                    <w:rPr>
                      <w:rFonts w:hint="default" w:ascii="Times New Roman" w:hAnsi="Times New Roman" w:eastAsia="宋体" w:cs="Times New Roman"/>
                      <w:color w:val="auto"/>
                      <w:sz w:val="21"/>
                      <w:szCs w:val="21"/>
                      <w:highlight w:val="none"/>
                      <w:lang w:val="en-US" w:eastAsia="zh-CN"/>
                    </w:rPr>
                    <w:t>起点三圣村琵琶沱，终点本工程末端，长24m</w:t>
                  </w:r>
                  <w:r>
                    <w:rPr>
                      <w:rFonts w:hint="eastAsia" w:cs="Times New Roman"/>
                      <w:color w:val="auto"/>
                      <w:sz w:val="21"/>
                      <w:szCs w:val="21"/>
                      <w:highlight w:val="none"/>
                      <w:lang w:val="en-US" w:eastAsia="zh-CN"/>
                    </w:rPr>
                    <w:t>。</w:t>
                  </w:r>
                </w:p>
              </w:tc>
              <w:tc>
                <w:tcPr>
                  <w:tcW w:w="538" w:type="pct"/>
                  <w:vMerge w:val="continue"/>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red"/>
                      <w:lang w:val="en-US" w:eastAsia="zh-CN"/>
                    </w:rPr>
                  </w:pPr>
                </w:p>
              </w:tc>
              <w:tc>
                <w:tcPr>
                  <w:tcW w:w="543" w:type="pct"/>
                  <w:vMerge w:val="continue"/>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red"/>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427" w:type="pct"/>
                  <w:vMerge w:val="restart"/>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辅助</w:t>
                  </w:r>
                </w:p>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工程</w:t>
                  </w:r>
                </w:p>
              </w:tc>
              <w:tc>
                <w:tcPr>
                  <w:tcW w:w="421" w:type="pct"/>
                  <w:gridSpan w:val="2"/>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施工导流</w:t>
                  </w:r>
                </w:p>
              </w:tc>
              <w:tc>
                <w:tcPr>
                  <w:tcW w:w="3070" w:type="pct"/>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在施工期间需要采用纵向围堰导流措施，待堤防填筑完毕后拆除围堰即可。汛期洪水来时应停工度汛，待洪水过后恢复基坑继续施工。部分河段原地面线较高，设计基础底高程高于分期洪水水深段，水位不影响基础施工的可不设围堰。</w:t>
                  </w:r>
                </w:p>
                <w:p>
                  <w:pPr>
                    <w:keepNext w:val="0"/>
                    <w:keepLines w:val="0"/>
                    <w:pageBreakBefore w:val="0"/>
                    <w:kinsoku/>
                    <w:wordWrap/>
                    <w:overflowPunct/>
                    <w:topLinePunct w:val="0"/>
                    <w:autoSpaceDE/>
                    <w:autoSpaceDN/>
                    <w:bidi w:val="0"/>
                    <w:ind w:firstLine="0" w:firstLineChars="0"/>
                    <w:jc w:val="both"/>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临时施工围堰采用常规土石围堰，堰体材料采用砂卵石填筑，防渗体材料采用复合土工膜防渗。围堰高度0.5～1.5m，迎水面及背水面边坡1：1.5，堰顶宽3.0m，堰体用砂卵石填筑，距离基础开挖线1.0m。土石围堰安全加高取0.5m。围堰总填筑量根据导流平、剖面图进行核算，围堰总长1409m。</w:t>
                  </w:r>
                </w:p>
              </w:tc>
              <w:tc>
                <w:tcPr>
                  <w:tcW w:w="538" w:type="pct"/>
                  <w:vMerge w:val="continue"/>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both"/>
                    <w:textAlignment w:val="auto"/>
                    <w:rPr>
                      <w:rFonts w:hint="default" w:ascii="Times New Roman" w:hAnsi="Times New Roman" w:eastAsia="宋体" w:cs="Times New Roman"/>
                      <w:color w:val="auto"/>
                      <w:sz w:val="21"/>
                      <w:szCs w:val="21"/>
                      <w:highlight w:val="red"/>
                      <w:lang w:eastAsia="zh-CN"/>
                    </w:rPr>
                  </w:pPr>
                </w:p>
              </w:tc>
              <w:tc>
                <w:tcPr>
                  <w:tcW w:w="543" w:type="pct"/>
                  <w:vMerge w:val="continue"/>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both"/>
                    <w:textAlignment w:val="auto"/>
                    <w:rPr>
                      <w:rFonts w:hint="default" w:ascii="Times New Roman" w:hAnsi="Times New Roman" w:eastAsia="宋体" w:cs="Times New Roman"/>
                      <w:color w:val="auto"/>
                      <w:sz w:val="21"/>
                      <w:szCs w:val="21"/>
                      <w:highlight w:val="red"/>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427" w:type="pct"/>
                  <w:vMerge w:val="continue"/>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none"/>
                    </w:rPr>
                  </w:pPr>
                </w:p>
              </w:tc>
              <w:tc>
                <w:tcPr>
                  <w:tcW w:w="421" w:type="pct"/>
                  <w:gridSpan w:val="2"/>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bidi="ar"/>
                    </w:rPr>
                    <w:t>基坑排水</w:t>
                  </w:r>
                </w:p>
              </w:tc>
              <w:tc>
                <w:tcPr>
                  <w:tcW w:w="3070" w:type="pct"/>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基坑集水采用常规的排水沟、集水井和水泵抽排方式进行处理。开挖过程中，结合开挖在基坑靠河一侧布置排水沟(0.6m×0.5m)，随着开挖工作的进行，逐层布置，排水沟以2--3‰的底坡通向集水井，集水井在每段围堰的末端进行布置，在集水井处布置水泵将集水抽出排到河流内。</w:t>
                  </w:r>
                </w:p>
              </w:tc>
              <w:tc>
                <w:tcPr>
                  <w:tcW w:w="538" w:type="pct"/>
                  <w:vMerge w:val="continue"/>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red"/>
                    </w:rPr>
                  </w:pPr>
                </w:p>
              </w:tc>
              <w:tc>
                <w:tcPr>
                  <w:tcW w:w="543" w:type="pct"/>
                  <w:vMerge w:val="continue"/>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59" w:hRule="atLeast"/>
                <w:jc w:val="center"/>
              </w:trPr>
              <w:tc>
                <w:tcPr>
                  <w:tcW w:w="427" w:type="pct"/>
                  <w:vMerge w:val="continue"/>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red"/>
                    </w:rPr>
                  </w:pPr>
                </w:p>
              </w:tc>
              <w:tc>
                <w:tcPr>
                  <w:tcW w:w="421" w:type="pct"/>
                  <w:gridSpan w:val="2"/>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施工生产区</w:t>
                  </w:r>
                </w:p>
              </w:tc>
              <w:tc>
                <w:tcPr>
                  <w:tcW w:w="3070" w:type="pct"/>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布置</w:t>
                  </w:r>
                  <w:r>
                    <w:rPr>
                      <w:rFonts w:hint="default" w:ascii="Times New Roman" w:hAnsi="Times New Roman" w:eastAsia="宋体" w:cs="Times New Roman"/>
                      <w:color w:val="auto"/>
                      <w:sz w:val="21"/>
                      <w:szCs w:val="21"/>
                      <w:highlight w:val="none"/>
                      <w:lang w:val="en-US" w:eastAsia="zh-CN"/>
                    </w:rPr>
                    <w:t>了2</w:t>
                  </w:r>
                  <w:r>
                    <w:rPr>
                      <w:rFonts w:hint="default" w:ascii="Times New Roman" w:hAnsi="Times New Roman" w:eastAsia="宋体" w:cs="Times New Roman"/>
                      <w:color w:val="auto"/>
                      <w:sz w:val="21"/>
                      <w:szCs w:val="21"/>
                      <w:highlight w:val="none"/>
                    </w:rPr>
                    <w:t>个生产区，1#施工生产区位于临左5+500.00处，占地</w:t>
                  </w:r>
                  <w:r>
                    <w:rPr>
                      <w:rFonts w:hint="eastAsia" w:cs="Times New Roman"/>
                      <w:color w:val="auto"/>
                      <w:sz w:val="21"/>
                      <w:szCs w:val="21"/>
                      <w:highlight w:val="none"/>
                      <w:lang w:val="en-US" w:eastAsia="zh-CN"/>
                    </w:rPr>
                    <w:t>13</w:t>
                  </w:r>
                  <w:r>
                    <w:rPr>
                      <w:rFonts w:hint="default" w:ascii="Times New Roman" w:hAnsi="Times New Roman" w:eastAsia="宋体" w:cs="Times New Roman"/>
                      <w:color w:val="auto"/>
                      <w:sz w:val="21"/>
                      <w:szCs w:val="21"/>
                      <w:highlight w:val="none"/>
                    </w:rPr>
                    <w:t>00m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，占地类型为</w:t>
                  </w:r>
                  <w:r>
                    <w:rPr>
                      <w:rFonts w:hint="eastAsia" w:cs="Times New Roman"/>
                      <w:color w:val="auto"/>
                      <w:sz w:val="21"/>
                      <w:szCs w:val="21"/>
                      <w:highlight w:val="none"/>
                      <w:lang w:val="en-US" w:eastAsia="zh-CN"/>
                    </w:rPr>
                    <w:t>林地与河滩地</w:t>
                  </w:r>
                  <w:r>
                    <w:rPr>
                      <w:rFonts w:hint="default" w:ascii="Times New Roman" w:hAnsi="Times New Roman" w:eastAsia="宋体" w:cs="Times New Roman"/>
                      <w:color w:val="auto"/>
                      <w:sz w:val="21"/>
                      <w:szCs w:val="21"/>
                      <w:highlight w:val="none"/>
                    </w:rPr>
                    <w:t>；2#施工生产区位于临右0+100.00处，占地</w:t>
                  </w:r>
                  <w:r>
                    <w:rPr>
                      <w:rFonts w:hint="eastAsia" w:cs="Times New Roman"/>
                      <w:color w:val="auto"/>
                      <w:sz w:val="21"/>
                      <w:szCs w:val="21"/>
                      <w:highlight w:val="none"/>
                      <w:lang w:val="en-US" w:eastAsia="zh-CN"/>
                    </w:rPr>
                    <w:t>200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，占地类型为</w:t>
                  </w:r>
                  <w:r>
                    <w:rPr>
                      <w:rFonts w:hint="eastAsia" w:cs="Times New Roman"/>
                      <w:color w:val="auto"/>
                      <w:sz w:val="21"/>
                      <w:szCs w:val="21"/>
                      <w:highlight w:val="none"/>
                      <w:lang w:val="en-US" w:eastAsia="zh-CN"/>
                    </w:rPr>
                    <w:t>林地与河滩地</w:t>
                  </w:r>
                  <w:r>
                    <w:rPr>
                      <w:rFonts w:hint="default" w:ascii="Times New Roman" w:hAnsi="Times New Roman" w:eastAsia="宋体" w:cs="Times New Roman"/>
                      <w:color w:val="auto"/>
                      <w:sz w:val="21"/>
                      <w:szCs w:val="21"/>
                      <w:highlight w:val="none"/>
                      <w:vertAlign w:val="baseline"/>
                      <w:lang w:val="en-US" w:eastAsia="zh-CN"/>
                    </w:rPr>
                    <w:t>。生产区</w:t>
                  </w:r>
                  <w:r>
                    <w:rPr>
                      <w:rFonts w:hint="default" w:ascii="Times New Roman" w:hAnsi="Times New Roman" w:eastAsia="宋体" w:cs="Times New Roman"/>
                      <w:color w:val="auto"/>
                      <w:sz w:val="21"/>
                      <w:szCs w:val="21"/>
                      <w:highlight w:val="none"/>
                    </w:rPr>
                    <w:t>布置有生活区及生产所需的水电系统</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仓库</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堆料场</w:t>
                  </w:r>
                  <w:r>
                    <w:rPr>
                      <w:rFonts w:hint="default" w:ascii="Times New Roman" w:hAnsi="Times New Roman" w:eastAsia="宋体" w:cs="Times New Roman"/>
                      <w:color w:val="auto"/>
                      <w:sz w:val="21"/>
                      <w:szCs w:val="21"/>
                      <w:highlight w:val="none"/>
                      <w:lang w:eastAsia="zh-CN"/>
                    </w:rPr>
                    <w:t>、</w:t>
                  </w:r>
                  <w:r>
                    <w:rPr>
                      <w:rFonts w:hint="eastAsia" w:cs="Times New Roman"/>
                      <w:color w:val="auto"/>
                      <w:sz w:val="21"/>
                      <w:szCs w:val="21"/>
                      <w:highlight w:val="none"/>
                      <w:lang w:eastAsia="zh-CN"/>
                    </w:rPr>
                    <w:t>拌合</w:t>
                  </w:r>
                  <w:r>
                    <w:rPr>
                      <w:rFonts w:hint="default" w:ascii="Times New Roman" w:hAnsi="Times New Roman" w:eastAsia="宋体" w:cs="Times New Roman"/>
                      <w:color w:val="auto"/>
                      <w:sz w:val="21"/>
                      <w:szCs w:val="21"/>
                      <w:highlight w:val="none"/>
                      <w:lang w:val="en-US" w:eastAsia="zh-CN"/>
                    </w:rPr>
                    <w:t>机、车辆停放</w:t>
                  </w:r>
                  <w:r>
                    <w:rPr>
                      <w:rFonts w:hint="default" w:ascii="Times New Roman" w:hAnsi="Times New Roman" w:eastAsia="宋体" w:cs="Times New Roman"/>
                      <w:color w:val="auto"/>
                      <w:sz w:val="21"/>
                      <w:szCs w:val="21"/>
                      <w:highlight w:val="none"/>
                    </w:rPr>
                    <w:t>等</w:t>
                  </w:r>
                </w:p>
              </w:tc>
              <w:tc>
                <w:tcPr>
                  <w:tcW w:w="538" w:type="pct"/>
                  <w:vMerge w:val="continue"/>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red"/>
                    </w:rPr>
                  </w:pPr>
                </w:p>
              </w:tc>
              <w:tc>
                <w:tcPr>
                  <w:tcW w:w="543" w:type="pct"/>
                  <w:vMerge w:val="continue"/>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427" w:type="pct"/>
                  <w:vMerge w:val="continue"/>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red"/>
                    </w:rPr>
                  </w:pPr>
                </w:p>
              </w:tc>
              <w:tc>
                <w:tcPr>
                  <w:tcW w:w="421" w:type="pct"/>
                  <w:gridSpan w:val="2"/>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弃渣场</w:t>
                  </w:r>
                </w:p>
              </w:tc>
              <w:tc>
                <w:tcPr>
                  <w:tcW w:w="3070" w:type="pct"/>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rPr>
                    <w:t>1#弃渣场</w:t>
                  </w:r>
                  <w:r>
                    <w:rPr>
                      <w:rFonts w:hint="eastAsia" w:cs="Times New Roman"/>
                      <w:color w:val="auto"/>
                      <w:sz w:val="21"/>
                      <w:szCs w:val="21"/>
                      <w:highlight w:val="none"/>
                      <w:lang w:val="en-US" w:eastAsia="zh-CN"/>
                    </w:rPr>
                    <w:t>（工程终点为天然洼地，可作为本工程的弃渣场，</w:t>
                  </w:r>
                  <w:r>
                    <w:rPr>
                      <w:rFonts w:hint="default" w:ascii="Times New Roman" w:hAnsi="Times New Roman" w:eastAsia="宋体" w:cs="Times New Roman"/>
                      <w:color w:val="auto"/>
                      <w:sz w:val="21"/>
                      <w:szCs w:val="21"/>
                      <w:highlight w:val="none"/>
                      <w:lang w:val="en-US"/>
                    </w:rPr>
                    <w:t>1#弃渣场占地5.4亩，容量约为1.44万m</w:t>
                  </w:r>
                  <w:r>
                    <w:rPr>
                      <w:rFonts w:hint="default" w:ascii="Times New Roman" w:hAnsi="Times New Roman" w:eastAsia="宋体" w:cs="Times New Roman"/>
                      <w:color w:val="auto"/>
                      <w:sz w:val="21"/>
                      <w:szCs w:val="21"/>
                      <w:highlight w:val="none"/>
                      <w:vertAlign w:val="superscript"/>
                      <w:lang w:val="en-US"/>
                    </w:rPr>
                    <w:t>3</w:t>
                  </w:r>
                  <w:r>
                    <w:rPr>
                      <w:rFonts w:hint="default" w:ascii="Times New Roman" w:hAnsi="Times New Roman" w:eastAsia="宋体" w:cs="Times New Roman"/>
                      <w:color w:val="auto"/>
                      <w:sz w:val="21"/>
                      <w:szCs w:val="21"/>
                      <w:highlight w:val="none"/>
                      <w:lang w:val="en-US"/>
                    </w:rPr>
                    <w:t>；2#渣场为国资委规划渣场</w:t>
                  </w:r>
                  <w:r>
                    <w:rPr>
                      <w:rFonts w:hint="eastAsia" w:cs="Times New Roman"/>
                      <w:color w:val="auto"/>
                      <w:sz w:val="21"/>
                      <w:szCs w:val="21"/>
                      <w:highlight w:val="none"/>
                      <w:lang w:val="en-US" w:eastAsia="zh-CN"/>
                    </w:rPr>
                    <w:t>（市中区国资委在距离本工程起点11.29km处的石鼓村设置有一处弃渣场）</w:t>
                  </w:r>
                  <w:r>
                    <w:rPr>
                      <w:rFonts w:hint="default" w:ascii="Times New Roman" w:hAnsi="Times New Roman" w:eastAsia="宋体" w:cs="Times New Roman"/>
                      <w:color w:val="auto"/>
                      <w:sz w:val="21"/>
                      <w:szCs w:val="21"/>
                      <w:highlight w:val="none"/>
                      <w:lang w:val="en-US"/>
                    </w:rPr>
                    <w:t>，占地面积150亩，容量约60万m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vertAlign w:val="baseline"/>
                      <w:lang w:val="en-US" w:eastAsia="zh-CN"/>
                    </w:rPr>
                    <w:t>，为本项目备用弃渣场</w:t>
                  </w:r>
                </w:p>
              </w:tc>
              <w:tc>
                <w:tcPr>
                  <w:tcW w:w="538" w:type="pct"/>
                  <w:vMerge w:val="continue"/>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cs="Times New Roman"/>
                      <w:color w:val="auto"/>
                      <w:sz w:val="21"/>
                      <w:szCs w:val="21"/>
                      <w:highlight w:val="red"/>
                    </w:rPr>
                  </w:pPr>
                </w:p>
              </w:tc>
              <w:tc>
                <w:tcPr>
                  <w:tcW w:w="543" w:type="pct"/>
                  <w:vMerge w:val="continue"/>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cs="Times New Roman"/>
                      <w:color w:val="auto"/>
                      <w:sz w:val="21"/>
                      <w:szCs w:val="21"/>
                      <w:highlight w:val="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427" w:type="pct"/>
                  <w:vMerge w:val="restart"/>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临时工程</w:t>
                  </w:r>
                </w:p>
              </w:tc>
              <w:tc>
                <w:tcPr>
                  <w:tcW w:w="421" w:type="pct"/>
                  <w:gridSpan w:val="2"/>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施工便道</w:t>
                  </w:r>
                </w:p>
              </w:tc>
              <w:tc>
                <w:tcPr>
                  <w:tcW w:w="3070" w:type="pct"/>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临时施工道路标准均为四级，单车道，路基宽4.5m，路面宽度3.5m，泥结碎石路面，最大纵坡≤10%。本工程共需新建场内临时道路1981m</w:t>
                  </w:r>
                </w:p>
              </w:tc>
              <w:tc>
                <w:tcPr>
                  <w:tcW w:w="538" w:type="pct"/>
                  <w:vMerge w:val="continue"/>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red"/>
                    </w:rPr>
                  </w:pPr>
                </w:p>
              </w:tc>
              <w:tc>
                <w:tcPr>
                  <w:tcW w:w="543" w:type="pct"/>
                  <w:vMerge w:val="continue"/>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7" w:type="pct"/>
                  <w:vMerge w:val="continue"/>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none"/>
                    </w:rPr>
                  </w:pPr>
                </w:p>
              </w:tc>
              <w:tc>
                <w:tcPr>
                  <w:tcW w:w="421" w:type="pct"/>
                  <w:gridSpan w:val="2"/>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Style w:val="48"/>
                      <w:rFonts w:hint="default" w:ascii="Times New Roman" w:hAnsi="Times New Roman" w:eastAsia="宋体" w:cs="Times New Roman"/>
                      <w:color w:val="auto"/>
                      <w:kern w:val="0"/>
                      <w:sz w:val="21"/>
                      <w:szCs w:val="21"/>
                      <w:highlight w:val="none"/>
                      <w:lang w:val="en-US" w:eastAsia="zh-CN" w:bidi="en-US"/>
                    </w:rPr>
                    <w:t>取土场</w:t>
                  </w:r>
                </w:p>
              </w:tc>
              <w:tc>
                <w:tcPr>
                  <w:tcW w:w="3070" w:type="pct"/>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项目</w:t>
                  </w:r>
                  <w:r>
                    <w:rPr>
                      <w:rFonts w:hint="default" w:ascii="Times New Roman" w:hAnsi="Times New Roman" w:eastAsia="宋体" w:cs="Times New Roman"/>
                      <w:color w:val="auto"/>
                      <w:sz w:val="21"/>
                      <w:szCs w:val="21"/>
                      <w:highlight w:val="none"/>
                      <w:lang w:val="en-US" w:eastAsia="zh-CN"/>
                    </w:rPr>
                    <w:t>不设置取土场</w:t>
                  </w:r>
                </w:p>
              </w:tc>
              <w:tc>
                <w:tcPr>
                  <w:tcW w:w="538" w:type="pct"/>
                  <w:vMerge w:val="continue"/>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red"/>
                    </w:rPr>
                  </w:pPr>
                </w:p>
              </w:tc>
              <w:tc>
                <w:tcPr>
                  <w:tcW w:w="543" w:type="pct"/>
                  <w:vMerge w:val="continue"/>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427" w:type="pct"/>
                  <w:vMerge w:val="restart"/>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公用工程</w:t>
                  </w:r>
                </w:p>
              </w:tc>
              <w:tc>
                <w:tcPr>
                  <w:tcW w:w="421" w:type="pct"/>
                  <w:gridSpan w:val="2"/>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供水</w:t>
                  </w:r>
                </w:p>
              </w:tc>
              <w:tc>
                <w:tcPr>
                  <w:tcW w:w="3070" w:type="pct"/>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none"/>
                    </w:rPr>
                  </w:pPr>
                  <w:r>
                    <w:rPr>
                      <w:rFonts w:ascii="Times New Roman" w:hAnsi="Times New Roman"/>
                      <w:sz w:val="21"/>
                      <w:szCs w:val="21"/>
                      <w:highlight w:val="none"/>
                    </w:rPr>
                    <w:t>本工程沿堤线分段设置施工供水系统，设可移动式铁皮水箱2个，每个水箱容积10m</w:t>
                  </w:r>
                  <w:r>
                    <w:rPr>
                      <w:rFonts w:ascii="Times New Roman" w:hAnsi="Times New Roman"/>
                      <w:sz w:val="21"/>
                      <w:szCs w:val="21"/>
                      <w:highlight w:val="none"/>
                      <w:vertAlign w:val="superscript"/>
                    </w:rPr>
                    <w:t>3</w:t>
                  </w:r>
                  <w:r>
                    <w:rPr>
                      <w:rFonts w:hint="eastAsia" w:ascii="Times New Roman" w:hAnsi="Times New Roman"/>
                      <w:sz w:val="21"/>
                      <w:szCs w:val="21"/>
                      <w:highlight w:val="none"/>
                      <w:lang w:eastAsia="zh-CN"/>
                    </w:rPr>
                    <w:t>，</w:t>
                  </w:r>
                  <w:r>
                    <w:rPr>
                      <w:rFonts w:ascii="Times New Roman" w:hAnsi="Times New Roman"/>
                      <w:sz w:val="21"/>
                      <w:szCs w:val="21"/>
                      <w:highlight w:val="none"/>
                    </w:rPr>
                    <w:t>共计20m</w:t>
                  </w:r>
                  <w:r>
                    <w:rPr>
                      <w:rFonts w:ascii="Times New Roman" w:hAnsi="Times New Roman"/>
                      <w:sz w:val="21"/>
                      <w:szCs w:val="21"/>
                      <w:highlight w:val="none"/>
                      <w:vertAlign w:val="superscript"/>
                    </w:rPr>
                    <w:t>3</w:t>
                  </w:r>
                  <w:r>
                    <w:rPr>
                      <w:rFonts w:ascii="Times New Roman" w:hAnsi="Times New Roman"/>
                      <w:sz w:val="21"/>
                      <w:szCs w:val="21"/>
                      <w:highlight w:val="none"/>
                    </w:rPr>
                    <w:t>，选用IS150-125-200离心泵</w:t>
                  </w:r>
                  <w:r>
                    <w:rPr>
                      <w:rFonts w:hint="eastAsia"/>
                      <w:sz w:val="21"/>
                      <w:szCs w:val="21"/>
                      <w:highlight w:val="none"/>
                      <w:lang w:eastAsia="zh-CN"/>
                    </w:rPr>
                    <w:t>（</w:t>
                  </w:r>
                  <w:r>
                    <w:rPr>
                      <w:rFonts w:ascii="Times New Roman" w:hAnsi="Times New Roman"/>
                      <w:sz w:val="21"/>
                      <w:szCs w:val="21"/>
                      <w:highlight w:val="none"/>
                    </w:rPr>
                    <w:t>流量:200m</w:t>
                  </w:r>
                  <w:r>
                    <w:rPr>
                      <w:rFonts w:ascii="Times New Roman" w:hAnsi="Times New Roman"/>
                      <w:sz w:val="21"/>
                      <w:szCs w:val="21"/>
                      <w:highlight w:val="none"/>
                      <w:vertAlign w:val="superscript"/>
                    </w:rPr>
                    <w:t>3</w:t>
                  </w:r>
                  <w:r>
                    <w:rPr>
                      <w:rFonts w:ascii="Times New Roman" w:hAnsi="Times New Roman"/>
                      <w:sz w:val="21"/>
                      <w:szCs w:val="21"/>
                      <w:highlight w:val="none"/>
                    </w:rPr>
                    <w:t>/h，扬程</w:t>
                  </w:r>
                  <w:r>
                    <w:rPr>
                      <w:rFonts w:hint="eastAsia" w:ascii="Times New Roman" w:hAnsi="Times New Roman"/>
                      <w:sz w:val="21"/>
                      <w:szCs w:val="21"/>
                      <w:highlight w:val="none"/>
                      <w:lang w:eastAsia="zh-CN"/>
                    </w:rPr>
                    <w:t>：</w:t>
                  </w:r>
                  <w:r>
                    <w:rPr>
                      <w:rFonts w:ascii="Times New Roman" w:hAnsi="Times New Roman"/>
                      <w:sz w:val="21"/>
                      <w:szCs w:val="21"/>
                      <w:highlight w:val="none"/>
                    </w:rPr>
                    <w:t>12.5m，转速</w:t>
                  </w:r>
                  <w:r>
                    <w:rPr>
                      <w:rFonts w:hint="eastAsia" w:ascii="Times New Roman" w:hAnsi="Times New Roman"/>
                      <w:sz w:val="21"/>
                      <w:szCs w:val="21"/>
                      <w:highlight w:val="none"/>
                      <w:lang w:eastAsia="zh-CN"/>
                    </w:rPr>
                    <w:t>：</w:t>
                  </w:r>
                  <w:r>
                    <w:rPr>
                      <w:rFonts w:ascii="Times New Roman" w:hAnsi="Times New Roman"/>
                      <w:sz w:val="21"/>
                      <w:szCs w:val="21"/>
                      <w:highlight w:val="none"/>
                    </w:rPr>
                    <w:t>1450r/min，功率</w:t>
                  </w:r>
                  <w:r>
                    <w:rPr>
                      <w:rFonts w:hint="eastAsia" w:ascii="Times New Roman" w:hAnsi="Times New Roman"/>
                      <w:sz w:val="21"/>
                      <w:szCs w:val="21"/>
                      <w:highlight w:val="none"/>
                      <w:lang w:eastAsia="zh-CN"/>
                    </w:rPr>
                    <w:t>：</w:t>
                  </w:r>
                  <w:r>
                    <w:rPr>
                      <w:rFonts w:ascii="Times New Roman" w:hAnsi="Times New Roman"/>
                      <w:sz w:val="21"/>
                      <w:szCs w:val="21"/>
                      <w:highlight w:val="none"/>
                    </w:rPr>
                    <w:t>11KW）抽取临江河河水，经储水池净化后作为混凝土和砂浆搅拌机用水及混凝土养护和机械用水等；生活用水则通过接当地自来水使用</w:t>
                  </w:r>
                </w:p>
              </w:tc>
              <w:tc>
                <w:tcPr>
                  <w:tcW w:w="538" w:type="pct"/>
                  <w:vMerge w:val="continue"/>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red"/>
                    </w:rPr>
                  </w:pPr>
                </w:p>
              </w:tc>
              <w:tc>
                <w:tcPr>
                  <w:tcW w:w="543" w:type="pct"/>
                  <w:vMerge w:val="continue"/>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27" w:type="pct"/>
                  <w:vMerge w:val="continue"/>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none"/>
                    </w:rPr>
                  </w:pPr>
                </w:p>
              </w:tc>
              <w:tc>
                <w:tcPr>
                  <w:tcW w:w="421" w:type="pct"/>
                  <w:gridSpan w:val="2"/>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供电</w:t>
                  </w:r>
                </w:p>
              </w:tc>
              <w:tc>
                <w:tcPr>
                  <w:tcW w:w="3070" w:type="pct"/>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本工程施工可直接由附近铁二局钢筋棚变电站架设0.3km10kV高压输电线至工地降压站。设1座施工降压站，降压站供电容量为160kVA。</w:t>
                  </w:r>
                </w:p>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另外配备2台50kw的柴油发电机作为备用</w:t>
                  </w:r>
                </w:p>
              </w:tc>
              <w:tc>
                <w:tcPr>
                  <w:tcW w:w="538" w:type="pct"/>
                  <w:vMerge w:val="continue"/>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red"/>
                    </w:rPr>
                  </w:pPr>
                </w:p>
              </w:tc>
              <w:tc>
                <w:tcPr>
                  <w:tcW w:w="543" w:type="pct"/>
                  <w:vMerge w:val="continue"/>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427" w:type="pct"/>
                  <w:vMerge w:val="restart"/>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环保工程</w:t>
                  </w:r>
                </w:p>
              </w:tc>
              <w:tc>
                <w:tcPr>
                  <w:tcW w:w="421" w:type="pct"/>
                  <w:gridSpan w:val="2"/>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大气治理</w:t>
                  </w:r>
                </w:p>
              </w:tc>
              <w:tc>
                <w:tcPr>
                  <w:tcW w:w="3070" w:type="pct"/>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施工生产区洒水降尘，</w:t>
                  </w:r>
                  <w:r>
                    <w:rPr>
                      <w:rFonts w:hint="default" w:ascii="Times New Roman" w:hAnsi="Times New Roman" w:eastAsia="宋体" w:cs="Times New Roman"/>
                      <w:color w:val="auto"/>
                      <w:sz w:val="21"/>
                      <w:szCs w:val="21"/>
                      <w:highlight w:val="none"/>
                    </w:rPr>
                    <w:t>加强施工机械的保养维护</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建筑材料覆盖，防尘围挡，及时回填，运输车辆采取覆盖等措施</w:t>
                  </w:r>
                </w:p>
              </w:tc>
              <w:tc>
                <w:tcPr>
                  <w:tcW w:w="538" w:type="pct"/>
                  <w:vMerge w:val="restart"/>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43" w:type="pct"/>
                  <w:vMerge w:val="restart"/>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427" w:type="pct"/>
                  <w:vMerge w:val="continue"/>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none"/>
                    </w:rPr>
                  </w:pPr>
                </w:p>
              </w:tc>
              <w:tc>
                <w:tcPr>
                  <w:tcW w:w="190" w:type="pct"/>
                  <w:vMerge w:val="restart"/>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水治理</w:t>
                  </w:r>
                </w:p>
              </w:tc>
              <w:tc>
                <w:tcPr>
                  <w:tcW w:w="230" w:type="pct"/>
                  <w:vMerge w:val="restart"/>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施工废水</w:t>
                  </w:r>
                </w:p>
              </w:tc>
              <w:tc>
                <w:tcPr>
                  <w:tcW w:w="3070" w:type="pct"/>
                  <w:noWrap w:val="0"/>
                  <w:tcMar>
                    <w:top w:w="0" w:type="dxa"/>
                    <w:left w:w="57" w:type="dxa"/>
                    <w:bottom w:w="0" w:type="dxa"/>
                    <w:right w:w="57" w:type="dxa"/>
                  </w:tcMar>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Cs w:val="21"/>
                    </w:rPr>
                    <w:t>项目</w:t>
                  </w:r>
                  <w:r>
                    <w:rPr>
                      <w:rFonts w:hint="default" w:ascii="Times New Roman" w:hAnsi="Times New Roman" w:cs="Times New Roman"/>
                      <w:color w:val="auto"/>
                      <w:szCs w:val="21"/>
                      <w:lang w:val="en-US" w:eastAsia="zh-CN"/>
                    </w:rPr>
                    <w:t>每个</w:t>
                  </w:r>
                  <w:r>
                    <w:rPr>
                      <w:rFonts w:hint="default" w:ascii="Times New Roman" w:hAnsi="Times New Roman" w:cs="Times New Roman"/>
                      <w:color w:val="auto"/>
                      <w:szCs w:val="21"/>
                    </w:rPr>
                    <w:t>施工生产区车辆冲洗平台附近修建1座沉淀池（沉淀池容积不小于</w:t>
                  </w:r>
                  <w:r>
                    <w:rPr>
                      <w:rFonts w:hint="eastAsia" w:cs="Times New Roman"/>
                      <w:color w:val="auto"/>
                      <w:szCs w:val="21"/>
                      <w:lang w:val="en-US" w:eastAsia="zh-CN"/>
                    </w:rPr>
                    <w:t>4</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），共</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座，车辆冲洗废水经沉淀池处理后用于洒水降尘。</w:t>
                  </w:r>
                  <w:r>
                    <w:rPr>
                      <w:rFonts w:hint="default" w:ascii="Times New Roman" w:hAnsi="Times New Roman" w:cs="Times New Roman"/>
                      <w:color w:val="auto"/>
                    </w:rPr>
                    <w:t>混凝土</w:t>
                  </w:r>
                  <w:r>
                    <w:rPr>
                      <w:rFonts w:hint="eastAsia" w:cs="Times New Roman"/>
                      <w:color w:val="auto"/>
                      <w:lang w:eastAsia="zh-CN"/>
                    </w:rPr>
                    <w:t>拌合</w:t>
                  </w:r>
                  <w:r>
                    <w:rPr>
                      <w:rFonts w:hint="default" w:ascii="Times New Roman" w:hAnsi="Times New Roman" w:cs="Times New Roman"/>
                      <w:color w:val="auto"/>
                    </w:rPr>
                    <w:t>系统设置一个沉淀池</w:t>
                  </w:r>
                  <w:r>
                    <w:rPr>
                      <w:rFonts w:hint="default" w:ascii="Times New Roman" w:hAnsi="Times New Roman" w:cs="Times New Roman"/>
                      <w:color w:val="auto"/>
                      <w:szCs w:val="21"/>
                    </w:rPr>
                    <w:t>（</w:t>
                  </w:r>
                  <w:r>
                    <w:rPr>
                      <w:rFonts w:hint="eastAsia" w:cs="Times New Roman"/>
                      <w:color w:val="auto"/>
                      <w:szCs w:val="21"/>
                      <w:lang w:val="en-US" w:eastAsia="zh-CN"/>
                    </w:rPr>
                    <w:t>3</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vertAlign w:val="baseline"/>
                      <w:lang w:eastAsia="zh-CN"/>
                    </w:rPr>
                    <w:t>，</w:t>
                  </w:r>
                  <w:r>
                    <w:rPr>
                      <w:rFonts w:hint="default" w:ascii="Times New Roman" w:hAnsi="Times New Roman" w:cs="Times New Roman"/>
                      <w:color w:val="auto"/>
                      <w:szCs w:val="21"/>
                      <w:vertAlign w:val="baseline"/>
                      <w:lang w:val="en-US" w:eastAsia="zh-CN"/>
                    </w:rPr>
                    <w:t>共2个</w:t>
                  </w:r>
                  <w:r>
                    <w:rPr>
                      <w:rFonts w:hint="default" w:ascii="Times New Roman" w:hAnsi="Times New Roman" w:cs="Times New Roman"/>
                      <w:color w:val="auto"/>
                      <w:szCs w:val="21"/>
                    </w:rPr>
                    <w:t>）</w:t>
                  </w:r>
                  <w:r>
                    <w:rPr>
                      <w:rFonts w:hint="default" w:ascii="Times New Roman" w:hAnsi="Times New Roman" w:cs="Times New Roman"/>
                      <w:color w:val="auto"/>
                    </w:rPr>
                    <w:t>，每天产生的</w:t>
                  </w:r>
                  <w:r>
                    <w:rPr>
                      <w:rFonts w:hint="eastAsia" w:cs="Times New Roman"/>
                      <w:color w:val="auto"/>
                      <w:lang w:eastAsia="zh-CN"/>
                    </w:rPr>
                    <w:t>拌合</w:t>
                  </w:r>
                  <w:r>
                    <w:rPr>
                      <w:rFonts w:hint="default" w:ascii="Times New Roman" w:hAnsi="Times New Roman" w:cs="Times New Roman"/>
                      <w:color w:val="auto"/>
                    </w:rPr>
                    <w:t>机清洗废水经沉淀池沉淀后回用</w:t>
                  </w:r>
                  <w:r>
                    <w:rPr>
                      <w:rFonts w:hint="default" w:ascii="Times New Roman" w:hAnsi="Times New Roman" w:eastAsia="宋体" w:cs="Times New Roman"/>
                      <w:color w:val="auto"/>
                      <w:szCs w:val="21"/>
                      <w:lang w:eastAsia="zh-CN"/>
                    </w:rPr>
                    <w:t>。</w:t>
                  </w:r>
                </w:p>
              </w:tc>
              <w:tc>
                <w:tcPr>
                  <w:tcW w:w="538" w:type="pct"/>
                  <w:vMerge w:val="continue"/>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red"/>
                    </w:rPr>
                  </w:pPr>
                </w:p>
              </w:tc>
              <w:tc>
                <w:tcPr>
                  <w:tcW w:w="543" w:type="pct"/>
                  <w:vMerge w:val="continue"/>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427" w:type="pct"/>
                  <w:vMerge w:val="continue"/>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pPr>
                </w:p>
              </w:tc>
              <w:tc>
                <w:tcPr>
                  <w:tcW w:w="190" w:type="pct"/>
                  <w:vMerge w:val="continue"/>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pPr>
                </w:p>
              </w:tc>
              <w:tc>
                <w:tcPr>
                  <w:tcW w:w="230" w:type="pct"/>
                  <w:vMerge w:val="continue"/>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color w:val="auto"/>
                    </w:rPr>
                  </w:pPr>
                </w:p>
              </w:tc>
              <w:tc>
                <w:tcPr>
                  <w:tcW w:w="3070" w:type="pct"/>
                  <w:noWrap w:val="0"/>
                  <w:tcMar>
                    <w:top w:w="0" w:type="dxa"/>
                    <w:left w:w="57" w:type="dxa"/>
                    <w:bottom w:w="0" w:type="dxa"/>
                    <w:right w:w="57" w:type="dxa"/>
                  </w:tcMar>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lang w:val="en-US" w:eastAsia="zh-CN" w:bidi="ar"/>
                    </w:rPr>
                    <w:t>基坑废水：</w:t>
                  </w:r>
                  <w:r>
                    <w:rPr>
                      <w:rFonts w:hint="default" w:ascii="Times New Roman" w:hAnsi="Times New Roman" w:eastAsia="宋体" w:cs="Times New Roman"/>
                      <w:color w:val="auto"/>
                      <w:sz w:val="21"/>
                      <w:szCs w:val="21"/>
                      <w:highlight w:val="none"/>
                      <w:lang w:val="en-US" w:eastAsia="zh-CN"/>
                    </w:rPr>
                    <w:t>坑集水采用常规的排水沟、集水井和水泵抽排方式进行处理。开挖过程中，结合开挖在基坑靠河一侧布置排水沟</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0.6m×0.5m</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，随着开挖工作的进行，逐层布置，排水沟以2--3‰的底坡通向集水井，集水井在每段围堰的末端进行布置，在集水井处布置水泵将集水抽出排到河流内。</w:t>
                  </w:r>
                </w:p>
              </w:tc>
              <w:tc>
                <w:tcPr>
                  <w:tcW w:w="538" w:type="pct"/>
                  <w:vMerge w:val="continue"/>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543" w:type="pct"/>
                  <w:vMerge w:val="continue"/>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7" w:type="pct"/>
                  <w:vMerge w:val="continue"/>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pPr>
                </w:p>
              </w:tc>
              <w:tc>
                <w:tcPr>
                  <w:tcW w:w="190" w:type="pct"/>
                  <w:vMerge w:val="continue"/>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pPr>
                </w:p>
              </w:tc>
              <w:tc>
                <w:tcPr>
                  <w:tcW w:w="230" w:type="pct"/>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生活污水</w:t>
                  </w:r>
                </w:p>
              </w:tc>
              <w:tc>
                <w:tcPr>
                  <w:tcW w:w="3070" w:type="pct"/>
                  <w:noWrap w:val="0"/>
                  <w:tcMar>
                    <w:top w:w="0" w:type="dxa"/>
                    <w:left w:w="57" w:type="dxa"/>
                    <w:bottom w:w="0" w:type="dxa"/>
                    <w:right w:w="57" w:type="dxa"/>
                  </w:tcMar>
                  <w:vAlign w:val="center"/>
                </w:tcPr>
                <w:p>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rPr>
                    <w:t>生活污水经</w:t>
                  </w:r>
                  <w:r>
                    <w:rPr>
                      <w:rFonts w:hint="eastAsia" w:cs="Times New Roman"/>
                      <w:color w:val="auto"/>
                      <w:szCs w:val="21"/>
                      <w:lang w:val="en-US" w:eastAsia="zh-CN"/>
                    </w:rPr>
                    <w:t>旱厕（2个）</w:t>
                  </w:r>
                  <w:r>
                    <w:rPr>
                      <w:rFonts w:hint="default" w:ascii="Times New Roman" w:hAnsi="Times New Roman" w:eastAsia="宋体" w:cs="Times New Roman"/>
                      <w:color w:val="auto"/>
                      <w:szCs w:val="21"/>
                    </w:rPr>
                    <w:t>处理后</w:t>
                  </w:r>
                  <w:r>
                    <w:rPr>
                      <w:rFonts w:hint="default" w:ascii="Times New Roman" w:hAnsi="Times New Roman" w:eastAsia="宋体" w:cs="Times New Roman"/>
                      <w:color w:val="auto"/>
                      <w:szCs w:val="21"/>
                      <w:lang w:val="en-US" w:eastAsia="zh-CN"/>
                    </w:rPr>
                    <w:t>用于施肥</w:t>
                  </w:r>
                  <w:r>
                    <w:rPr>
                      <w:rFonts w:hint="eastAsia" w:cs="Times New Roman"/>
                      <w:color w:val="auto"/>
                      <w:szCs w:val="21"/>
                      <w:lang w:val="en-US" w:eastAsia="zh-CN"/>
                    </w:rPr>
                    <w:t>。</w:t>
                  </w:r>
                  <w:r>
                    <w:rPr>
                      <w:rFonts w:hint="eastAsia" w:cs="Times New Roman"/>
                      <w:color w:val="auto"/>
                      <w:sz w:val="21"/>
                      <w:szCs w:val="21"/>
                      <w:highlight w:val="none"/>
                      <w:lang w:eastAsia="zh-CN"/>
                    </w:rPr>
                    <w:t>生产生活工区设2处简易防渗旱厕，</w:t>
                  </w:r>
                  <w:r>
                    <w:rPr>
                      <w:rFonts w:hint="eastAsia" w:cs="Times New Roman"/>
                      <w:color w:val="auto"/>
                      <w:sz w:val="21"/>
                      <w:szCs w:val="21"/>
                      <w:highlight w:val="none"/>
                      <w:lang w:val="en-US" w:eastAsia="zh-CN"/>
                    </w:rPr>
                    <w:t>经处理后用于周边土地施肥，</w:t>
                  </w:r>
                  <w:r>
                    <w:rPr>
                      <w:rFonts w:hint="eastAsia" w:cs="Times New Roman"/>
                      <w:color w:val="auto"/>
                      <w:sz w:val="21"/>
                      <w:szCs w:val="21"/>
                      <w:highlight w:val="none"/>
                      <w:lang w:eastAsia="zh-CN"/>
                    </w:rPr>
                    <w:t>待施工完毕将其拆除，洒上生石灰后作卫生填埋处理，视其情况填埋后可种上植被</w:t>
                  </w:r>
                </w:p>
              </w:tc>
              <w:tc>
                <w:tcPr>
                  <w:tcW w:w="538" w:type="pct"/>
                  <w:vMerge w:val="continue"/>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none"/>
                    </w:rPr>
                  </w:pPr>
                </w:p>
              </w:tc>
              <w:tc>
                <w:tcPr>
                  <w:tcW w:w="543" w:type="pct"/>
                  <w:vMerge w:val="continue"/>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27" w:type="pct"/>
                  <w:vMerge w:val="continue"/>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none"/>
                    </w:rPr>
                  </w:pPr>
                </w:p>
              </w:tc>
              <w:tc>
                <w:tcPr>
                  <w:tcW w:w="421" w:type="pct"/>
                  <w:gridSpan w:val="2"/>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噪声治理</w:t>
                  </w:r>
                </w:p>
              </w:tc>
              <w:tc>
                <w:tcPr>
                  <w:tcW w:w="3070" w:type="pct"/>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选用低噪声机械</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合理安排作业时间</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施工生产区临居民一侧</w:t>
                  </w:r>
                  <w:r>
                    <w:rPr>
                      <w:rFonts w:hint="default" w:ascii="Times New Roman" w:hAnsi="Times New Roman" w:eastAsia="宋体" w:cs="Times New Roman"/>
                      <w:color w:val="auto"/>
                      <w:sz w:val="21"/>
                      <w:szCs w:val="21"/>
                      <w:highlight w:val="none"/>
                    </w:rPr>
                    <w:t>设置</w:t>
                  </w:r>
                  <w:r>
                    <w:rPr>
                      <w:rFonts w:hint="default" w:ascii="Times New Roman" w:hAnsi="Times New Roman" w:eastAsia="宋体" w:cs="Times New Roman"/>
                      <w:color w:val="auto"/>
                      <w:sz w:val="21"/>
                      <w:szCs w:val="21"/>
                      <w:highlight w:val="none"/>
                      <w:lang w:val="en-US" w:eastAsia="zh-CN"/>
                    </w:rPr>
                    <w:t>了彩钢瓦结构</w:t>
                  </w:r>
                  <w:r>
                    <w:rPr>
                      <w:rFonts w:hint="default" w:ascii="Times New Roman" w:hAnsi="Times New Roman" w:eastAsia="宋体" w:cs="Times New Roman"/>
                      <w:color w:val="auto"/>
                      <w:sz w:val="21"/>
                      <w:szCs w:val="21"/>
                      <w:highlight w:val="none"/>
                    </w:rPr>
                    <w:t>围挡</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降低噪声污染</w:t>
                  </w:r>
                </w:p>
              </w:tc>
              <w:tc>
                <w:tcPr>
                  <w:tcW w:w="538" w:type="pct"/>
                  <w:vMerge w:val="continue"/>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red"/>
                    </w:rPr>
                  </w:pPr>
                </w:p>
              </w:tc>
              <w:tc>
                <w:tcPr>
                  <w:tcW w:w="543" w:type="pct"/>
                  <w:vMerge w:val="continue"/>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427" w:type="pct"/>
                  <w:vMerge w:val="continue"/>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none"/>
                    </w:rPr>
                  </w:pPr>
                </w:p>
              </w:tc>
              <w:tc>
                <w:tcPr>
                  <w:tcW w:w="421" w:type="pct"/>
                  <w:gridSpan w:val="2"/>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固废治理</w:t>
                  </w:r>
                </w:p>
              </w:tc>
              <w:tc>
                <w:tcPr>
                  <w:tcW w:w="3070" w:type="pct"/>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施工过程中产生的渣土须由相应运输企业资质，运营手续合法、齐全的公司承担，保证将弃土运至政府部门指定的弃土场</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沉淀池中的底泥</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弃渣回填</w:t>
                  </w:r>
                  <w:r>
                    <w:rPr>
                      <w:rFonts w:hint="eastAsia" w:cs="Times New Roman"/>
                      <w:color w:val="auto"/>
                      <w:sz w:val="21"/>
                      <w:szCs w:val="21"/>
                      <w:highlight w:val="none"/>
                      <w:lang w:val="en-US" w:eastAsia="zh-CN"/>
                    </w:rPr>
                    <w:t>，不能完全利用的运至指定渣场堆放，用于堤后回填、绿化，对弃渣堆放区设置截排水沟（195m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）+临时挡土墙（480m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）+沉砂池（2个）+彩条布（3600m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）临时措施；</w:t>
                  </w:r>
                  <w:r>
                    <w:rPr>
                      <w:rFonts w:hint="default" w:ascii="Times New Roman" w:hAnsi="Times New Roman" w:eastAsia="宋体" w:cs="Times New Roman"/>
                      <w:color w:val="auto"/>
                      <w:sz w:val="21"/>
                      <w:szCs w:val="21"/>
                      <w:highlight w:val="none"/>
                      <w:lang w:eastAsia="zh-CN"/>
                    </w:rPr>
                    <w:t>建筑垃圾回收利用，不能回收的运至市政指定建筑垃圾堆场；</w:t>
                  </w:r>
                  <w:r>
                    <w:rPr>
                      <w:rFonts w:hint="default" w:ascii="Times New Roman" w:hAnsi="Times New Roman" w:eastAsia="宋体" w:cs="Times New Roman"/>
                      <w:color w:val="auto"/>
                      <w:sz w:val="21"/>
                      <w:szCs w:val="21"/>
                      <w:highlight w:val="none"/>
                      <w:lang w:val="en-US" w:eastAsia="zh-CN"/>
                    </w:rPr>
                    <w:t>生活垃圾</w:t>
                  </w:r>
                  <w:r>
                    <w:rPr>
                      <w:rFonts w:hint="default" w:ascii="Times New Roman" w:hAnsi="Times New Roman" w:eastAsia="宋体" w:cs="Times New Roman"/>
                      <w:color w:val="auto"/>
                      <w:sz w:val="21"/>
                      <w:szCs w:val="21"/>
                      <w:highlight w:val="none"/>
                    </w:rPr>
                    <w:t>收集</w:t>
                  </w:r>
                  <w:r>
                    <w:rPr>
                      <w:rFonts w:hint="eastAsia" w:cs="Times New Roman"/>
                      <w:color w:val="auto"/>
                      <w:sz w:val="21"/>
                      <w:szCs w:val="21"/>
                      <w:highlight w:val="none"/>
                      <w:lang w:val="en-US" w:eastAsia="zh-CN"/>
                    </w:rPr>
                    <w:t>垃圾桶（3个）</w:t>
                  </w:r>
                  <w:r>
                    <w:rPr>
                      <w:rFonts w:hint="default" w:ascii="Times New Roman" w:hAnsi="Times New Roman" w:eastAsia="宋体" w:cs="Times New Roman"/>
                      <w:color w:val="auto"/>
                      <w:sz w:val="21"/>
                      <w:szCs w:val="21"/>
                      <w:highlight w:val="none"/>
                    </w:rPr>
                    <w:t>后由</w:t>
                  </w:r>
                  <w:r>
                    <w:rPr>
                      <w:rFonts w:hint="eastAsia" w:cs="Times New Roman"/>
                      <w:color w:val="auto"/>
                      <w:sz w:val="21"/>
                      <w:szCs w:val="21"/>
                      <w:highlight w:val="none"/>
                      <w:lang w:val="en-US" w:eastAsia="zh-CN"/>
                    </w:rPr>
                    <w:t>当地</w:t>
                  </w:r>
                  <w:r>
                    <w:rPr>
                      <w:rFonts w:hint="default" w:ascii="Times New Roman" w:hAnsi="Times New Roman" w:eastAsia="宋体" w:cs="Times New Roman"/>
                      <w:color w:val="auto"/>
                      <w:sz w:val="21"/>
                      <w:szCs w:val="21"/>
                      <w:highlight w:val="none"/>
                    </w:rPr>
                    <w:t>环卫部门统一清运</w:t>
                  </w:r>
                </w:p>
              </w:tc>
              <w:tc>
                <w:tcPr>
                  <w:tcW w:w="538" w:type="pct"/>
                  <w:vMerge w:val="continue"/>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red"/>
                    </w:rPr>
                  </w:pPr>
                </w:p>
              </w:tc>
              <w:tc>
                <w:tcPr>
                  <w:tcW w:w="543" w:type="pct"/>
                  <w:vMerge w:val="continue"/>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27" w:type="pct"/>
                  <w:vMerge w:val="continue"/>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red"/>
                    </w:rPr>
                  </w:pPr>
                </w:p>
              </w:tc>
              <w:tc>
                <w:tcPr>
                  <w:tcW w:w="421" w:type="pct"/>
                  <w:gridSpan w:val="2"/>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生态环境保护</w:t>
                  </w:r>
                </w:p>
              </w:tc>
              <w:tc>
                <w:tcPr>
                  <w:tcW w:w="3070" w:type="pct"/>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Fonts w:hint="default" w:ascii="Times New Roman" w:hAnsi="Times New Roman" w:eastAsia="宋体" w:cs="Times New Roman"/>
                      <w:color w:val="auto"/>
                      <w:sz w:val="21"/>
                      <w:szCs w:val="21"/>
                      <w:highlight w:val="none"/>
                      <w:lang w:val="en-US"/>
                    </w:rPr>
                  </w:pPr>
                  <w:r>
                    <w:rPr>
                      <w:rStyle w:val="48"/>
                      <w:rFonts w:hint="default" w:ascii="Times New Roman" w:hAnsi="Times New Roman" w:eastAsia="宋体" w:cs="Times New Roman"/>
                      <w:color w:val="auto"/>
                      <w:kern w:val="0"/>
                      <w:sz w:val="21"/>
                      <w:szCs w:val="21"/>
                      <w:highlight w:val="none"/>
                      <w:lang w:val="en-US" w:eastAsia="zh-CN" w:bidi="en-US"/>
                    </w:rPr>
                    <w:t>严禁</w:t>
                  </w:r>
                  <w:r>
                    <w:rPr>
                      <w:rStyle w:val="48"/>
                      <w:rFonts w:hint="default" w:ascii="Times New Roman" w:hAnsi="Times New Roman" w:eastAsia="宋体" w:cs="Times New Roman"/>
                      <w:color w:val="auto"/>
                      <w:kern w:val="0"/>
                      <w:sz w:val="21"/>
                      <w:szCs w:val="21"/>
                      <w:highlight w:val="none"/>
                      <w:lang w:eastAsia="zh-CN" w:bidi="en-US"/>
                    </w:rPr>
                    <w:t>地表裸露，加强建设过程中的文明施工管理，禁止野蛮施工，基础开挖、回填尽量避免在多雨季节进行，做好施工现场的防尘和水土保持措施，优化施工工序，缩短材料堆放及施工时间。涉水工程的实施应避开水生生物繁殖季节，加强宣传，设置水生生物保护警示牌，增强施工人员的环保意识。工程施工结束后，对沉淀池及导水渠进行填埋，利用表土进行覆盖和压实平整，进行迹地恢复，再根据周围环境的整体要求做绿化设计</w:t>
                  </w:r>
                  <w:r>
                    <w:rPr>
                      <w:rStyle w:val="48"/>
                      <w:rFonts w:hint="eastAsia" w:cs="Times New Roman"/>
                      <w:color w:val="auto"/>
                      <w:kern w:val="0"/>
                      <w:sz w:val="21"/>
                      <w:szCs w:val="21"/>
                      <w:highlight w:val="none"/>
                      <w:lang w:eastAsia="zh-CN" w:bidi="en-US"/>
                    </w:rPr>
                    <w:t>，</w:t>
                  </w:r>
                  <w:r>
                    <w:rPr>
                      <w:rStyle w:val="48"/>
                      <w:rFonts w:hint="eastAsia" w:cs="Times New Roman"/>
                      <w:color w:val="auto"/>
                      <w:kern w:val="0"/>
                      <w:sz w:val="21"/>
                      <w:szCs w:val="21"/>
                      <w:highlight w:val="none"/>
                      <w:lang w:val="en-US" w:eastAsia="zh-CN" w:bidi="en-US"/>
                    </w:rPr>
                    <w:t>同时</w:t>
                  </w:r>
                  <w:r>
                    <w:rPr>
                      <w:rFonts w:hint="eastAsia" w:cs="Times New Roman"/>
                      <w:color w:val="auto"/>
                      <w:szCs w:val="21"/>
                      <w:lang w:val="en-US" w:eastAsia="zh-CN"/>
                    </w:rPr>
                    <w:t>设置</w:t>
                  </w:r>
                  <w:r>
                    <w:rPr>
                      <w:rFonts w:hint="eastAsia" w:ascii="宋体" w:hAnsi="宋体" w:cs="宋体"/>
                      <w:color w:val="000000"/>
                      <w:kern w:val="0"/>
                      <w:szCs w:val="21"/>
                    </w:rPr>
                    <w:t>生态木制宣传栏</w:t>
                  </w:r>
                  <w:r>
                    <w:rPr>
                      <w:rFonts w:hint="eastAsia" w:ascii="宋体" w:hAnsi="宋体" w:cs="宋体"/>
                      <w:color w:val="000000"/>
                      <w:kern w:val="0"/>
                      <w:szCs w:val="21"/>
                      <w:lang w:eastAsia="zh-CN"/>
                    </w:rPr>
                    <w:t>、洒水机具、警示牌</w:t>
                  </w:r>
                  <w:r>
                    <w:rPr>
                      <w:rFonts w:hint="eastAsia" w:ascii="宋体" w:hAnsi="宋体" w:cs="宋体"/>
                      <w:color w:val="000000"/>
                      <w:kern w:val="0"/>
                      <w:szCs w:val="21"/>
                      <w:lang w:val="en-US" w:eastAsia="zh-CN"/>
                    </w:rPr>
                    <w:t>等</w:t>
                  </w:r>
                </w:p>
              </w:tc>
              <w:tc>
                <w:tcPr>
                  <w:tcW w:w="538" w:type="pct"/>
                  <w:vMerge w:val="continue"/>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Style w:val="48"/>
                      <w:rFonts w:hint="default" w:ascii="Times New Roman" w:hAnsi="Times New Roman" w:eastAsia="宋体" w:cs="Times New Roman"/>
                      <w:color w:val="auto"/>
                      <w:kern w:val="0"/>
                      <w:sz w:val="21"/>
                      <w:szCs w:val="21"/>
                      <w:highlight w:val="red"/>
                      <w:lang w:val="en-US" w:eastAsia="zh-CN" w:bidi="en-US"/>
                    </w:rPr>
                  </w:pPr>
                </w:p>
              </w:tc>
              <w:tc>
                <w:tcPr>
                  <w:tcW w:w="543" w:type="pct"/>
                  <w:vMerge w:val="continue"/>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ind w:firstLine="0" w:firstLineChars="0"/>
                    <w:jc w:val="center"/>
                    <w:textAlignment w:val="auto"/>
                    <w:rPr>
                      <w:rStyle w:val="48"/>
                      <w:rFonts w:hint="default" w:ascii="Times New Roman" w:hAnsi="Times New Roman" w:eastAsia="宋体" w:cs="Times New Roman"/>
                      <w:color w:val="auto"/>
                      <w:kern w:val="0"/>
                      <w:sz w:val="21"/>
                      <w:szCs w:val="21"/>
                      <w:highlight w:val="red"/>
                      <w:lang w:val="en-US" w:eastAsia="zh-CN" w:bidi="en-US"/>
                    </w:rPr>
                  </w:pPr>
                </w:p>
              </w:tc>
            </w:tr>
          </w:tbl>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b/>
                <w:bCs/>
                <w:color w:val="auto"/>
                <w:kern w:val="0"/>
                <w:sz w:val="21"/>
                <w:szCs w:val="21"/>
                <w:lang w:val="en-US" w:eastAsia="zh-CN"/>
              </w:rPr>
              <w:t xml:space="preserve">表2-2  </w:t>
            </w:r>
            <w:r>
              <w:rPr>
                <w:rFonts w:hint="default" w:ascii="Times New Roman" w:hAnsi="Times New Roman" w:eastAsia="宋体" w:cs="Times New Roman"/>
                <w:b/>
                <w:bCs/>
                <w:color w:val="auto"/>
                <w:kern w:val="0"/>
                <w:sz w:val="21"/>
                <w:szCs w:val="21"/>
              </w:rPr>
              <w:t>工程特性表</w:t>
            </w:r>
          </w:p>
          <w:tbl>
            <w:tblPr>
              <w:tblStyle w:val="41"/>
              <w:tblW w:w="4994" w:type="pct"/>
              <w:tblInd w:w="0" w:type="dxa"/>
              <w:shd w:val="clear" w:color="auto" w:fill="FFFFFF"/>
              <w:tblLayout w:type="autofit"/>
              <w:tblCellMar>
                <w:top w:w="0" w:type="dxa"/>
                <w:left w:w="108" w:type="dxa"/>
                <w:bottom w:w="0" w:type="dxa"/>
                <w:right w:w="108" w:type="dxa"/>
              </w:tblCellMar>
            </w:tblPr>
            <w:tblGrid>
              <w:gridCol w:w="650"/>
              <w:gridCol w:w="679"/>
              <w:gridCol w:w="2081"/>
              <w:gridCol w:w="422"/>
              <w:gridCol w:w="1907"/>
              <w:gridCol w:w="2187"/>
              <w:gridCol w:w="575"/>
              <w:gridCol w:w="540"/>
            </w:tblGrid>
            <w:tr>
              <w:tblPrEx>
                <w:shd w:val="clear" w:color="auto" w:fill="FFFFFF"/>
                <w:tblCellMar>
                  <w:top w:w="0" w:type="dxa"/>
                  <w:left w:w="108" w:type="dxa"/>
                  <w:bottom w:w="0" w:type="dxa"/>
                  <w:right w:w="108" w:type="dxa"/>
                </w:tblCellMar>
              </w:tblPrEx>
              <w:trPr>
                <w:trHeight w:val="300" w:hRule="atLeast"/>
              </w:trPr>
              <w:tc>
                <w:tcPr>
                  <w:tcW w:w="360" w:type="pct"/>
                  <w:vMerge w:val="restart"/>
                  <w:tcBorders>
                    <w:top w:val="single" w:color="auto" w:sz="8" w:space="0"/>
                    <w:left w:val="single" w:color="auto" w:sz="8" w:space="0"/>
                    <w:bottom w:val="single" w:color="000000"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项目基本情况</w:t>
                  </w:r>
                </w:p>
              </w:tc>
              <w:tc>
                <w:tcPr>
                  <w:tcW w:w="1518" w:type="pct"/>
                  <w:gridSpan w:val="2"/>
                  <w:tcBorders>
                    <w:top w:val="single" w:color="auto" w:sz="8" w:space="0"/>
                    <w:left w:val="nil"/>
                    <w:bottom w:val="single" w:color="auto" w:sz="8" w:space="0"/>
                    <w:right w:val="single" w:color="000000"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项目名称</w:t>
                  </w:r>
                </w:p>
              </w:tc>
              <w:tc>
                <w:tcPr>
                  <w:tcW w:w="3121" w:type="pct"/>
                  <w:gridSpan w:val="5"/>
                  <w:tcBorders>
                    <w:top w:val="single" w:color="auto" w:sz="8" w:space="0"/>
                    <w:left w:val="nil"/>
                    <w:bottom w:val="single" w:color="auto" w:sz="8" w:space="0"/>
                    <w:right w:val="single" w:color="000000" w:sz="8" w:space="0"/>
                  </w:tcBorders>
                  <w:shd w:val="clear" w:color="auto" w:fill="FFFFFF"/>
                  <w:noWrap/>
                  <w:vAlign w:val="center"/>
                </w:tcPr>
                <w:p>
                  <w:pPr>
                    <w:widowControl/>
                    <w:jc w:val="center"/>
                    <w:rPr>
                      <w:rFonts w:ascii="Times New Roman" w:hAnsi="Times New Roman"/>
                      <w:kern w:val="0"/>
                      <w:szCs w:val="21"/>
                    </w:rPr>
                  </w:pPr>
                  <w:r>
                    <w:rPr>
                      <w:rFonts w:hint="eastAsia"/>
                      <w:kern w:val="0"/>
                      <w:szCs w:val="21"/>
                      <w:lang w:val="en-US" w:eastAsia="zh-CN"/>
                    </w:rPr>
                    <w:t>四川省</w:t>
                  </w:r>
                  <w:r>
                    <w:rPr>
                      <w:rFonts w:ascii="Times New Roman" w:hAnsi="Times New Roman"/>
                      <w:kern w:val="0"/>
                      <w:szCs w:val="21"/>
                    </w:rPr>
                    <w:t>乐山市中区平兴镇临江河防洪治理工程</w:t>
                  </w:r>
                </w:p>
              </w:tc>
            </w:tr>
            <w:tr>
              <w:tblPrEx>
                <w:shd w:val="clear" w:color="auto" w:fill="FFFFFF"/>
                <w:tblCellMar>
                  <w:top w:w="0" w:type="dxa"/>
                  <w:left w:w="108" w:type="dxa"/>
                  <w:bottom w:w="0" w:type="dxa"/>
                  <w:right w:w="108" w:type="dxa"/>
                </w:tblCellMar>
              </w:tblPrEx>
              <w:trPr>
                <w:trHeight w:val="300" w:hRule="atLeast"/>
              </w:trPr>
              <w:tc>
                <w:tcPr>
                  <w:tcW w:w="360" w:type="pct"/>
                  <w:vMerge w:val="continue"/>
                  <w:tcBorders>
                    <w:top w:val="single" w:color="auto" w:sz="8" w:space="0"/>
                    <w:left w:val="single" w:color="auto" w:sz="8" w:space="0"/>
                    <w:bottom w:val="single" w:color="000000" w:sz="8" w:space="0"/>
                    <w:right w:val="single" w:color="auto" w:sz="8" w:space="0"/>
                  </w:tcBorders>
                  <w:shd w:val="clear" w:color="auto" w:fill="FFFFFF"/>
                  <w:noWrap w:val="0"/>
                  <w:vAlign w:val="center"/>
                </w:tcPr>
                <w:p>
                  <w:pPr>
                    <w:widowControl/>
                    <w:jc w:val="left"/>
                    <w:rPr>
                      <w:rFonts w:ascii="Times New Roman" w:hAnsi="Times New Roman"/>
                      <w:kern w:val="0"/>
                      <w:szCs w:val="21"/>
                    </w:rPr>
                  </w:pPr>
                </w:p>
              </w:tc>
              <w:tc>
                <w:tcPr>
                  <w:tcW w:w="1518" w:type="pct"/>
                  <w:gridSpan w:val="2"/>
                  <w:tcBorders>
                    <w:top w:val="single" w:color="auto" w:sz="8" w:space="0"/>
                    <w:left w:val="nil"/>
                    <w:bottom w:val="single" w:color="auto" w:sz="8" w:space="0"/>
                    <w:right w:val="single" w:color="000000"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所在河流</w:t>
                  </w:r>
                </w:p>
              </w:tc>
              <w:tc>
                <w:tcPr>
                  <w:tcW w:w="3121" w:type="pct"/>
                  <w:gridSpan w:val="5"/>
                  <w:tcBorders>
                    <w:top w:val="single" w:color="auto" w:sz="8" w:space="0"/>
                    <w:left w:val="nil"/>
                    <w:bottom w:val="single" w:color="auto" w:sz="8" w:space="0"/>
                    <w:right w:val="single" w:color="000000"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临江河</w:t>
                  </w:r>
                </w:p>
              </w:tc>
            </w:tr>
            <w:tr>
              <w:tblPrEx>
                <w:shd w:val="clear" w:color="auto" w:fill="FFFFFF"/>
                <w:tblCellMar>
                  <w:top w:w="0" w:type="dxa"/>
                  <w:left w:w="108" w:type="dxa"/>
                  <w:bottom w:w="0" w:type="dxa"/>
                  <w:right w:w="108" w:type="dxa"/>
                </w:tblCellMar>
              </w:tblPrEx>
              <w:trPr>
                <w:trHeight w:val="300" w:hRule="atLeast"/>
              </w:trPr>
              <w:tc>
                <w:tcPr>
                  <w:tcW w:w="360" w:type="pct"/>
                  <w:vMerge w:val="continue"/>
                  <w:tcBorders>
                    <w:top w:val="single" w:color="auto" w:sz="8" w:space="0"/>
                    <w:left w:val="single" w:color="auto" w:sz="8" w:space="0"/>
                    <w:bottom w:val="single" w:color="000000" w:sz="8" w:space="0"/>
                    <w:right w:val="single" w:color="auto" w:sz="8" w:space="0"/>
                  </w:tcBorders>
                  <w:shd w:val="clear" w:color="auto" w:fill="FFFFFF"/>
                  <w:noWrap w:val="0"/>
                  <w:vAlign w:val="center"/>
                </w:tcPr>
                <w:p>
                  <w:pPr>
                    <w:widowControl/>
                    <w:jc w:val="left"/>
                    <w:rPr>
                      <w:rFonts w:ascii="Times New Roman" w:hAnsi="Times New Roman"/>
                      <w:kern w:val="0"/>
                      <w:szCs w:val="21"/>
                    </w:rPr>
                  </w:pPr>
                </w:p>
              </w:tc>
              <w:tc>
                <w:tcPr>
                  <w:tcW w:w="1518" w:type="pct"/>
                  <w:gridSpan w:val="2"/>
                  <w:tcBorders>
                    <w:top w:val="single" w:color="auto" w:sz="8" w:space="0"/>
                    <w:left w:val="nil"/>
                    <w:bottom w:val="single" w:color="auto" w:sz="8" w:space="0"/>
                    <w:right w:val="single" w:color="000000"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所在县级行政区</w:t>
                  </w:r>
                </w:p>
              </w:tc>
              <w:tc>
                <w:tcPr>
                  <w:tcW w:w="1288" w:type="pct"/>
                  <w:gridSpan w:val="2"/>
                  <w:tcBorders>
                    <w:top w:val="single" w:color="auto" w:sz="8" w:space="0"/>
                    <w:left w:val="nil"/>
                    <w:bottom w:val="single" w:color="auto" w:sz="8" w:space="0"/>
                    <w:right w:val="single" w:color="000000"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市中区</w:t>
                  </w:r>
                </w:p>
              </w:tc>
              <w:tc>
                <w:tcPr>
                  <w:tcW w:w="1226" w:type="pct"/>
                  <w:tcBorders>
                    <w:top w:val="nil"/>
                    <w:left w:val="nil"/>
                    <w:bottom w:val="single" w:color="auto" w:sz="8" w:space="0"/>
                    <w:right w:val="single" w:color="auto"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项目分类</w:t>
                  </w:r>
                </w:p>
              </w:tc>
              <w:tc>
                <w:tcPr>
                  <w:tcW w:w="606" w:type="pct"/>
                  <w:gridSpan w:val="2"/>
                  <w:tcBorders>
                    <w:top w:val="single" w:color="auto" w:sz="8" w:space="0"/>
                    <w:left w:val="nil"/>
                    <w:bottom w:val="single" w:color="auto" w:sz="8" w:space="0"/>
                    <w:right w:val="single" w:color="000000"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防洪</w:t>
                  </w:r>
                </w:p>
              </w:tc>
            </w:tr>
            <w:tr>
              <w:tblPrEx>
                <w:shd w:val="clear" w:color="auto" w:fill="FFFFFF"/>
                <w:tblCellMar>
                  <w:top w:w="0" w:type="dxa"/>
                  <w:left w:w="108" w:type="dxa"/>
                  <w:bottom w:w="0" w:type="dxa"/>
                  <w:right w:w="108" w:type="dxa"/>
                </w:tblCellMar>
              </w:tblPrEx>
              <w:trPr>
                <w:trHeight w:val="300" w:hRule="atLeast"/>
              </w:trPr>
              <w:tc>
                <w:tcPr>
                  <w:tcW w:w="360" w:type="pct"/>
                  <w:vMerge w:val="continue"/>
                  <w:tcBorders>
                    <w:top w:val="single" w:color="auto" w:sz="8" w:space="0"/>
                    <w:left w:val="single" w:color="auto" w:sz="8" w:space="0"/>
                    <w:bottom w:val="single" w:color="000000" w:sz="8" w:space="0"/>
                    <w:right w:val="single" w:color="auto" w:sz="8" w:space="0"/>
                  </w:tcBorders>
                  <w:shd w:val="clear" w:color="auto" w:fill="FFFFFF"/>
                  <w:noWrap w:val="0"/>
                  <w:vAlign w:val="center"/>
                </w:tcPr>
                <w:p>
                  <w:pPr>
                    <w:widowControl/>
                    <w:jc w:val="left"/>
                    <w:rPr>
                      <w:rFonts w:ascii="Times New Roman" w:hAnsi="Times New Roman"/>
                      <w:kern w:val="0"/>
                      <w:szCs w:val="21"/>
                    </w:rPr>
                  </w:pPr>
                </w:p>
              </w:tc>
              <w:tc>
                <w:tcPr>
                  <w:tcW w:w="1518" w:type="pct"/>
                  <w:gridSpan w:val="2"/>
                  <w:tcBorders>
                    <w:top w:val="single" w:color="auto" w:sz="8" w:space="0"/>
                    <w:left w:val="nil"/>
                    <w:bottom w:val="single" w:color="auto" w:sz="8" w:space="0"/>
                    <w:right w:val="single" w:color="000000"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项目所在地流域面积（km2）</w:t>
                  </w:r>
                </w:p>
              </w:tc>
              <w:tc>
                <w:tcPr>
                  <w:tcW w:w="1288" w:type="pct"/>
                  <w:gridSpan w:val="2"/>
                  <w:tcBorders>
                    <w:top w:val="single" w:color="auto" w:sz="8" w:space="0"/>
                    <w:left w:val="nil"/>
                    <w:bottom w:val="single" w:color="auto" w:sz="8" w:space="0"/>
                    <w:right w:val="single" w:color="000000"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297</w:t>
                  </w:r>
                </w:p>
              </w:tc>
              <w:tc>
                <w:tcPr>
                  <w:tcW w:w="1226" w:type="pct"/>
                  <w:tcBorders>
                    <w:top w:val="nil"/>
                    <w:left w:val="nil"/>
                    <w:bottom w:val="single" w:color="auto" w:sz="8" w:space="0"/>
                    <w:right w:val="single" w:color="auto"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前期工作深度</w:t>
                  </w:r>
                </w:p>
              </w:tc>
              <w:tc>
                <w:tcPr>
                  <w:tcW w:w="606" w:type="pct"/>
                  <w:gridSpan w:val="2"/>
                  <w:tcBorders>
                    <w:top w:val="single" w:color="auto" w:sz="8" w:space="0"/>
                    <w:left w:val="nil"/>
                    <w:bottom w:val="single" w:color="auto" w:sz="8" w:space="0"/>
                    <w:right w:val="single" w:color="000000"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初设</w:t>
                  </w:r>
                </w:p>
              </w:tc>
            </w:tr>
            <w:tr>
              <w:tblPrEx>
                <w:shd w:val="clear" w:color="auto" w:fill="FFFFFF"/>
                <w:tblCellMar>
                  <w:top w:w="0" w:type="dxa"/>
                  <w:left w:w="108" w:type="dxa"/>
                  <w:bottom w:w="0" w:type="dxa"/>
                  <w:right w:w="108" w:type="dxa"/>
                </w:tblCellMar>
              </w:tblPrEx>
              <w:trPr>
                <w:trHeight w:val="300" w:hRule="atLeast"/>
              </w:trPr>
              <w:tc>
                <w:tcPr>
                  <w:tcW w:w="360" w:type="pct"/>
                  <w:vMerge w:val="continue"/>
                  <w:tcBorders>
                    <w:top w:val="single" w:color="auto" w:sz="8" w:space="0"/>
                    <w:left w:val="single" w:color="auto" w:sz="8" w:space="0"/>
                    <w:bottom w:val="single" w:color="000000" w:sz="8" w:space="0"/>
                    <w:right w:val="single" w:color="auto" w:sz="8" w:space="0"/>
                  </w:tcBorders>
                  <w:shd w:val="clear" w:color="auto" w:fill="FFFFFF"/>
                  <w:noWrap w:val="0"/>
                  <w:vAlign w:val="center"/>
                </w:tcPr>
                <w:p>
                  <w:pPr>
                    <w:widowControl/>
                    <w:jc w:val="left"/>
                    <w:rPr>
                      <w:rFonts w:ascii="Times New Roman" w:hAnsi="Times New Roman"/>
                      <w:kern w:val="0"/>
                      <w:szCs w:val="21"/>
                    </w:rPr>
                  </w:pPr>
                </w:p>
              </w:tc>
              <w:tc>
                <w:tcPr>
                  <w:tcW w:w="1518" w:type="pct"/>
                  <w:gridSpan w:val="2"/>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保护人口（万人）</w:t>
                  </w:r>
                </w:p>
              </w:tc>
              <w:tc>
                <w:tcPr>
                  <w:tcW w:w="1288" w:type="pct"/>
                  <w:gridSpan w:val="2"/>
                  <w:tcBorders>
                    <w:top w:val="single" w:color="auto" w:sz="8" w:space="0"/>
                    <w:left w:val="nil"/>
                    <w:bottom w:val="single" w:color="auto" w:sz="8" w:space="0"/>
                    <w:right w:val="single" w:color="000000"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0.3</w:t>
                  </w:r>
                </w:p>
              </w:tc>
              <w:tc>
                <w:tcPr>
                  <w:tcW w:w="1226" w:type="pct"/>
                  <w:tcBorders>
                    <w:top w:val="nil"/>
                    <w:left w:val="nil"/>
                    <w:bottom w:val="single" w:color="auto" w:sz="8" w:space="0"/>
                    <w:right w:val="single" w:color="auto"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保护面积（万亩）</w:t>
                  </w:r>
                </w:p>
              </w:tc>
              <w:tc>
                <w:tcPr>
                  <w:tcW w:w="606" w:type="pct"/>
                  <w:gridSpan w:val="2"/>
                  <w:tcBorders>
                    <w:top w:val="single" w:color="auto" w:sz="8" w:space="0"/>
                    <w:left w:val="nil"/>
                    <w:bottom w:val="single" w:color="auto" w:sz="8" w:space="0"/>
                    <w:right w:val="single" w:color="000000"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0.5</w:t>
                  </w:r>
                </w:p>
              </w:tc>
            </w:tr>
            <w:tr>
              <w:tblPrEx>
                <w:shd w:val="clear" w:color="auto" w:fill="FFFFFF"/>
                <w:tblCellMar>
                  <w:top w:w="0" w:type="dxa"/>
                  <w:left w:w="108" w:type="dxa"/>
                  <w:bottom w:w="0" w:type="dxa"/>
                  <w:right w:w="108" w:type="dxa"/>
                </w:tblCellMar>
              </w:tblPrEx>
              <w:trPr>
                <w:trHeight w:val="300" w:hRule="atLeast"/>
              </w:trPr>
              <w:tc>
                <w:tcPr>
                  <w:tcW w:w="360" w:type="pct"/>
                  <w:vMerge w:val="continue"/>
                  <w:tcBorders>
                    <w:top w:val="single" w:color="auto" w:sz="8" w:space="0"/>
                    <w:left w:val="single" w:color="auto" w:sz="8" w:space="0"/>
                    <w:bottom w:val="single" w:color="000000" w:sz="8" w:space="0"/>
                    <w:right w:val="single" w:color="auto" w:sz="8" w:space="0"/>
                  </w:tcBorders>
                  <w:shd w:val="clear" w:color="auto" w:fill="FFFFFF"/>
                  <w:noWrap w:val="0"/>
                  <w:vAlign w:val="center"/>
                </w:tcPr>
                <w:p>
                  <w:pPr>
                    <w:widowControl/>
                    <w:jc w:val="left"/>
                    <w:rPr>
                      <w:rFonts w:ascii="Times New Roman" w:hAnsi="Times New Roman"/>
                      <w:kern w:val="0"/>
                      <w:szCs w:val="21"/>
                    </w:rPr>
                  </w:pPr>
                </w:p>
              </w:tc>
              <w:tc>
                <w:tcPr>
                  <w:tcW w:w="1518" w:type="pct"/>
                  <w:gridSpan w:val="2"/>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受益面积（万亩）</w:t>
                  </w:r>
                </w:p>
              </w:tc>
              <w:tc>
                <w:tcPr>
                  <w:tcW w:w="1288" w:type="pct"/>
                  <w:gridSpan w:val="2"/>
                  <w:tcBorders>
                    <w:top w:val="single" w:color="auto" w:sz="8" w:space="0"/>
                    <w:left w:val="nil"/>
                    <w:bottom w:val="single" w:color="auto" w:sz="8" w:space="0"/>
                    <w:right w:val="single" w:color="000000"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0.45</w:t>
                  </w:r>
                </w:p>
              </w:tc>
              <w:tc>
                <w:tcPr>
                  <w:tcW w:w="1226" w:type="pct"/>
                  <w:tcBorders>
                    <w:top w:val="nil"/>
                    <w:left w:val="nil"/>
                    <w:bottom w:val="single" w:color="auto" w:sz="8" w:space="0"/>
                    <w:right w:val="single" w:color="auto"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工程等别</w:t>
                  </w:r>
                </w:p>
              </w:tc>
              <w:tc>
                <w:tcPr>
                  <w:tcW w:w="606" w:type="pct"/>
                  <w:gridSpan w:val="2"/>
                  <w:tcBorders>
                    <w:top w:val="single" w:color="auto" w:sz="8" w:space="0"/>
                    <w:left w:val="nil"/>
                    <w:bottom w:val="single" w:color="auto" w:sz="8" w:space="0"/>
                    <w:right w:val="single" w:color="000000"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V</w:t>
                  </w:r>
                </w:p>
              </w:tc>
            </w:tr>
            <w:tr>
              <w:tblPrEx>
                <w:shd w:val="clear" w:color="auto" w:fill="FFFFFF"/>
                <w:tblCellMar>
                  <w:top w:w="0" w:type="dxa"/>
                  <w:left w:w="108" w:type="dxa"/>
                  <w:bottom w:w="0" w:type="dxa"/>
                  <w:right w:w="108" w:type="dxa"/>
                </w:tblCellMar>
              </w:tblPrEx>
              <w:trPr>
                <w:trHeight w:val="300" w:hRule="atLeast"/>
              </w:trPr>
              <w:tc>
                <w:tcPr>
                  <w:tcW w:w="360" w:type="pct"/>
                  <w:vMerge w:val="continue"/>
                  <w:tcBorders>
                    <w:top w:val="single" w:color="auto" w:sz="8" w:space="0"/>
                    <w:left w:val="single" w:color="auto" w:sz="8" w:space="0"/>
                    <w:bottom w:val="single" w:color="000000" w:sz="8" w:space="0"/>
                    <w:right w:val="single" w:color="auto" w:sz="8" w:space="0"/>
                  </w:tcBorders>
                  <w:shd w:val="clear" w:color="auto" w:fill="FFFFFF"/>
                  <w:noWrap w:val="0"/>
                  <w:vAlign w:val="center"/>
                </w:tcPr>
                <w:p>
                  <w:pPr>
                    <w:widowControl/>
                    <w:jc w:val="left"/>
                    <w:rPr>
                      <w:rFonts w:ascii="Times New Roman" w:hAnsi="Times New Roman"/>
                      <w:kern w:val="0"/>
                      <w:szCs w:val="21"/>
                    </w:rPr>
                  </w:pPr>
                </w:p>
              </w:tc>
              <w:tc>
                <w:tcPr>
                  <w:tcW w:w="1518" w:type="pct"/>
                  <w:gridSpan w:val="2"/>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治理标准</w:t>
                  </w:r>
                </w:p>
              </w:tc>
              <w:tc>
                <w:tcPr>
                  <w:tcW w:w="1288" w:type="pct"/>
                  <w:gridSpan w:val="2"/>
                  <w:tcBorders>
                    <w:top w:val="single" w:color="auto" w:sz="8" w:space="0"/>
                    <w:left w:val="nil"/>
                    <w:bottom w:val="single" w:color="auto" w:sz="8" w:space="0"/>
                    <w:right w:val="single" w:color="000000" w:sz="8" w:space="0"/>
                  </w:tcBorders>
                  <w:shd w:val="clear" w:color="auto" w:fill="FFFFFF"/>
                  <w:noWrap/>
                  <w:vAlign w:val="center"/>
                </w:tcPr>
                <w:p>
                  <w:pPr>
                    <w:widowControl/>
                    <w:jc w:val="center"/>
                    <w:rPr>
                      <w:rFonts w:ascii="Times New Roman" w:hAnsi="Times New Roman"/>
                      <w:kern w:val="0"/>
                      <w:szCs w:val="21"/>
                    </w:rPr>
                  </w:pPr>
                  <w:r>
                    <w:rPr>
                      <w:rFonts w:hint="eastAsia" w:ascii="Times New Roman" w:hAnsi="Times New Roman"/>
                      <w:kern w:val="0"/>
                      <w:szCs w:val="21"/>
                    </w:rPr>
                    <w:t>游坝</w:t>
                  </w:r>
                  <w:r>
                    <w:rPr>
                      <w:rFonts w:ascii="Times New Roman" w:hAnsi="Times New Roman"/>
                      <w:kern w:val="0"/>
                      <w:szCs w:val="21"/>
                    </w:rPr>
                    <w:t>10年一遇</w:t>
                  </w:r>
                  <w:r>
                    <w:rPr>
                      <w:rFonts w:hint="eastAsia" w:ascii="Times New Roman" w:hAnsi="Times New Roman"/>
                      <w:kern w:val="0"/>
                      <w:szCs w:val="21"/>
                    </w:rPr>
                    <w:t>，三圣村5年一遇</w:t>
                  </w:r>
                </w:p>
              </w:tc>
              <w:tc>
                <w:tcPr>
                  <w:tcW w:w="1226" w:type="pct"/>
                  <w:tcBorders>
                    <w:top w:val="nil"/>
                    <w:left w:val="nil"/>
                    <w:bottom w:val="single" w:color="auto" w:sz="8" w:space="0"/>
                    <w:right w:val="single" w:color="auto"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工程综合治理长度（km）</w:t>
                  </w:r>
                </w:p>
              </w:tc>
              <w:tc>
                <w:tcPr>
                  <w:tcW w:w="606" w:type="pct"/>
                  <w:gridSpan w:val="2"/>
                  <w:tcBorders>
                    <w:top w:val="single" w:color="auto" w:sz="8" w:space="0"/>
                    <w:left w:val="nil"/>
                    <w:bottom w:val="single" w:color="auto" w:sz="8" w:space="0"/>
                    <w:right w:val="single" w:color="000000"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6.27</w:t>
                  </w:r>
                </w:p>
              </w:tc>
            </w:tr>
            <w:tr>
              <w:tblPrEx>
                <w:shd w:val="clear" w:color="auto" w:fill="FFFFFF"/>
                <w:tblCellMar>
                  <w:top w:w="0" w:type="dxa"/>
                  <w:left w:w="108" w:type="dxa"/>
                  <w:bottom w:w="0" w:type="dxa"/>
                  <w:right w:w="108" w:type="dxa"/>
                </w:tblCellMar>
              </w:tblPrEx>
              <w:trPr>
                <w:trHeight w:val="300" w:hRule="atLeast"/>
              </w:trPr>
              <w:tc>
                <w:tcPr>
                  <w:tcW w:w="360" w:type="pct"/>
                  <w:vMerge w:val="continue"/>
                  <w:tcBorders>
                    <w:top w:val="single" w:color="auto" w:sz="8" w:space="0"/>
                    <w:left w:val="single" w:color="auto" w:sz="8" w:space="0"/>
                    <w:bottom w:val="single" w:color="000000" w:sz="8" w:space="0"/>
                    <w:right w:val="single" w:color="auto" w:sz="8" w:space="0"/>
                  </w:tcBorders>
                  <w:shd w:val="clear" w:color="auto" w:fill="FFFFFF"/>
                  <w:noWrap w:val="0"/>
                  <w:vAlign w:val="center"/>
                </w:tcPr>
                <w:p>
                  <w:pPr>
                    <w:widowControl/>
                    <w:jc w:val="left"/>
                    <w:rPr>
                      <w:rFonts w:ascii="Times New Roman" w:hAnsi="Times New Roman"/>
                      <w:kern w:val="0"/>
                      <w:szCs w:val="21"/>
                    </w:rPr>
                  </w:pPr>
                </w:p>
              </w:tc>
              <w:tc>
                <w:tcPr>
                  <w:tcW w:w="1518" w:type="pct"/>
                  <w:gridSpan w:val="2"/>
                  <w:vMerge w:val="restart"/>
                  <w:tcBorders>
                    <w:top w:val="single" w:color="auto" w:sz="8" w:space="0"/>
                    <w:left w:val="single" w:color="auto" w:sz="8" w:space="0"/>
                    <w:bottom w:val="single" w:color="000000" w:sz="8" w:space="0"/>
                    <w:right w:val="single" w:color="000000"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堤型</w:t>
                  </w:r>
                </w:p>
              </w:tc>
              <w:tc>
                <w:tcPr>
                  <w:tcW w:w="1288" w:type="pct"/>
                  <w:gridSpan w:val="2"/>
                  <w:vMerge w:val="restart"/>
                  <w:tcBorders>
                    <w:top w:val="single" w:color="auto" w:sz="8" w:space="0"/>
                    <w:left w:val="single" w:color="auto" w:sz="8" w:space="0"/>
                    <w:bottom w:val="single" w:color="000000" w:sz="8" w:space="0"/>
                    <w:right w:val="single" w:color="000000"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斜坡式</w:t>
                  </w:r>
                </w:p>
              </w:tc>
              <w:tc>
                <w:tcPr>
                  <w:tcW w:w="1226" w:type="pct"/>
                  <w:vMerge w:val="restart"/>
                  <w:tcBorders>
                    <w:top w:val="nil"/>
                    <w:left w:val="single" w:color="auto" w:sz="8" w:space="0"/>
                    <w:bottom w:val="single" w:color="000000"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生态堤防</w:t>
                  </w:r>
                </w:p>
              </w:tc>
              <w:tc>
                <w:tcPr>
                  <w:tcW w:w="315"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是</w:t>
                  </w:r>
                </w:p>
              </w:tc>
              <w:tc>
                <w:tcPr>
                  <w:tcW w:w="291"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sym w:font="Wingdings" w:char="F0FC"/>
                  </w:r>
                </w:p>
              </w:tc>
            </w:tr>
            <w:tr>
              <w:tblPrEx>
                <w:shd w:val="clear" w:color="auto" w:fill="FFFFFF"/>
                <w:tblCellMar>
                  <w:top w:w="0" w:type="dxa"/>
                  <w:left w:w="108" w:type="dxa"/>
                  <w:bottom w:w="0" w:type="dxa"/>
                  <w:right w:w="108" w:type="dxa"/>
                </w:tblCellMar>
              </w:tblPrEx>
              <w:trPr>
                <w:trHeight w:val="300" w:hRule="atLeast"/>
              </w:trPr>
              <w:tc>
                <w:tcPr>
                  <w:tcW w:w="360" w:type="pct"/>
                  <w:vMerge w:val="continue"/>
                  <w:tcBorders>
                    <w:top w:val="single" w:color="auto" w:sz="8" w:space="0"/>
                    <w:left w:val="single" w:color="auto" w:sz="8" w:space="0"/>
                    <w:bottom w:val="single" w:color="000000" w:sz="8" w:space="0"/>
                    <w:right w:val="single" w:color="auto" w:sz="8" w:space="0"/>
                  </w:tcBorders>
                  <w:shd w:val="clear" w:color="auto" w:fill="FFFFFF"/>
                  <w:noWrap w:val="0"/>
                  <w:vAlign w:val="center"/>
                </w:tcPr>
                <w:p>
                  <w:pPr>
                    <w:widowControl/>
                    <w:jc w:val="left"/>
                    <w:rPr>
                      <w:rFonts w:ascii="Times New Roman" w:hAnsi="Times New Roman"/>
                      <w:kern w:val="0"/>
                      <w:szCs w:val="21"/>
                    </w:rPr>
                  </w:pPr>
                </w:p>
              </w:tc>
              <w:tc>
                <w:tcPr>
                  <w:tcW w:w="1518" w:type="pct"/>
                  <w:gridSpan w:val="2"/>
                  <w:vMerge w:val="continue"/>
                  <w:tcBorders>
                    <w:top w:val="single" w:color="auto" w:sz="8" w:space="0"/>
                    <w:left w:val="single" w:color="auto" w:sz="8" w:space="0"/>
                    <w:bottom w:val="single" w:color="000000" w:sz="8" w:space="0"/>
                    <w:right w:val="single" w:color="000000" w:sz="8" w:space="0"/>
                  </w:tcBorders>
                  <w:shd w:val="clear" w:color="auto" w:fill="FFFFFF"/>
                  <w:noWrap w:val="0"/>
                  <w:vAlign w:val="center"/>
                </w:tcPr>
                <w:p>
                  <w:pPr>
                    <w:widowControl/>
                    <w:jc w:val="left"/>
                    <w:rPr>
                      <w:rFonts w:ascii="Times New Roman" w:hAnsi="Times New Roman"/>
                      <w:kern w:val="0"/>
                      <w:szCs w:val="21"/>
                    </w:rPr>
                  </w:pPr>
                </w:p>
              </w:tc>
              <w:tc>
                <w:tcPr>
                  <w:tcW w:w="1288" w:type="pct"/>
                  <w:gridSpan w:val="2"/>
                  <w:vMerge w:val="continue"/>
                  <w:tcBorders>
                    <w:top w:val="single" w:color="auto" w:sz="8" w:space="0"/>
                    <w:left w:val="single" w:color="auto" w:sz="8" w:space="0"/>
                    <w:bottom w:val="single" w:color="000000" w:sz="8" w:space="0"/>
                    <w:right w:val="single" w:color="000000" w:sz="8" w:space="0"/>
                  </w:tcBorders>
                  <w:shd w:val="clear" w:color="auto" w:fill="FFFFFF"/>
                  <w:noWrap w:val="0"/>
                  <w:vAlign w:val="center"/>
                </w:tcPr>
                <w:p>
                  <w:pPr>
                    <w:widowControl/>
                    <w:jc w:val="left"/>
                    <w:rPr>
                      <w:rFonts w:ascii="Times New Roman" w:hAnsi="Times New Roman"/>
                      <w:kern w:val="0"/>
                      <w:szCs w:val="21"/>
                    </w:rPr>
                  </w:pPr>
                </w:p>
              </w:tc>
              <w:tc>
                <w:tcPr>
                  <w:tcW w:w="1226" w:type="pct"/>
                  <w:vMerge w:val="continue"/>
                  <w:tcBorders>
                    <w:top w:val="nil"/>
                    <w:left w:val="single" w:color="auto" w:sz="8" w:space="0"/>
                    <w:bottom w:val="single" w:color="000000" w:sz="8" w:space="0"/>
                    <w:right w:val="single" w:color="auto" w:sz="8" w:space="0"/>
                  </w:tcBorders>
                  <w:shd w:val="clear" w:color="auto" w:fill="FFFFFF"/>
                  <w:noWrap w:val="0"/>
                  <w:vAlign w:val="center"/>
                </w:tcPr>
                <w:p>
                  <w:pPr>
                    <w:widowControl/>
                    <w:jc w:val="left"/>
                    <w:rPr>
                      <w:rFonts w:ascii="Times New Roman" w:hAnsi="Times New Roman"/>
                      <w:kern w:val="0"/>
                      <w:szCs w:val="21"/>
                    </w:rPr>
                  </w:pPr>
                </w:p>
              </w:tc>
              <w:tc>
                <w:tcPr>
                  <w:tcW w:w="315"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否</w:t>
                  </w:r>
                </w:p>
              </w:tc>
              <w:tc>
                <w:tcPr>
                  <w:tcW w:w="291"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　</w:t>
                  </w:r>
                </w:p>
              </w:tc>
            </w:tr>
            <w:tr>
              <w:tblPrEx>
                <w:shd w:val="clear" w:color="auto" w:fill="FFFFFF"/>
                <w:tblCellMar>
                  <w:top w:w="0" w:type="dxa"/>
                  <w:left w:w="108" w:type="dxa"/>
                  <w:bottom w:w="0" w:type="dxa"/>
                  <w:right w:w="108" w:type="dxa"/>
                </w:tblCellMar>
              </w:tblPrEx>
              <w:trPr>
                <w:trHeight w:val="300" w:hRule="atLeast"/>
              </w:trPr>
              <w:tc>
                <w:tcPr>
                  <w:tcW w:w="360" w:type="pct"/>
                  <w:vMerge w:val="restart"/>
                  <w:tcBorders>
                    <w:top w:val="nil"/>
                    <w:left w:val="single" w:color="auto" w:sz="8" w:space="0"/>
                    <w:bottom w:val="single" w:color="000000" w:sz="8" w:space="0"/>
                    <w:right w:val="single" w:color="auto"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工程量</w:t>
                  </w:r>
                </w:p>
              </w:tc>
              <w:tc>
                <w:tcPr>
                  <w:tcW w:w="348" w:type="pct"/>
                  <w:tcBorders>
                    <w:top w:val="nil"/>
                    <w:left w:val="nil"/>
                    <w:bottom w:val="nil"/>
                    <w:right w:val="single" w:color="auto"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加固</w:t>
                  </w:r>
                </w:p>
              </w:tc>
              <w:tc>
                <w:tcPr>
                  <w:tcW w:w="1170" w:type="pct"/>
                  <w:tcBorders>
                    <w:top w:val="nil"/>
                    <w:left w:val="nil"/>
                    <w:bottom w:val="single" w:color="auto" w:sz="8" w:space="0"/>
                    <w:right w:val="single" w:color="auto"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治理长度（km)</w:t>
                  </w:r>
                </w:p>
              </w:tc>
              <w:tc>
                <w:tcPr>
                  <w:tcW w:w="1288" w:type="pct"/>
                  <w:gridSpan w:val="2"/>
                  <w:tcBorders>
                    <w:top w:val="single" w:color="auto" w:sz="8" w:space="0"/>
                    <w:left w:val="nil"/>
                    <w:bottom w:val="single" w:color="auto" w:sz="8" w:space="0"/>
                    <w:right w:val="single" w:color="000000"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1.52</w:t>
                  </w:r>
                </w:p>
              </w:tc>
              <w:tc>
                <w:tcPr>
                  <w:tcW w:w="1226" w:type="pct"/>
                  <w:tcBorders>
                    <w:top w:val="nil"/>
                    <w:left w:val="nil"/>
                    <w:bottom w:val="single" w:color="auto" w:sz="8" w:space="0"/>
                    <w:right w:val="single" w:color="auto"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土方方量（万m</w:t>
                  </w:r>
                  <w:r>
                    <w:rPr>
                      <w:rFonts w:ascii="Times New Roman" w:hAnsi="Times New Roman"/>
                      <w:kern w:val="0"/>
                      <w:szCs w:val="21"/>
                      <w:vertAlign w:val="superscript"/>
                    </w:rPr>
                    <w:t>3</w:t>
                  </w:r>
                  <w:r>
                    <w:rPr>
                      <w:rFonts w:ascii="Times New Roman" w:hAnsi="Times New Roman"/>
                      <w:kern w:val="0"/>
                      <w:szCs w:val="21"/>
                    </w:rPr>
                    <w:t>）</w:t>
                  </w:r>
                </w:p>
              </w:tc>
              <w:tc>
                <w:tcPr>
                  <w:tcW w:w="606" w:type="pct"/>
                  <w:gridSpan w:val="2"/>
                  <w:tcBorders>
                    <w:top w:val="single" w:color="auto" w:sz="8" w:space="0"/>
                    <w:left w:val="nil"/>
                    <w:bottom w:val="single" w:color="auto" w:sz="8" w:space="0"/>
                    <w:right w:val="single" w:color="000000"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0.</w:t>
                  </w:r>
                  <w:r>
                    <w:rPr>
                      <w:rFonts w:hint="eastAsia" w:ascii="Times New Roman" w:hAnsi="Times New Roman"/>
                      <w:kern w:val="0"/>
                      <w:szCs w:val="21"/>
                    </w:rPr>
                    <w:t>1</w:t>
                  </w:r>
                  <w:r>
                    <w:rPr>
                      <w:rFonts w:ascii="Times New Roman" w:hAnsi="Times New Roman"/>
                      <w:kern w:val="0"/>
                      <w:szCs w:val="21"/>
                    </w:rPr>
                    <w:t>3</w:t>
                  </w:r>
                </w:p>
              </w:tc>
            </w:tr>
            <w:tr>
              <w:tblPrEx>
                <w:shd w:val="clear" w:color="auto" w:fill="FFFFFF"/>
                <w:tblCellMar>
                  <w:top w:w="0" w:type="dxa"/>
                  <w:left w:w="108" w:type="dxa"/>
                  <w:bottom w:w="0" w:type="dxa"/>
                  <w:right w:w="108" w:type="dxa"/>
                </w:tblCellMar>
              </w:tblPrEx>
              <w:trPr>
                <w:trHeight w:val="300" w:hRule="atLeast"/>
              </w:trPr>
              <w:tc>
                <w:tcPr>
                  <w:tcW w:w="360" w:type="pct"/>
                  <w:vMerge w:val="continue"/>
                  <w:tcBorders>
                    <w:top w:val="nil"/>
                    <w:left w:val="single" w:color="auto" w:sz="8" w:space="0"/>
                    <w:bottom w:val="single" w:color="000000" w:sz="8" w:space="0"/>
                    <w:right w:val="single" w:color="auto" w:sz="8" w:space="0"/>
                  </w:tcBorders>
                  <w:shd w:val="clear" w:color="auto" w:fill="FFFFFF"/>
                  <w:noWrap w:val="0"/>
                  <w:vAlign w:val="center"/>
                </w:tcPr>
                <w:p>
                  <w:pPr>
                    <w:widowControl/>
                    <w:jc w:val="left"/>
                    <w:rPr>
                      <w:rFonts w:ascii="Times New Roman" w:hAnsi="Times New Roman"/>
                      <w:kern w:val="0"/>
                      <w:szCs w:val="21"/>
                    </w:rPr>
                  </w:pPr>
                </w:p>
              </w:tc>
              <w:tc>
                <w:tcPr>
                  <w:tcW w:w="348" w:type="pct"/>
                  <w:tcBorders>
                    <w:top w:val="nil"/>
                    <w:left w:val="nil"/>
                    <w:bottom w:val="nil"/>
                    <w:right w:val="single" w:color="auto"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堤防</w:t>
                  </w:r>
                </w:p>
              </w:tc>
              <w:tc>
                <w:tcPr>
                  <w:tcW w:w="1170" w:type="pct"/>
                  <w:tcBorders>
                    <w:top w:val="nil"/>
                    <w:left w:val="nil"/>
                    <w:bottom w:val="single" w:color="auto" w:sz="8" w:space="0"/>
                    <w:right w:val="single" w:color="auto"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相应投资（万元）</w:t>
                  </w:r>
                </w:p>
              </w:tc>
              <w:tc>
                <w:tcPr>
                  <w:tcW w:w="1288" w:type="pct"/>
                  <w:gridSpan w:val="2"/>
                  <w:tcBorders>
                    <w:top w:val="single" w:color="auto" w:sz="8" w:space="0"/>
                    <w:left w:val="nil"/>
                    <w:bottom w:val="single" w:color="auto" w:sz="8" w:space="0"/>
                    <w:right w:val="single" w:color="000000"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215.49</w:t>
                  </w:r>
                </w:p>
              </w:tc>
              <w:tc>
                <w:tcPr>
                  <w:tcW w:w="1226" w:type="pct"/>
                  <w:tcBorders>
                    <w:top w:val="nil"/>
                    <w:left w:val="nil"/>
                    <w:bottom w:val="single" w:color="auto" w:sz="8" w:space="0"/>
                    <w:right w:val="single" w:color="auto"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石方、砼方量（万m</w:t>
                  </w:r>
                  <w:r>
                    <w:rPr>
                      <w:rFonts w:ascii="Times New Roman" w:hAnsi="Times New Roman"/>
                      <w:kern w:val="0"/>
                      <w:szCs w:val="21"/>
                      <w:vertAlign w:val="superscript"/>
                    </w:rPr>
                    <w:t>3</w:t>
                  </w:r>
                  <w:r>
                    <w:rPr>
                      <w:rFonts w:ascii="Times New Roman" w:hAnsi="Times New Roman"/>
                      <w:kern w:val="0"/>
                      <w:szCs w:val="21"/>
                    </w:rPr>
                    <w:t>）</w:t>
                  </w:r>
                </w:p>
              </w:tc>
              <w:tc>
                <w:tcPr>
                  <w:tcW w:w="606" w:type="pct"/>
                  <w:gridSpan w:val="2"/>
                  <w:tcBorders>
                    <w:top w:val="single" w:color="auto" w:sz="8" w:space="0"/>
                    <w:left w:val="nil"/>
                    <w:bottom w:val="single" w:color="auto" w:sz="8" w:space="0"/>
                    <w:right w:val="single" w:color="000000"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　1.08</w:t>
                  </w:r>
                </w:p>
              </w:tc>
            </w:tr>
            <w:tr>
              <w:tblPrEx>
                <w:shd w:val="clear" w:color="auto" w:fill="FFFFFF"/>
                <w:tblCellMar>
                  <w:top w:w="0" w:type="dxa"/>
                  <w:left w:w="108" w:type="dxa"/>
                  <w:bottom w:w="0" w:type="dxa"/>
                  <w:right w:w="108" w:type="dxa"/>
                </w:tblCellMar>
              </w:tblPrEx>
              <w:trPr>
                <w:trHeight w:val="300" w:hRule="atLeast"/>
              </w:trPr>
              <w:tc>
                <w:tcPr>
                  <w:tcW w:w="360" w:type="pct"/>
                  <w:vMerge w:val="continue"/>
                  <w:tcBorders>
                    <w:top w:val="nil"/>
                    <w:left w:val="single" w:color="auto" w:sz="8" w:space="0"/>
                    <w:bottom w:val="single" w:color="000000" w:sz="8" w:space="0"/>
                    <w:right w:val="single" w:color="auto" w:sz="8" w:space="0"/>
                  </w:tcBorders>
                  <w:shd w:val="clear" w:color="auto" w:fill="FFFFFF"/>
                  <w:noWrap w:val="0"/>
                  <w:vAlign w:val="center"/>
                </w:tcPr>
                <w:p>
                  <w:pPr>
                    <w:widowControl/>
                    <w:jc w:val="left"/>
                    <w:rPr>
                      <w:rFonts w:ascii="Times New Roman" w:hAnsi="Times New Roman"/>
                      <w:kern w:val="0"/>
                      <w:szCs w:val="21"/>
                    </w:rPr>
                  </w:pPr>
                </w:p>
              </w:tc>
              <w:tc>
                <w:tcPr>
                  <w:tcW w:w="348" w:type="pct"/>
                  <w:tcBorders>
                    <w:top w:val="nil"/>
                    <w:left w:val="nil"/>
                    <w:bottom w:val="single" w:color="auto" w:sz="8" w:space="0"/>
                    <w:right w:val="single" w:color="auto" w:sz="8" w:space="0"/>
                  </w:tcBorders>
                  <w:shd w:val="clear" w:color="auto" w:fill="FFFFFF"/>
                  <w:noWrap/>
                  <w:vAlign w:val="center"/>
                </w:tcPr>
                <w:p>
                  <w:pPr>
                    <w:widowControl/>
                    <w:jc w:val="left"/>
                    <w:rPr>
                      <w:rFonts w:ascii="Times New Roman" w:hAnsi="Times New Roman"/>
                      <w:kern w:val="0"/>
                      <w:szCs w:val="21"/>
                    </w:rPr>
                  </w:pPr>
                  <w:r>
                    <w:rPr>
                      <w:rFonts w:ascii="Times New Roman" w:hAnsi="Times New Roman"/>
                      <w:kern w:val="0"/>
                      <w:szCs w:val="21"/>
                    </w:rPr>
                    <w:t>　</w:t>
                  </w:r>
                </w:p>
              </w:tc>
              <w:tc>
                <w:tcPr>
                  <w:tcW w:w="1170" w:type="pct"/>
                  <w:tcBorders>
                    <w:top w:val="nil"/>
                    <w:left w:val="nil"/>
                    <w:bottom w:val="single" w:color="auto" w:sz="8" w:space="0"/>
                    <w:right w:val="single" w:color="auto"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单位长度投资（万元/km）</w:t>
                  </w:r>
                </w:p>
              </w:tc>
              <w:tc>
                <w:tcPr>
                  <w:tcW w:w="1288" w:type="pct"/>
                  <w:gridSpan w:val="2"/>
                  <w:tcBorders>
                    <w:top w:val="single" w:color="auto" w:sz="8" w:space="0"/>
                    <w:left w:val="nil"/>
                    <w:bottom w:val="single" w:color="auto" w:sz="8" w:space="0"/>
                    <w:right w:val="single" w:color="000000" w:sz="8" w:space="0"/>
                  </w:tcBorders>
                  <w:shd w:val="clear" w:color="auto" w:fill="FFFFFF"/>
                  <w:noWrap/>
                  <w:vAlign w:val="center"/>
                </w:tcPr>
                <w:p>
                  <w:pPr>
                    <w:widowControl/>
                    <w:jc w:val="center"/>
                    <w:rPr>
                      <w:rFonts w:hint="eastAsia" w:ascii="Times New Roman" w:hAnsi="Times New Roman"/>
                      <w:kern w:val="0"/>
                      <w:szCs w:val="21"/>
                    </w:rPr>
                  </w:pPr>
                  <w:r>
                    <w:rPr>
                      <w:rFonts w:ascii="Times New Roman" w:hAnsi="Times New Roman"/>
                      <w:kern w:val="0"/>
                      <w:szCs w:val="21"/>
                    </w:rPr>
                    <w:t>141.77</w:t>
                  </w:r>
                </w:p>
              </w:tc>
              <w:tc>
                <w:tcPr>
                  <w:tcW w:w="1226" w:type="pct"/>
                  <w:tcBorders>
                    <w:top w:val="nil"/>
                    <w:left w:val="nil"/>
                    <w:bottom w:val="single" w:color="auto" w:sz="8" w:space="0"/>
                    <w:right w:val="single" w:color="auto"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综合单位方量投资（万元/m</w:t>
                  </w:r>
                  <w:r>
                    <w:rPr>
                      <w:rFonts w:ascii="Times New Roman" w:hAnsi="Times New Roman"/>
                      <w:kern w:val="0"/>
                      <w:szCs w:val="21"/>
                      <w:vertAlign w:val="superscript"/>
                    </w:rPr>
                    <w:t>3</w:t>
                  </w:r>
                  <w:r>
                    <w:rPr>
                      <w:rFonts w:ascii="Times New Roman" w:hAnsi="Times New Roman"/>
                      <w:kern w:val="0"/>
                      <w:szCs w:val="21"/>
                    </w:rPr>
                    <w:t>）</w:t>
                  </w:r>
                </w:p>
              </w:tc>
              <w:tc>
                <w:tcPr>
                  <w:tcW w:w="606" w:type="pct"/>
                  <w:gridSpan w:val="2"/>
                  <w:tcBorders>
                    <w:top w:val="single" w:color="auto" w:sz="8" w:space="0"/>
                    <w:left w:val="nil"/>
                    <w:bottom w:val="single" w:color="auto" w:sz="8" w:space="0"/>
                    <w:right w:val="single" w:color="000000"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190.28</w:t>
                  </w:r>
                </w:p>
              </w:tc>
            </w:tr>
            <w:tr>
              <w:tblPrEx>
                <w:shd w:val="clear" w:color="auto" w:fill="FFFFFF"/>
                <w:tblCellMar>
                  <w:top w:w="0" w:type="dxa"/>
                  <w:left w:w="108" w:type="dxa"/>
                  <w:bottom w:w="0" w:type="dxa"/>
                  <w:right w:w="108" w:type="dxa"/>
                </w:tblCellMar>
              </w:tblPrEx>
              <w:trPr>
                <w:trHeight w:val="300" w:hRule="atLeast"/>
              </w:trPr>
              <w:tc>
                <w:tcPr>
                  <w:tcW w:w="360" w:type="pct"/>
                  <w:vMerge w:val="continue"/>
                  <w:tcBorders>
                    <w:top w:val="nil"/>
                    <w:left w:val="single" w:color="auto" w:sz="8" w:space="0"/>
                    <w:bottom w:val="single" w:color="000000" w:sz="8" w:space="0"/>
                    <w:right w:val="single" w:color="auto" w:sz="8" w:space="0"/>
                  </w:tcBorders>
                  <w:shd w:val="clear" w:color="auto" w:fill="FFFFFF"/>
                  <w:noWrap w:val="0"/>
                  <w:vAlign w:val="center"/>
                </w:tcPr>
                <w:p>
                  <w:pPr>
                    <w:widowControl/>
                    <w:jc w:val="left"/>
                    <w:rPr>
                      <w:rFonts w:ascii="Times New Roman" w:hAnsi="Times New Roman"/>
                      <w:kern w:val="0"/>
                      <w:szCs w:val="21"/>
                    </w:rPr>
                  </w:pPr>
                </w:p>
              </w:tc>
              <w:tc>
                <w:tcPr>
                  <w:tcW w:w="348" w:type="pct"/>
                  <w:tcBorders>
                    <w:top w:val="nil"/>
                    <w:left w:val="nil"/>
                    <w:bottom w:val="nil"/>
                    <w:right w:val="single" w:color="auto"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新建</w:t>
                  </w:r>
                </w:p>
              </w:tc>
              <w:tc>
                <w:tcPr>
                  <w:tcW w:w="1170" w:type="pct"/>
                  <w:tcBorders>
                    <w:top w:val="nil"/>
                    <w:left w:val="nil"/>
                    <w:bottom w:val="single" w:color="auto" w:sz="8" w:space="0"/>
                    <w:right w:val="single" w:color="auto"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治理长度（km)</w:t>
                  </w:r>
                </w:p>
              </w:tc>
              <w:tc>
                <w:tcPr>
                  <w:tcW w:w="1288" w:type="pct"/>
                  <w:gridSpan w:val="2"/>
                  <w:tcBorders>
                    <w:top w:val="single" w:color="auto" w:sz="8" w:space="0"/>
                    <w:left w:val="nil"/>
                    <w:bottom w:val="single" w:color="auto" w:sz="8" w:space="0"/>
                    <w:right w:val="single" w:color="000000"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1.28</w:t>
                  </w:r>
                </w:p>
              </w:tc>
              <w:tc>
                <w:tcPr>
                  <w:tcW w:w="1226" w:type="pct"/>
                  <w:tcBorders>
                    <w:top w:val="nil"/>
                    <w:left w:val="nil"/>
                    <w:bottom w:val="single" w:color="auto" w:sz="8" w:space="0"/>
                    <w:right w:val="single" w:color="auto"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土方方量（万m</w:t>
                  </w:r>
                  <w:r>
                    <w:rPr>
                      <w:rFonts w:ascii="Times New Roman" w:hAnsi="Times New Roman"/>
                      <w:kern w:val="0"/>
                      <w:szCs w:val="21"/>
                      <w:vertAlign w:val="superscript"/>
                    </w:rPr>
                    <w:t>3</w:t>
                  </w:r>
                  <w:r>
                    <w:rPr>
                      <w:rFonts w:ascii="Times New Roman" w:hAnsi="Times New Roman"/>
                      <w:kern w:val="0"/>
                      <w:szCs w:val="21"/>
                    </w:rPr>
                    <w:t>）</w:t>
                  </w:r>
                </w:p>
              </w:tc>
              <w:tc>
                <w:tcPr>
                  <w:tcW w:w="606" w:type="pct"/>
                  <w:gridSpan w:val="2"/>
                  <w:tcBorders>
                    <w:top w:val="single" w:color="auto" w:sz="8" w:space="0"/>
                    <w:left w:val="nil"/>
                    <w:bottom w:val="single" w:color="auto" w:sz="8" w:space="0"/>
                    <w:right w:val="single" w:color="000000"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1.56</w:t>
                  </w:r>
                </w:p>
              </w:tc>
            </w:tr>
            <w:tr>
              <w:tblPrEx>
                <w:shd w:val="clear" w:color="auto" w:fill="FFFFFF"/>
                <w:tblCellMar>
                  <w:top w:w="0" w:type="dxa"/>
                  <w:left w:w="108" w:type="dxa"/>
                  <w:bottom w:w="0" w:type="dxa"/>
                  <w:right w:w="108" w:type="dxa"/>
                </w:tblCellMar>
              </w:tblPrEx>
              <w:trPr>
                <w:trHeight w:val="300" w:hRule="atLeast"/>
              </w:trPr>
              <w:tc>
                <w:tcPr>
                  <w:tcW w:w="360" w:type="pct"/>
                  <w:vMerge w:val="continue"/>
                  <w:tcBorders>
                    <w:top w:val="nil"/>
                    <w:left w:val="single" w:color="auto" w:sz="8" w:space="0"/>
                    <w:bottom w:val="single" w:color="000000" w:sz="8" w:space="0"/>
                    <w:right w:val="single" w:color="auto" w:sz="8" w:space="0"/>
                  </w:tcBorders>
                  <w:shd w:val="clear" w:color="auto" w:fill="FFFFFF"/>
                  <w:noWrap w:val="0"/>
                  <w:vAlign w:val="center"/>
                </w:tcPr>
                <w:p>
                  <w:pPr>
                    <w:widowControl/>
                    <w:jc w:val="left"/>
                    <w:rPr>
                      <w:rFonts w:ascii="Times New Roman" w:hAnsi="Times New Roman"/>
                      <w:kern w:val="0"/>
                      <w:szCs w:val="21"/>
                    </w:rPr>
                  </w:pPr>
                </w:p>
              </w:tc>
              <w:tc>
                <w:tcPr>
                  <w:tcW w:w="348" w:type="pct"/>
                  <w:tcBorders>
                    <w:top w:val="nil"/>
                    <w:left w:val="nil"/>
                    <w:bottom w:val="nil"/>
                    <w:right w:val="single" w:color="auto"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堤防</w:t>
                  </w:r>
                </w:p>
              </w:tc>
              <w:tc>
                <w:tcPr>
                  <w:tcW w:w="1170" w:type="pct"/>
                  <w:tcBorders>
                    <w:top w:val="nil"/>
                    <w:left w:val="nil"/>
                    <w:bottom w:val="single" w:color="auto" w:sz="8" w:space="0"/>
                    <w:right w:val="single" w:color="auto"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相应投资（万元）</w:t>
                  </w:r>
                </w:p>
              </w:tc>
              <w:tc>
                <w:tcPr>
                  <w:tcW w:w="1288" w:type="pct"/>
                  <w:gridSpan w:val="2"/>
                  <w:tcBorders>
                    <w:top w:val="single" w:color="auto" w:sz="8" w:space="0"/>
                    <w:left w:val="nil"/>
                    <w:bottom w:val="single" w:color="auto" w:sz="8" w:space="0"/>
                    <w:right w:val="single" w:color="000000"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810.52</w:t>
                  </w:r>
                </w:p>
              </w:tc>
              <w:tc>
                <w:tcPr>
                  <w:tcW w:w="1226" w:type="pct"/>
                  <w:tcBorders>
                    <w:top w:val="nil"/>
                    <w:left w:val="nil"/>
                    <w:bottom w:val="single" w:color="auto" w:sz="8" w:space="0"/>
                    <w:right w:val="single" w:color="auto"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石方、砼方量（万m</w:t>
                  </w:r>
                  <w:r>
                    <w:rPr>
                      <w:rFonts w:ascii="Times New Roman" w:hAnsi="Times New Roman"/>
                      <w:kern w:val="0"/>
                      <w:szCs w:val="21"/>
                      <w:vertAlign w:val="superscript"/>
                    </w:rPr>
                    <w:t>3</w:t>
                  </w:r>
                  <w:r>
                    <w:rPr>
                      <w:rFonts w:ascii="Times New Roman" w:hAnsi="Times New Roman"/>
                      <w:kern w:val="0"/>
                      <w:szCs w:val="21"/>
                    </w:rPr>
                    <w:t>）</w:t>
                  </w:r>
                </w:p>
              </w:tc>
              <w:tc>
                <w:tcPr>
                  <w:tcW w:w="606" w:type="pct"/>
                  <w:gridSpan w:val="2"/>
                  <w:tcBorders>
                    <w:top w:val="single" w:color="auto" w:sz="8" w:space="0"/>
                    <w:left w:val="nil"/>
                    <w:bottom w:val="single" w:color="auto" w:sz="8" w:space="0"/>
                    <w:right w:val="single" w:color="000000"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7.67</w:t>
                  </w:r>
                </w:p>
              </w:tc>
            </w:tr>
            <w:tr>
              <w:tblPrEx>
                <w:shd w:val="clear" w:color="auto" w:fill="FFFFFF"/>
                <w:tblCellMar>
                  <w:top w:w="0" w:type="dxa"/>
                  <w:left w:w="108" w:type="dxa"/>
                  <w:bottom w:w="0" w:type="dxa"/>
                  <w:right w:w="108" w:type="dxa"/>
                </w:tblCellMar>
              </w:tblPrEx>
              <w:trPr>
                <w:trHeight w:val="300" w:hRule="atLeast"/>
              </w:trPr>
              <w:tc>
                <w:tcPr>
                  <w:tcW w:w="360" w:type="pct"/>
                  <w:vMerge w:val="continue"/>
                  <w:tcBorders>
                    <w:top w:val="nil"/>
                    <w:left w:val="single" w:color="auto" w:sz="8" w:space="0"/>
                    <w:bottom w:val="single" w:color="000000" w:sz="8" w:space="0"/>
                    <w:right w:val="single" w:color="auto" w:sz="8" w:space="0"/>
                  </w:tcBorders>
                  <w:shd w:val="clear" w:color="auto" w:fill="FFFFFF"/>
                  <w:noWrap w:val="0"/>
                  <w:vAlign w:val="center"/>
                </w:tcPr>
                <w:p>
                  <w:pPr>
                    <w:widowControl/>
                    <w:jc w:val="left"/>
                    <w:rPr>
                      <w:rFonts w:ascii="Times New Roman" w:hAnsi="Times New Roman"/>
                      <w:kern w:val="0"/>
                      <w:szCs w:val="21"/>
                    </w:rPr>
                  </w:pPr>
                </w:p>
              </w:tc>
              <w:tc>
                <w:tcPr>
                  <w:tcW w:w="348" w:type="pct"/>
                  <w:tcBorders>
                    <w:top w:val="nil"/>
                    <w:left w:val="nil"/>
                    <w:bottom w:val="single" w:color="auto" w:sz="8" w:space="0"/>
                    <w:right w:val="single" w:color="auto" w:sz="8" w:space="0"/>
                  </w:tcBorders>
                  <w:shd w:val="clear" w:color="auto" w:fill="FFFFFF"/>
                  <w:noWrap/>
                  <w:vAlign w:val="center"/>
                </w:tcPr>
                <w:p>
                  <w:pPr>
                    <w:widowControl/>
                    <w:jc w:val="left"/>
                    <w:rPr>
                      <w:rFonts w:ascii="Times New Roman" w:hAnsi="Times New Roman"/>
                      <w:kern w:val="0"/>
                      <w:szCs w:val="21"/>
                    </w:rPr>
                  </w:pPr>
                  <w:r>
                    <w:rPr>
                      <w:rFonts w:ascii="Times New Roman" w:hAnsi="Times New Roman"/>
                      <w:kern w:val="0"/>
                      <w:szCs w:val="21"/>
                    </w:rPr>
                    <w:t>　</w:t>
                  </w:r>
                </w:p>
              </w:tc>
              <w:tc>
                <w:tcPr>
                  <w:tcW w:w="1170" w:type="pct"/>
                  <w:tcBorders>
                    <w:top w:val="nil"/>
                    <w:left w:val="nil"/>
                    <w:bottom w:val="single" w:color="auto" w:sz="8" w:space="0"/>
                    <w:right w:val="single" w:color="auto"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单位长度投资（万元/km）</w:t>
                  </w:r>
                </w:p>
              </w:tc>
              <w:tc>
                <w:tcPr>
                  <w:tcW w:w="1288" w:type="pct"/>
                  <w:gridSpan w:val="2"/>
                  <w:tcBorders>
                    <w:top w:val="single" w:color="auto" w:sz="8" w:space="0"/>
                    <w:left w:val="nil"/>
                    <w:bottom w:val="single" w:color="auto" w:sz="8" w:space="0"/>
                    <w:right w:val="single" w:color="000000"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633.22</w:t>
                  </w:r>
                </w:p>
              </w:tc>
              <w:tc>
                <w:tcPr>
                  <w:tcW w:w="1226" w:type="pct"/>
                  <w:tcBorders>
                    <w:top w:val="nil"/>
                    <w:left w:val="nil"/>
                    <w:bottom w:val="single" w:color="auto" w:sz="8" w:space="0"/>
                    <w:right w:val="single" w:color="auto"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综合单位方量投资（万元/m</w:t>
                  </w:r>
                  <w:r>
                    <w:rPr>
                      <w:rFonts w:ascii="Times New Roman" w:hAnsi="Times New Roman"/>
                      <w:kern w:val="0"/>
                      <w:szCs w:val="21"/>
                      <w:vertAlign w:val="superscript"/>
                    </w:rPr>
                    <w:t>3</w:t>
                  </w:r>
                  <w:r>
                    <w:rPr>
                      <w:rFonts w:ascii="Times New Roman" w:hAnsi="Times New Roman"/>
                      <w:kern w:val="0"/>
                      <w:szCs w:val="21"/>
                    </w:rPr>
                    <w:t>）</w:t>
                  </w:r>
                </w:p>
              </w:tc>
              <w:tc>
                <w:tcPr>
                  <w:tcW w:w="606" w:type="pct"/>
                  <w:gridSpan w:val="2"/>
                  <w:tcBorders>
                    <w:top w:val="single" w:color="auto" w:sz="8" w:space="0"/>
                    <w:left w:val="nil"/>
                    <w:bottom w:val="single" w:color="auto" w:sz="8" w:space="0"/>
                    <w:right w:val="single" w:color="000000"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71.91</w:t>
                  </w:r>
                </w:p>
              </w:tc>
            </w:tr>
            <w:tr>
              <w:tblPrEx>
                <w:shd w:val="clear" w:color="auto" w:fill="FFFFFF"/>
                <w:tblCellMar>
                  <w:top w:w="0" w:type="dxa"/>
                  <w:left w:w="108" w:type="dxa"/>
                  <w:bottom w:w="0" w:type="dxa"/>
                  <w:right w:w="108" w:type="dxa"/>
                </w:tblCellMar>
              </w:tblPrEx>
              <w:trPr>
                <w:trHeight w:val="300" w:hRule="atLeast"/>
              </w:trPr>
              <w:tc>
                <w:tcPr>
                  <w:tcW w:w="360" w:type="pct"/>
                  <w:vMerge w:val="continue"/>
                  <w:tcBorders>
                    <w:top w:val="nil"/>
                    <w:left w:val="single" w:color="auto" w:sz="8" w:space="0"/>
                    <w:bottom w:val="single" w:color="000000" w:sz="8" w:space="0"/>
                    <w:right w:val="single" w:color="auto" w:sz="8" w:space="0"/>
                  </w:tcBorders>
                  <w:shd w:val="clear" w:color="auto" w:fill="FFFFFF"/>
                  <w:noWrap w:val="0"/>
                  <w:vAlign w:val="center"/>
                </w:tcPr>
                <w:p>
                  <w:pPr>
                    <w:widowControl/>
                    <w:jc w:val="left"/>
                    <w:rPr>
                      <w:rFonts w:ascii="Times New Roman" w:hAnsi="Times New Roman"/>
                      <w:kern w:val="0"/>
                      <w:szCs w:val="21"/>
                    </w:rPr>
                  </w:pPr>
                </w:p>
              </w:tc>
              <w:tc>
                <w:tcPr>
                  <w:tcW w:w="348" w:type="pct"/>
                  <w:vMerge w:val="restart"/>
                  <w:tcBorders>
                    <w:top w:val="nil"/>
                    <w:left w:val="single" w:color="auto" w:sz="8" w:space="0"/>
                    <w:bottom w:val="single" w:color="000000" w:sz="8" w:space="0"/>
                    <w:right w:val="single" w:color="auto"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清淤</w:t>
                  </w:r>
                </w:p>
              </w:tc>
              <w:tc>
                <w:tcPr>
                  <w:tcW w:w="1170" w:type="pct"/>
                  <w:tcBorders>
                    <w:top w:val="nil"/>
                    <w:left w:val="nil"/>
                    <w:bottom w:val="single" w:color="auto" w:sz="8" w:space="0"/>
                    <w:right w:val="single" w:color="auto"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治理长度（km)</w:t>
                  </w:r>
                </w:p>
              </w:tc>
              <w:tc>
                <w:tcPr>
                  <w:tcW w:w="1288" w:type="pct"/>
                  <w:gridSpan w:val="2"/>
                  <w:tcBorders>
                    <w:top w:val="single" w:color="auto" w:sz="8" w:space="0"/>
                    <w:left w:val="nil"/>
                    <w:bottom w:val="single" w:color="auto" w:sz="8" w:space="0"/>
                    <w:right w:val="single" w:color="000000"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3.0</w:t>
                  </w:r>
                </w:p>
              </w:tc>
              <w:tc>
                <w:tcPr>
                  <w:tcW w:w="1226" w:type="pct"/>
                  <w:tcBorders>
                    <w:top w:val="nil"/>
                    <w:left w:val="nil"/>
                    <w:bottom w:val="single" w:color="auto" w:sz="8" w:space="0"/>
                    <w:right w:val="single" w:color="auto"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挖土方量（万m</w:t>
                  </w:r>
                  <w:r>
                    <w:rPr>
                      <w:rFonts w:ascii="Times New Roman" w:hAnsi="Times New Roman"/>
                      <w:kern w:val="0"/>
                      <w:szCs w:val="21"/>
                      <w:vertAlign w:val="superscript"/>
                    </w:rPr>
                    <w:t>3</w:t>
                  </w:r>
                  <w:r>
                    <w:rPr>
                      <w:rFonts w:ascii="Times New Roman" w:hAnsi="Times New Roman"/>
                      <w:kern w:val="0"/>
                      <w:szCs w:val="21"/>
                    </w:rPr>
                    <w:t>）</w:t>
                  </w:r>
                </w:p>
              </w:tc>
              <w:tc>
                <w:tcPr>
                  <w:tcW w:w="606" w:type="pct"/>
                  <w:gridSpan w:val="2"/>
                  <w:tcBorders>
                    <w:top w:val="single" w:color="auto" w:sz="8" w:space="0"/>
                    <w:left w:val="nil"/>
                    <w:bottom w:val="single" w:color="auto" w:sz="8" w:space="0"/>
                    <w:right w:val="single" w:color="000000" w:sz="8" w:space="0"/>
                  </w:tcBorders>
                  <w:shd w:val="clear" w:color="auto" w:fill="FFFFFF"/>
                  <w:noWrap/>
                  <w:vAlign w:val="center"/>
                </w:tcPr>
                <w:p>
                  <w:pPr>
                    <w:widowControl/>
                    <w:jc w:val="center"/>
                    <w:rPr>
                      <w:rFonts w:ascii="Times New Roman" w:hAnsi="Times New Roman"/>
                      <w:kern w:val="0"/>
                      <w:szCs w:val="21"/>
                    </w:rPr>
                  </w:pPr>
                </w:p>
              </w:tc>
            </w:tr>
            <w:tr>
              <w:tblPrEx>
                <w:shd w:val="clear" w:color="auto" w:fill="FFFFFF"/>
                <w:tblCellMar>
                  <w:top w:w="0" w:type="dxa"/>
                  <w:left w:w="108" w:type="dxa"/>
                  <w:bottom w:w="0" w:type="dxa"/>
                  <w:right w:w="108" w:type="dxa"/>
                </w:tblCellMar>
              </w:tblPrEx>
              <w:trPr>
                <w:trHeight w:val="300" w:hRule="atLeast"/>
              </w:trPr>
              <w:tc>
                <w:tcPr>
                  <w:tcW w:w="360" w:type="pct"/>
                  <w:vMerge w:val="continue"/>
                  <w:tcBorders>
                    <w:top w:val="nil"/>
                    <w:left w:val="single" w:color="auto" w:sz="8" w:space="0"/>
                    <w:bottom w:val="single" w:color="000000" w:sz="8" w:space="0"/>
                    <w:right w:val="single" w:color="auto" w:sz="8" w:space="0"/>
                  </w:tcBorders>
                  <w:shd w:val="clear" w:color="auto" w:fill="FFFFFF"/>
                  <w:noWrap w:val="0"/>
                  <w:vAlign w:val="center"/>
                </w:tcPr>
                <w:p>
                  <w:pPr>
                    <w:widowControl/>
                    <w:jc w:val="left"/>
                    <w:rPr>
                      <w:rFonts w:ascii="Times New Roman" w:hAnsi="Times New Roman"/>
                      <w:kern w:val="0"/>
                      <w:szCs w:val="21"/>
                    </w:rPr>
                  </w:pPr>
                </w:p>
              </w:tc>
              <w:tc>
                <w:tcPr>
                  <w:tcW w:w="348" w:type="pct"/>
                  <w:vMerge w:val="continue"/>
                  <w:tcBorders>
                    <w:top w:val="nil"/>
                    <w:left w:val="single" w:color="auto" w:sz="8" w:space="0"/>
                    <w:bottom w:val="single" w:color="000000" w:sz="8" w:space="0"/>
                    <w:right w:val="single" w:color="auto" w:sz="8" w:space="0"/>
                  </w:tcBorders>
                  <w:shd w:val="clear" w:color="auto" w:fill="FFFFFF"/>
                  <w:noWrap w:val="0"/>
                  <w:vAlign w:val="center"/>
                </w:tcPr>
                <w:p>
                  <w:pPr>
                    <w:widowControl/>
                    <w:jc w:val="left"/>
                    <w:rPr>
                      <w:rFonts w:ascii="Times New Roman" w:hAnsi="Times New Roman"/>
                      <w:kern w:val="0"/>
                      <w:szCs w:val="21"/>
                    </w:rPr>
                  </w:pPr>
                </w:p>
              </w:tc>
              <w:tc>
                <w:tcPr>
                  <w:tcW w:w="1170" w:type="pct"/>
                  <w:tcBorders>
                    <w:top w:val="nil"/>
                    <w:left w:val="nil"/>
                    <w:bottom w:val="single" w:color="auto" w:sz="8" w:space="0"/>
                    <w:right w:val="single" w:color="auto"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相应投资（万元）</w:t>
                  </w:r>
                </w:p>
              </w:tc>
              <w:tc>
                <w:tcPr>
                  <w:tcW w:w="1288" w:type="pct"/>
                  <w:gridSpan w:val="2"/>
                  <w:tcBorders>
                    <w:top w:val="single" w:color="auto" w:sz="8" w:space="0"/>
                    <w:left w:val="nil"/>
                    <w:bottom w:val="single" w:color="auto" w:sz="8" w:space="0"/>
                    <w:right w:val="single" w:color="000000"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86.10</w:t>
                  </w:r>
                </w:p>
              </w:tc>
              <w:tc>
                <w:tcPr>
                  <w:tcW w:w="1226" w:type="pct"/>
                  <w:tcBorders>
                    <w:top w:val="nil"/>
                    <w:left w:val="nil"/>
                    <w:bottom w:val="single" w:color="auto" w:sz="8" w:space="0"/>
                    <w:right w:val="single" w:color="auto"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其它方量（万m</w:t>
                  </w:r>
                  <w:r>
                    <w:rPr>
                      <w:rFonts w:ascii="Times New Roman" w:hAnsi="Times New Roman"/>
                      <w:kern w:val="0"/>
                      <w:szCs w:val="21"/>
                      <w:vertAlign w:val="superscript"/>
                    </w:rPr>
                    <w:t>3</w:t>
                  </w:r>
                  <w:r>
                    <w:rPr>
                      <w:rFonts w:ascii="Times New Roman" w:hAnsi="Times New Roman"/>
                      <w:kern w:val="0"/>
                      <w:szCs w:val="21"/>
                    </w:rPr>
                    <w:t>）</w:t>
                  </w:r>
                </w:p>
              </w:tc>
              <w:tc>
                <w:tcPr>
                  <w:tcW w:w="606" w:type="pct"/>
                  <w:gridSpan w:val="2"/>
                  <w:tcBorders>
                    <w:top w:val="single" w:color="auto" w:sz="8" w:space="0"/>
                    <w:left w:val="nil"/>
                    <w:bottom w:val="single" w:color="auto" w:sz="8" w:space="0"/>
                    <w:right w:val="single" w:color="000000" w:sz="8" w:space="0"/>
                  </w:tcBorders>
                  <w:shd w:val="clear" w:color="auto" w:fill="FFFFFF"/>
                  <w:noWrap/>
                  <w:vAlign w:val="center"/>
                </w:tcPr>
                <w:p>
                  <w:pPr>
                    <w:widowControl/>
                    <w:jc w:val="center"/>
                    <w:rPr>
                      <w:rFonts w:ascii="Times New Roman" w:hAnsi="Times New Roman"/>
                      <w:kern w:val="0"/>
                      <w:szCs w:val="21"/>
                    </w:rPr>
                  </w:pPr>
                  <w:r>
                    <w:rPr>
                      <w:rFonts w:hint="eastAsia" w:ascii="Times New Roman" w:hAnsi="Times New Roman"/>
                      <w:kern w:val="0"/>
                      <w:szCs w:val="21"/>
                    </w:rPr>
                    <w:t>4</w:t>
                  </w:r>
                  <w:r>
                    <w:rPr>
                      <w:rFonts w:ascii="Times New Roman" w:hAnsi="Times New Roman"/>
                      <w:kern w:val="0"/>
                      <w:szCs w:val="21"/>
                    </w:rPr>
                    <w:t>.35</w:t>
                  </w:r>
                </w:p>
              </w:tc>
            </w:tr>
            <w:tr>
              <w:tblPrEx>
                <w:shd w:val="clear" w:color="auto" w:fill="FFFFFF"/>
                <w:tblCellMar>
                  <w:top w:w="0" w:type="dxa"/>
                  <w:left w:w="108" w:type="dxa"/>
                  <w:bottom w:w="0" w:type="dxa"/>
                  <w:right w:w="108" w:type="dxa"/>
                </w:tblCellMar>
              </w:tblPrEx>
              <w:trPr>
                <w:trHeight w:val="300" w:hRule="atLeast"/>
              </w:trPr>
              <w:tc>
                <w:tcPr>
                  <w:tcW w:w="360" w:type="pct"/>
                  <w:vMerge w:val="continue"/>
                  <w:tcBorders>
                    <w:top w:val="nil"/>
                    <w:left w:val="single" w:color="auto" w:sz="8" w:space="0"/>
                    <w:bottom w:val="single" w:color="000000" w:sz="8" w:space="0"/>
                    <w:right w:val="single" w:color="auto" w:sz="8" w:space="0"/>
                  </w:tcBorders>
                  <w:shd w:val="clear" w:color="auto" w:fill="FFFFFF"/>
                  <w:noWrap w:val="0"/>
                  <w:vAlign w:val="center"/>
                </w:tcPr>
                <w:p>
                  <w:pPr>
                    <w:widowControl/>
                    <w:jc w:val="left"/>
                    <w:rPr>
                      <w:rFonts w:ascii="Times New Roman" w:hAnsi="Times New Roman"/>
                      <w:kern w:val="0"/>
                      <w:szCs w:val="21"/>
                    </w:rPr>
                  </w:pPr>
                </w:p>
              </w:tc>
              <w:tc>
                <w:tcPr>
                  <w:tcW w:w="348" w:type="pct"/>
                  <w:vMerge w:val="continue"/>
                  <w:tcBorders>
                    <w:top w:val="nil"/>
                    <w:left w:val="single" w:color="auto" w:sz="8" w:space="0"/>
                    <w:bottom w:val="single" w:color="000000" w:sz="8" w:space="0"/>
                    <w:right w:val="single" w:color="auto" w:sz="8" w:space="0"/>
                  </w:tcBorders>
                  <w:shd w:val="clear" w:color="auto" w:fill="FFFFFF"/>
                  <w:noWrap w:val="0"/>
                  <w:vAlign w:val="center"/>
                </w:tcPr>
                <w:p>
                  <w:pPr>
                    <w:widowControl/>
                    <w:jc w:val="left"/>
                    <w:rPr>
                      <w:rFonts w:ascii="Times New Roman" w:hAnsi="Times New Roman"/>
                      <w:kern w:val="0"/>
                      <w:szCs w:val="21"/>
                    </w:rPr>
                  </w:pPr>
                </w:p>
              </w:tc>
              <w:tc>
                <w:tcPr>
                  <w:tcW w:w="1170" w:type="pct"/>
                  <w:tcBorders>
                    <w:top w:val="nil"/>
                    <w:left w:val="nil"/>
                    <w:bottom w:val="single" w:color="auto" w:sz="8" w:space="0"/>
                    <w:right w:val="single" w:color="auto"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单位长度投资（万元/km）</w:t>
                  </w:r>
                </w:p>
              </w:tc>
              <w:tc>
                <w:tcPr>
                  <w:tcW w:w="1288" w:type="pct"/>
                  <w:gridSpan w:val="2"/>
                  <w:tcBorders>
                    <w:top w:val="single" w:color="auto" w:sz="8" w:space="0"/>
                    <w:left w:val="nil"/>
                    <w:bottom w:val="single" w:color="auto" w:sz="8" w:space="0"/>
                    <w:right w:val="single" w:color="000000"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28.7</w:t>
                  </w:r>
                </w:p>
              </w:tc>
              <w:tc>
                <w:tcPr>
                  <w:tcW w:w="1226" w:type="pct"/>
                  <w:tcBorders>
                    <w:top w:val="nil"/>
                    <w:left w:val="nil"/>
                    <w:bottom w:val="single" w:color="auto" w:sz="8" w:space="0"/>
                    <w:right w:val="single" w:color="auto"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综合单位方量投资（元/m</w:t>
                  </w:r>
                  <w:r>
                    <w:rPr>
                      <w:rFonts w:ascii="Times New Roman" w:hAnsi="Times New Roman"/>
                      <w:kern w:val="0"/>
                      <w:szCs w:val="21"/>
                      <w:vertAlign w:val="superscript"/>
                    </w:rPr>
                    <w:t>3</w:t>
                  </w:r>
                  <w:r>
                    <w:rPr>
                      <w:rFonts w:ascii="Times New Roman" w:hAnsi="Times New Roman"/>
                      <w:kern w:val="0"/>
                      <w:szCs w:val="21"/>
                    </w:rPr>
                    <w:t>）</w:t>
                  </w:r>
                </w:p>
              </w:tc>
              <w:tc>
                <w:tcPr>
                  <w:tcW w:w="606" w:type="pct"/>
                  <w:gridSpan w:val="2"/>
                  <w:tcBorders>
                    <w:top w:val="single" w:color="auto" w:sz="8" w:space="0"/>
                    <w:left w:val="nil"/>
                    <w:bottom w:val="single" w:color="auto" w:sz="8" w:space="0"/>
                    <w:right w:val="single" w:color="000000"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19.79</w:t>
                  </w:r>
                </w:p>
              </w:tc>
            </w:tr>
            <w:tr>
              <w:tblPrEx>
                <w:shd w:val="clear" w:color="auto" w:fill="FFFFFF"/>
                <w:tblCellMar>
                  <w:top w:w="0" w:type="dxa"/>
                  <w:left w:w="108" w:type="dxa"/>
                  <w:bottom w:w="0" w:type="dxa"/>
                  <w:right w:w="108" w:type="dxa"/>
                </w:tblCellMar>
              </w:tblPrEx>
              <w:trPr>
                <w:trHeight w:val="300" w:hRule="atLeast"/>
              </w:trPr>
              <w:tc>
                <w:tcPr>
                  <w:tcW w:w="360" w:type="pct"/>
                  <w:vMerge w:val="continue"/>
                  <w:tcBorders>
                    <w:top w:val="nil"/>
                    <w:left w:val="single" w:color="auto" w:sz="8" w:space="0"/>
                    <w:bottom w:val="single" w:color="000000" w:sz="8" w:space="0"/>
                    <w:right w:val="single" w:color="auto" w:sz="8" w:space="0"/>
                  </w:tcBorders>
                  <w:shd w:val="clear" w:color="auto" w:fill="FFFFFF"/>
                  <w:noWrap w:val="0"/>
                  <w:vAlign w:val="center"/>
                </w:tcPr>
                <w:p>
                  <w:pPr>
                    <w:widowControl/>
                    <w:jc w:val="left"/>
                    <w:rPr>
                      <w:rFonts w:ascii="Times New Roman" w:hAnsi="Times New Roman"/>
                      <w:kern w:val="0"/>
                      <w:szCs w:val="21"/>
                    </w:rPr>
                  </w:pPr>
                </w:p>
              </w:tc>
              <w:tc>
                <w:tcPr>
                  <w:tcW w:w="348" w:type="pct"/>
                  <w:vMerge w:val="restart"/>
                  <w:tcBorders>
                    <w:top w:val="nil"/>
                    <w:left w:val="single" w:color="auto" w:sz="8" w:space="0"/>
                    <w:bottom w:val="single" w:color="000000" w:sz="8" w:space="0"/>
                    <w:right w:val="single" w:color="auto"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护岸</w:t>
                  </w:r>
                </w:p>
              </w:tc>
              <w:tc>
                <w:tcPr>
                  <w:tcW w:w="1170" w:type="pct"/>
                  <w:tcBorders>
                    <w:top w:val="nil"/>
                    <w:left w:val="nil"/>
                    <w:bottom w:val="single" w:color="auto" w:sz="8" w:space="0"/>
                    <w:right w:val="single" w:color="auto"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治理长度（km)</w:t>
                  </w:r>
                </w:p>
              </w:tc>
              <w:tc>
                <w:tcPr>
                  <w:tcW w:w="1288" w:type="pct"/>
                  <w:gridSpan w:val="2"/>
                  <w:tcBorders>
                    <w:top w:val="single" w:color="auto" w:sz="8" w:space="0"/>
                    <w:left w:val="nil"/>
                    <w:bottom w:val="single" w:color="auto" w:sz="8" w:space="0"/>
                    <w:right w:val="single" w:color="000000" w:sz="8" w:space="0"/>
                  </w:tcBorders>
                  <w:shd w:val="clear" w:color="auto" w:fill="FFFFFF"/>
                  <w:noWrap/>
                  <w:vAlign w:val="center"/>
                </w:tcPr>
                <w:p>
                  <w:pPr>
                    <w:widowControl/>
                    <w:jc w:val="center"/>
                    <w:rPr>
                      <w:rFonts w:ascii="Times New Roman" w:hAnsi="Times New Roman"/>
                      <w:kern w:val="0"/>
                      <w:szCs w:val="21"/>
                    </w:rPr>
                  </w:pPr>
                  <w:r>
                    <w:rPr>
                      <w:rFonts w:hint="eastAsia" w:ascii="Times New Roman" w:hAnsi="Times New Roman"/>
                      <w:kern w:val="0"/>
                      <w:szCs w:val="21"/>
                    </w:rPr>
                    <w:t>0</w:t>
                  </w:r>
                  <w:r>
                    <w:rPr>
                      <w:rFonts w:ascii="Times New Roman" w:hAnsi="Times New Roman"/>
                      <w:kern w:val="0"/>
                      <w:szCs w:val="21"/>
                    </w:rPr>
                    <w:t>.57</w:t>
                  </w:r>
                </w:p>
              </w:tc>
              <w:tc>
                <w:tcPr>
                  <w:tcW w:w="1226" w:type="pct"/>
                  <w:tcBorders>
                    <w:top w:val="nil"/>
                    <w:left w:val="nil"/>
                    <w:bottom w:val="single" w:color="auto" w:sz="8" w:space="0"/>
                    <w:right w:val="single" w:color="auto"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石方、砼方量（万m</w:t>
                  </w:r>
                  <w:r>
                    <w:rPr>
                      <w:rFonts w:ascii="Times New Roman" w:hAnsi="Times New Roman"/>
                      <w:kern w:val="0"/>
                      <w:szCs w:val="21"/>
                      <w:vertAlign w:val="superscript"/>
                    </w:rPr>
                    <w:t>3</w:t>
                  </w:r>
                  <w:r>
                    <w:rPr>
                      <w:rFonts w:ascii="Times New Roman" w:hAnsi="Times New Roman"/>
                      <w:kern w:val="0"/>
                      <w:szCs w:val="21"/>
                    </w:rPr>
                    <w:t>）</w:t>
                  </w:r>
                </w:p>
              </w:tc>
              <w:tc>
                <w:tcPr>
                  <w:tcW w:w="606" w:type="pct"/>
                  <w:gridSpan w:val="2"/>
                  <w:tcBorders>
                    <w:top w:val="single" w:color="auto" w:sz="8" w:space="0"/>
                    <w:left w:val="nil"/>
                    <w:bottom w:val="single" w:color="auto" w:sz="8" w:space="0"/>
                    <w:right w:val="single" w:color="000000" w:sz="8" w:space="0"/>
                  </w:tcBorders>
                  <w:shd w:val="clear" w:color="auto" w:fill="FFFFFF"/>
                  <w:noWrap/>
                  <w:vAlign w:val="center"/>
                </w:tcPr>
                <w:p>
                  <w:pPr>
                    <w:widowControl/>
                    <w:jc w:val="center"/>
                    <w:rPr>
                      <w:rFonts w:ascii="Times New Roman" w:hAnsi="Times New Roman"/>
                      <w:kern w:val="0"/>
                      <w:szCs w:val="21"/>
                    </w:rPr>
                  </w:pPr>
                  <w:r>
                    <w:rPr>
                      <w:rFonts w:hint="eastAsia" w:ascii="Times New Roman" w:hAnsi="Times New Roman"/>
                      <w:kern w:val="0"/>
                      <w:szCs w:val="21"/>
                    </w:rPr>
                    <w:t>1</w:t>
                  </w:r>
                  <w:r>
                    <w:rPr>
                      <w:rFonts w:ascii="Times New Roman" w:hAnsi="Times New Roman"/>
                      <w:kern w:val="0"/>
                      <w:szCs w:val="21"/>
                    </w:rPr>
                    <w:t>.78</w:t>
                  </w:r>
                </w:p>
              </w:tc>
            </w:tr>
            <w:tr>
              <w:tblPrEx>
                <w:shd w:val="clear" w:color="auto" w:fill="FFFFFF"/>
                <w:tblCellMar>
                  <w:top w:w="0" w:type="dxa"/>
                  <w:left w:w="108" w:type="dxa"/>
                  <w:bottom w:w="0" w:type="dxa"/>
                  <w:right w:w="108" w:type="dxa"/>
                </w:tblCellMar>
              </w:tblPrEx>
              <w:trPr>
                <w:trHeight w:val="300" w:hRule="atLeast"/>
              </w:trPr>
              <w:tc>
                <w:tcPr>
                  <w:tcW w:w="360" w:type="pct"/>
                  <w:vMerge w:val="continue"/>
                  <w:tcBorders>
                    <w:top w:val="nil"/>
                    <w:left w:val="single" w:color="auto" w:sz="8" w:space="0"/>
                    <w:bottom w:val="single" w:color="000000" w:sz="8" w:space="0"/>
                    <w:right w:val="single" w:color="auto" w:sz="8" w:space="0"/>
                  </w:tcBorders>
                  <w:shd w:val="clear" w:color="auto" w:fill="FFFFFF"/>
                  <w:noWrap w:val="0"/>
                  <w:vAlign w:val="center"/>
                </w:tcPr>
                <w:p>
                  <w:pPr>
                    <w:widowControl/>
                    <w:jc w:val="left"/>
                    <w:rPr>
                      <w:rFonts w:ascii="Times New Roman" w:hAnsi="Times New Roman"/>
                      <w:kern w:val="0"/>
                      <w:szCs w:val="21"/>
                    </w:rPr>
                  </w:pPr>
                </w:p>
              </w:tc>
              <w:tc>
                <w:tcPr>
                  <w:tcW w:w="348" w:type="pct"/>
                  <w:vMerge w:val="continue"/>
                  <w:tcBorders>
                    <w:top w:val="nil"/>
                    <w:left w:val="single" w:color="auto" w:sz="8" w:space="0"/>
                    <w:bottom w:val="single" w:color="000000" w:sz="8" w:space="0"/>
                    <w:right w:val="single" w:color="auto" w:sz="8" w:space="0"/>
                  </w:tcBorders>
                  <w:shd w:val="clear" w:color="auto" w:fill="FFFFFF"/>
                  <w:noWrap w:val="0"/>
                  <w:vAlign w:val="center"/>
                </w:tcPr>
                <w:p>
                  <w:pPr>
                    <w:widowControl/>
                    <w:jc w:val="left"/>
                    <w:rPr>
                      <w:rFonts w:ascii="Times New Roman" w:hAnsi="Times New Roman"/>
                      <w:kern w:val="0"/>
                      <w:szCs w:val="21"/>
                    </w:rPr>
                  </w:pPr>
                </w:p>
              </w:tc>
              <w:tc>
                <w:tcPr>
                  <w:tcW w:w="1170" w:type="pct"/>
                  <w:tcBorders>
                    <w:top w:val="nil"/>
                    <w:left w:val="nil"/>
                    <w:bottom w:val="single" w:color="auto" w:sz="8" w:space="0"/>
                    <w:right w:val="single" w:color="auto"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相应投资（万元）</w:t>
                  </w:r>
                </w:p>
              </w:tc>
              <w:tc>
                <w:tcPr>
                  <w:tcW w:w="1288" w:type="pct"/>
                  <w:gridSpan w:val="2"/>
                  <w:tcBorders>
                    <w:top w:val="single" w:color="auto" w:sz="8" w:space="0"/>
                    <w:left w:val="nil"/>
                    <w:bottom w:val="single" w:color="auto" w:sz="8" w:space="0"/>
                    <w:right w:val="single" w:color="000000"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164.15</w:t>
                  </w:r>
                </w:p>
              </w:tc>
              <w:tc>
                <w:tcPr>
                  <w:tcW w:w="1226" w:type="pct"/>
                  <w:tcBorders>
                    <w:top w:val="nil"/>
                    <w:left w:val="nil"/>
                    <w:bottom w:val="single" w:color="auto" w:sz="8" w:space="0"/>
                    <w:right w:val="single" w:color="auto"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土方方量（万m</w:t>
                  </w:r>
                  <w:r>
                    <w:rPr>
                      <w:rFonts w:ascii="Times New Roman" w:hAnsi="Times New Roman"/>
                      <w:kern w:val="0"/>
                      <w:szCs w:val="21"/>
                      <w:vertAlign w:val="superscript"/>
                    </w:rPr>
                    <w:t>3</w:t>
                  </w:r>
                  <w:r>
                    <w:rPr>
                      <w:rFonts w:ascii="Times New Roman" w:hAnsi="Times New Roman"/>
                      <w:kern w:val="0"/>
                      <w:szCs w:val="21"/>
                    </w:rPr>
                    <w:t>）</w:t>
                  </w:r>
                </w:p>
              </w:tc>
              <w:tc>
                <w:tcPr>
                  <w:tcW w:w="606" w:type="pct"/>
                  <w:gridSpan w:val="2"/>
                  <w:tcBorders>
                    <w:top w:val="single" w:color="auto" w:sz="8" w:space="0"/>
                    <w:left w:val="nil"/>
                    <w:bottom w:val="single" w:color="auto" w:sz="8" w:space="0"/>
                    <w:right w:val="single" w:color="000000" w:sz="8" w:space="0"/>
                  </w:tcBorders>
                  <w:shd w:val="clear" w:color="auto" w:fill="FFFFFF"/>
                  <w:noWrap/>
                  <w:vAlign w:val="center"/>
                </w:tcPr>
                <w:p>
                  <w:pPr>
                    <w:widowControl/>
                    <w:jc w:val="center"/>
                    <w:rPr>
                      <w:rFonts w:ascii="Times New Roman" w:hAnsi="Times New Roman"/>
                      <w:kern w:val="0"/>
                      <w:szCs w:val="21"/>
                    </w:rPr>
                  </w:pPr>
                  <w:r>
                    <w:rPr>
                      <w:rFonts w:hint="eastAsia" w:ascii="Times New Roman" w:hAnsi="Times New Roman"/>
                      <w:kern w:val="0"/>
                      <w:szCs w:val="21"/>
                    </w:rPr>
                    <w:t>0</w:t>
                  </w:r>
                  <w:r>
                    <w:rPr>
                      <w:rFonts w:ascii="Times New Roman" w:hAnsi="Times New Roman"/>
                      <w:kern w:val="0"/>
                      <w:szCs w:val="21"/>
                    </w:rPr>
                    <w:t>.26</w:t>
                  </w:r>
                </w:p>
              </w:tc>
            </w:tr>
            <w:tr>
              <w:tblPrEx>
                <w:shd w:val="clear" w:color="auto" w:fill="FFFFFF"/>
                <w:tblCellMar>
                  <w:top w:w="0" w:type="dxa"/>
                  <w:left w:w="108" w:type="dxa"/>
                  <w:bottom w:w="0" w:type="dxa"/>
                  <w:right w:w="108" w:type="dxa"/>
                </w:tblCellMar>
              </w:tblPrEx>
              <w:trPr>
                <w:trHeight w:val="300" w:hRule="atLeast"/>
              </w:trPr>
              <w:tc>
                <w:tcPr>
                  <w:tcW w:w="360" w:type="pct"/>
                  <w:vMerge w:val="continue"/>
                  <w:tcBorders>
                    <w:top w:val="nil"/>
                    <w:left w:val="single" w:color="auto" w:sz="8" w:space="0"/>
                    <w:bottom w:val="single" w:color="000000" w:sz="8" w:space="0"/>
                    <w:right w:val="single" w:color="auto" w:sz="8" w:space="0"/>
                  </w:tcBorders>
                  <w:shd w:val="clear" w:color="auto" w:fill="FFFFFF"/>
                  <w:noWrap w:val="0"/>
                  <w:vAlign w:val="center"/>
                </w:tcPr>
                <w:p>
                  <w:pPr>
                    <w:widowControl/>
                    <w:jc w:val="left"/>
                    <w:rPr>
                      <w:rFonts w:ascii="Times New Roman" w:hAnsi="Times New Roman"/>
                      <w:kern w:val="0"/>
                      <w:szCs w:val="21"/>
                    </w:rPr>
                  </w:pPr>
                </w:p>
              </w:tc>
              <w:tc>
                <w:tcPr>
                  <w:tcW w:w="348" w:type="pct"/>
                  <w:vMerge w:val="continue"/>
                  <w:tcBorders>
                    <w:top w:val="nil"/>
                    <w:left w:val="single" w:color="auto" w:sz="8" w:space="0"/>
                    <w:bottom w:val="single" w:color="000000" w:sz="8" w:space="0"/>
                    <w:right w:val="single" w:color="auto" w:sz="8" w:space="0"/>
                  </w:tcBorders>
                  <w:shd w:val="clear" w:color="auto" w:fill="FFFFFF"/>
                  <w:noWrap w:val="0"/>
                  <w:vAlign w:val="center"/>
                </w:tcPr>
                <w:p>
                  <w:pPr>
                    <w:widowControl/>
                    <w:jc w:val="left"/>
                    <w:rPr>
                      <w:rFonts w:ascii="Times New Roman" w:hAnsi="Times New Roman"/>
                      <w:kern w:val="0"/>
                      <w:szCs w:val="21"/>
                    </w:rPr>
                  </w:pPr>
                </w:p>
              </w:tc>
              <w:tc>
                <w:tcPr>
                  <w:tcW w:w="1170" w:type="pct"/>
                  <w:tcBorders>
                    <w:top w:val="nil"/>
                    <w:left w:val="nil"/>
                    <w:bottom w:val="single" w:color="auto" w:sz="8" w:space="0"/>
                    <w:right w:val="single" w:color="auto"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单位长度投资（万元/km）</w:t>
                  </w:r>
                </w:p>
              </w:tc>
              <w:tc>
                <w:tcPr>
                  <w:tcW w:w="1288" w:type="pct"/>
                  <w:gridSpan w:val="2"/>
                  <w:tcBorders>
                    <w:top w:val="single" w:color="auto" w:sz="8" w:space="0"/>
                    <w:left w:val="nil"/>
                    <w:bottom w:val="single" w:color="auto" w:sz="8" w:space="0"/>
                    <w:right w:val="single" w:color="000000"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287.98</w:t>
                  </w:r>
                </w:p>
              </w:tc>
              <w:tc>
                <w:tcPr>
                  <w:tcW w:w="1226" w:type="pct"/>
                  <w:tcBorders>
                    <w:top w:val="nil"/>
                    <w:left w:val="nil"/>
                    <w:bottom w:val="single" w:color="auto" w:sz="8" w:space="0"/>
                    <w:right w:val="single" w:color="auto"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综合单位方量投资（万元/ m</w:t>
                  </w:r>
                  <w:r>
                    <w:rPr>
                      <w:rFonts w:ascii="Times New Roman" w:hAnsi="Times New Roman"/>
                      <w:kern w:val="0"/>
                      <w:szCs w:val="21"/>
                      <w:vertAlign w:val="superscript"/>
                    </w:rPr>
                    <w:t>3</w:t>
                  </w:r>
                  <w:r>
                    <w:rPr>
                      <w:rFonts w:ascii="Times New Roman" w:hAnsi="Times New Roman"/>
                      <w:kern w:val="0"/>
                      <w:szCs w:val="21"/>
                    </w:rPr>
                    <w:t>）</w:t>
                  </w:r>
                </w:p>
              </w:tc>
              <w:tc>
                <w:tcPr>
                  <w:tcW w:w="606" w:type="pct"/>
                  <w:gridSpan w:val="2"/>
                  <w:tcBorders>
                    <w:top w:val="single" w:color="auto" w:sz="8" w:space="0"/>
                    <w:left w:val="nil"/>
                    <w:bottom w:val="single" w:color="auto" w:sz="8" w:space="0"/>
                    <w:right w:val="single" w:color="000000" w:sz="8" w:space="0"/>
                  </w:tcBorders>
                  <w:shd w:val="clear" w:color="auto" w:fill="FFFFFF"/>
                  <w:noWrap/>
                  <w:vAlign w:val="center"/>
                </w:tcPr>
                <w:p>
                  <w:pPr>
                    <w:widowControl/>
                    <w:jc w:val="center"/>
                    <w:rPr>
                      <w:rFonts w:ascii="Times New Roman" w:hAnsi="Times New Roman"/>
                      <w:kern w:val="0"/>
                      <w:szCs w:val="21"/>
                    </w:rPr>
                  </w:pPr>
                  <w:r>
                    <w:rPr>
                      <w:rFonts w:hint="eastAsia" w:ascii="Times New Roman" w:hAnsi="Times New Roman"/>
                      <w:kern w:val="0"/>
                      <w:szCs w:val="21"/>
                    </w:rPr>
                    <w:t>7</w:t>
                  </w:r>
                  <w:r>
                    <w:rPr>
                      <w:rFonts w:ascii="Times New Roman" w:hAnsi="Times New Roman"/>
                      <w:kern w:val="0"/>
                      <w:szCs w:val="21"/>
                    </w:rPr>
                    <w:t>1.33</w:t>
                  </w:r>
                </w:p>
              </w:tc>
            </w:tr>
            <w:tr>
              <w:tblPrEx>
                <w:shd w:val="clear" w:color="auto" w:fill="FFFFFF"/>
                <w:tblCellMar>
                  <w:top w:w="0" w:type="dxa"/>
                  <w:left w:w="108" w:type="dxa"/>
                  <w:bottom w:w="0" w:type="dxa"/>
                  <w:right w:w="108" w:type="dxa"/>
                </w:tblCellMar>
              </w:tblPrEx>
              <w:trPr>
                <w:trHeight w:val="300" w:hRule="atLeast"/>
              </w:trPr>
              <w:tc>
                <w:tcPr>
                  <w:tcW w:w="360" w:type="pct"/>
                  <w:vMerge w:val="restart"/>
                  <w:tcBorders>
                    <w:top w:val="nil"/>
                    <w:left w:val="single" w:color="auto" w:sz="8" w:space="0"/>
                    <w:bottom w:val="single" w:color="000000" w:sz="8" w:space="0"/>
                    <w:right w:val="single" w:color="auto"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指标</w:t>
                  </w:r>
                </w:p>
              </w:tc>
              <w:tc>
                <w:tcPr>
                  <w:tcW w:w="1518" w:type="pct"/>
                  <w:gridSpan w:val="2"/>
                  <w:tcBorders>
                    <w:top w:val="single" w:color="auto" w:sz="8" w:space="0"/>
                    <w:left w:val="nil"/>
                    <w:bottom w:val="single" w:color="auto" w:sz="8" w:space="0"/>
                    <w:right w:val="single" w:color="000000"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各项治理河长总和与综合治理河长之比</w:t>
                  </w:r>
                </w:p>
              </w:tc>
              <w:tc>
                <w:tcPr>
                  <w:tcW w:w="1288" w:type="pct"/>
                  <w:gridSpan w:val="2"/>
                  <w:tcBorders>
                    <w:top w:val="single" w:color="auto" w:sz="8" w:space="0"/>
                    <w:left w:val="nil"/>
                    <w:bottom w:val="single" w:color="auto" w:sz="8" w:space="0"/>
                    <w:right w:val="single" w:color="000000"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100</w:t>
                  </w:r>
                </w:p>
              </w:tc>
              <w:tc>
                <w:tcPr>
                  <w:tcW w:w="1226" w:type="pct"/>
                  <w:tcBorders>
                    <w:top w:val="nil"/>
                    <w:left w:val="nil"/>
                    <w:bottom w:val="single" w:color="auto" w:sz="8" w:space="0"/>
                    <w:right w:val="single" w:color="auto"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工程总投资（万元）</w:t>
                  </w:r>
                </w:p>
              </w:tc>
              <w:tc>
                <w:tcPr>
                  <w:tcW w:w="606" w:type="pct"/>
                  <w:gridSpan w:val="2"/>
                  <w:tcBorders>
                    <w:top w:val="single" w:color="auto" w:sz="8" w:space="0"/>
                    <w:left w:val="nil"/>
                    <w:bottom w:val="single" w:color="auto" w:sz="8" w:space="0"/>
                    <w:right w:val="single" w:color="000000"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2229.38</w:t>
                  </w:r>
                </w:p>
              </w:tc>
            </w:tr>
            <w:tr>
              <w:tblPrEx>
                <w:shd w:val="clear" w:color="auto" w:fill="FFFFFF"/>
                <w:tblCellMar>
                  <w:top w:w="0" w:type="dxa"/>
                  <w:left w:w="108" w:type="dxa"/>
                  <w:bottom w:w="0" w:type="dxa"/>
                  <w:right w:w="108" w:type="dxa"/>
                </w:tblCellMar>
              </w:tblPrEx>
              <w:trPr>
                <w:trHeight w:val="300" w:hRule="atLeast"/>
              </w:trPr>
              <w:tc>
                <w:tcPr>
                  <w:tcW w:w="360" w:type="pct"/>
                  <w:vMerge w:val="continue"/>
                  <w:tcBorders>
                    <w:top w:val="nil"/>
                    <w:left w:val="single" w:color="auto" w:sz="8" w:space="0"/>
                    <w:bottom w:val="single" w:color="000000" w:sz="8" w:space="0"/>
                    <w:right w:val="single" w:color="auto" w:sz="8" w:space="0"/>
                  </w:tcBorders>
                  <w:shd w:val="clear" w:color="auto" w:fill="FFFFFF"/>
                  <w:noWrap w:val="0"/>
                  <w:vAlign w:val="center"/>
                </w:tcPr>
                <w:p>
                  <w:pPr>
                    <w:widowControl/>
                    <w:jc w:val="left"/>
                    <w:rPr>
                      <w:rFonts w:ascii="Times New Roman" w:hAnsi="Times New Roman"/>
                      <w:kern w:val="0"/>
                      <w:szCs w:val="21"/>
                    </w:rPr>
                  </w:pPr>
                </w:p>
              </w:tc>
              <w:tc>
                <w:tcPr>
                  <w:tcW w:w="1518" w:type="pct"/>
                  <w:gridSpan w:val="2"/>
                  <w:tcBorders>
                    <w:top w:val="single" w:color="auto" w:sz="8" w:space="0"/>
                    <w:left w:val="nil"/>
                    <w:bottom w:val="single" w:color="auto" w:sz="8" w:space="0"/>
                    <w:right w:val="single" w:color="000000"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人均保护投资（元/人）</w:t>
                  </w:r>
                </w:p>
              </w:tc>
              <w:tc>
                <w:tcPr>
                  <w:tcW w:w="1288" w:type="pct"/>
                  <w:gridSpan w:val="2"/>
                  <w:tcBorders>
                    <w:top w:val="single" w:color="auto" w:sz="8" w:space="0"/>
                    <w:left w:val="nil"/>
                    <w:bottom w:val="single" w:color="auto" w:sz="8" w:space="0"/>
                    <w:right w:val="single" w:color="000000"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7431</w:t>
                  </w:r>
                </w:p>
              </w:tc>
              <w:tc>
                <w:tcPr>
                  <w:tcW w:w="1226" w:type="pct"/>
                  <w:tcBorders>
                    <w:top w:val="nil"/>
                    <w:left w:val="nil"/>
                    <w:bottom w:val="single" w:color="auto" w:sz="8" w:space="0"/>
                    <w:right w:val="single" w:color="auto"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受益面积亩均投资（元/亩）</w:t>
                  </w:r>
                </w:p>
              </w:tc>
              <w:tc>
                <w:tcPr>
                  <w:tcW w:w="606" w:type="pct"/>
                  <w:gridSpan w:val="2"/>
                  <w:tcBorders>
                    <w:top w:val="single" w:color="auto" w:sz="8" w:space="0"/>
                    <w:left w:val="nil"/>
                    <w:bottom w:val="single" w:color="auto" w:sz="8" w:space="0"/>
                    <w:right w:val="single" w:color="000000"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4458</w:t>
                  </w:r>
                </w:p>
              </w:tc>
            </w:tr>
            <w:tr>
              <w:tblPrEx>
                <w:shd w:val="clear" w:color="auto" w:fill="FFFFFF"/>
                <w:tblCellMar>
                  <w:top w:w="0" w:type="dxa"/>
                  <w:left w:w="108" w:type="dxa"/>
                  <w:bottom w:w="0" w:type="dxa"/>
                  <w:right w:w="108" w:type="dxa"/>
                </w:tblCellMar>
              </w:tblPrEx>
              <w:trPr>
                <w:trHeight w:val="328" w:hRule="atLeast"/>
              </w:trPr>
              <w:tc>
                <w:tcPr>
                  <w:tcW w:w="360" w:type="pct"/>
                  <w:vMerge w:val="continue"/>
                  <w:tcBorders>
                    <w:top w:val="nil"/>
                    <w:left w:val="single" w:color="auto" w:sz="8" w:space="0"/>
                    <w:bottom w:val="single" w:color="000000" w:sz="8" w:space="0"/>
                    <w:right w:val="single" w:color="auto" w:sz="8" w:space="0"/>
                  </w:tcBorders>
                  <w:shd w:val="clear" w:color="auto" w:fill="FFFFFF"/>
                  <w:noWrap w:val="0"/>
                  <w:vAlign w:val="center"/>
                </w:tcPr>
                <w:p>
                  <w:pPr>
                    <w:widowControl/>
                    <w:jc w:val="left"/>
                    <w:rPr>
                      <w:rFonts w:ascii="Times New Roman" w:hAnsi="Times New Roman"/>
                      <w:kern w:val="0"/>
                      <w:szCs w:val="21"/>
                    </w:rPr>
                  </w:pPr>
                </w:p>
              </w:tc>
              <w:tc>
                <w:tcPr>
                  <w:tcW w:w="1518" w:type="pct"/>
                  <w:gridSpan w:val="2"/>
                  <w:tcBorders>
                    <w:top w:val="single" w:color="auto" w:sz="8" w:space="0"/>
                    <w:left w:val="nil"/>
                    <w:bottom w:val="single" w:color="auto" w:sz="8" w:space="0"/>
                    <w:right w:val="single" w:color="000000"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受益面积亩均投资（元/亩）</w:t>
                  </w:r>
                </w:p>
              </w:tc>
              <w:tc>
                <w:tcPr>
                  <w:tcW w:w="1288" w:type="pct"/>
                  <w:gridSpan w:val="2"/>
                  <w:tcBorders>
                    <w:top w:val="single" w:color="auto" w:sz="8" w:space="0"/>
                    <w:left w:val="nil"/>
                    <w:bottom w:val="single" w:color="auto" w:sz="8" w:space="0"/>
                    <w:right w:val="single" w:color="000000"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4954</w:t>
                  </w:r>
                </w:p>
              </w:tc>
              <w:tc>
                <w:tcPr>
                  <w:tcW w:w="1226" w:type="pct"/>
                  <w:tcBorders>
                    <w:top w:val="nil"/>
                    <w:left w:val="nil"/>
                    <w:bottom w:val="single" w:color="auto" w:sz="8" w:space="0"/>
                    <w:right w:val="single" w:color="auto"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综合河长每延米工程量（m</w:t>
                  </w:r>
                  <w:r>
                    <w:rPr>
                      <w:rFonts w:ascii="Times New Roman" w:hAnsi="Times New Roman"/>
                      <w:kern w:val="0"/>
                      <w:szCs w:val="21"/>
                      <w:vertAlign w:val="superscript"/>
                    </w:rPr>
                    <w:t>3</w:t>
                  </w:r>
                  <w:r>
                    <w:rPr>
                      <w:rFonts w:ascii="Times New Roman" w:hAnsi="Times New Roman"/>
                      <w:kern w:val="0"/>
                      <w:szCs w:val="21"/>
                    </w:rPr>
                    <w:t>/m)</w:t>
                  </w:r>
                </w:p>
              </w:tc>
              <w:tc>
                <w:tcPr>
                  <w:tcW w:w="606" w:type="pct"/>
                  <w:gridSpan w:val="2"/>
                  <w:tcBorders>
                    <w:top w:val="single" w:color="auto" w:sz="8" w:space="0"/>
                    <w:left w:val="nil"/>
                    <w:bottom w:val="single" w:color="auto" w:sz="8" w:space="0"/>
                    <w:right w:val="single" w:color="000000"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2.68</w:t>
                  </w:r>
                </w:p>
              </w:tc>
            </w:tr>
            <w:tr>
              <w:tblPrEx>
                <w:shd w:val="clear" w:color="auto" w:fill="FFFFFF"/>
                <w:tblCellMar>
                  <w:top w:w="0" w:type="dxa"/>
                  <w:left w:w="108" w:type="dxa"/>
                  <w:bottom w:w="0" w:type="dxa"/>
                  <w:right w:w="108" w:type="dxa"/>
                </w:tblCellMar>
              </w:tblPrEx>
              <w:trPr>
                <w:trHeight w:val="300" w:hRule="atLeast"/>
              </w:trPr>
              <w:tc>
                <w:tcPr>
                  <w:tcW w:w="360" w:type="pct"/>
                  <w:vMerge w:val="continue"/>
                  <w:tcBorders>
                    <w:top w:val="nil"/>
                    <w:left w:val="single" w:color="auto" w:sz="8" w:space="0"/>
                    <w:bottom w:val="single" w:color="000000" w:sz="8" w:space="0"/>
                    <w:right w:val="single" w:color="auto" w:sz="8" w:space="0"/>
                  </w:tcBorders>
                  <w:shd w:val="clear" w:color="auto" w:fill="FFFFFF"/>
                  <w:noWrap w:val="0"/>
                  <w:vAlign w:val="center"/>
                </w:tcPr>
                <w:p>
                  <w:pPr>
                    <w:widowControl/>
                    <w:jc w:val="left"/>
                    <w:rPr>
                      <w:rFonts w:ascii="Times New Roman" w:hAnsi="Times New Roman"/>
                      <w:kern w:val="0"/>
                      <w:szCs w:val="21"/>
                    </w:rPr>
                  </w:pPr>
                </w:p>
              </w:tc>
              <w:tc>
                <w:tcPr>
                  <w:tcW w:w="1518" w:type="pct"/>
                  <w:gridSpan w:val="2"/>
                  <w:tcBorders>
                    <w:top w:val="single" w:color="auto" w:sz="8" w:space="0"/>
                    <w:left w:val="nil"/>
                    <w:bottom w:val="single" w:color="auto" w:sz="8" w:space="0"/>
                    <w:right w:val="single" w:color="000000"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综合单位方量投资（元/m3)</w:t>
                  </w:r>
                </w:p>
              </w:tc>
              <w:tc>
                <w:tcPr>
                  <w:tcW w:w="1288" w:type="pct"/>
                  <w:gridSpan w:val="2"/>
                  <w:tcBorders>
                    <w:top w:val="single" w:color="auto" w:sz="8" w:space="0"/>
                    <w:left w:val="nil"/>
                    <w:bottom w:val="single" w:color="auto" w:sz="8" w:space="0"/>
                    <w:right w:val="single" w:color="000000"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132.46</w:t>
                  </w:r>
                </w:p>
              </w:tc>
              <w:tc>
                <w:tcPr>
                  <w:tcW w:w="1226" w:type="pct"/>
                  <w:tcBorders>
                    <w:top w:val="nil"/>
                    <w:left w:val="nil"/>
                    <w:bottom w:val="single" w:color="auto" w:sz="8" w:space="0"/>
                    <w:right w:val="single" w:color="auto"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综合河长单位投资（万元/km)</w:t>
                  </w:r>
                </w:p>
              </w:tc>
              <w:tc>
                <w:tcPr>
                  <w:tcW w:w="606" w:type="pct"/>
                  <w:gridSpan w:val="2"/>
                  <w:tcBorders>
                    <w:top w:val="single" w:color="auto" w:sz="8" w:space="0"/>
                    <w:left w:val="nil"/>
                    <w:bottom w:val="single" w:color="auto" w:sz="8" w:space="0"/>
                    <w:right w:val="single" w:color="000000" w:sz="8" w:space="0"/>
                  </w:tcBorders>
                  <w:shd w:val="clear" w:color="auto" w:fill="FFFFFF"/>
                  <w:noWrap/>
                  <w:vAlign w:val="center"/>
                </w:tcPr>
                <w:p>
                  <w:pPr>
                    <w:widowControl/>
                    <w:jc w:val="center"/>
                    <w:rPr>
                      <w:rFonts w:ascii="Times New Roman" w:hAnsi="Times New Roman"/>
                      <w:kern w:val="0"/>
                      <w:szCs w:val="21"/>
                    </w:rPr>
                  </w:pPr>
                  <w:r>
                    <w:rPr>
                      <w:rFonts w:ascii="Times New Roman" w:hAnsi="Times New Roman"/>
                      <w:kern w:val="0"/>
                      <w:szCs w:val="21"/>
                    </w:rPr>
                    <w:t>355.56</w:t>
                  </w:r>
                </w:p>
              </w:tc>
            </w:tr>
            <w:tr>
              <w:tblPrEx>
                <w:shd w:val="clear" w:color="auto" w:fill="FFFFFF"/>
                <w:tblCellMar>
                  <w:top w:w="0" w:type="dxa"/>
                  <w:left w:w="108" w:type="dxa"/>
                  <w:bottom w:w="0" w:type="dxa"/>
                  <w:right w:w="108" w:type="dxa"/>
                </w:tblCellMar>
              </w:tblPrEx>
              <w:trPr>
                <w:trHeight w:val="300" w:hRule="atLeast"/>
              </w:trPr>
              <w:tc>
                <w:tcPr>
                  <w:tcW w:w="360" w:type="pct"/>
                  <w:tcBorders>
                    <w:top w:val="nil"/>
                    <w:left w:val="single" w:color="auto" w:sz="8" w:space="0"/>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序号</w:t>
                  </w:r>
                </w:p>
              </w:tc>
              <w:tc>
                <w:tcPr>
                  <w:tcW w:w="1753" w:type="pct"/>
                  <w:gridSpan w:val="3"/>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名称</w:t>
                  </w:r>
                </w:p>
              </w:tc>
              <w:tc>
                <w:tcPr>
                  <w:tcW w:w="1053"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单  位</w:t>
                  </w:r>
                </w:p>
              </w:tc>
              <w:tc>
                <w:tcPr>
                  <w:tcW w:w="1226"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数   量</w:t>
                  </w:r>
                </w:p>
              </w:tc>
              <w:tc>
                <w:tcPr>
                  <w:tcW w:w="606" w:type="pct"/>
                  <w:gridSpan w:val="2"/>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备   注</w:t>
                  </w:r>
                </w:p>
              </w:tc>
            </w:tr>
            <w:tr>
              <w:tblPrEx>
                <w:shd w:val="clear" w:color="auto" w:fill="FFFFFF"/>
                <w:tblCellMar>
                  <w:top w:w="0" w:type="dxa"/>
                  <w:left w:w="108" w:type="dxa"/>
                  <w:bottom w:w="0" w:type="dxa"/>
                  <w:right w:w="108" w:type="dxa"/>
                </w:tblCellMar>
              </w:tblPrEx>
              <w:trPr>
                <w:trHeight w:val="300" w:hRule="atLeast"/>
              </w:trPr>
              <w:tc>
                <w:tcPr>
                  <w:tcW w:w="360" w:type="pct"/>
                  <w:tcBorders>
                    <w:top w:val="nil"/>
                    <w:left w:val="single" w:color="auto" w:sz="8" w:space="0"/>
                    <w:bottom w:val="single" w:color="auto" w:sz="8" w:space="0"/>
                    <w:right w:val="single" w:color="auto" w:sz="8" w:space="0"/>
                  </w:tcBorders>
                  <w:shd w:val="clear" w:color="auto" w:fill="FFFFFF"/>
                  <w:noWrap w:val="0"/>
                  <w:vAlign w:val="center"/>
                </w:tcPr>
                <w:p>
                  <w:pPr>
                    <w:widowControl/>
                    <w:jc w:val="center"/>
                    <w:rPr>
                      <w:rFonts w:ascii="Times New Roman" w:hAnsi="Times New Roman"/>
                      <w:b/>
                      <w:bCs/>
                      <w:kern w:val="0"/>
                      <w:szCs w:val="21"/>
                    </w:rPr>
                  </w:pPr>
                  <w:r>
                    <w:rPr>
                      <w:rFonts w:ascii="Times New Roman" w:hAnsi="Times New Roman"/>
                      <w:b/>
                      <w:bCs/>
                      <w:kern w:val="0"/>
                      <w:szCs w:val="21"/>
                    </w:rPr>
                    <w:t>一</w:t>
                  </w:r>
                </w:p>
              </w:tc>
              <w:tc>
                <w:tcPr>
                  <w:tcW w:w="1753" w:type="pct"/>
                  <w:gridSpan w:val="3"/>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b/>
                      <w:bCs/>
                      <w:kern w:val="0"/>
                      <w:szCs w:val="21"/>
                    </w:rPr>
                  </w:pPr>
                  <w:r>
                    <w:rPr>
                      <w:rFonts w:ascii="Times New Roman" w:hAnsi="Times New Roman"/>
                      <w:b/>
                      <w:bCs/>
                      <w:kern w:val="0"/>
                      <w:szCs w:val="21"/>
                    </w:rPr>
                    <w:t>水文</w:t>
                  </w:r>
                </w:p>
              </w:tc>
              <w:tc>
                <w:tcPr>
                  <w:tcW w:w="1053"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　</w:t>
                  </w:r>
                </w:p>
              </w:tc>
              <w:tc>
                <w:tcPr>
                  <w:tcW w:w="1226"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　</w:t>
                  </w:r>
                </w:p>
              </w:tc>
              <w:tc>
                <w:tcPr>
                  <w:tcW w:w="606" w:type="pct"/>
                  <w:gridSpan w:val="2"/>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　</w:t>
                  </w:r>
                </w:p>
              </w:tc>
            </w:tr>
            <w:tr>
              <w:tblPrEx>
                <w:shd w:val="clear" w:color="auto" w:fill="FFFFFF"/>
                <w:tblCellMar>
                  <w:top w:w="0" w:type="dxa"/>
                  <w:left w:w="108" w:type="dxa"/>
                  <w:bottom w:w="0" w:type="dxa"/>
                  <w:right w:w="108" w:type="dxa"/>
                </w:tblCellMar>
              </w:tblPrEx>
              <w:trPr>
                <w:trHeight w:val="345" w:hRule="atLeast"/>
              </w:trPr>
              <w:tc>
                <w:tcPr>
                  <w:tcW w:w="360" w:type="pct"/>
                  <w:tcBorders>
                    <w:top w:val="nil"/>
                    <w:left w:val="single" w:color="auto" w:sz="8" w:space="0"/>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1</w:t>
                  </w:r>
                </w:p>
              </w:tc>
              <w:tc>
                <w:tcPr>
                  <w:tcW w:w="1753" w:type="pct"/>
                  <w:gridSpan w:val="3"/>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工程控制断面集水面积</w:t>
                  </w:r>
                </w:p>
              </w:tc>
              <w:tc>
                <w:tcPr>
                  <w:tcW w:w="1053"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km</w:t>
                  </w:r>
                  <w:r>
                    <w:rPr>
                      <w:rFonts w:ascii="Times New Roman" w:hAnsi="Times New Roman"/>
                      <w:kern w:val="0"/>
                      <w:szCs w:val="21"/>
                      <w:vertAlign w:val="superscript"/>
                    </w:rPr>
                    <w:t>2</w:t>
                  </w:r>
                </w:p>
              </w:tc>
              <w:tc>
                <w:tcPr>
                  <w:tcW w:w="1226"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297</w:t>
                  </w:r>
                </w:p>
              </w:tc>
              <w:tc>
                <w:tcPr>
                  <w:tcW w:w="606" w:type="pct"/>
                  <w:gridSpan w:val="2"/>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　</w:t>
                  </w:r>
                </w:p>
              </w:tc>
            </w:tr>
            <w:tr>
              <w:tblPrEx>
                <w:shd w:val="clear" w:color="auto" w:fill="FFFFFF"/>
                <w:tblCellMar>
                  <w:top w:w="0" w:type="dxa"/>
                  <w:left w:w="108" w:type="dxa"/>
                  <w:bottom w:w="0" w:type="dxa"/>
                  <w:right w:w="108" w:type="dxa"/>
                </w:tblCellMar>
              </w:tblPrEx>
              <w:trPr>
                <w:trHeight w:val="300" w:hRule="atLeast"/>
              </w:trPr>
              <w:tc>
                <w:tcPr>
                  <w:tcW w:w="360" w:type="pct"/>
                  <w:tcBorders>
                    <w:top w:val="nil"/>
                    <w:left w:val="single" w:color="auto" w:sz="8" w:space="0"/>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2</w:t>
                  </w:r>
                </w:p>
              </w:tc>
              <w:tc>
                <w:tcPr>
                  <w:tcW w:w="1753" w:type="pct"/>
                  <w:gridSpan w:val="3"/>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利用的水文系列年限</w:t>
                  </w:r>
                </w:p>
              </w:tc>
              <w:tc>
                <w:tcPr>
                  <w:tcW w:w="1053"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年</w:t>
                  </w:r>
                </w:p>
              </w:tc>
              <w:tc>
                <w:tcPr>
                  <w:tcW w:w="1226"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w:t>
                  </w:r>
                </w:p>
              </w:tc>
              <w:tc>
                <w:tcPr>
                  <w:tcW w:w="606" w:type="pct"/>
                  <w:gridSpan w:val="2"/>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1957-2010/54</w:t>
                  </w:r>
                </w:p>
              </w:tc>
            </w:tr>
            <w:tr>
              <w:tblPrEx>
                <w:shd w:val="clear" w:color="auto" w:fill="FFFFFF"/>
                <w:tblCellMar>
                  <w:top w:w="0" w:type="dxa"/>
                  <w:left w:w="108" w:type="dxa"/>
                  <w:bottom w:w="0" w:type="dxa"/>
                  <w:right w:w="108" w:type="dxa"/>
                </w:tblCellMar>
              </w:tblPrEx>
              <w:trPr>
                <w:trHeight w:val="300" w:hRule="atLeast"/>
              </w:trPr>
              <w:tc>
                <w:tcPr>
                  <w:tcW w:w="360" w:type="pct"/>
                  <w:tcBorders>
                    <w:top w:val="nil"/>
                    <w:left w:val="single" w:color="auto" w:sz="8" w:space="0"/>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3</w:t>
                  </w:r>
                </w:p>
              </w:tc>
              <w:tc>
                <w:tcPr>
                  <w:tcW w:w="1753" w:type="pct"/>
                  <w:gridSpan w:val="3"/>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多年平均悬移质年输沙量</w:t>
                  </w:r>
                </w:p>
              </w:tc>
              <w:tc>
                <w:tcPr>
                  <w:tcW w:w="1053"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万t</w:t>
                  </w:r>
                </w:p>
              </w:tc>
              <w:tc>
                <w:tcPr>
                  <w:tcW w:w="1226"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14.85</w:t>
                  </w:r>
                </w:p>
              </w:tc>
              <w:tc>
                <w:tcPr>
                  <w:tcW w:w="606" w:type="pct"/>
                  <w:gridSpan w:val="2"/>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　</w:t>
                  </w:r>
                </w:p>
              </w:tc>
            </w:tr>
            <w:tr>
              <w:tblPrEx>
                <w:shd w:val="clear" w:color="auto" w:fill="FFFFFF"/>
                <w:tblCellMar>
                  <w:top w:w="0" w:type="dxa"/>
                  <w:left w:w="108" w:type="dxa"/>
                  <w:bottom w:w="0" w:type="dxa"/>
                  <w:right w:w="108" w:type="dxa"/>
                </w:tblCellMar>
              </w:tblPrEx>
              <w:trPr>
                <w:trHeight w:val="300" w:hRule="atLeast"/>
              </w:trPr>
              <w:tc>
                <w:tcPr>
                  <w:tcW w:w="360" w:type="pct"/>
                  <w:tcBorders>
                    <w:top w:val="nil"/>
                    <w:left w:val="single" w:color="auto" w:sz="8" w:space="0"/>
                    <w:bottom w:val="single" w:color="auto" w:sz="8" w:space="0"/>
                    <w:right w:val="single" w:color="auto" w:sz="8" w:space="0"/>
                  </w:tcBorders>
                  <w:shd w:val="clear" w:color="auto" w:fill="FFFFFF"/>
                  <w:noWrap w:val="0"/>
                  <w:vAlign w:val="center"/>
                </w:tcPr>
                <w:p>
                  <w:pPr>
                    <w:widowControl/>
                    <w:jc w:val="center"/>
                    <w:rPr>
                      <w:rFonts w:ascii="Times New Roman" w:hAnsi="Times New Roman"/>
                      <w:b/>
                      <w:bCs/>
                      <w:kern w:val="0"/>
                      <w:szCs w:val="21"/>
                    </w:rPr>
                  </w:pPr>
                  <w:r>
                    <w:rPr>
                      <w:rFonts w:ascii="Times New Roman" w:hAnsi="Times New Roman"/>
                      <w:b/>
                      <w:bCs/>
                      <w:kern w:val="0"/>
                      <w:szCs w:val="21"/>
                    </w:rPr>
                    <w:t>二</w:t>
                  </w:r>
                </w:p>
              </w:tc>
              <w:tc>
                <w:tcPr>
                  <w:tcW w:w="1753" w:type="pct"/>
                  <w:gridSpan w:val="3"/>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b/>
                      <w:bCs/>
                      <w:kern w:val="0"/>
                      <w:szCs w:val="21"/>
                    </w:rPr>
                  </w:pPr>
                  <w:r>
                    <w:rPr>
                      <w:rFonts w:ascii="Times New Roman" w:hAnsi="Times New Roman"/>
                      <w:b/>
                      <w:bCs/>
                      <w:kern w:val="0"/>
                      <w:szCs w:val="21"/>
                    </w:rPr>
                    <w:t>工程规模</w:t>
                  </w:r>
                </w:p>
              </w:tc>
              <w:tc>
                <w:tcPr>
                  <w:tcW w:w="1053"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　</w:t>
                  </w:r>
                </w:p>
              </w:tc>
              <w:tc>
                <w:tcPr>
                  <w:tcW w:w="1226"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　</w:t>
                  </w:r>
                </w:p>
              </w:tc>
              <w:tc>
                <w:tcPr>
                  <w:tcW w:w="606" w:type="pct"/>
                  <w:gridSpan w:val="2"/>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　</w:t>
                  </w:r>
                </w:p>
              </w:tc>
            </w:tr>
            <w:tr>
              <w:tblPrEx>
                <w:shd w:val="clear" w:color="auto" w:fill="FFFFFF"/>
                <w:tblCellMar>
                  <w:top w:w="0" w:type="dxa"/>
                  <w:left w:w="108" w:type="dxa"/>
                  <w:bottom w:w="0" w:type="dxa"/>
                  <w:right w:w="108" w:type="dxa"/>
                </w:tblCellMar>
              </w:tblPrEx>
              <w:trPr>
                <w:trHeight w:val="345" w:hRule="atLeast"/>
              </w:trPr>
              <w:tc>
                <w:tcPr>
                  <w:tcW w:w="360" w:type="pct"/>
                  <w:tcBorders>
                    <w:top w:val="nil"/>
                    <w:left w:val="single" w:color="auto" w:sz="8" w:space="0"/>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1</w:t>
                  </w:r>
                </w:p>
              </w:tc>
              <w:tc>
                <w:tcPr>
                  <w:tcW w:w="1753" w:type="pct"/>
                  <w:gridSpan w:val="3"/>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保护面积</w:t>
                  </w:r>
                </w:p>
              </w:tc>
              <w:tc>
                <w:tcPr>
                  <w:tcW w:w="1053"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hint="eastAsia" w:ascii="Times New Roman" w:hAnsi="Times New Roman"/>
                      <w:kern w:val="0"/>
                      <w:szCs w:val="21"/>
                    </w:rPr>
                    <w:t>万亩</w:t>
                  </w:r>
                </w:p>
              </w:tc>
              <w:tc>
                <w:tcPr>
                  <w:tcW w:w="1226"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0.45</w:t>
                  </w:r>
                </w:p>
              </w:tc>
              <w:tc>
                <w:tcPr>
                  <w:tcW w:w="606" w:type="pct"/>
                  <w:gridSpan w:val="2"/>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　</w:t>
                  </w:r>
                </w:p>
              </w:tc>
            </w:tr>
            <w:tr>
              <w:tblPrEx>
                <w:shd w:val="clear" w:color="auto" w:fill="FFFFFF"/>
                <w:tblCellMar>
                  <w:top w:w="0" w:type="dxa"/>
                  <w:left w:w="108" w:type="dxa"/>
                  <w:bottom w:w="0" w:type="dxa"/>
                  <w:right w:w="108" w:type="dxa"/>
                </w:tblCellMar>
              </w:tblPrEx>
              <w:trPr>
                <w:trHeight w:val="300" w:hRule="atLeast"/>
              </w:trPr>
              <w:tc>
                <w:tcPr>
                  <w:tcW w:w="360" w:type="pct"/>
                  <w:tcBorders>
                    <w:top w:val="nil"/>
                    <w:left w:val="single" w:color="auto" w:sz="8" w:space="0"/>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2</w:t>
                  </w:r>
                </w:p>
              </w:tc>
              <w:tc>
                <w:tcPr>
                  <w:tcW w:w="1753" w:type="pct"/>
                  <w:gridSpan w:val="3"/>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设计洪水标准</w:t>
                  </w:r>
                </w:p>
              </w:tc>
              <w:tc>
                <w:tcPr>
                  <w:tcW w:w="1053"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年</w:t>
                  </w:r>
                </w:p>
              </w:tc>
              <w:tc>
                <w:tcPr>
                  <w:tcW w:w="1226"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hint="eastAsia" w:ascii="Times New Roman" w:hAnsi="Times New Roman"/>
                      <w:kern w:val="0"/>
                      <w:szCs w:val="21"/>
                    </w:rPr>
                    <w:t>游坝</w:t>
                  </w:r>
                  <w:r>
                    <w:rPr>
                      <w:rFonts w:ascii="Times New Roman" w:hAnsi="Times New Roman"/>
                      <w:kern w:val="0"/>
                      <w:szCs w:val="21"/>
                    </w:rPr>
                    <w:t>10年一遇</w:t>
                  </w:r>
                  <w:r>
                    <w:rPr>
                      <w:rFonts w:hint="eastAsia" w:ascii="Times New Roman" w:hAnsi="Times New Roman"/>
                      <w:kern w:val="0"/>
                      <w:szCs w:val="21"/>
                    </w:rPr>
                    <w:t>，三圣村5年一遇</w:t>
                  </w:r>
                </w:p>
              </w:tc>
              <w:tc>
                <w:tcPr>
                  <w:tcW w:w="606" w:type="pct"/>
                  <w:gridSpan w:val="2"/>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　</w:t>
                  </w:r>
                </w:p>
              </w:tc>
            </w:tr>
            <w:tr>
              <w:tblPrEx>
                <w:shd w:val="clear" w:color="auto" w:fill="FFFFFF"/>
                <w:tblCellMar>
                  <w:top w:w="0" w:type="dxa"/>
                  <w:left w:w="108" w:type="dxa"/>
                  <w:bottom w:w="0" w:type="dxa"/>
                  <w:right w:w="108" w:type="dxa"/>
                </w:tblCellMar>
              </w:tblPrEx>
              <w:trPr>
                <w:trHeight w:val="345" w:hRule="atLeast"/>
              </w:trPr>
              <w:tc>
                <w:tcPr>
                  <w:tcW w:w="360" w:type="pct"/>
                  <w:tcBorders>
                    <w:top w:val="nil"/>
                    <w:left w:val="single" w:color="auto" w:sz="8" w:space="0"/>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3</w:t>
                  </w:r>
                </w:p>
              </w:tc>
              <w:tc>
                <w:tcPr>
                  <w:tcW w:w="1753" w:type="pct"/>
                  <w:gridSpan w:val="3"/>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设计洪水流量</w:t>
                  </w:r>
                </w:p>
              </w:tc>
              <w:tc>
                <w:tcPr>
                  <w:tcW w:w="1053"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m</w:t>
                  </w:r>
                  <w:r>
                    <w:rPr>
                      <w:rFonts w:ascii="Times New Roman" w:hAnsi="Times New Roman"/>
                      <w:kern w:val="0"/>
                      <w:szCs w:val="21"/>
                      <w:vertAlign w:val="superscript"/>
                    </w:rPr>
                    <w:t>3</w:t>
                  </w:r>
                  <w:r>
                    <w:rPr>
                      <w:rFonts w:ascii="Times New Roman" w:hAnsi="Times New Roman"/>
                      <w:kern w:val="0"/>
                      <w:szCs w:val="21"/>
                    </w:rPr>
                    <w:t>/s</w:t>
                  </w:r>
                </w:p>
              </w:tc>
              <w:tc>
                <w:tcPr>
                  <w:tcW w:w="1226"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150</w:t>
                  </w:r>
                  <w:r>
                    <w:rPr>
                      <w:rFonts w:hint="eastAsia" w:ascii="Times New Roman" w:hAnsi="Times New Roman"/>
                      <w:kern w:val="0"/>
                      <w:szCs w:val="21"/>
                      <w:lang w:val="en-US" w:eastAsia="zh-CN"/>
                    </w:rPr>
                    <w:t>4</w:t>
                  </w:r>
                  <w:r>
                    <w:rPr>
                      <w:rFonts w:ascii="Times New Roman" w:hAnsi="Times New Roman"/>
                      <w:kern w:val="0"/>
                      <w:szCs w:val="21"/>
                    </w:rPr>
                    <w:t>m</w:t>
                  </w:r>
                  <w:r>
                    <w:rPr>
                      <w:rFonts w:ascii="Times New Roman" w:hAnsi="Times New Roman"/>
                      <w:kern w:val="0"/>
                      <w:szCs w:val="21"/>
                      <w:vertAlign w:val="superscript"/>
                    </w:rPr>
                    <w:t>3</w:t>
                  </w:r>
                  <w:r>
                    <w:rPr>
                      <w:rFonts w:ascii="Times New Roman" w:hAnsi="Times New Roman"/>
                      <w:kern w:val="0"/>
                      <w:szCs w:val="21"/>
                    </w:rPr>
                    <w:t>/s</w:t>
                  </w:r>
                  <w:r>
                    <w:rPr>
                      <w:rFonts w:hint="eastAsia" w:ascii="Times New Roman" w:hAnsi="Times New Roman"/>
                      <w:kern w:val="0"/>
                      <w:szCs w:val="21"/>
                    </w:rPr>
                    <w:t>，1</w:t>
                  </w:r>
                  <w:r>
                    <w:rPr>
                      <w:rFonts w:ascii="Times New Roman" w:hAnsi="Times New Roman"/>
                      <w:kern w:val="0"/>
                      <w:szCs w:val="21"/>
                    </w:rPr>
                    <w:t>073m</w:t>
                  </w:r>
                  <w:r>
                    <w:rPr>
                      <w:rFonts w:ascii="Times New Roman" w:hAnsi="Times New Roman"/>
                      <w:kern w:val="0"/>
                      <w:szCs w:val="21"/>
                      <w:vertAlign w:val="superscript"/>
                    </w:rPr>
                    <w:t>3</w:t>
                  </w:r>
                  <w:r>
                    <w:rPr>
                      <w:rFonts w:ascii="Times New Roman" w:hAnsi="Times New Roman"/>
                      <w:kern w:val="0"/>
                      <w:szCs w:val="21"/>
                    </w:rPr>
                    <w:t>/s</w:t>
                  </w:r>
                </w:p>
              </w:tc>
              <w:tc>
                <w:tcPr>
                  <w:tcW w:w="606" w:type="pct"/>
                  <w:gridSpan w:val="2"/>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　</w:t>
                  </w:r>
                </w:p>
              </w:tc>
            </w:tr>
            <w:tr>
              <w:tblPrEx>
                <w:shd w:val="clear" w:color="auto" w:fill="FFFFFF"/>
                <w:tblCellMar>
                  <w:top w:w="0" w:type="dxa"/>
                  <w:left w:w="108" w:type="dxa"/>
                  <w:bottom w:w="0" w:type="dxa"/>
                  <w:right w:w="108" w:type="dxa"/>
                </w:tblCellMar>
              </w:tblPrEx>
              <w:trPr>
                <w:trHeight w:val="585" w:hRule="atLeast"/>
              </w:trPr>
              <w:tc>
                <w:tcPr>
                  <w:tcW w:w="360" w:type="pct"/>
                  <w:tcBorders>
                    <w:top w:val="nil"/>
                    <w:left w:val="single" w:color="auto" w:sz="8" w:space="0"/>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4</w:t>
                  </w:r>
                </w:p>
              </w:tc>
              <w:tc>
                <w:tcPr>
                  <w:tcW w:w="1753" w:type="pct"/>
                  <w:gridSpan w:val="3"/>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设计防护水位</w:t>
                  </w:r>
                </w:p>
              </w:tc>
              <w:tc>
                <w:tcPr>
                  <w:tcW w:w="1053"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m</w:t>
                  </w:r>
                </w:p>
              </w:tc>
              <w:tc>
                <w:tcPr>
                  <w:tcW w:w="1226"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389.12m~405.80m</w:t>
                  </w:r>
                </w:p>
              </w:tc>
              <w:tc>
                <w:tcPr>
                  <w:tcW w:w="606" w:type="pct"/>
                  <w:gridSpan w:val="2"/>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　</w:t>
                  </w:r>
                </w:p>
              </w:tc>
            </w:tr>
            <w:tr>
              <w:tblPrEx>
                <w:shd w:val="clear" w:color="auto" w:fill="FFFFFF"/>
                <w:tblCellMar>
                  <w:top w:w="0" w:type="dxa"/>
                  <w:left w:w="108" w:type="dxa"/>
                  <w:bottom w:w="0" w:type="dxa"/>
                  <w:right w:w="108" w:type="dxa"/>
                </w:tblCellMar>
              </w:tblPrEx>
              <w:trPr>
                <w:trHeight w:val="300" w:hRule="atLeast"/>
              </w:trPr>
              <w:tc>
                <w:tcPr>
                  <w:tcW w:w="360" w:type="pct"/>
                  <w:tcBorders>
                    <w:top w:val="nil"/>
                    <w:left w:val="single" w:color="auto" w:sz="8" w:space="0"/>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5</w:t>
                  </w:r>
                </w:p>
              </w:tc>
              <w:tc>
                <w:tcPr>
                  <w:tcW w:w="1753" w:type="pct"/>
                  <w:gridSpan w:val="3"/>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主要建筑物级别</w:t>
                  </w:r>
                </w:p>
              </w:tc>
              <w:tc>
                <w:tcPr>
                  <w:tcW w:w="1053"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级</w:t>
                  </w:r>
                </w:p>
              </w:tc>
              <w:tc>
                <w:tcPr>
                  <w:tcW w:w="1226"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V</w:t>
                  </w:r>
                </w:p>
              </w:tc>
              <w:tc>
                <w:tcPr>
                  <w:tcW w:w="606" w:type="pct"/>
                  <w:gridSpan w:val="2"/>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　</w:t>
                  </w:r>
                </w:p>
              </w:tc>
            </w:tr>
            <w:tr>
              <w:tblPrEx>
                <w:shd w:val="clear" w:color="auto" w:fill="FFFFFF"/>
                <w:tblCellMar>
                  <w:top w:w="0" w:type="dxa"/>
                  <w:left w:w="108" w:type="dxa"/>
                  <w:bottom w:w="0" w:type="dxa"/>
                  <w:right w:w="108" w:type="dxa"/>
                </w:tblCellMar>
              </w:tblPrEx>
              <w:trPr>
                <w:trHeight w:val="300" w:hRule="atLeast"/>
              </w:trPr>
              <w:tc>
                <w:tcPr>
                  <w:tcW w:w="360" w:type="pct"/>
                  <w:tcBorders>
                    <w:top w:val="nil"/>
                    <w:left w:val="single" w:color="auto" w:sz="8" w:space="0"/>
                    <w:bottom w:val="single" w:color="auto" w:sz="8" w:space="0"/>
                    <w:right w:val="single" w:color="auto" w:sz="8" w:space="0"/>
                  </w:tcBorders>
                  <w:shd w:val="clear" w:color="auto" w:fill="FFFFFF"/>
                  <w:noWrap w:val="0"/>
                  <w:vAlign w:val="center"/>
                </w:tcPr>
                <w:p>
                  <w:pPr>
                    <w:widowControl/>
                    <w:jc w:val="center"/>
                    <w:rPr>
                      <w:rFonts w:ascii="Times New Roman" w:hAnsi="Times New Roman"/>
                      <w:b/>
                      <w:bCs/>
                      <w:kern w:val="0"/>
                      <w:szCs w:val="21"/>
                    </w:rPr>
                  </w:pPr>
                  <w:r>
                    <w:rPr>
                      <w:rFonts w:ascii="Times New Roman" w:hAnsi="Times New Roman"/>
                      <w:b/>
                      <w:bCs/>
                      <w:kern w:val="0"/>
                      <w:szCs w:val="21"/>
                    </w:rPr>
                    <w:t>三</w:t>
                  </w:r>
                </w:p>
              </w:tc>
              <w:tc>
                <w:tcPr>
                  <w:tcW w:w="1753" w:type="pct"/>
                  <w:gridSpan w:val="3"/>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b/>
                      <w:bCs/>
                      <w:kern w:val="0"/>
                      <w:szCs w:val="21"/>
                    </w:rPr>
                  </w:pPr>
                  <w:r>
                    <w:rPr>
                      <w:rFonts w:ascii="Times New Roman" w:hAnsi="Times New Roman"/>
                      <w:b/>
                      <w:bCs/>
                      <w:kern w:val="0"/>
                      <w:szCs w:val="21"/>
                    </w:rPr>
                    <w:t>主要建筑物</w:t>
                  </w:r>
                </w:p>
              </w:tc>
              <w:tc>
                <w:tcPr>
                  <w:tcW w:w="1053"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　</w:t>
                  </w:r>
                </w:p>
              </w:tc>
              <w:tc>
                <w:tcPr>
                  <w:tcW w:w="1226"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　</w:t>
                  </w:r>
                </w:p>
              </w:tc>
              <w:tc>
                <w:tcPr>
                  <w:tcW w:w="606" w:type="pct"/>
                  <w:gridSpan w:val="2"/>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　</w:t>
                  </w:r>
                </w:p>
              </w:tc>
            </w:tr>
            <w:tr>
              <w:tblPrEx>
                <w:shd w:val="clear" w:color="auto" w:fill="FFFFFF"/>
                <w:tblCellMar>
                  <w:top w:w="0" w:type="dxa"/>
                  <w:left w:w="108" w:type="dxa"/>
                  <w:bottom w:w="0" w:type="dxa"/>
                  <w:right w:w="108" w:type="dxa"/>
                </w:tblCellMar>
              </w:tblPrEx>
              <w:trPr>
                <w:trHeight w:val="300" w:hRule="atLeast"/>
              </w:trPr>
              <w:tc>
                <w:tcPr>
                  <w:tcW w:w="360" w:type="pct"/>
                  <w:tcBorders>
                    <w:top w:val="nil"/>
                    <w:left w:val="single" w:color="auto" w:sz="8" w:space="0"/>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1</w:t>
                  </w:r>
                </w:p>
              </w:tc>
              <w:tc>
                <w:tcPr>
                  <w:tcW w:w="1753" w:type="pct"/>
                  <w:gridSpan w:val="3"/>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综合治理长度</w:t>
                  </w:r>
                </w:p>
              </w:tc>
              <w:tc>
                <w:tcPr>
                  <w:tcW w:w="1053"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km</w:t>
                  </w:r>
                </w:p>
              </w:tc>
              <w:tc>
                <w:tcPr>
                  <w:tcW w:w="1226"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6.274</w:t>
                  </w:r>
                </w:p>
              </w:tc>
              <w:tc>
                <w:tcPr>
                  <w:tcW w:w="606" w:type="pct"/>
                  <w:gridSpan w:val="2"/>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　</w:t>
                  </w:r>
                </w:p>
              </w:tc>
            </w:tr>
            <w:tr>
              <w:tblPrEx>
                <w:shd w:val="clear" w:color="auto" w:fill="FFFFFF"/>
                <w:tblCellMar>
                  <w:top w:w="0" w:type="dxa"/>
                  <w:left w:w="108" w:type="dxa"/>
                  <w:bottom w:w="0" w:type="dxa"/>
                  <w:right w:w="108" w:type="dxa"/>
                </w:tblCellMar>
              </w:tblPrEx>
              <w:trPr>
                <w:trHeight w:val="300" w:hRule="atLeast"/>
              </w:trPr>
              <w:tc>
                <w:tcPr>
                  <w:tcW w:w="360" w:type="pct"/>
                  <w:tcBorders>
                    <w:top w:val="nil"/>
                    <w:left w:val="single" w:color="auto" w:sz="8" w:space="0"/>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2</w:t>
                  </w:r>
                </w:p>
              </w:tc>
              <w:tc>
                <w:tcPr>
                  <w:tcW w:w="1753" w:type="pct"/>
                  <w:gridSpan w:val="3"/>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堤防工程长度</w:t>
                  </w:r>
                </w:p>
              </w:tc>
              <w:tc>
                <w:tcPr>
                  <w:tcW w:w="1053"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m</w:t>
                  </w:r>
                </w:p>
              </w:tc>
              <w:tc>
                <w:tcPr>
                  <w:tcW w:w="1226"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　</w:t>
                  </w:r>
                </w:p>
              </w:tc>
              <w:tc>
                <w:tcPr>
                  <w:tcW w:w="606" w:type="pct"/>
                  <w:gridSpan w:val="2"/>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　</w:t>
                  </w:r>
                </w:p>
              </w:tc>
            </w:tr>
            <w:tr>
              <w:tblPrEx>
                <w:shd w:val="clear" w:color="auto" w:fill="FFFFFF"/>
                <w:tblCellMar>
                  <w:top w:w="0" w:type="dxa"/>
                  <w:left w:w="108" w:type="dxa"/>
                  <w:bottom w:w="0" w:type="dxa"/>
                  <w:right w:w="108" w:type="dxa"/>
                </w:tblCellMar>
              </w:tblPrEx>
              <w:trPr>
                <w:trHeight w:val="300" w:hRule="atLeast"/>
              </w:trPr>
              <w:tc>
                <w:tcPr>
                  <w:tcW w:w="360" w:type="pct"/>
                  <w:tcBorders>
                    <w:top w:val="nil"/>
                    <w:left w:val="single" w:color="auto" w:sz="8" w:space="0"/>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3</w:t>
                  </w:r>
                </w:p>
              </w:tc>
              <w:tc>
                <w:tcPr>
                  <w:tcW w:w="1753" w:type="pct"/>
                  <w:gridSpan w:val="3"/>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疏挖工程长度</w:t>
                  </w:r>
                </w:p>
              </w:tc>
              <w:tc>
                <w:tcPr>
                  <w:tcW w:w="1053"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m</w:t>
                  </w:r>
                </w:p>
              </w:tc>
              <w:tc>
                <w:tcPr>
                  <w:tcW w:w="1226"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3.0</w:t>
                  </w:r>
                </w:p>
              </w:tc>
              <w:tc>
                <w:tcPr>
                  <w:tcW w:w="606" w:type="pct"/>
                  <w:gridSpan w:val="2"/>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　</w:t>
                  </w:r>
                </w:p>
              </w:tc>
            </w:tr>
            <w:tr>
              <w:tblPrEx>
                <w:shd w:val="clear" w:color="auto" w:fill="FFFFFF"/>
                <w:tblCellMar>
                  <w:top w:w="0" w:type="dxa"/>
                  <w:left w:w="108" w:type="dxa"/>
                  <w:bottom w:w="0" w:type="dxa"/>
                  <w:right w:w="108" w:type="dxa"/>
                </w:tblCellMar>
              </w:tblPrEx>
              <w:trPr>
                <w:trHeight w:val="585" w:hRule="atLeast"/>
              </w:trPr>
              <w:tc>
                <w:tcPr>
                  <w:tcW w:w="360" w:type="pct"/>
                  <w:tcBorders>
                    <w:top w:val="nil"/>
                    <w:left w:val="single" w:color="auto" w:sz="8" w:space="0"/>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4</w:t>
                  </w:r>
                </w:p>
              </w:tc>
              <w:tc>
                <w:tcPr>
                  <w:tcW w:w="1753" w:type="pct"/>
                  <w:gridSpan w:val="3"/>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马道顶高程</w:t>
                  </w:r>
                </w:p>
              </w:tc>
              <w:tc>
                <w:tcPr>
                  <w:tcW w:w="1053"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m</w:t>
                  </w:r>
                </w:p>
              </w:tc>
              <w:tc>
                <w:tcPr>
                  <w:tcW w:w="1226"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w:t>
                  </w:r>
                </w:p>
              </w:tc>
              <w:tc>
                <w:tcPr>
                  <w:tcW w:w="606" w:type="pct"/>
                  <w:gridSpan w:val="2"/>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　</w:t>
                  </w:r>
                </w:p>
              </w:tc>
            </w:tr>
            <w:tr>
              <w:tblPrEx>
                <w:shd w:val="clear" w:color="auto" w:fill="FFFFFF"/>
                <w:tblCellMar>
                  <w:top w:w="0" w:type="dxa"/>
                  <w:left w:w="108" w:type="dxa"/>
                  <w:bottom w:w="0" w:type="dxa"/>
                  <w:right w:w="108" w:type="dxa"/>
                </w:tblCellMar>
              </w:tblPrEx>
              <w:trPr>
                <w:trHeight w:val="300" w:hRule="atLeast"/>
              </w:trPr>
              <w:tc>
                <w:tcPr>
                  <w:tcW w:w="360" w:type="pct"/>
                  <w:tcBorders>
                    <w:top w:val="nil"/>
                    <w:left w:val="single" w:color="auto" w:sz="8" w:space="0"/>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5</w:t>
                  </w:r>
                </w:p>
              </w:tc>
              <w:tc>
                <w:tcPr>
                  <w:tcW w:w="1753" w:type="pct"/>
                  <w:gridSpan w:val="3"/>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最大堤高</w:t>
                  </w:r>
                </w:p>
              </w:tc>
              <w:tc>
                <w:tcPr>
                  <w:tcW w:w="1053"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m</w:t>
                  </w:r>
                </w:p>
              </w:tc>
              <w:tc>
                <w:tcPr>
                  <w:tcW w:w="1226"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7</w:t>
                  </w:r>
                </w:p>
              </w:tc>
              <w:tc>
                <w:tcPr>
                  <w:tcW w:w="606" w:type="pct"/>
                  <w:gridSpan w:val="2"/>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　</w:t>
                  </w:r>
                </w:p>
              </w:tc>
            </w:tr>
            <w:tr>
              <w:tblPrEx>
                <w:shd w:val="clear" w:color="auto" w:fill="FFFFFF"/>
                <w:tblCellMar>
                  <w:top w:w="0" w:type="dxa"/>
                  <w:left w:w="108" w:type="dxa"/>
                  <w:bottom w:w="0" w:type="dxa"/>
                  <w:right w:w="108" w:type="dxa"/>
                </w:tblCellMar>
              </w:tblPrEx>
              <w:trPr>
                <w:trHeight w:val="300" w:hRule="atLeast"/>
              </w:trPr>
              <w:tc>
                <w:tcPr>
                  <w:tcW w:w="360" w:type="pct"/>
                  <w:tcBorders>
                    <w:top w:val="nil"/>
                    <w:left w:val="single" w:color="auto" w:sz="8" w:space="0"/>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6</w:t>
                  </w:r>
                </w:p>
              </w:tc>
              <w:tc>
                <w:tcPr>
                  <w:tcW w:w="1753" w:type="pct"/>
                  <w:gridSpan w:val="3"/>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主要堤型</w:t>
                  </w:r>
                </w:p>
              </w:tc>
              <w:tc>
                <w:tcPr>
                  <w:tcW w:w="1053"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　</w:t>
                  </w:r>
                </w:p>
              </w:tc>
              <w:tc>
                <w:tcPr>
                  <w:tcW w:w="1226"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斜坡堤</w:t>
                  </w:r>
                </w:p>
              </w:tc>
              <w:tc>
                <w:tcPr>
                  <w:tcW w:w="606" w:type="pct"/>
                  <w:gridSpan w:val="2"/>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　</w:t>
                  </w:r>
                </w:p>
              </w:tc>
            </w:tr>
            <w:tr>
              <w:tblPrEx>
                <w:shd w:val="clear" w:color="auto" w:fill="FFFFFF"/>
                <w:tblCellMar>
                  <w:top w:w="0" w:type="dxa"/>
                  <w:left w:w="108" w:type="dxa"/>
                  <w:bottom w:w="0" w:type="dxa"/>
                  <w:right w:w="108" w:type="dxa"/>
                </w:tblCellMar>
              </w:tblPrEx>
              <w:trPr>
                <w:trHeight w:val="555" w:hRule="atLeast"/>
              </w:trPr>
              <w:tc>
                <w:tcPr>
                  <w:tcW w:w="360" w:type="pct"/>
                  <w:tcBorders>
                    <w:top w:val="nil"/>
                    <w:left w:val="single" w:color="auto" w:sz="8" w:space="0"/>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7</w:t>
                  </w:r>
                </w:p>
              </w:tc>
              <w:tc>
                <w:tcPr>
                  <w:tcW w:w="1753" w:type="pct"/>
                  <w:gridSpan w:val="3"/>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地基特性</w:t>
                  </w:r>
                </w:p>
              </w:tc>
              <w:tc>
                <w:tcPr>
                  <w:tcW w:w="1053"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　</w:t>
                  </w:r>
                </w:p>
              </w:tc>
              <w:tc>
                <w:tcPr>
                  <w:tcW w:w="1226"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砂卵砾石/泥岩</w:t>
                  </w:r>
                </w:p>
              </w:tc>
              <w:tc>
                <w:tcPr>
                  <w:tcW w:w="606" w:type="pct"/>
                  <w:gridSpan w:val="2"/>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　</w:t>
                  </w:r>
                </w:p>
              </w:tc>
            </w:tr>
            <w:tr>
              <w:tblPrEx>
                <w:shd w:val="clear" w:color="auto" w:fill="FFFFFF"/>
                <w:tblCellMar>
                  <w:top w:w="0" w:type="dxa"/>
                  <w:left w:w="108" w:type="dxa"/>
                  <w:bottom w:w="0" w:type="dxa"/>
                  <w:right w:w="108" w:type="dxa"/>
                </w:tblCellMar>
              </w:tblPrEx>
              <w:trPr>
                <w:trHeight w:val="300" w:hRule="atLeast"/>
              </w:trPr>
              <w:tc>
                <w:tcPr>
                  <w:tcW w:w="360" w:type="pct"/>
                  <w:tcBorders>
                    <w:top w:val="nil"/>
                    <w:left w:val="single" w:color="auto" w:sz="8" w:space="0"/>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8</w:t>
                  </w:r>
                </w:p>
              </w:tc>
              <w:tc>
                <w:tcPr>
                  <w:tcW w:w="1753" w:type="pct"/>
                  <w:gridSpan w:val="3"/>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地震基本烈度</w:t>
                  </w:r>
                </w:p>
              </w:tc>
              <w:tc>
                <w:tcPr>
                  <w:tcW w:w="1053"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度</w:t>
                  </w:r>
                </w:p>
              </w:tc>
              <w:tc>
                <w:tcPr>
                  <w:tcW w:w="1226"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VII</w:t>
                  </w:r>
                </w:p>
              </w:tc>
              <w:tc>
                <w:tcPr>
                  <w:tcW w:w="606" w:type="pct"/>
                  <w:gridSpan w:val="2"/>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　</w:t>
                  </w:r>
                </w:p>
              </w:tc>
            </w:tr>
            <w:tr>
              <w:tblPrEx>
                <w:shd w:val="clear" w:color="auto" w:fill="FFFFFF"/>
                <w:tblCellMar>
                  <w:top w:w="0" w:type="dxa"/>
                  <w:left w:w="108" w:type="dxa"/>
                  <w:bottom w:w="0" w:type="dxa"/>
                  <w:right w:w="108" w:type="dxa"/>
                </w:tblCellMar>
              </w:tblPrEx>
              <w:trPr>
                <w:trHeight w:val="300" w:hRule="atLeast"/>
              </w:trPr>
              <w:tc>
                <w:tcPr>
                  <w:tcW w:w="360" w:type="pct"/>
                  <w:tcBorders>
                    <w:top w:val="nil"/>
                    <w:left w:val="single" w:color="auto" w:sz="8" w:space="0"/>
                    <w:bottom w:val="single" w:color="auto" w:sz="8" w:space="0"/>
                    <w:right w:val="single" w:color="auto" w:sz="8" w:space="0"/>
                  </w:tcBorders>
                  <w:shd w:val="clear" w:color="auto" w:fill="FFFFFF"/>
                  <w:noWrap w:val="0"/>
                  <w:vAlign w:val="center"/>
                </w:tcPr>
                <w:p>
                  <w:pPr>
                    <w:widowControl/>
                    <w:jc w:val="center"/>
                    <w:rPr>
                      <w:rFonts w:ascii="Times New Roman" w:hAnsi="Times New Roman"/>
                      <w:b/>
                      <w:bCs/>
                      <w:kern w:val="0"/>
                      <w:szCs w:val="21"/>
                    </w:rPr>
                  </w:pPr>
                  <w:r>
                    <w:rPr>
                      <w:rFonts w:ascii="Times New Roman" w:hAnsi="Times New Roman"/>
                      <w:b/>
                      <w:bCs/>
                      <w:kern w:val="0"/>
                      <w:szCs w:val="21"/>
                    </w:rPr>
                    <w:t>四</w:t>
                  </w:r>
                </w:p>
              </w:tc>
              <w:tc>
                <w:tcPr>
                  <w:tcW w:w="1753" w:type="pct"/>
                  <w:gridSpan w:val="3"/>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b/>
                      <w:bCs/>
                      <w:kern w:val="0"/>
                      <w:szCs w:val="21"/>
                    </w:rPr>
                  </w:pPr>
                  <w:r>
                    <w:rPr>
                      <w:rFonts w:ascii="Times New Roman" w:hAnsi="Times New Roman"/>
                      <w:b/>
                      <w:bCs/>
                      <w:kern w:val="0"/>
                      <w:szCs w:val="21"/>
                    </w:rPr>
                    <w:t>移民征地</w:t>
                  </w:r>
                </w:p>
              </w:tc>
              <w:tc>
                <w:tcPr>
                  <w:tcW w:w="1053"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　</w:t>
                  </w:r>
                </w:p>
              </w:tc>
              <w:tc>
                <w:tcPr>
                  <w:tcW w:w="1226"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　</w:t>
                  </w:r>
                </w:p>
              </w:tc>
              <w:tc>
                <w:tcPr>
                  <w:tcW w:w="606" w:type="pct"/>
                  <w:gridSpan w:val="2"/>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　</w:t>
                  </w:r>
                </w:p>
              </w:tc>
            </w:tr>
            <w:tr>
              <w:tblPrEx>
                <w:shd w:val="clear" w:color="auto" w:fill="FFFFFF"/>
                <w:tblCellMar>
                  <w:top w:w="0" w:type="dxa"/>
                  <w:left w:w="108" w:type="dxa"/>
                  <w:bottom w:w="0" w:type="dxa"/>
                  <w:right w:w="108" w:type="dxa"/>
                </w:tblCellMar>
              </w:tblPrEx>
              <w:trPr>
                <w:trHeight w:val="300" w:hRule="atLeast"/>
              </w:trPr>
              <w:tc>
                <w:tcPr>
                  <w:tcW w:w="360" w:type="pct"/>
                  <w:tcBorders>
                    <w:top w:val="nil"/>
                    <w:left w:val="single" w:color="auto" w:sz="8" w:space="0"/>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1</w:t>
                  </w:r>
                </w:p>
              </w:tc>
              <w:tc>
                <w:tcPr>
                  <w:tcW w:w="1753" w:type="pct"/>
                  <w:gridSpan w:val="3"/>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永久征地</w:t>
                  </w:r>
                </w:p>
              </w:tc>
              <w:tc>
                <w:tcPr>
                  <w:tcW w:w="1053"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亩</w:t>
                  </w:r>
                </w:p>
              </w:tc>
              <w:tc>
                <w:tcPr>
                  <w:tcW w:w="1226"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82.71</w:t>
                  </w:r>
                </w:p>
              </w:tc>
              <w:tc>
                <w:tcPr>
                  <w:tcW w:w="606" w:type="pct"/>
                  <w:gridSpan w:val="2"/>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　</w:t>
                  </w:r>
                </w:p>
              </w:tc>
            </w:tr>
            <w:tr>
              <w:tblPrEx>
                <w:tblCellMar>
                  <w:top w:w="0" w:type="dxa"/>
                  <w:left w:w="108" w:type="dxa"/>
                  <w:bottom w:w="0" w:type="dxa"/>
                  <w:right w:w="108" w:type="dxa"/>
                </w:tblCellMar>
              </w:tblPrEx>
              <w:trPr>
                <w:trHeight w:val="300" w:hRule="atLeast"/>
              </w:trPr>
              <w:tc>
                <w:tcPr>
                  <w:tcW w:w="360" w:type="pct"/>
                  <w:tcBorders>
                    <w:top w:val="nil"/>
                    <w:left w:val="single" w:color="auto" w:sz="8" w:space="0"/>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2</w:t>
                  </w:r>
                </w:p>
              </w:tc>
              <w:tc>
                <w:tcPr>
                  <w:tcW w:w="1753" w:type="pct"/>
                  <w:gridSpan w:val="3"/>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临时占地</w:t>
                  </w:r>
                </w:p>
              </w:tc>
              <w:tc>
                <w:tcPr>
                  <w:tcW w:w="1053"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亩</w:t>
                  </w:r>
                </w:p>
              </w:tc>
              <w:tc>
                <w:tcPr>
                  <w:tcW w:w="1226" w:type="pct"/>
                  <w:tcBorders>
                    <w:top w:val="nil"/>
                    <w:left w:val="nil"/>
                    <w:bottom w:val="single" w:color="auto" w:sz="8" w:space="0"/>
                    <w:right w:val="single" w:color="auto" w:sz="8" w:space="0"/>
                  </w:tcBorders>
                  <w:shd w:val="clear" w:color="auto" w:fill="FFFFFF"/>
                  <w:noWrap w:val="0"/>
                  <w:vAlign w:val="center"/>
                </w:tcPr>
                <w:p>
                  <w:pPr>
                    <w:widowControl/>
                    <w:jc w:val="center"/>
                    <w:rPr>
                      <w:rFonts w:hint="default" w:ascii="Times New Roman" w:hAnsi="Times New Roman" w:eastAsia="宋体"/>
                      <w:kern w:val="0"/>
                      <w:szCs w:val="21"/>
                      <w:lang w:val="en-US" w:eastAsia="zh-CN"/>
                    </w:rPr>
                  </w:pPr>
                  <w:r>
                    <w:rPr>
                      <w:rFonts w:hint="eastAsia"/>
                      <w:kern w:val="0"/>
                      <w:szCs w:val="21"/>
                      <w:lang w:val="en-US" w:eastAsia="zh-CN"/>
                    </w:rPr>
                    <w:t>10.40</w:t>
                  </w:r>
                </w:p>
              </w:tc>
              <w:tc>
                <w:tcPr>
                  <w:tcW w:w="606" w:type="pct"/>
                  <w:gridSpan w:val="2"/>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　</w:t>
                  </w:r>
                </w:p>
              </w:tc>
            </w:tr>
            <w:tr>
              <w:tblPrEx>
                <w:tblCellMar>
                  <w:top w:w="0" w:type="dxa"/>
                  <w:left w:w="108" w:type="dxa"/>
                  <w:bottom w:w="0" w:type="dxa"/>
                  <w:right w:w="108" w:type="dxa"/>
                </w:tblCellMar>
              </w:tblPrEx>
              <w:trPr>
                <w:trHeight w:val="300" w:hRule="atLeast"/>
              </w:trPr>
              <w:tc>
                <w:tcPr>
                  <w:tcW w:w="360" w:type="pct"/>
                  <w:tcBorders>
                    <w:top w:val="nil"/>
                    <w:left w:val="single" w:color="auto" w:sz="8" w:space="0"/>
                    <w:bottom w:val="single" w:color="auto" w:sz="8" w:space="0"/>
                    <w:right w:val="single" w:color="auto" w:sz="8" w:space="0"/>
                  </w:tcBorders>
                  <w:shd w:val="clear" w:color="auto" w:fill="FFFFFF"/>
                  <w:noWrap w:val="0"/>
                  <w:vAlign w:val="center"/>
                </w:tcPr>
                <w:p>
                  <w:pPr>
                    <w:widowControl/>
                    <w:jc w:val="center"/>
                    <w:rPr>
                      <w:rFonts w:ascii="Times New Roman" w:hAnsi="Times New Roman"/>
                      <w:b/>
                      <w:bCs/>
                      <w:kern w:val="0"/>
                      <w:szCs w:val="21"/>
                    </w:rPr>
                  </w:pPr>
                  <w:r>
                    <w:rPr>
                      <w:rFonts w:ascii="Times New Roman" w:hAnsi="Times New Roman"/>
                      <w:b/>
                      <w:bCs/>
                      <w:kern w:val="0"/>
                      <w:szCs w:val="21"/>
                    </w:rPr>
                    <w:t>五</w:t>
                  </w:r>
                </w:p>
              </w:tc>
              <w:tc>
                <w:tcPr>
                  <w:tcW w:w="1753" w:type="pct"/>
                  <w:gridSpan w:val="3"/>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b/>
                      <w:bCs/>
                      <w:kern w:val="0"/>
                      <w:szCs w:val="21"/>
                    </w:rPr>
                  </w:pPr>
                  <w:r>
                    <w:rPr>
                      <w:rFonts w:ascii="Times New Roman" w:hAnsi="Times New Roman"/>
                      <w:b/>
                      <w:bCs/>
                      <w:kern w:val="0"/>
                      <w:szCs w:val="21"/>
                    </w:rPr>
                    <w:t>主体工程施工</w:t>
                  </w:r>
                </w:p>
              </w:tc>
              <w:tc>
                <w:tcPr>
                  <w:tcW w:w="1053"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　</w:t>
                  </w:r>
                </w:p>
              </w:tc>
              <w:tc>
                <w:tcPr>
                  <w:tcW w:w="1226"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　</w:t>
                  </w:r>
                </w:p>
              </w:tc>
              <w:tc>
                <w:tcPr>
                  <w:tcW w:w="606" w:type="pct"/>
                  <w:gridSpan w:val="2"/>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　</w:t>
                  </w:r>
                </w:p>
              </w:tc>
            </w:tr>
            <w:tr>
              <w:tblPrEx>
                <w:tblCellMar>
                  <w:top w:w="0" w:type="dxa"/>
                  <w:left w:w="108" w:type="dxa"/>
                  <w:bottom w:w="0" w:type="dxa"/>
                  <w:right w:w="108" w:type="dxa"/>
                </w:tblCellMar>
              </w:tblPrEx>
              <w:trPr>
                <w:trHeight w:val="345" w:hRule="atLeast"/>
              </w:trPr>
              <w:tc>
                <w:tcPr>
                  <w:tcW w:w="360" w:type="pct"/>
                  <w:tcBorders>
                    <w:top w:val="nil"/>
                    <w:left w:val="single" w:color="auto" w:sz="8" w:space="0"/>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1</w:t>
                  </w:r>
                </w:p>
              </w:tc>
              <w:tc>
                <w:tcPr>
                  <w:tcW w:w="1753" w:type="pct"/>
                  <w:gridSpan w:val="3"/>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土石方开挖</w:t>
                  </w:r>
                </w:p>
              </w:tc>
              <w:tc>
                <w:tcPr>
                  <w:tcW w:w="1053"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万m</w:t>
                  </w:r>
                  <w:r>
                    <w:rPr>
                      <w:rFonts w:ascii="Times New Roman" w:hAnsi="Times New Roman"/>
                      <w:kern w:val="0"/>
                      <w:szCs w:val="21"/>
                      <w:vertAlign w:val="superscript"/>
                    </w:rPr>
                    <w:t>3</w:t>
                  </w:r>
                </w:p>
              </w:tc>
              <w:tc>
                <w:tcPr>
                  <w:tcW w:w="1226"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9.45</w:t>
                  </w:r>
                </w:p>
              </w:tc>
              <w:tc>
                <w:tcPr>
                  <w:tcW w:w="606" w:type="pct"/>
                  <w:gridSpan w:val="2"/>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　</w:t>
                  </w:r>
                </w:p>
              </w:tc>
            </w:tr>
            <w:tr>
              <w:tblPrEx>
                <w:tblCellMar>
                  <w:top w:w="0" w:type="dxa"/>
                  <w:left w:w="108" w:type="dxa"/>
                  <w:bottom w:w="0" w:type="dxa"/>
                  <w:right w:w="108" w:type="dxa"/>
                </w:tblCellMar>
              </w:tblPrEx>
              <w:trPr>
                <w:trHeight w:val="345" w:hRule="atLeast"/>
              </w:trPr>
              <w:tc>
                <w:tcPr>
                  <w:tcW w:w="360" w:type="pct"/>
                  <w:tcBorders>
                    <w:top w:val="nil"/>
                    <w:left w:val="single" w:color="auto" w:sz="8" w:space="0"/>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2</w:t>
                  </w:r>
                </w:p>
              </w:tc>
              <w:tc>
                <w:tcPr>
                  <w:tcW w:w="1753" w:type="pct"/>
                  <w:gridSpan w:val="3"/>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hint="eastAsia" w:ascii="Times New Roman" w:hAnsi="Times New Roman" w:eastAsia="宋体"/>
                      <w:kern w:val="0"/>
                      <w:szCs w:val="21"/>
                      <w:lang w:val="en-US" w:eastAsia="zh-CN"/>
                    </w:rPr>
                  </w:pPr>
                  <w:r>
                    <w:rPr>
                      <w:rFonts w:ascii="Times New Roman" w:hAnsi="Times New Roman"/>
                      <w:kern w:val="0"/>
                      <w:szCs w:val="21"/>
                    </w:rPr>
                    <w:t>土石方</w:t>
                  </w:r>
                  <w:r>
                    <w:rPr>
                      <w:rFonts w:hint="eastAsia"/>
                      <w:kern w:val="0"/>
                      <w:szCs w:val="21"/>
                      <w:lang w:val="en-US" w:eastAsia="zh-CN"/>
                    </w:rPr>
                    <w:t>弃方</w:t>
                  </w:r>
                </w:p>
              </w:tc>
              <w:tc>
                <w:tcPr>
                  <w:tcW w:w="1053"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万m</w:t>
                  </w:r>
                  <w:r>
                    <w:rPr>
                      <w:rFonts w:ascii="Times New Roman" w:hAnsi="Times New Roman"/>
                      <w:kern w:val="0"/>
                      <w:szCs w:val="21"/>
                      <w:vertAlign w:val="superscript"/>
                    </w:rPr>
                    <w:t>3</w:t>
                  </w:r>
                </w:p>
              </w:tc>
              <w:tc>
                <w:tcPr>
                  <w:tcW w:w="1226" w:type="pct"/>
                  <w:tcBorders>
                    <w:top w:val="nil"/>
                    <w:left w:val="nil"/>
                    <w:bottom w:val="single" w:color="auto" w:sz="8" w:space="0"/>
                    <w:right w:val="single" w:color="auto" w:sz="8" w:space="0"/>
                  </w:tcBorders>
                  <w:shd w:val="clear" w:color="auto" w:fill="FFFFFF"/>
                  <w:noWrap w:val="0"/>
                  <w:vAlign w:val="center"/>
                </w:tcPr>
                <w:p>
                  <w:pPr>
                    <w:widowControl/>
                    <w:jc w:val="center"/>
                    <w:rPr>
                      <w:rFonts w:hint="default" w:ascii="Times New Roman" w:hAnsi="Times New Roman"/>
                      <w:kern w:val="0"/>
                      <w:szCs w:val="21"/>
                      <w:lang w:val="en-US"/>
                    </w:rPr>
                  </w:pPr>
                  <w:r>
                    <w:rPr>
                      <w:rFonts w:hint="eastAsia" w:ascii="Times New Roman" w:hAnsi="Times New Roman"/>
                      <w:kern w:val="0"/>
                      <w:szCs w:val="21"/>
                      <w:lang w:val="en-US" w:eastAsia="zh-CN"/>
                    </w:rPr>
                    <w:t>1</w:t>
                  </w:r>
                  <w:r>
                    <w:rPr>
                      <w:rFonts w:hint="eastAsia"/>
                      <w:kern w:val="0"/>
                      <w:szCs w:val="21"/>
                      <w:lang w:val="en-US" w:eastAsia="zh-CN"/>
                    </w:rPr>
                    <w:t>.</w:t>
                  </w:r>
                  <w:r>
                    <w:rPr>
                      <w:rFonts w:hint="eastAsia" w:ascii="Times New Roman" w:hAnsi="Times New Roman"/>
                      <w:kern w:val="0"/>
                      <w:szCs w:val="21"/>
                      <w:lang w:val="en-US" w:eastAsia="zh-CN"/>
                    </w:rPr>
                    <w:t>3</w:t>
                  </w:r>
                  <w:r>
                    <w:rPr>
                      <w:rFonts w:hint="eastAsia"/>
                      <w:kern w:val="0"/>
                      <w:szCs w:val="21"/>
                      <w:lang w:val="en-US" w:eastAsia="zh-CN"/>
                    </w:rPr>
                    <w:t>8</w:t>
                  </w:r>
                </w:p>
              </w:tc>
              <w:tc>
                <w:tcPr>
                  <w:tcW w:w="606" w:type="pct"/>
                  <w:gridSpan w:val="2"/>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　</w:t>
                  </w:r>
                </w:p>
              </w:tc>
            </w:tr>
            <w:tr>
              <w:tblPrEx>
                <w:tblCellMar>
                  <w:top w:w="0" w:type="dxa"/>
                  <w:left w:w="108" w:type="dxa"/>
                  <w:bottom w:w="0" w:type="dxa"/>
                  <w:right w:w="108" w:type="dxa"/>
                </w:tblCellMar>
              </w:tblPrEx>
              <w:trPr>
                <w:trHeight w:val="345" w:hRule="atLeast"/>
              </w:trPr>
              <w:tc>
                <w:tcPr>
                  <w:tcW w:w="360" w:type="pct"/>
                  <w:tcBorders>
                    <w:top w:val="nil"/>
                    <w:left w:val="single" w:color="auto" w:sz="8" w:space="0"/>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3</w:t>
                  </w:r>
                </w:p>
              </w:tc>
              <w:tc>
                <w:tcPr>
                  <w:tcW w:w="1753" w:type="pct"/>
                  <w:gridSpan w:val="3"/>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施工导流标准及相应流量</w:t>
                  </w:r>
                </w:p>
              </w:tc>
              <w:tc>
                <w:tcPr>
                  <w:tcW w:w="1053"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年，m</w:t>
                  </w:r>
                  <w:r>
                    <w:rPr>
                      <w:rFonts w:ascii="Times New Roman" w:hAnsi="Times New Roman"/>
                      <w:kern w:val="0"/>
                      <w:szCs w:val="21"/>
                      <w:vertAlign w:val="superscript"/>
                    </w:rPr>
                    <w:t>3</w:t>
                  </w:r>
                  <w:r>
                    <w:rPr>
                      <w:rFonts w:ascii="Times New Roman" w:hAnsi="Times New Roman"/>
                      <w:kern w:val="0"/>
                      <w:szCs w:val="21"/>
                    </w:rPr>
                    <w:t>/s</w:t>
                  </w:r>
                </w:p>
              </w:tc>
              <w:tc>
                <w:tcPr>
                  <w:tcW w:w="1226"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5，48</w:t>
                  </w:r>
                </w:p>
              </w:tc>
              <w:tc>
                <w:tcPr>
                  <w:tcW w:w="606" w:type="pct"/>
                  <w:gridSpan w:val="2"/>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　</w:t>
                  </w:r>
                </w:p>
              </w:tc>
            </w:tr>
            <w:tr>
              <w:tblPrEx>
                <w:tblCellMar>
                  <w:top w:w="0" w:type="dxa"/>
                  <w:left w:w="108" w:type="dxa"/>
                  <w:bottom w:w="0" w:type="dxa"/>
                  <w:right w:w="108" w:type="dxa"/>
                </w:tblCellMar>
              </w:tblPrEx>
              <w:trPr>
                <w:trHeight w:val="300" w:hRule="atLeast"/>
              </w:trPr>
              <w:tc>
                <w:tcPr>
                  <w:tcW w:w="360" w:type="pct"/>
                  <w:tcBorders>
                    <w:top w:val="nil"/>
                    <w:left w:val="single" w:color="auto" w:sz="8" w:space="0"/>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4</w:t>
                  </w:r>
                </w:p>
              </w:tc>
              <w:tc>
                <w:tcPr>
                  <w:tcW w:w="1753" w:type="pct"/>
                  <w:gridSpan w:val="3"/>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总工期</w:t>
                  </w:r>
                </w:p>
              </w:tc>
              <w:tc>
                <w:tcPr>
                  <w:tcW w:w="1053"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月</w:t>
                  </w:r>
                </w:p>
              </w:tc>
              <w:tc>
                <w:tcPr>
                  <w:tcW w:w="1226"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7</w:t>
                  </w:r>
                </w:p>
              </w:tc>
              <w:tc>
                <w:tcPr>
                  <w:tcW w:w="606" w:type="pct"/>
                  <w:gridSpan w:val="2"/>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　</w:t>
                  </w:r>
                </w:p>
              </w:tc>
            </w:tr>
            <w:tr>
              <w:tblPrEx>
                <w:tblCellMar>
                  <w:top w:w="0" w:type="dxa"/>
                  <w:left w:w="108" w:type="dxa"/>
                  <w:bottom w:w="0" w:type="dxa"/>
                  <w:right w:w="108" w:type="dxa"/>
                </w:tblCellMar>
              </w:tblPrEx>
              <w:trPr>
                <w:trHeight w:val="300" w:hRule="atLeast"/>
              </w:trPr>
              <w:tc>
                <w:tcPr>
                  <w:tcW w:w="360" w:type="pct"/>
                  <w:tcBorders>
                    <w:top w:val="nil"/>
                    <w:left w:val="single" w:color="auto" w:sz="8" w:space="0"/>
                    <w:bottom w:val="single" w:color="auto" w:sz="8" w:space="0"/>
                    <w:right w:val="single" w:color="auto" w:sz="8" w:space="0"/>
                  </w:tcBorders>
                  <w:shd w:val="clear" w:color="auto" w:fill="FFFFFF"/>
                  <w:noWrap w:val="0"/>
                  <w:vAlign w:val="center"/>
                </w:tcPr>
                <w:p>
                  <w:pPr>
                    <w:widowControl/>
                    <w:jc w:val="center"/>
                    <w:rPr>
                      <w:rFonts w:ascii="Times New Roman" w:hAnsi="Times New Roman"/>
                      <w:b/>
                      <w:bCs/>
                      <w:kern w:val="0"/>
                      <w:szCs w:val="21"/>
                    </w:rPr>
                  </w:pPr>
                  <w:r>
                    <w:rPr>
                      <w:rFonts w:ascii="Times New Roman" w:hAnsi="Times New Roman"/>
                      <w:b/>
                      <w:bCs/>
                      <w:kern w:val="0"/>
                      <w:szCs w:val="21"/>
                    </w:rPr>
                    <w:t>六</w:t>
                  </w:r>
                </w:p>
              </w:tc>
              <w:tc>
                <w:tcPr>
                  <w:tcW w:w="1753" w:type="pct"/>
                  <w:gridSpan w:val="3"/>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b/>
                      <w:bCs/>
                      <w:kern w:val="0"/>
                      <w:szCs w:val="21"/>
                    </w:rPr>
                  </w:pPr>
                  <w:r>
                    <w:rPr>
                      <w:rFonts w:ascii="Times New Roman" w:hAnsi="Times New Roman"/>
                      <w:b/>
                      <w:bCs/>
                      <w:kern w:val="0"/>
                      <w:szCs w:val="21"/>
                    </w:rPr>
                    <w:t>经济指标</w:t>
                  </w:r>
                </w:p>
              </w:tc>
              <w:tc>
                <w:tcPr>
                  <w:tcW w:w="1053"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　</w:t>
                  </w:r>
                </w:p>
              </w:tc>
              <w:tc>
                <w:tcPr>
                  <w:tcW w:w="1226"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　</w:t>
                  </w:r>
                </w:p>
              </w:tc>
              <w:tc>
                <w:tcPr>
                  <w:tcW w:w="606" w:type="pct"/>
                  <w:gridSpan w:val="2"/>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　</w:t>
                  </w:r>
                </w:p>
              </w:tc>
            </w:tr>
            <w:tr>
              <w:tblPrEx>
                <w:tblCellMar>
                  <w:top w:w="0" w:type="dxa"/>
                  <w:left w:w="108" w:type="dxa"/>
                  <w:bottom w:w="0" w:type="dxa"/>
                  <w:right w:w="108" w:type="dxa"/>
                </w:tblCellMar>
              </w:tblPrEx>
              <w:trPr>
                <w:trHeight w:val="300" w:hRule="atLeast"/>
              </w:trPr>
              <w:tc>
                <w:tcPr>
                  <w:tcW w:w="360" w:type="pct"/>
                  <w:tcBorders>
                    <w:top w:val="nil"/>
                    <w:left w:val="single" w:color="auto" w:sz="8" w:space="0"/>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1</w:t>
                  </w:r>
                </w:p>
              </w:tc>
              <w:tc>
                <w:tcPr>
                  <w:tcW w:w="1753" w:type="pct"/>
                  <w:gridSpan w:val="3"/>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工程部分投资</w:t>
                  </w:r>
                </w:p>
              </w:tc>
              <w:tc>
                <w:tcPr>
                  <w:tcW w:w="1053"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万元</w:t>
                  </w:r>
                </w:p>
              </w:tc>
              <w:tc>
                <w:tcPr>
                  <w:tcW w:w="1226"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1679.54</w:t>
                  </w:r>
                </w:p>
              </w:tc>
              <w:tc>
                <w:tcPr>
                  <w:tcW w:w="606" w:type="pct"/>
                  <w:gridSpan w:val="2"/>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　</w:t>
                  </w:r>
                </w:p>
              </w:tc>
            </w:tr>
            <w:tr>
              <w:tblPrEx>
                <w:tblCellMar>
                  <w:top w:w="0" w:type="dxa"/>
                  <w:left w:w="108" w:type="dxa"/>
                  <w:bottom w:w="0" w:type="dxa"/>
                  <w:right w:w="108" w:type="dxa"/>
                </w:tblCellMar>
              </w:tblPrEx>
              <w:trPr>
                <w:trHeight w:val="300" w:hRule="atLeast"/>
              </w:trPr>
              <w:tc>
                <w:tcPr>
                  <w:tcW w:w="360" w:type="pct"/>
                  <w:tcBorders>
                    <w:top w:val="nil"/>
                    <w:left w:val="single" w:color="auto" w:sz="8" w:space="0"/>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2</w:t>
                  </w:r>
                </w:p>
              </w:tc>
              <w:tc>
                <w:tcPr>
                  <w:tcW w:w="1753" w:type="pct"/>
                  <w:gridSpan w:val="3"/>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建设征地与移民安置投资</w:t>
                  </w:r>
                </w:p>
              </w:tc>
              <w:tc>
                <w:tcPr>
                  <w:tcW w:w="1053"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万元</w:t>
                  </w:r>
                </w:p>
              </w:tc>
              <w:tc>
                <w:tcPr>
                  <w:tcW w:w="1226"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472.14</w:t>
                  </w:r>
                </w:p>
              </w:tc>
              <w:tc>
                <w:tcPr>
                  <w:tcW w:w="606" w:type="pct"/>
                  <w:gridSpan w:val="2"/>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　</w:t>
                  </w:r>
                </w:p>
              </w:tc>
            </w:tr>
            <w:tr>
              <w:tblPrEx>
                <w:tblCellMar>
                  <w:top w:w="0" w:type="dxa"/>
                  <w:left w:w="108" w:type="dxa"/>
                  <w:bottom w:w="0" w:type="dxa"/>
                  <w:right w:w="108" w:type="dxa"/>
                </w:tblCellMar>
              </w:tblPrEx>
              <w:trPr>
                <w:trHeight w:val="300" w:hRule="atLeast"/>
              </w:trPr>
              <w:tc>
                <w:tcPr>
                  <w:tcW w:w="360" w:type="pct"/>
                  <w:tcBorders>
                    <w:top w:val="nil"/>
                    <w:left w:val="single" w:color="auto" w:sz="8" w:space="0"/>
                    <w:bottom w:val="single" w:color="auto" w:sz="8" w:space="0"/>
                    <w:right w:val="single" w:color="auto" w:sz="8" w:space="0"/>
                  </w:tcBorders>
                  <w:shd w:val="clear" w:color="auto" w:fill="FFFFFF"/>
                  <w:noWrap w:val="0"/>
                  <w:vAlign w:val="center"/>
                </w:tcPr>
                <w:p>
                  <w:pPr>
                    <w:widowControl/>
                    <w:jc w:val="center"/>
                    <w:rPr>
                      <w:rFonts w:hint="eastAsia" w:ascii="Times New Roman" w:hAnsi="Times New Roman" w:eastAsia="宋体"/>
                      <w:kern w:val="0"/>
                      <w:szCs w:val="21"/>
                      <w:lang w:val="en-US" w:eastAsia="zh-CN"/>
                    </w:rPr>
                  </w:pPr>
                  <w:r>
                    <w:rPr>
                      <w:rFonts w:hint="eastAsia"/>
                      <w:kern w:val="0"/>
                      <w:szCs w:val="21"/>
                      <w:lang w:val="en-US" w:eastAsia="zh-CN"/>
                    </w:rPr>
                    <w:t>3</w:t>
                  </w:r>
                </w:p>
              </w:tc>
              <w:tc>
                <w:tcPr>
                  <w:tcW w:w="1753" w:type="pct"/>
                  <w:gridSpan w:val="3"/>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工程静态总投资</w:t>
                  </w:r>
                </w:p>
              </w:tc>
              <w:tc>
                <w:tcPr>
                  <w:tcW w:w="1053"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万元</w:t>
                  </w:r>
                </w:p>
              </w:tc>
              <w:tc>
                <w:tcPr>
                  <w:tcW w:w="1226" w:type="pct"/>
                  <w:tcBorders>
                    <w:top w:val="nil"/>
                    <w:left w:val="nil"/>
                    <w:bottom w:val="single" w:color="auto" w:sz="8" w:space="0"/>
                    <w:right w:val="single" w:color="auto"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2229.38</w:t>
                  </w:r>
                </w:p>
              </w:tc>
              <w:tc>
                <w:tcPr>
                  <w:tcW w:w="606" w:type="pct"/>
                  <w:gridSpan w:val="2"/>
                  <w:tcBorders>
                    <w:top w:val="single" w:color="auto" w:sz="8" w:space="0"/>
                    <w:left w:val="nil"/>
                    <w:bottom w:val="single" w:color="auto" w:sz="8" w:space="0"/>
                    <w:right w:val="single" w:color="000000" w:sz="8" w:space="0"/>
                  </w:tcBorders>
                  <w:shd w:val="clear" w:color="auto" w:fill="FFFFFF"/>
                  <w:noWrap w:val="0"/>
                  <w:vAlign w:val="center"/>
                </w:tcPr>
                <w:p>
                  <w:pPr>
                    <w:widowControl/>
                    <w:jc w:val="center"/>
                    <w:rPr>
                      <w:rFonts w:ascii="Times New Roman" w:hAnsi="Times New Roman"/>
                      <w:kern w:val="0"/>
                      <w:szCs w:val="21"/>
                    </w:rPr>
                  </w:pPr>
                  <w:r>
                    <w:rPr>
                      <w:rFonts w:ascii="Times New Roman" w:hAnsi="Times New Roman"/>
                      <w:kern w:val="0"/>
                      <w:szCs w:val="21"/>
                    </w:rPr>
                    <w:t>　</w:t>
                  </w:r>
                </w:p>
              </w:tc>
            </w:tr>
          </w:tbl>
          <w:p>
            <w:pPr>
              <w:widowControl/>
              <w:adjustRightInd w:val="0"/>
              <w:snapToGrid w:val="0"/>
              <w:spacing w:line="360" w:lineRule="auto"/>
              <w:ind w:firstLine="482" w:firstLineChars="200"/>
              <w:jc w:val="left"/>
              <w:rPr>
                <w:rFonts w:hint="default" w:ascii="Times New Roman" w:hAnsi="Times New Roman" w:eastAsia="宋体" w:cs="Times New Roman"/>
                <w:b/>
                <w:bCs w:val="0"/>
                <w:color w:val="auto"/>
                <w:sz w:val="24"/>
                <w:szCs w:val="24"/>
              </w:rPr>
            </w:pPr>
            <w:r>
              <w:rPr>
                <w:rFonts w:hint="eastAsia" w:eastAsia="宋体" w:cs="Times New Roman"/>
                <w:b/>
                <w:bCs w:val="0"/>
                <w:color w:val="auto"/>
                <w:kern w:val="0"/>
                <w:sz w:val="24"/>
                <w:szCs w:val="24"/>
                <w:lang w:val="en-US" w:eastAsia="zh-CN"/>
              </w:rPr>
              <w:t xml:space="preserve">3 </w:t>
            </w:r>
            <w:r>
              <w:rPr>
                <w:rFonts w:hint="default" w:ascii="Times New Roman" w:hAnsi="Times New Roman" w:eastAsia="宋体" w:cs="Times New Roman"/>
                <w:b/>
                <w:bCs w:val="0"/>
                <w:color w:val="auto"/>
                <w:kern w:val="0"/>
                <w:sz w:val="24"/>
                <w:szCs w:val="24"/>
              </w:rPr>
              <w:t>施工材料及主要施工设备</w:t>
            </w:r>
          </w:p>
          <w:p>
            <w:pPr>
              <w:widowControl/>
              <w:adjustRightInd w:val="0"/>
              <w:snapToGrid w:val="0"/>
              <w:spacing w:line="360" w:lineRule="auto"/>
              <w:ind w:firstLine="480" w:firstLineChars="200"/>
              <w:jc w:val="left"/>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kern w:val="0"/>
                <w:sz w:val="24"/>
                <w:lang w:eastAsia="zh-CN"/>
              </w:rPr>
              <w:t>（</w:t>
            </w:r>
            <w:r>
              <w:rPr>
                <w:rFonts w:hint="default" w:ascii="Times New Roman" w:hAnsi="Times New Roman" w:eastAsia="宋体" w:cs="Times New Roman"/>
                <w:b w:val="0"/>
                <w:bCs/>
                <w:color w:val="auto"/>
                <w:kern w:val="0"/>
                <w:sz w:val="24"/>
                <w:lang w:val="en-US" w:eastAsia="zh-CN"/>
              </w:rPr>
              <w:t>1</w:t>
            </w:r>
            <w:r>
              <w:rPr>
                <w:rFonts w:hint="default" w:ascii="Times New Roman" w:hAnsi="Times New Roman" w:eastAsia="宋体" w:cs="Times New Roman"/>
                <w:b w:val="0"/>
                <w:bCs/>
                <w:color w:val="auto"/>
                <w:kern w:val="0"/>
                <w:sz w:val="24"/>
                <w:lang w:eastAsia="zh-CN"/>
              </w:rPr>
              <w:t>）</w:t>
            </w:r>
            <w:r>
              <w:rPr>
                <w:rFonts w:hint="default" w:ascii="Times New Roman" w:hAnsi="Times New Roman" w:eastAsia="宋体" w:cs="Times New Roman"/>
                <w:b w:val="0"/>
                <w:bCs/>
                <w:color w:val="auto"/>
                <w:kern w:val="0"/>
                <w:sz w:val="24"/>
              </w:rPr>
              <w:t>施工期主要设备</w:t>
            </w:r>
          </w:p>
          <w:p>
            <w:pPr>
              <w:pageBreakBefore w:val="0"/>
              <w:kinsoku/>
              <w:wordWrap/>
              <w:overflowPunct/>
              <w:topLinePunct w:val="0"/>
              <w:bidi w:val="0"/>
              <w:adjustRightInd w:val="0"/>
              <w:snapToGrid w:val="0"/>
              <w:spacing w:line="360" w:lineRule="auto"/>
              <w:ind w:left="0" w:leftChars="0" w:right="0" w:rightChars="0" w:firstLine="480" w:firstLineChars="200"/>
              <w:jc w:val="both"/>
              <w:rPr>
                <w:rFonts w:hint="default" w:ascii="Times New Roman" w:hAnsi="Times New Roman" w:eastAsia="宋体" w:cs="Times New Roman"/>
                <w:bCs/>
                <w:color w:val="auto"/>
                <w:kern w:val="0"/>
                <w:sz w:val="24"/>
              </w:rPr>
            </w:pPr>
            <w:r>
              <w:rPr>
                <w:rFonts w:hint="default" w:ascii="Times New Roman" w:hAnsi="Times New Roman" w:eastAsia="宋体" w:cs="Times New Roman"/>
                <w:bCs/>
                <w:color w:val="auto"/>
                <w:kern w:val="0"/>
                <w:sz w:val="24"/>
              </w:rPr>
              <w:t>根据业主提供的资料，本项目施工期主要设备列表见</w:t>
            </w:r>
            <w:r>
              <w:rPr>
                <w:rFonts w:hint="default" w:ascii="Times New Roman" w:hAnsi="Times New Roman" w:eastAsia="宋体" w:cs="Times New Roman"/>
                <w:bCs/>
                <w:color w:val="auto"/>
                <w:kern w:val="0"/>
                <w:sz w:val="24"/>
                <w:lang w:val="en-US" w:eastAsia="zh-CN"/>
              </w:rPr>
              <w:t>下</w:t>
            </w:r>
            <w:r>
              <w:rPr>
                <w:rFonts w:hint="default" w:ascii="Times New Roman" w:hAnsi="Times New Roman" w:eastAsia="宋体" w:cs="Times New Roman"/>
                <w:bCs/>
                <w:color w:val="auto"/>
                <w:kern w:val="0"/>
                <w:sz w:val="24"/>
              </w:rPr>
              <w:t>表。</w:t>
            </w:r>
          </w:p>
          <w:p>
            <w:pPr>
              <w:widowControl/>
              <w:adjustRightInd w:val="0"/>
              <w:snapToGrid w:val="0"/>
              <w:spacing w:line="360" w:lineRule="auto"/>
              <w:jc w:val="center"/>
              <w:rPr>
                <w:rFonts w:hint="default"/>
                <w:lang w:val="en-US" w:eastAsia="zh-CN"/>
              </w:rPr>
            </w:pPr>
            <w:r>
              <w:rPr>
                <w:rFonts w:hint="default" w:ascii="Times New Roman" w:hAnsi="Times New Roman" w:eastAsia="宋体" w:cs="Times New Roman"/>
                <w:b/>
                <w:bCs w:val="0"/>
                <w:color w:val="auto"/>
                <w:kern w:val="0"/>
                <w:szCs w:val="21"/>
              </w:rPr>
              <w:t>表</w:t>
            </w:r>
            <w:r>
              <w:rPr>
                <w:rFonts w:hint="default" w:ascii="Times New Roman" w:hAnsi="Times New Roman" w:eastAsia="宋体" w:cs="Times New Roman"/>
                <w:b/>
                <w:bCs w:val="0"/>
                <w:color w:val="auto"/>
                <w:kern w:val="0"/>
                <w:szCs w:val="21"/>
                <w:lang w:val="en-US" w:eastAsia="zh-CN"/>
              </w:rPr>
              <w:t>2</w:t>
            </w:r>
            <w:r>
              <w:rPr>
                <w:rFonts w:hint="default" w:ascii="Times New Roman" w:hAnsi="Times New Roman" w:eastAsia="宋体" w:cs="Times New Roman"/>
                <w:b/>
                <w:bCs w:val="0"/>
                <w:color w:val="auto"/>
                <w:kern w:val="0"/>
                <w:szCs w:val="21"/>
              </w:rPr>
              <w:t>-</w:t>
            </w:r>
            <w:r>
              <w:rPr>
                <w:rFonts w:hint="default" w:ascii="Times New Roman" w:hAnsi="Times New Roman" w:eastAsia="宋体" w:cs="Times New Roman"/>
                <w:b/>
                <w:bCs w:val="0"/>
                <w:color w:val="auto"/>
                <w:kern w:val="0"/>
                <w:szCs w:val="21"/>
                <w:lang w:val="en-US" w:eastAsia="zh-CN"/>
              </w:rPr>
              <w:t>3</w:t>
            </w:r>
            <w:r>
              <w:rPr>
                <w:rFonts w:hint="default" w:ascii="Times New Roman" w:hAnsi="Times New Roman" w:eastAsia="宋体" w:cs="Times New Roman"/>
                <w:b/>
                <w:bCs w:val="0"/>
                <w:color w:val="auto"/>
                <w:kern w:val="0"/>
                <w:szCs w:val="21"/>
              </w:rPr>
              <w:t xml:space="preserve">  主要施工机械设备表</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7"/>
              <w:gridCol w:w="2736"/>
              <w:gridCol w:w="2138"/>
              <w:gridCol w:w="1388"/>
              <w:gridCol w:w="1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571" w:type="pct"/>
                  <w:tcBorders>
                    <w:top w:val="single" w:color="auto" w:sz="4" w:space="0"/>
                    <w:left w:val="single" w:color="auto" w:sz="4" w:space="0"/>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1718"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机械名称</w:t>
                  </w:r>
                </w:p>
              </w:tc>
              <w:tc>
                <w:tcPr>
                  <w:tcW w:w="1387"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规格型号</w:t>
                  </w:r>
                </w:p>
              </w:tc>
              <w:tc>
                <w:tcPr>
                  <w:tcW w:w="661"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单位</w:t>
                  </w:r>
                </w:p>
              </w:tc>
              <w:tc>
                <w:tcPr>
                  <w:tcW w:w="661"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71" w:type="pct"/>
                  <w:tcBorders>
                    <w:top w:val="single" w:color="auto" w:sz="4" w:space="0"/>
                    <w:left w:val="single" w:color="auto" w:sz="4" w:space="0"/>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w:t>
                  </w:r>
                </w:p>
              </w:tc>
              <w:tc>
                <w:tcPr>
                  <w:tcW w:w="1718"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土石方开挖（回填）机械</w:t>
                  </w:r>
                </w:p>
              </w:tc>
              <w:tc>
                <w:tcPr>
                  <w:tcW w:w="1387"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p>
              </w:tc>
              <w:tc>
                <w:tcPr>
                  <w:tcW w:w="661"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p>
              </w:tc>
              <w:tc>
                <w:tcPr>
                  <w:tcW w:w="661"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71" w:type="pct"/>
                  <w:tcBorders>
                    <w:top w:val="single" w:color="auto" w:sz="4" w:space="0"/>
                    <w:left w:val="single" w:color="auto" w:sz="4" w:space="0"/>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718"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装载机</w:t>
                  </w:r>
                </w:p>
              </w:tc>
              <w:tc>
                <w:tcPr>
                  <w:tcW w:w="1387"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ZL50</w:t>
                  </w:r>
                </w:p>
              </w:tc>
              <w:tc>
                <w:tcPr>
                  <w:tcW w:w="661"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661"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71" w:type="pct"/>
                  <w:tcBorders>
                    <w:top w:val="single" w:color="auto" w:sz="4" w:space="0"/>
                    <w:left w:val="single" w:color="auto" w:sz="4" w:space="0"/>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718"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液压反铲</w:t>
                  </w:r>
                  <w:r>
                    <w:rPr>
                      <w:rFonts w:hint="default" w:ascii="Times New Roman" w:hAnsi="Times New Roman" w:eastAsia="宋体" w:cs="Times New Roman"/>
                      <w:color w:val="auto"/>
                      <w:sz w:val="21"/>
                      <w:szCs w:val="21"/>
                      <w:highlight w:val="none"/>
                      <w:lang w:val="en-US" w:eastAsia="zh-CN"/>
                    </w:rPr>
                    <w:t>挖掘机</w:t>
                  </w:r>
                </w:p>
              </w:tc>
              <w:tc>
                <w:tcPr>
                  <w:tcW w:w="1387"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1.6</w:t>
                  </w:r>
                  <w:r>
                    <w:rPr>
                      <w:rFonts w:hint="default" w:ascii="Times New Roman" w:hAnsi="Times New Roman" w:eastAsia="宋体"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vertAlign w:val="superscript"/>
                      <w:lang w:val="en-US" w:eastAsia="zh-CN"/>
                    </w:rPr>
                    <w:t>3</w:t>
                  </w:r>
                </w:p>
              </w:tc>
              <w:tc>
                <w:tcPr>
                  <w:tcW w:w="661"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661"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71" w:type="pct"/>
                  <w:tcBorders>
                    <w:top w:val="single" w:color="auto" w:sz="4" w:space="0"/>
                    <w:left w:val="single" w:color="auto" w:sz="4" w:space="0"/>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1718"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推土机</w:t>
                  </w:r>
                </w:p>
              </w:tc>
              <w:tc>
                <w:tcPr>
                  <w:tcW w:w="1387"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74k</w:t>
                  </w:r>
                  <w:r>
                    <w:rPr>
                      <w:rFonts w:hint="default" w:ascii="Times New Roman" w:hAnsi="Times New Roman" w:eastAsia="宋体" w:cs="Times New Roman"/>
                      <w:color w:val="auto"/>
                      <w:sz w:val="21"/>
                      <w:szCs w:val="21"/>
                      <w:highlight w:val="none"/>
                      <w:lang w:val="en-US" w:eastAsia="zh-CN"/>
                    </w:rPr>
                    <w:t>W</w:t>
                  </w:r>
                </w:p>
              </w:tc>
              <w:tc>
                <w:tcPr>
                  <w:tcW w:w="661"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661"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71" w:type="pct"/>
                  <w:tcBorders>
                    <w:top w:val="single" w:color="auto" w:sz="4" w:space="0"/>
                    <w:left w:val="single" w:color="auto" w:sz="4" w:space="0"/>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1718"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振动碾</w:t>
                  </w:r>
                </w:p>
              </w:tc>
              <w:tc>
                <w:tcPr>
                  <w:tcW w:w="1387"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20t</w:t>
                  </w:r>
                </w:p>
              </w:tc>
              <w:tc>
                <w:tcPr>
                  <w:tcW w:w="661"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661"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71" w:type="pct"/>
                  <w:tcBorders>
                    <w:top w:val="single" w:color="auto" w:sz="4" w:space="0"/>
                    <w:left w:val="single" w:color="auto" w:sz="4" w:space="0"/>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c>
                <w:tcPr>
                  <w:tcW w:w="1718"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小型振动碾</w:t>
                  </w:r>
                </w:p>
              </w:tc>
              <w:tc>
                <w:tcPr>
                  <w:tcW w:w="1387"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0.8t</w:t>
                  </w:r>
                </w:p>
              </w:tc>
              <w:tc>
                <w:tcPr>
                  <w:tcW w:w="661"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661"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71" w:type="pct"/>
                  <w:tcBorders>
                    <w:top w:val="single" w:color="auto" w:sz="4" w:space="0"/>
                    <w:left w:val="single" w:color="auto" w:sz="4" w:space="0"/>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w:t>
                  </w:r>
                </w:p>
              </w:tc>
              <w:tc>
                <w:tcPr>
                  <w:tcW w:w="1718"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混凝土机械</w:t>
                  </w:r>
                </w:p>
              </w:tc>
              <w:tc>
                <w:tcPr>
                  <w:tcW w:w="1387"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p>
              </w:tc>
              <w:tc>
                <w:tcPr>
                  <w:tcW w:w="661"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p>
              </w:tc>
              <w:tc>
                <w:tcPr>
                  <w:tcW w:w="661"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71" w:type="pct"/>
                  <w:tcBorders>
                    <w:top w:val="single" w:color="auto" w:sz="4" w:space="0"/>
                    <w:left w:val="single" w:color="auto" w:sz="4" w:space="0"/>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718"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插入式振捣器</w:t>
                  </w:r>
                </w:p>
              </w:tc>
              <w:tc>
                <w:tcPr>
                  <w:tcW w:w="1387"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插入式1.1kW</w:t>
                  </w:r>
                </w:p>
              </w:tc>
              <w:tc>
                <w:tcPr>
                  <w:tcW w:w="661"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661"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71" w:type="pct"/>
                  <w:tcBorders>
                    <w:top w:val="single" w:color="auto" w:sz="4" w:space="0"/>
                    <w:left w:val="single" w:color="auto" w:sz="4" w:space="0"/>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718"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混凝土拌</w:t>
                  </w:r>
                  <w:r>
                    <w:rPr>
                      <w:rFonts w:hint="eastAsia" w:ascii="Times New Roman" w:cs="Times New Roman"/>
                      <w:color w:val="auto"/>
                      <w:sz w:val="21"/>
                      <w:szCs w:val="21"/>
                      <w:highlight w:val="none"/>
                      <w:lang w:val="en-US" w:eastAsia="zh-CN"/>
                    </w:rPr>
                    <w:t>合</w:t>
                  </w:r>
                  <w:r>
                    <w:rPr>
                      <w:rFonts w:hint="default" w:ascii="Times New Roman" w:hAnsi="Times New Roman" w:eastAsia="宋体" w:cs="Times New Roman"/>
                      <w:color w:val="auto"/>
                      <w:sz w:val="21"/>
                      <w:szCs w:val="21"/>
                      <w:highlight w:val="none"/>
                      <w:lang w:val="en-US" w:eastAsia="zh-CN"/>
                    </w:rPr>
                    <w:t>机</w:t>
                  </w:r>
                </w:p>
              </w:tc>
              <w:tc>
                <w:tcPr>
                  <w:tcW w:w="1387"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0.8m</w:t>
                  </w:r>
                  <w:r>
                    <w:rPr>
                      <w:rFonts w:hint="default" w:ascii="Times New Roman" w:hAnsi="Times New Roman" w:eastAsia="宋体" w:cs="Times New Roman"/>
                      <w:color w:val="auto"/>
                      <w:sz w:val="21"/>
                      <w:szCs w:val="21"/>
                      <w:highlight w:val="none"/>
                      <w:vertAlign w:val="superscript"/>
                      <w:lang w:val="en-US" w:eastAsia="zh-CN"/>
                    </w:rPr>
                    <w:t>3</w:t>
                  </w:r>
                </w:p>
              </w:tc>
              <w:tc>
                <w:tcPr>
                  <w:tcW w:w="661"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w:t>
                  </w:r>
                </w:p>
              </w:tc>
              <w:tc>
                <w:tcPr>
                  <w:tcW w:w="661"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71" w:type="pct"/>
                  <w:tcBorders>
                    <w:top w:val="single" w:color="auto" w:sz="4" w:space="0"/>
                    <w:left w:val="single" w:color="auto" w:sz="4" w:space="0"/>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三</w:t>
                  </w:r>
                </w:p>
              </w:tc>
              <w:tc>
                <w:tcPr>
                  <w:tcW w:w="1718"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运输机械</w:t>
                  </w:r>
                </w:p>
              </w:tc>
              <w:tc>
                <w:tcPr>
                  <w:tcW w:w="1387"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p>
              </w:tc>
              <w:tc>
                <w:tcPr>
                  <w:tcW w:w="661"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p>
              </w:tc>
              <w:tc>
                <w:tcPr>
                  <w:tcW w:w="661"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71" w:type="pct"/>
                  <w:tcBorders>
                    <w:top w:val="single" w:color="auto" w:sz="4" w:space="0"/>
                    <w:left w:val="single" w:color="auto" w:sz="4" w:space="0"/>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718"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自卸汽车</w:t>
                  </w:r>
                </w:p>
              </w:tc>
              <w:tc>
                <w:tcPr>
                  <w:tcW w:w="1387"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t</w:t>
                  </w:r>
                </w:p>
              </w:tc>
              <w:tc>
                <w:tcPr>
                  <w:tcW w:w="661"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辆</w:t>
                  </w:r>
                </w:p>
              </w:tc>
              <w:tc>
                <w:tcPr>
                  <w:tcW w:w="661"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71" w:type="pct"/>
                  <w:tcBorders>
                    <w:top w:val="single" w:color="auto" w:sz="4" w:space="0"/>
                    <w:left w:val="single" w:color="auto" w:sz="4" w:space="0"/>
                    <w:bottom w:val="single" w:color="auto" w:sz="4" w:space="0"/>
                    <w:right w:val="single" w:color="auto" w:sz="4" w:space="0"/>
                  </w:tcBorders>
                  <w:noWrap w:val="0"/>
                  <w:vAlign w:val="center"/>
                </w:tcPr>
                <w:p>
                  <w:pPr>
                    <w:pStyle w:val="23"/>
                    <w:keepNext w:val="0"/>
                    <w:keepLines w:val="0"/>
                    <w:pageBreakBefore w:val="0"/>
                    <w:widowControl w:val="0"/>
                    <w:suppressLineNumbers w:val="0"/>
                    <w:kinsoku/>
                    <w:wordWrap/>
                    <w:overflowPunct/>
                    <w:topLinePunct w:val="0"/>
                    <w:autoSpaceDE/>
                    <w:autoSpaceDN/>
                    <w:bidi w:val="0"/>
                    <w:adjustRightInd/>
                    <w:snapToGrid/>
                    <w:spacing w:beforeAutospacing="0" w:afterAutospacing="0" w:line="288"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718"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自卸汽车</w:t>
                  </w:r>
                </w:p>
              </w:tc>
              <w:tc>
                <w:tcPr>
                  <w:tcW w:w="1387"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t</w:t>
                  </w:r>
                </w:p>
              </w:tc>
              <w:tc>
                <w:tcPr>
                  <w:tcW w:w="661"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辆</w:t>
                  </w:r>
                </w:p>
              </w:tc>
              <w:tc>
                <w:tcPr>
                  <w:tcW w:w="661"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71" w:type="pct"/>
                  <w:tcBorders>
                    <w:top w:val="single" w:color="auto" w:sz="4" w:space="0"/>
                    <w:left w:val="single" w:color="auto" w:sz="4" w:space="0"/>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718"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自卸汽车</w:t>
                  </w:r>
                </w:p>
              </w:tc>
              <w:tc>
                <w:tcPr>
                  <w:tcW w:w="1387"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t</w:t>
                  </w:r>
                </w:p>
              </w:tc>
              <w:tc>
                <w:tcPr>
                  <w:tcW w:w="661"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辆</w:t>
                  </w:r>
                </w:p>
              </w:tc>
              <w:tc>
                <w:tcPr>
                  <w:tcW w:w="661"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71" w:type="pct"/>
                  <w:tcBorders>
                    <w:top w:val="single" w:color="auto" w:sz="4" w:space="0"/>
                    <w:left w:val="single" w:color="auto" w:sz="4" w:space="0"/>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1718"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载重汽车</w:t>
                  </w:r>
                </w:p>
              </w:tc>
              <w:tc>
                <w:tcPr>
                  <w:tcW w:w="1387"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10t</w:t>
                  </w:r>
                </w:p>
              </w:tc>
              <w:tc>
                <w:tcPr>
                  <w:tcW w:w="661"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辆</w:t>
                  </w:r>
                </w:p>
              </w:tc>
              <w:tc>
                <w:tcPr>
                  <w:tcW w:w="661"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71" w:type="pct"/>
                  <w:tcBorders>
                    <w:top w:val="single" w:color="auto" w:sz="4" w:space="0"/>
                    <w:left w:val="single" w:color="auto" w:sz="4" w:space="0"/>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1718"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载重汽车</w:t>
                  </w:r>
                </w:p>
              </w:tc>
              <w:tc>
                <w:tcPr>
                  <w:tcW w:w="1387"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20t</w:t>
                  </w:r>
                </w:p>
              </w:tc>
              <w:tc>
                <w:tcPr>
                  <w:tcW w:w="661"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辆</w:t>
                  </w:r>
                </w:p>
              </w:tc>
              <w:tc>
                <w:tcPr>
                  <w:tcW w:w="661"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71" w:type="pct"/>
                  <w:tcBorders>
                    <w:top w:val="single" w:color="auto" w:sz="4" w:space="0"/>
                    <w:left w:val="single" w:color="auto" w:sz="4" w:space="0"/>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1718"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胶轮车</w:t>
                  </w:r>
                </w:p>
              </w:tc>
              <w:tc>
                <w:tcPr>
                  <w:tcW w:w="1387"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61"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辆</w:t>
                  </w:r>
                </w:p>
              </w:tc>
              <w:tc>
                <w:tcPr>
                  <w:tcW w:w="661"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71" w:type="pct"/>
                  <w:tcBorders>
                    <w:top w:val="single" w:color="auto" w:sz="4" w:space="0"/>
                    <w:left w:val="single" w:color="auto" w:sz="4" w:space="0"/>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四</w:t>
                  </w:r>
                </w:p>
              </w:tc>
              <w:tc>
                <w:tcPr>
                  <w:tcW w:w="1718"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风、水、电系统</w:t>
                  </w:r>
                </w:p>
              </w:tc>
              <w:tc>
                <w:tcPr>
                  <w:tcW w:w="1387"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p>
              </w:tc>
              <w:tc>
                <w:tcPr>
                  <w:tcW w:w="661"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p>
              </w:tc>
              <w:tc>
                <w:tcPr>
                  <w:tcW w:w="661"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71" w:type="pct"/>
                  <w:tcBorders>
                    <w:top w:val="single" w:color="auto" w:sz="4" w:space="0"/>
                    <w:left w:val="single" w:color="auto" w:sz="4" w:space="0"/>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1</w:t>
                  </w:r>
                </w:p>
              </w:tc>
              <w:tc>
                <w:tcPr>
                  <w:tcW w:w="1718"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eastAsia" w:ascii="Times New Roman" w:hAnsi="Times New Roman" w:eastAsia="宋体" w:cs="Times New Roman"/>
                      <w:color w:val="auto"/>
                      <w:sz w:val="21"/>
                      <w:szCs w:val="21"/>
                      <w:highlight w:val="none"/>
                      <w:lang w:val="en-US" w:eastAsia="zh-CN"/>
                    </w:rPr>
                  </w:pPr>
                  <w:r>
                    <w:rPr>
                      <w:rFonts w:ascii="Times New Roman" w:hAnsi="Times New Roman"/>
                      <w:color w:val="auto"/>
                      <w:sz w:val="21"/>
                      <w:szCs w:val="21"/>
                      <w:highlight w:val="none"/>
                    </w:rPr>
                    <w:t>可移动式铁皮水箱</w:t>
                  </w:r>
                </w:p>
              </w:tc>
              <w:tc>
                <w:tcPr>
                  <w:tcW w:w="1387"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10m</w:t>
                  </w:r>
                  <w:r>
                    <w:rPr>
                      <w:rFonts w:hint="eastAsia" w:ascii="Times New Roman" w:eastAsia="宋体" w:cs="Times New Roman"/>
                      <w:color w:val="auto"/>
                      <w:sz w:val="21"/>
                      <w:szCs w:val="21"/>
                      <w:highlight w:val="none"/>
                      <w:vertAlign w:val="superscript"/>
                      <w:lang w:val="en-US" w:eastAsia="zh-CN"/>
                    </w:rPr>
                    <w:t>3</w:t>
                  </w:r>
                </w:p>
              </w:tc>
              <w:tc>
                <w:tcPr>
                  <w:tcW w:w="661"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个</w:t>
                  </w:r>
                </w:p>
              </w:tc>
              <w:tc>
                <w:tcPr>
                  <w:tcW w:w="661"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71" w:type="pct"/>
                  <w:tcBorders>
                    <w:top w:val="single" w:color="auto" w:sz="4" w:space="0"/>
                    <w:left w:val="single" w:color="auto" w:sz="4" w:space="0"/>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2</w:t>
                  </w:r>
                </w:p>
              </w:tc>
              <w:tc>
                <w:tcPr>
                  <w:tcW w:w="1718"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eastAsia" w:ascii="Times New Roman" w:eastAsia="宋体" w:cs="Times New Roman"/>
                      <w:color w:val="auto"/>
                      <w:sz w:val="21"/>
                      <w:szCs w:val="21"/>
                      <w:highlight w:val="none"/>
                      <w:lang w:val="en-US" w:eastAsia="zh-CN"/>
                    </w:rPr>
                  </w:pPr>
                  <w:r>
                    <w:rPr>
                      <w:rFonts w:ascii="Times New Roman" w:hAnsi="Times New Roman"/>
                      <w:sz w:val="21"/>
                      <w:szCs w:val="21"/>
                      <w:highlight w:val="none"/>
                    </w:rPr>
                    <w:t>离心泵</w:t>
                  </w:r>
                </w:p>
              </w:tc>
              <w:tc>
                <w:tcPr>
                  <w:tcW w:w="1387"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r>
                    <w:rPr>
                      <w:rFonts w:ascii="Times New Roman" w:hAnsi="Times New Roman"/>
                      <w:sz w:val="21"/>
                      <w:szCs w:val="21"/>
                      <w:highlight w:val="none"/>
                    </w:rPr>
                    <w:t>IS150-125-200</w:t>
                  </w:r>
                </w:p>
              </w:tc>
              <w:tc>
                <w:tcPr>
                  <w:tcW w:w="661"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个</w:t>
                  </w:r>
                </w:p>
              </w:tc>
              <w:tc>
                <w:tcPr>
                  <w:tcW w:w="661"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71" w:type="pct"/>
                  <w:tcBorders>
                    <w:top w:val="single" w:color="auto" w:sz="4" w:space="0"/>
                    <w:left w:val="single" w:color="auto" w:sz="4" w:space="0"/>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3</w:t>
                  </w:r>
                </w:p>
              </w:tc>
              <w:tc>
                <w:tcPr>
                  <w:tcW w:w="1718"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发电机</w:t>
                  </w:r>
                </w:p>
              </w:tc>
              <w:tc>
                <w:tcPr>
                  <w:tcW w:w="1387"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50KW</w:t>
                  </w:r>
                </w:p>
              </w:tc>
              <w:tc>
                <w:tcPr>
                  <w:tcW w:w="661"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台</w:t>
                  </w:r>
                </w:p>
              </w:tc>
              <w:tc>
                <w:tcPr>
                  <w:tcW w:w="661" w:type="pct"/>
                  <w:tcBorders>
                    <w:top w:val="single" w:color="auto" w:sz="4" w:space="0"/>
                    <w:left w:val="nil"/>
                    <w:bottom w:val="single" w:color="auto" w:sz="4" w:space="0"/>
                    <w:right w:val="single" w:color="auto" w:sz="4" w:space="0"/>
                  </w:tcBorders>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2</w:t>
                  </w:r>
                </w:p>
              </w:tc>
            </w:tr>
          </w:tbl>
          <w:p>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kern w:val="0"/>
                <w:sz w:val="24"/>
                <w:lang w:eastAsia="zh-CN"/>
              </w:rPr>
              <w:t>（</w:t>
            </w:r>
            <w:r>
              <w:rPr>
                <w:rFonts w:hint="default" w:ascii="Times New Roman" w:hAnsi="Times New Roman" w:eastAsia="宋体" w:cs="Times New Roman"/>
                <w:bCs/>
                <w:color w:val="auto"/>
                <w:kern w:val="0"/>
                <w:sz w:val="24"/>
                <w:lang w:val="en-US" w:eastAsia="zh-CN"/>
              </w:rPr>
              <w:t>2</w:t>
            </w:r>
            <w:r>
              <w:rPr>
                <w:rFonts w:hint="default" w:ascii="Times New Roman" w:hAnsi="Times New Roman" w:eastAsia="宋体" w:cs="Times New Roman"/>
                <w:bCs/>
                <w:color w:val="auto"/>
                <w:kern w:val="0"/>
                <w:sz w:val="24"/>
                <w:lang w:eastAsia="zh-CN"/>
              </w:rPr>
              <w:t>）</w:t>
            </w:r>
            <w:r>
              <w:rPr>
                <w:rFonts w:hint="default" w:ascii="Times New Roman" w:hAnsi="Times New Roman" w:eastAsia="宋体" w:cs="Times New Roman"/>
                <w:bCs/>
                <w:color w:val="auto"/>
                <w:kern w:val="0"/>
                <w:sz w:val="24"/>
              </w:rPr>
              <w:t>施工主要原辅材料</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本项目主要用量见表</w:t>
            </w:r>
            <w:r>
              <w:rPr>
                <w:rFonts w:hint="default" w:ascii="Times New Roman" w:hAnsi="Times New Roman" w:eastAsia="宋体" w:cs="Times New Roman"/>
                <w:bCs/>
                <w:color w:val="auto"/>
                <w:kern w:val="0"/>
                <w:sz w:val="24"/>
                <w:lang w:val="en-US" w:eastAsia="zh-CN"/>
              </w:rPr>
              <w:t>2</w:t>
            </w:r>
            <w:r>
              <w:rPr>
                <w:rFonts w:hint="default" w:ascii="Times New Roman" w:hAnsi="Times New Roman" w:eastAsia="宋体" w:cs="Times New Roman"/>
                <w:bCs/>
                <w:color w:val="auto"/>
                <w:kern w:val="0"/>
                <w:sz w:val="24"/>
              </w:rPr>
              <w:t>-</w:t>
            </w:r>
            <w:r>
              <w:rPr>
                <w:rFonts w:hint="default" w:ascii="Times New Roman" w:hAnsi="Times New Roman" w:eastAsia="宋体" w:cs="Times New Roman"/>
                <w:bCs/>
                <w:color w:val="auto"/>
                <w:kern w:val="0"/>
                <w:sz w:val="24"/>
                <w:lang w:val="en-US" w:eastAsia="zh-CN"/>
              </w:rPr>
              <w:t>4</w:t>
            </w:r>
            <w:r>
              <w:rPr>
                <w:rFonts w:hint="default" w:ascii="Times New Roman" w:hAnsi="Times New Roman" w:eastAsia="宋体" w:cs="Times New Roman"/>
                <w:bCs/>
                <w:color w:val="auto"/>
                <w:kern w:val="0"/>
                <w:sz w:val="24"/>
              </w:rPr>
              <w:t>。</w:t>
            </w: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val="0"/>
                <w:color w:val="auto"/>
                <w:kern w:val="0"/>
                <w:szCs w:val="21"/>
              </w:rPr>
            </w:pP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val="0"/>
                <w:color w:val="auto"/>
                <w:szCs w:val="21"/>
              </w:rPr>
            </w:pPr>
            <w:r>
              <w:rPr>
                <w:rFonts w:hint="default" w:ascii="Times New Roman" w:hAnsi="Times New Roman" w:eastAsia="宋体" w:cs="Times New Roman"/>
                <w:b/>
                <w:bCs w:val="0"/>
                <w:color w:val="auto"/>
                <w:kern w:val="0"/>
                <w:szCs w:val="21"/>
              </w:rPr>
              <w:t>表</w:t>
            </w:r>
            <w:r>
              <w:rPr>
                <w:rFonts w:hint="default" w:ascii="Times New Roman" w:hAnsi="Times New Roman" w:eastAsia="宋体" w:cs="Times New Roman"/>
                <w:b/>
                <w:bCs w:val="0"/>
                <w:color w:val="auto"/>
                <w:kern w:val="0"/>
                <w:szCs w:val="21"/>
                <w:lang w:val="en-US" w:eastAsia="zh-CN"/>
              </w:rPr>
              <w:t>2</w:t>
            </w:r>
            <w:r>
              <w:rPr>
                <w:rFonts w:hint="default" w:ascii="Times New Roman" w:hAnsi="Times New Roman" w:eastAsia="宋体" w:cs="Times New Roman"/>
                <w:b/>
                <w:bCs w:val="0"/>
                <w:color w:val="auto"/>
                <w:kern w:val="0"/>
                <w:szCs w:val="21"/>
              </w:rPr>
              <w:t>-</w:t>
            </w:r>
            <w:r>
              <w:rPr>
                <w:rFonts w:hint="default" w:ascii="Times New Roman" w:hAnsi="Times New Roman" w:eastAsia="宋体" w:cs="Times New Roman"/>
                <w:b/>
                <w:bCs w:val="0"/>
                <w:color w:val="auto"/>
                <w:kern w:val="0"/>
                <w:szCs w:val="21"/>
                <w:lang w:val="en-US" w:eastAsia="zh-CN"/>
              </w:rPr>
              <w:t>4</w:t>
            </w:r>
            <w:r>
              <w:rPr>
                <w:rFonts w:hint="default" w:ascii="Times New Roman" w:hAnsi="Times New Roman" w:eastAsia="宋体" w:cs="Times New Roman"/>
                <w:b/>
                <w:bCs w:val="0"/>
                <w:color w:val="auto"/>
                <w:kern w:val="0"/>
                <w:szCs w:val="21"/>
              </w:rPr>
              <w:t xml:space="preserve">  主要原辅材料一览表</w:t>
            </w:r>
          </w:p>
          <w:tbl>
            <w:tblPr>
              <w:tblStyle w:val="41"/>
              <w:tblW w:w="4997"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793"/>
              <w:gridCol w:w="1798"/>
              <w:gridCol w:w="1798"/>
              <w:gridCol w:w="1856"/>
              <w:gridCol w:w="179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4" w:hRule="atLeast"/>
              </w:trPr>
              <w:tc>
                <w:tcPr>
                  <w:tcW w:w="991" w:type="pct"/>
                  <w:noWrap w:val="0"/>
                  <w:vAlign w:val="center"/>
                </w:tcPr>
                <w:p>
                  <w:pPr>
                    <w:widowControl/>
                    <w:jc w:val="center"/>
                    <w:rPr>
                      <w:rFonts w:ascii="Times New Roman" w:hAnsi="Times New Roman"/>
                      <w:b/>
                      <w:kern w:val="0"/>
                      <w:szCs w:val="21"/>
                    </w:rPr>
                  </w:pPr>
                  <w:r>
                    <w:rPr>
                      <w:rFonts w:ascii="Times New Roman" w:hAnsi="Times New Roman"/>
                      <w:b/>
                      <w:kern w:val="0"/>
                      <w:szCs w:val="21"/>
                    </w:rPr>
                    <w:t>序号</w:t>
                  </w:r>
                </w:p>
              </w:tc>
              <w:tc>
                <w:tcPr>
                  <w:tcW w:w="994" w:type="pct"/>
                  <w:noWrap w:val="0"/>
                  <w:vAlign w:val="center"/>
                </w:tcPr>
                <w:p>
                  <w:pPr>
                    <w:widowControl/>
                    <w:jc w:val="center"/>
                    <w:rPr>
                      <w:rFonts w:ascii="Times New Roman" w:hAnsi="Times New Roman"/>
                      <w:b/>
                      <w:kern w:val="0"/>
                      <w:szCs w:val="21"/>
                    </w:rPr>
                  </w:pPr>
                  <w:r>
                    <w:rPr>
                      <w:rFonts w:ascii="Times New Roman" w:hAnsi="Times New Roman"/>
                      <w:b/>
                      <w:kern w:val="0"/>
                      <w:szCs w:val="21"/>
                    </w:rPr>
                    <w:t>名称及规格</w:t>
                  </w:r>
                </w:p>
              </w:tc>
              <w:tc>
                <w:tcPr>
                  <w:tcW w:w="994" w:type="pct"/>
                  <w:noWrap w:val="0"/>
                  <w:vAlign w:val="center"/>
                </w:tcPr>
                <w:p>
                  <w:pPr>
                    <w:widowControl/>
                    <w:jc w:val="center"/>
                    <w:rPr>
                      <w:rFonts w:ascii="Times New Roman" w:hAnsi="Times New Roman"/>
                      <w:b/>
                      <w:kern w:val="0"/>
                      <w:szCs w:val="21"/>
                    </w:rPr>
                  </w:pPr>
                  <w:r>
                    <w:rPr>
                      <w:rFonts w:ascii="Times New Roman" w:hAnsi="Times New Roman"/>
                      <w:b/>
                      <w:kern w:val="0"/>
                      <w:szCs w:val="21"/>
                    </w:rPr>
                    <w:t>单位</w:t>
                  </w:r>
                </w:p>
              </w:tc>
              <w:tc>
                <w:tcPr>
                  <w:tcW w:w="1026" w:type="pct"/>
                  <w:noWrap w:val="0"/>
                  <w:vAlign w:val="center"/>
                </w:tcPr>
                <w:p>
                  <w:pPr>
                    <w:widowControl/>
                    <w:jc w:val="center"/>
                    <w:rPr>
                      <w:rFonts w:ascii="Times New Roman" w:hAnsi="Times New Roman"/>
                      <w:b/>
                      <w:kern w:val="0"/>
                      <w:szCs w:val="21"/>
                    </w:rPr>
                  </w:pPr>
                  <w:r>
                    <w:rPr>
                      <w:rFonts w:ascii="Times New Roman" w:hAnsi="Times New Roman"/>
                      <w:b/>
                      <w:kern w:val="0"/>
                      <w:szCs w:val="21"/>
                    </w:rPr>
                    <w:t>数量</w:t>
                  </w:r>
                </w:p>
              </w:tc>
              <w:tc>
                <w:tcPr>
                  <w:tcW w:w="992" w:type="pct"/>
                  <w:noWrap w:val="0"/>
                  <w:vAlign w:val="center"/>
                </w:tcPr>
                <w:p>
                  <w:pPr>
                    <w:widowControl/>
                    <w:jc w:val="center"/>
                    <w:rPr>
                      <w:rFonts w:ascii="Times New Roman" w:hAnsi="Times New Roman"/>
                      <w:b/>
                      <w:kern w:val="0"/>
                      <w:szCs w:val="21"/>
                    </w:rPr>
                  </w:pPr>
                  <w:r>
                    <w:rPr>
                      <w:rFonts w:ascii="Times New Roman" w:hAnsi="Times New Roman"/>
                      <w:b/>
                      <w:kern w:val="0"/>
                      <w:szCs w:val="21"/>
                    </w:rPr>
                    <w:t>备注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78" w:hRule="atLeast"/>
              </w:trPr>
              <w:tc>
                <w:tcPr>
                  <w:tcW w:w="991" w:type="pct"/>
                  <w:shd w:val="clear" w:color="auto" w:fill="auto"/>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1</w:t>
                  </w:r>
                </w:p>
              </w:tc>
              <w:tc>
                <w:tcPr>
                  <w:tcW w:w="994" w:type="pct"/>
                  <w:shd w:val="clear" w:color="000000" w:fill="FFFFFF"/>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卵石</w:t>
                  </w:r>
                </w:p>
              </w:tc>
              <w:tc>
                <w:tcPr>
                  <w:tcW w:w="994" w:type="pct"/>
                  <w:noWrap w:val="0"/>
                  <w:vAlign w:val="center"/>
                </w:tcPr>
                <w:p>
                  <w:pPr>
                    <w:widowControl/>
                    <w:jc w:val="center"/>
                    <w:rPr>
                      <w:rFonts w:ascii="Times New Roman" w:hAnsi="Times New Roman"/>
                      <w:kern w:val="0"/>
                      <w:szCs w:val="21"/>
                    </w:rPr>
                  </w:pPr>
                  <w:r>
                    <w:rPr>
                      <w:rFonts w:ascii="Times New Roman" w:hAnsi="Times New Roman"/>
                      <w:kern w:val="0"/>
                      <w:szCs w:val="21"/>
                    </w:rPr>
                    <w:t>m</w:t>
                  </w:r>
                  <w:r>
                    <w:rPr>
                      <w:rFonts w:ascii="Times New Roman" w:hAnsi="Times New Roman"/>
                      <w:kern w:val="0"/>
                      <w:szCs w:val="21"/>
                      <w:vertAlign w:val="superscript"/>
                    </w:rPr>
                    <w:t>3</w:t>
                  </w:r>
                </w:p>
              </w:tc>
              <w:tc>
                <w:tcPr>
                  <w:tcW w:w="1026" w:type="pct"/>
                  <w:noWrap w:val="0"/>
                  <w:vAlign w:val="center"/>
                </w:tcPr>
                <w:p>
                  <w:pPr>
                    <w:widowControl/>
                    <w:jc w:val="center"/>
                    <w:rPr>
                      <w:rFonts w:hint="default" w:ascii="Times New Roman" w:hAnsi="Times New Roman" w:eastAsia="宋体"/>
                      <w:kern w:val="0"/>
                      <w:szCs w:val="21"/>
                      <w:lang w:val="en-US" w:eastAsia="zh-CN"/>
                    </w:rPr>
                  </w:pPr>
                  <w:r>
                    <w:rPr>
                      <w:rFonts w:hint="eastAsia" w:ascii="Times New Roman" w:hAnsi="Times New Roman"/>
                      <w:kern w:val="0"/>
                      <w:szCs w:val="21"/>
                      <w:lang w:val="en-US" w:eastAsia="zh-CN"/>
                    </w:rPr>
                    <w:t>1.0</w:t>
                  </w:r>
                  <w:r>
                    <w:rPr>
                      <w:rFonts w:hint="eastAsia"/>
                      <w:kern w:val="0"/>
                      <w:szCs w:val="21"/>
                      <w:lang w:val="en-US" w:eastAsia="zh-CN"/>
                    </w:rPr>
                    <w:t>9</w:t>
                  </w:r>
                </w:p>
              </w:tc>
              <w:tc>
                <w:tcPr>
                  <w:tcW w:w="992" w:type="pct"/>
                  <w:noWrap w:val="0"/>
                  <w:vAlign w:val="center"/>
                </w:tcPr>
                <w:p>
                  <w:pPr>
                    <w:widowControl/>
                    <w:jc w:val="center"/>
                    <w:rPr>
                      <w:rFonts w:hint="default" w:ascii="Times New Roman" w:hAnsi="Times New Roman" w:eastAsia="宋体"/>
                      <w:kern w:val="0"/>
                      <w:szCs w:val="21"/>
                      <w:lang w:val="en-US" w:eastAsia="zh-CN"/>
                    </w:rPr>
                  </w:pPr>
                  <w:r>
                    <w:rPr>
                      <w:rFonts w:hint="eastAsia" w:ascii="Times New Roman" w:hAnsi="Times New Roman"/>
                      <w:kern w:val="0"/>
                      <w:szCs w:val="21"/>
                      <w:lang w:val="en-US" w:eastAsia="zh-CN"/>
                    </w:rPr>
                    <w:t>开挖、疏浚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78" w:hRule="atLeast"/>
              </w:trPr>
              <w:tc>
                <w:tcPr>
                  <w:tcW w:w="991" w:type="pct"/>
                  <w:shd w:val="clear" w:color="auto" w:fill="auto"/>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2</w:t>
                  </w:r>
                </w:p>
              </w:tc>
              <w:tc>
                <w:tcPr>
                  <w:tcW w:w="994" w:type="pct"/>
                  <w:shd w:val="clear" w:color="000000" w:fill="FFFFFF"/>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细砂</w:t>
                  </w:r>
                </w:p>
              </w:tc>
              <w:tc>
                <w:tcPr>
                  <w:tcW w:w="994" w:type="pct"/>
                  <w:noWrap w:val="0"/>
                  <w:vAlign w:val="center"/>
                </w:tcPr>
                <w:p>
                  <w:pPr>
                    <w:widowControl/>
                    <w:jc w:val="center"/>
                    <w:rPr>
                      <w:rFonts w:ascii="Times New Roman" w:hAnsi="Times New Roman"/>
                      <w:kern w:val="0"/>
                      <w:szCs w:val="21"/>
                    </w:rPr>
                  </w:pPr>
                  <w:r>
                    <w:rPr>
                      <w:rFonts w:ascii="Times New Roman" w:hAnsi="Times New Roman"/>
                      <w:kern w:val="0"/>
                      <w:szCs w:val="21"/>
                    </w:rPr>
                    <w:t>m</w:t>
                  </w:r>
                  <w:r>
                    <w:rPr>
                      <w:rFonts w:ascii="Times New Roman" w:hAnsi="Times New Roman"/>
                      <w:kern w:val="0"/>
                      <w:szCs w:val="21"/>
                      <w:vertAlign w:val="superscript"/>
                    </w:rPr>
                    <w:t>3</w:t>
                  </w:r>
                </w:p>
              </w:tc>
              <w:tc>
                <w:tcPr>
                  <w:tcW w:w="1026" w:type="pct"/>
                  <w:noWrap w:val="0"/>
                  <w:vAlign w:val="center"/>
                </w:tcPr>
                <w:p>
                  <w:pPr>
                    <w:widowControl/>
                    <w:jc w:val="center"/>
                    <w:rPr>
                      <w:rFonts w:hint="default" w:ascii="Times New Roman" w:hAnsi="Times New Roman" w:eastAsia="宋体"/>
                      <w:kern w:val="0"/>
                      <w:szCs w:val="21"/>
                      <w:lang w:val="en-US" w:eastAsia="zh-CN"/>
                    </w:rPr>
                  </w:pPr>
                  <w:r>
                    <w:rPr>
                      <w:rFonts w:hint="eastAsia"/>
                      <w:kern w:val="0"/>
                      <w:szCs w:val="21"/>
                      <w:lang w:val="en-US" w:eastAsia="zh-CN"/>
                    </w:rPr>
                    <w:t>0.70</w:t>
                  </w:r>
                </w:p>
              </w:tc>
              <w:tc>
                <w:tcPr>
                  <w:tcW w:w="992" w:type="pct"/>
                  <w:noWrap w:val="0"/>
                  <w:vAlign w:val="center"/>
                </w:tcPr>
                <w:p>
                  <w:pPr>
                    <w:widowControl/>
                    <w:jc w:val="center"/>
                    <w:rPr>
                      <w:rFonts w:hint="default" w:ascii="Times New Roman" w:hAnsi="Times New Roman"/>
                      <w:kern w:val="0"/>
                      <w:szCs w:val="21"/>
                      <w:lang w:val="en-US"/>
                    </w:rPr>
                  </w:pPr>
                  <w:r>
                    <w:rPr>
                      <w:rFonts w:hint="eastAsia" w:ascii="Times New Roman" w:hAnsi="Times New Roman"/>
                      <w:kern w:val="0"/>
                      <w:szCs w:val="21"/>
                      <w:lang w:val="en-US" w:eastAsia="zh-CN"/>
                    </w:rPr>
                    <w:t>开挖</w:t>
                  </w:r>
                  <w:r>
                    <w:rPr>
                      <w:rFonts w:hint="eastAsia"/>
                      <w:kern w:val="0"/>
                      <w:szCs w:val="21"/>
                      <w:lang w:val="en-US" w:eastAsia="zh-CN"/>
                    </w:rPr>
                    <w:t>、疏浚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78" w:hRule="atLeast"/>
              </w:trPr>
              <w:tc>
                <w:tcPr>
                  <w:tcW w:w="991" w:type="pct"/>
                  <w:shd w:val="clear" w:color="auto" w:fill="auto"/>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3</w:t>
                  </w:r>
                </w:p>
              </w:tc>
              <w:tc>
                <w:tcPr>
                  <w:tcW w:w="994" w:type="pct"/>
                  <w:shd w:val="clear" w:color="000000" w:fill="FFFFFF"/>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水泥</w:t>
                  </w:r>
                </w:p>
              </w:tc>
              <w:tc>
                <w:tcPr>
                  <w:tcW w:w="994" w:type="pct"/>
                  <w:noWrap w:val="0"/>
                  <w:vAlign w:val="center"/>
                </w:tcPr>
                <w:p>
                  <w:pPr>
                    <w:widowControl/>
                    <w:jc w:val="center"/>
                    <w:rPr>
                      <w:rFonts w:hint="eastAsia" w:ascii="Times New Roman" w:hAnsi="Times New Roman" w:eastAsia="宋体"/>
                      <w:kern w:val="0"/>
                      <w:szCs w:val="21"/>
                      <w:lang w:val="en-US" w:eastAsia="zh-CN"/>
                    </w:rPr>
                  </w:pPr>
                  <w:r>
                    <w:rPr>
                      <w:rFonts w:hint="eastAsia" w:ascii="Times New Roman" w:hAnsi="Times New Roman"/>
                      <w:kern w:val="0"/>
                      <w:szCs w:val="21"/>
                      <w:lang w:val="en-US" w:eastAsia="zh-CN"/>
                    </w:rPr>
                    <w:t>t</w:t>
                  </w:r>
                </w:p>
              </w:tc>
              <w:tc>
                <w:tcPr>
                  <w:tcW w:w="1026" w:type="pct"/>
                  <w:noWrap w:val="0"/>
                  <w:vAlign w:val="center"/>
                </w:tcPr>
                <w:p>
                  <w:pPr>
                    <w:widowControl/>
                    <w:jc w:val="center"/>
                    <w:rPr>
                      <w:rFonts w:hint="default" w:ascii="Times New Roman" w:hAnsi="Times New Roman" w:eastAsia="宋体"/>
                      <w:kern w:val="0"/>
                      <w:szCs w:val="21"/>
                      <w:lang w:val="en-US" w:eastAsia="zh-CN"/>
                    </w:rPr>
                  </w:pPr>
                  <w:r>
                    <w:rPr>
                      <w:rFonts w:hint="eastAsia"/>
                      <w:kern w:val="0"/>
                      <w:szCs w:val="21"/>
                      <w:lang w:val="en-US" w:eastAsia="zh-CN"/>
                    </w:rPr>
                    <w:t>0.39</w:t>
                  </w:r>
                </w:p>
              </w:tc>
              <w:tc>
                <w:tcPr>
                  <w:tcW w:w="992" w:type="pct"/>
                  <w:noWrap w:val="0"/>
                  <w:vAlign w:val="center"/>
                </w:tcPr>
                <w:p>
                  <w:pPr>
                    <w:widowControl/>
                    <w:jc w:val="center"/>
                    <w:rPr>
                      <w:rFonts w:hint="eastAsia" w:ascii="Times New Roman" w:hAnsi="Times New Roman" w:eastAsia="宋体"/>
                      <w:kern w:val="0"/>
                      <w:szCs w:val="21"/>
                      <w:lang w:val="en-US" w:eastAsia="zh-CN"/>
                    </w:rPr>
                  </w:pPr>
                  <w:r>
                    <w:rPr>
                      <w:rFonts w:hint="eastAsia" w:ascii="Times New Roman" w:hAnsi="Times New Roman"/>
                      <w:kern w:val="0"/>
                      <w:szCs w:val="21"/>
                      <w:lang w:val="en-US" w:eastAsia="zh-CN"/>
                    </w:rPr>
                    <w:t>外购</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78" w:hRule="atLeast"/>
              </w:trPr>
              <w:tc>
                <w:tcPr>
                  <w:tcW w:w="991" w:type="pct"/>
                  <w:shd w:val="clear" w:color="auto" w:fill="auto"/>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420" w:leftChars="0" w:right="0" w:rightChars="0"/>
                    <w:textAlignment w:val="auto"/>
                    <w:rPr>
                      <w:rFonts w:hint="default" w:asci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4</w:t>
                  </w:r>
                </w:p>
              </w:tc>
              <w:tc>
                <w:tcPr>
                  <w:tcW w:w="994" w:type="pct"/>
                  <w:shd w:val="clear" w:color="000000" w:fill="FFFFFF"/>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420" w:leftChars="0" w:right="0" w:rightChars="0"/>
                    <w:textAlignment w:val="auto"/>
                    <w:rPr>
                      <w:rFonts w:hint="eastAsia" w:asci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模板</w:t>
                  </w:r>
                </w:p>
              </w:tc>
              <w:tc>
                <w:tcPr>
                  <w:tcW w:w="994" w:type="pct"/>
                  <w:noWrap w:val="0"/>
                  <w:vAlign w:val="center"/>
                </w:tcPr>
                <w:p>
                  <w:pPr>
                    <w:widowControl/>
                    <w:jc w:val="center"/>
                    <w:rPr>
                      <w:rFonts w:hint="eastAsia" w:ascii="Times New Roman" w:hAnsi="Times New Roman"/>
                      <w:kern w:val="0"/>
                      <w:szCs w:val="21"/>
                      <w:lang w:val="en-US" w:eastAsia="zh-CN"/>
                    </w:rPr>
                  </w:pPr>
                  <w:r>
                    <w:rPr>
                      <w:rFonts w:ascii="Times New Roman" w:hAnsi="Times New Roman"/>
                      <w:kern w:val="0"/>
                      <w:szCs w:val="21"/>
                    </w:rPr>
                    <w:t>m</w:t>
                  </w:r>
                  <w:r>
                    <w:rPr>
                      <w:rFonts w:ascii="Times New Roman" w:hAnsi="Times New Roman"/>
                      <w:kern w:val="0"/>
                      <w:szCs w:val="21"/>
                      <w:vertAlign w:val="superscript"/>
                    </w:rPr>
                    <w:t>2</w:t>
                  </w:r>
                </w:p>
              </w:tc>
              <w:tc>
                <w:tcPr>
                  <w:tcW w:w="1026" w:type="pct"/>
                  <w:noWrap w:val="0"/>
                  <w:vAlign w:val="center"/>
                </w:tcPr>
                <w:p>
                  <w:pPr>
                    <w:widowControl/>
                    <w:jc w:val="center"/>
                    <w:rPr>
                      <w:rFonts w:hint="eastAsia" w:ascii="Times New Roman" w:hAnsi="Times New Roman"/>
                      <w:kern w:val="0"/>
                      <w:szCs w:val="21"/>
                      <w:lang w:val="en-US" w:eastAsia="zh-CN"/>
                    </w:rPr>
                  </w:pPr>
                  <w:r>
                    <w:rPr>
                      <w:rFonts w:ascii="Times New Roman" w:hAnsi="Times New Roman"/>
                      <w:kern w:val="0"/>
                      <w:szCs w:val="21"/>
                    </w:rPr>
                    <w:t>34665</w:t>
                  </w:r>
                </w:p>
              </w:tc>
              <w:tc>
                <w:tcPr>
                  <w:tcW w:w="992" w:type="pct"/>
                  <w:noWrap w:val="0"/>
                  <w:vAlign w:val="center"/>
                </w:tcPr>
                <w:p>
                  <w:pPr>
                    <w:widowControl/>
                    <w:jc w:val="center"/>
                    <w:rPr>
                      <w:rFonts w:hint="eastAsia" w:ascii="Times New Roman" w:hAnsi="Times New Roman"/>
                      <w:kern w:val="0"/>
                      <w:szCs w:val="21"/>
                      <w:lang w:val="en-US" w:eastAsia="zh-CN"/>
                    </w:rPr>
                  </w:pPr>
                  <w:r>
                    <w:rPr>
                      <w:rFonts w:hint="eastAsia" w:ascii="Times New Roman" w:hAnsi="Times New Roman"/>
                      <w:kern w:val="0"/>
                      <w:szCs w:val="21"/>
                      <w:lang w:val="en-US" w:eastAsia="zh-CN"/>
                    </w:rPr>
                    <w:t>外购</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78" w:hRule="atLeast"/>
              </w:trPr>
              <w:tc>
                <w:tcPr>
                  <w:tcW w:w="991" w:type="pct"/>
                  <w:shd w:val="clear" w:color="auto" w:fill="auto"/>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420" w:leftChars="0" w:right="0" w:rightChars="0"/>
                    <w:textAlignment w:val="auto"/>
                    <w:rPr>
                      <w:rFonts w:hint="default" w:asci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5</w:t>
                  </w:r>
                </w:p>
              </w:tc>
              <w:tc>
                <w:tcPr>
                  <w:tcW w:w="994" w:type="pct"/>
                  <w:shd w:val="clear" w:color="000000" w:fill="FFFFFF"/>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420" w:leftChars="0" w:right="0" w:rightChars="0"/>
                    <w:textAlignment w:val="auto"/>
                    <w:rPr>
                      <w:rFonts w:hint="eastAsia" w:asci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钢筋</w:t>
                  </w:r>
                </w:p>
              </w:tc>
              <w:tc>
                <w:tcPr>
                  <w:tcW w:w="994" w:type="pct"/>
                  <w:noWrap w:val="0"/>
                  <w:vAlign w:val="center"/>
                </w:tcPr>
                <w:p>
                  <w:pPr>
                    <w:widowControl/>
                    <w:jc w:val="center"/>
                    <w:rPr>
                      <w:rFonts w:hint="eastAsia" w:ascii="Times New Roman" w:hAnsi="Times New Roman"/>
                      <w:kern w:val="0"/>
                      <w:szCs w:val="21"/>
                      <w:lang w:val="en-US" w:eastAsia="zh-CN"/>
                    </w:rPr>
                  </w:pPr>
                  <w:r>
                    <w:rPr>
                      <w:rFonts w:ascii="Times New Roman" w:hAnsi="Times New Roman"/>
                      <w:kern w:val="0"/>
                      <w:szCs w:val="21"/>
                    </w:rPr>
                    <w:t>t</w:t>
                  </w:r>
                </w:p>
              </w:tc>
              <w:tc>
                <w:tcPr>
                  <w:tcW w:w="1026" w:type="pct"/>
                  <w:noWrap w:val="0"/>
                  <w:vAlign w:val="center"/>
                </w:tcPr>
                <w:p>
                  <w:pPr>
                    <w:widowControl/>
                    <w:jc w:val="center"/>
                    <w:rPr>
                      <w:rFonts w:hint="default" w:ascii="Times New Roman" w:hAnsi="Times New Roman" w:eastAsia="宋体"/>
                      <w:kern w:val="0"/>
                      <w:szCs w:val="21"/>
                      <w:lang w:val="en-US" w:eastAsia="zh-CN"/>
                    </w:rPr>
                  </w:pPr>
                  <w:r>
                    <w:rPr>
                      <w:rFonts w:hint="eastAsia"/>
                      <w:kern w:val="0"/>
                      <w:szCs w:val="21"/>
                      <w:lang w:val="en-US" w:eastAsia="zh-CN"/>
                    </w:rPr>
                    <w:t>1</w:t>
                  </w:r>
                </w:p>
              </w:tc>
              <w:tc>
                <w:tcPr>
                  <w:tcW w:w="992" w:type="pct"/>
                  <w:noWrap w:val="0"/>
                  <w:vAlign w:val="center"/>
                </w:tcPr>
                <w:p>
                  <w:pPr>
                    <w:widowControl/>
                    <w:jc w:val="center"/>
                    <w:rPr>
                      <w:rFonts w:hint="eastAsia" w:ascii="Times New Roman" w:hAnsi="Times New Roman"/>
                      <w:kern w:val="0"/>
                      <w:szCs w:val="21"/>
                      <w:lang w:val="en-US" w:eastAsia="zh-CN"/>
                    </w:rPr>
                  </w:pPr>
                  <w:r>
                    <w:rPr>
                      <w:rFonts w:hint="eastAsia" w:ascii="Times New Roman" w:hAnsi="Times New Roman"/>
                      <w:kern w:val="0"/>
                      <w:szCs w:val="21"/>
                      <w:lang w:val="en-US" w:eastAsia="zh-CN"/>
                    </w:rPr>
                    <w:t>外购</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78" w:hRule="atLeast"/>
              </w:trPr>
              <w:tc>
                <w:tcPr>
                  <w:tcW w:w="991" w:type="pct"/>
                  <w:shd w:val="clear" w:color="auto" w:fill="auto"/>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6</w:t>
                  </w:r>
                </w:p>
              </w:tc>
              <w:tc>
                <w:tcPr>
                  <w:tcW w:w="994" w:type="pct"/>
                  <w:shd w:val="clear" w:color="000000" w:fill="FFFFFF"/>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汽油</w:t>
                  </w:r>
                </w:p>
              </w:tc>
              <w:tc>
                <w:tcPr>
                  <w:tcW w:w="994" w:type="pct"/>
                  <w:noWrap w:val="0"/>
                  <w:vAlign w:val="center"/>
                </w:tcPr>
                <w:p>
                  <w:pPr>
                    <w:widowControl/>
                    <w:jc w:val="center"/>
                    <w:rPr>
                      <w:rFonts w:hint="default" w:ascii="Times New Roman" w:hAnsi="Times New Roman" w:eastAsia="宋体"/>
                      <w:kern w:val="0"/>
                      <w:szCs w:val="21"/>
                      <w:lang w:val="en-US" w:eastAsia="zh-CN"/>
                    </w:rPr>
                  </w:pPr>
                  <w:r>
                    <w:rPr>
                      <w:rFonts w:hint="eastAsia" w:ascii="Times New Roman" w:hAnsi="Times New Roman"/>
                      <w:kern w:val="0"/>
                      <w:szCs w:val="21"/>
                      <w:lang w:val="en-US" w:eastAsia="zh-CN"/>
                    </w:rPr>
                    <w:t>t</w:t>
                  </w:r>
                </w:p>
              </w:tc>
              <w:tc>
                <w:tcPr>
                  <w:tcW w:w="1026" w:type="pct"/>
                  <w:noWrap w:val="0"/>
                  <w:vAlign w:val="center"/>
                </w:tcPr>
                <w:p>
                  <w:pPr>
                    <w:widowControl/>
                    <w:jc w:val="center"/>
                    <w:rPr>
                      <w:rFonts w:hint="default" w:ascii="Times New Roman" w:hAnsi="Times New Roman" w:eastAsia="宋体"/>
                      <w:kern w:val="0"/>
                      <w:szCs w:val="21"/>
                      <w:lang w:val="en-US" w:eastAsia="zh-CN"/>
                    </w:rPr>
                  </w:pPr>
                  <w:r>
                    <w:rPr>
                      <w:rFonts w:hint="eastAsia" w:ascii="Times New Roman" w:hAnsi="Times New Roman"/>
                      <w:kern w:val="0"/>
                      <w:szCs w:val="21"/>
                      <w:lang w:val="en-US" w:eastAsia="zh-CN"/>
                    </w:rPr>
                    <w:t>23</w:t>
                  </w:r>
                </w:p>
              </w:tc>
              <w:tc>
                <w:tcPr>
                  <w:tcW w:w="992" w:type="pct"/>
                  <w:noWrap w:val="0"/>
                  <w:vAlign w:val="center"/>
                </w:tcPr>
                <w:p>
                  <w:pPr>
                    <w:widowControl/>
                    <w:jc w:val="center"/>
                    <w:rPr>
                      <w:rFonts w:hint="eastAsia" w:ascii="Times New Roman" w:hAnsi="Times New Roman" w:eastAsia="宋体"/>
                      <w:kern w:val="0"/>
                      <w:szCs w:val="21"/>
                      <w:lang w:val="en-US" w:eastAsia="zh-CN"/>
                    </w:rPr>
                  </w:pPr>
                  <w:r>
                    <w:rPr>
                      <w:rFonts w:hint="eastAsia" w:ascii="Times New Roman" w:hAnsi="Times New Roman"/>
                      <w:kern w:val="0"/>
                      <w:szCs w:val="21"/>
                      <w:lang w:val="en-US" w:eastAsia="zh-CN"/>
                    </w:rPr>
                    <w:t>外购</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83" w:hRule="atLeast"/>
              </w:trPr>
              <w:tc>
                <w:tcPr>
                  <w:tcW w:w="991" w:type="pct"/>
                  <w:shd w:val="clear" w:color="auto" w:fill="auto"/>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eastAsia="宋体" w:cs="Times New Roman"/>
                      <w:color w:val="auto"/>
                      <w:sz w:val="21"/>
                      <w:szCs w:val="21"/>
                      <w:highlight w:val="none"/>
                      <w:lang w:val="en-US" w:eastAsia="zh-CN"/>
                    </w:rPr>
                    <w:t>7</w:t>
                  </w:r>
                </w:p>
              </w:tc>
              <w:tc>
                <w:tcPr>
                  <w:tcW w:w="994" w:type="pct"/>
                  <w:shd w:val="clear" w:color="000000" w:fill="FFFFFF"/>
                  <w:noWrap w:val="0"/>
                  <w:vAlign w:val="center"/>
                </w:tcPr>
                <w:p>
                  <w:pPr>
                    <w:pStyle w:val="94"/>
                    <w:keepNext w:val="0"/>
                    <w:keepLines w:val="0"/>
                    <w:pageBreakBefore w:val="0"/>
                    <w:widowControl w:val="0"/>
                    <w:suppressLineNumbers w:val="0"/>
                    <w:kinsoku/>
                    <w:wordWrap/>
                    <w:overflowPunct/>
                    <w:topLinePunct w:val="0"/>
                    <w:autoSpaceDE/>
                    <w:autoSpaceDN/>
                    <w:bidi w:val="0"/>
                    <w:adjustRightInd/>
                    <w:snapToGrid/>
                    <w:spacing w:beforeLines="0" w:beforeAutospacing="0" w:afterLines="0" w:afterAutospacing="0" w:line="288" w:lineRule="auto"/>
                    <w:ind w:left="0" w:right="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柴油</w:t>
                  </w:r>
                </w:p>
              </w:tc>
              <w:tc>
                <w:tcPr>
                  <w:tcW w:w="994" w:type="pct"/>
                  <w:noWrap w:val="0"/>
                  <w:vAlign w:val="center"/>
                </w:tcPr>
                <w:p>
                  <w:pPr>
                    <w:widowControl/>
                    <w:jc w:val="center"/>
                    <w:rPr>
                      <w:rFonts w:ascii="Times New Roman" w:hAnsi="Times New Roman"/>
                      <w:kern w:val="0"/>
                      <w:szCs w:val="21"/>
                    </w:rPr>
                  </w:pPr>
                  <w:r>
                    <w:rPr>
                      <w:rFonts w:hint="eastAsia" w:ascii="Times New Roman" w:hAnsi="Times New Roman"/>
                      <w:kern w:val="0"/>
                      <w:szCs w:val="21"/>
                      <w:lang w:val="en-US" w:eastAsia="zh-CN"/>
                    </w:rPr>
                    <w:t>t</w:t>
                  </w:r>
                </w:p>
              </w:tc>
              <w:tc>
                <w:tcPr>
                  <w:tcW w:w="1026" w:type="pct"/>
                  <w:noWrap w:val="0"/>
                  <w:vAlign w:val="center"/>
                </w:tcPr>
                <w:p>
                  <w:pPr>
                    <w:widowControl/>
                    <w:jc w:val="center"/>
                    <w:rPr>
                      <w:rFonts w:hint="default" w:ascii="Times New Roman" w:hAnsi="Times New Roman" w:eastAsia="宋体"/>
                      <w:kern w:val="0"/>
                      <w:szCs w:val="21"/>
                      <w:lang w:val="en-US" w:eastAsia="zh-CN"/>
                    </w:rPr>
                  </w:pPr>
                  <w:r>
                    <w:rPr>
                      <w:rFonts w:hint="eastAsia" w:ascii="Times New Roman" w:hAnsi="Times New Roman"/>
                      <w:kern w:val="0"/>
                      <w:szCs w:val="21"/>
                      <w:lang w:val="en-US" w:eastAsia="zh-CN"/>
                    </w:rPr>
                    <w:t>135.</w:t>
                  </w:r>
                  <w:r>
                    <w:rPr>
                      <w:rFonts w:hint="eastAsia"/>
                      <w:kern w:val="0"/>
                      <w:szCs w:val="21"/>
                      <w:lang w:val="en-US" w:eastAsia="zh-CN"/>
                    </w:rPr>
                    <w:t>7</w:t>
                  </w:r>
                </w:p>
              </w:tc>
              <w:tc>
                <w:tcPr>
                  <w:tcW w:w="992" w:type="pct"/>
                  <w:noWrap w:val="0"/>
                  <w:vAlign w:val="center"/>
                </w:tcPr>
                <w:p>
                  <w:pPr>
                    <w:widowControl/>
                    <w:jc w:val="center"/>
                    <w:rPr>
                      <w:rFonts w:ascii="Times New Roman" w:hAnsi="Times New Roman"/>
                      <w:kern w:val="0"/>
                      <w:szCs w:val="21"/>
                    </w:rPr>
                  </w:pPr>
                  <w:r>
                    <w:rPr>
                      <w:rFonts w:ascii="Times New Roman" w:hAnsi="Times New Roman"/>
                      <w:kern w:val="0"/>
                      <w:szCs w:val="21"/>
                    </w:rPr>
                    <w:t>　</w:t>
                  </w:r>
                </w:p>
              </w:tc>
            </w:tr>
          </w:tbl>
          <w:p>
            <w:pPr>
              <w:widowControl/>
              <w:adjustRightInd w:val="0"/>
              <w:snapToGrid w:val="0"/>
              <w:spacing w:line="360" w:lineRule="auto"/>
              <w:ind w:firstLine="482" w:firstLineChars="200"/>
              <w:jc w:val="left"/>
              <w:rPr>
                <w:rFonts w:hint="default" w:ascii="Times New Roman" w:hAnsi="Times New Roman" w:eastAsia="宋体" w:cs="Times New Roman"/>
                <w:b/>
                <w:bCs w:val="0"/>
                <w:color w:val="auto"/>
                <w:sz w:val="24"/>
                <w:szCs w:val="24"/>
              </w:rPr>
            </w:pPr>
            <w:r>
              <w:rPr>
                <w:rFonts w:hint="eastAsia" w:eastAsia="宋体" w:cs="Times New Roman"/>
                <w:b/>
                <w:bCs w:val="0"/>
                <w:color w:val="auto"/>
                <w:kern w:val="0"/>
                <w:sz w:val="24"/>
                <w:szCs w:val="24"/>
                <w:lang w:val="en-US" w:eastAsia="zh-CN"/>
              </w:rPr>
              <w:t xml:space="preserve">4 </w:t>
            </w:r>
            <w:r>
              <w:rPr>
                <w:rFonts w:hint="default" w:ascii="Times New Roman" w:hAnsi="Times New Roman" w:eastAsia="宋体" w:cs="Times New Roman"/>
                <w:b/>
                <w:bCs w:val="0"/>
                <w:iCs/>
                <w:color w:val="auto"/>
                <w:sz w:val="24"/>
                <w:szCs w:val="24"/>
              </w:rPr>
              <w:t>工程建设征地范围及实物指标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项目占地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sz w:val="24"/>
                <w:szCs w:val="24"/>
              </w:rPr>
              <w:t>工程占地主要为永久占地和临时占地，</w:t>
            </w:r>
            <w:r>
              <w:rPr>
                <w:rFonts w:hint="default" w:ascii="Times New Roman" w:hAnsi="Times New Roman" w:cs="Times New Roman"/>
                <w:sz w:val="24"/>
              </w:rPr>
              <w:t>本工程建设区总占地面积为97.81亩，其中永久占地82.71亩，包括耕地39.04亩，林地19.41亩，果园1.51亩（柑橘），河滩地22.75亩；施工临时道路占地9.40亩，其中耕地3.65亩，林地0.28亩，河滩地5.47亩；临时施工区占地0.3亩，主要为河滩地；渣场区占地5.4亩，包括耕地4.92亩，果园0.48亩</w:t>
            </w:r>
            <w:r>
              <w:rPr>
                <w:rFonts w:hint="default" w:ascii="Times New Roman" w:hAnsi="Times New Roman" w:cs="Times New Roman"/>
                <w:sz w:val="24"/>
                <w:szCs w:val="24"/>
                <w:lang w:eastAsia="zh-CN"/>
              </w:rPr>
              <w:t>，</w:t>
            </w:r>
            <w:r>
              <w:rPr>
                <w:rFonts w:hint="default" w:ascii="Times New Roman" w:hAnsi="Times New Roman" w:eastAsia="宋体" w:cs="Times New Roman"/>
                <w:color w:val="auto"/>
                <w:kern w:val="0"/>
                <w:sz w:val="24"/>
                <w:szCs w:val="24"/>
                <w:lang w:val="en-US" w:eastAsia="zh-CN"/>
              </w:rPr>
              <w:t>工</w:t>
            </w:r>
            <w:r>
              <w:rPr>
                <w:rFonts w:hint="default" w:ascii="Times New Roman" w:hAnsi="Times New Roman" w:eastAsia="宋体" w:cs="Times New Roman"/>
                <w:color w:val="auto"/>
                <w:kern w:val="0"/>
                <w:sz w:val="24"/>
                <w:szCs w:val="24"/>
              </w:rPr>
              <w:t>程占地主要实物指标</w:t>
            </w:r>
            <w:r>
              <w:rPr>
                <w:rFonts w:hint="default" w:ascii="Times New Roman" w:hAnsi="Times New Roman" w:eastAsia="宋体" w:cs="Times New Roman"/>
                <w:color w:val="auto"/>
                <w:kern w:val="0"/>
                <w:sz w:val="24"/>
                <w:szCs w:val="24"/>
                <w:highlight w:val="none"/>
              </w:rPr>
              <w:t>调查成果见</w:t>
            </w:r>
            <w:r>
              <w:rPr>
                <w:rFonts w:hint="default" w:ascii="Times New Roman" w:hAnsi="Times New Roman" w:eastAsia="宋体" w:cs="Times New Roman"/>
                <w:color w:val="auto"/>
                <w:kern w:val="0"/>
                <w:sz w:val="24"/>
                <w:szCs w:val="24"/>
                <w:highlight w:val="none"/>
                <w:lang w:val="en-US" w:eastAsia="zh-CN"/>
              </w:rPr>
              <w:t>下</w:t>
            </w:r>
            <w:r>
              <w:rPr>
                <w:rFonts w:hint="default" w:ascii="Times New Roman" w:hAnsi="Times New Roman" w:eastAsia="宋体" w:cs="Times New Roman"/>
                <w:color w:val="auto"/>
                <w:kern w:val="0"/>
                <w:sz w:val="24"/>
                <w:szCs w:val="24"/>
                <w:highlight w:val="none"/>
              </w:rPr>
              <w:t>表</w:t>
            </w:r>
            <w:r>
              <w:rPr>
                <w:rFonts w:hint="default" w:ascii="Times New Roman" w:hAnsi="Times New Roman" w:eastAsia="宋体" w:cs="Times New Roman"/>
                <w:color w:val="auto"/>
                <w:kern w:val="0"/>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auto"/>
                <w:spacing w:val="-6"/>
                <w:highlight w:val="none"/>
              </w:rPr>
            </w:pPr>
            <w:r>
              <w:rPr>
                <w:rFonts w:hint="default" w:ascii="Times New Roman" w:hAnsi="Times New Roman" w:eastAsia="宋体" w:cs="Times New Roman"/>
                <w:b/>
                <w:bCs/>
                <w:color w:val="auto"/>
                <w:spacing w:val="-6"/>
                <w:highlight w:val="none"/>
              </w:rPr>
              <w:t>表</w:t>
            </w:r>
            <w:r>
              <w:rPr>
                <w:rFonts w:hint="default" w:ascii="Times New Roman" w:hAnsi="Times New Roman" w:eastAsia="宋体" w:cs="Times New Roman"/>
                <w:b/>
                <w:bCs/>
                <w:color w:val="auto"/>
                <w:spacing w:val="-6"/>
                <w:highlight w:val="none"/>
                <w:lang w:val="en-US" w:eastAsia="zh-CN"/>
              </w:rPr>
              <w:t>2</w:t>
            </w:r>
            <w:r>
              <w:rPr>
                <w:rFonts w:hint="default" w:ascii="Times New Roman" w:hAnsi="Times New Roman" w:eastAsia="宋体" w:cs="Times New Roman"/>
                <w:b/>
                <w:bCs/>
                <w:color w:val="auto"/>
                <w:spacing w:val="-6"/>
                <w:highlight w:val="none"/>
              </w:rPr>
              <w:t>-</w:t>
            </w:r>
            <w:r>
              <w:rPr>
                <w:rFonts w:hint="default" w:ascii="Times New Roman" w:hAnsi="Times New Roman" w:eastAsia="宋体" w:cs="Times New Roman"/>
                <w:b/>
                <w:bCs/>
                <w:color w:val="auto"/>
                <w:spacing w:val="-6"/>
                <w:highlight w:val="none"/>
                <w:lang w:val="en-US" w:eastAsia="zh-CN"/>
              </w:rPr>
              <w:t>5</w:t>
            </w:r>
            <w:r>
              <w:rPr>
                <w:rFonts w:hint="default" w:ascii="Times New Roman" w:hAnsi="Times New Roman" w:eastAsia="宋体" w:cs="Times New Roman"/>
                <w:b/>
                <w:bCs/>
                <w:color w:val="auto"/>
                <w:spacing w:val="-6"/>
                <w:highlight w:val="none"/>
              </w:rPr>
              <w:t xml:space="preserve">  </w:t>
            </w:r>
            <w:r>
              <w:rPr>
                <w:rFonts w:hint="default" w:ascii="Times New Roman" w:hAnsi="Times New Roman" w:eastAsia="宋体" w:cs="Times New Roman"/>
                <w:b/>
                <w:bCs/>
                <w:color w:val="auto"/>
                <w:spacing w:val="-6"/>
                <w:highlight w:val="none"/>
                <w:lang w:val="en-US" w:eastAsia="zh-CN"/>
              </w:rPr>
              <w:t>项目工程占地面积</w:t>
            </w:r>
            <w:r>
              <w:rPr>
                <w:rFonts w:hint="eastAsia" w:ascii="Times New Roman" w:hAnsi="Times New Roman" w:eastAsia="宋体" w:cs="Times New Roman"/>
                <w:b/>
                <w:bCs/>
                <w:color w:val="auto"/>
                <w:spacing w:val="-6"/>
                <w:highlight w:val="none"/>
                <w:lang w:val="en-US" w:eastAsia="zh-CN"/>
              </w:rPr>
              <w:t>示意</w:t>
            </w:r>
            <w:r>
              <w:rPr>
                <w:rFonts w:hint="default" w:ascii="Times New Roman" w:hAnsi="Times New Roman" w:eastAsia="宋体" w:cs="Times New Roman"/>
                <w:b/>
                <w:bCs/>
                <w:color w:val="auto"/>
                <w:spacing w:val="-6"/>
                <w:highlight w:val="none"/>
                <w:lang w:val="en-US" w:eastAsia="zh-CN"/>
              </w:rPr>
              <w:t>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991"/>
              <w:gridCol w:w="1311"/>
              <w:gridCol w:w="1021"/>
              <w:gridCol w:w="1022"/>
              <w:gridCol w:w="1022"/>
              <w:gridCol w:w="938"/>
              <w:gridCol w:w="2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394" w:type="pct"/>
                  <w:shd w:val="clear" w:color="auto" w:fill="auto"/>
                  <w:noWrap w:val="0"/>
                  <w:vAlign w:val="center"/>
                </w:tcPr>
                <w:p>
                  <w:pPr>
                    <w:widowControl/>
                    <w:jc w:val="center"/>
                    <w:rPr>
                      <w:rFonts w:ascii="Times New Roman" w:hAnsi="Times New Roman" w:eastAsia="华文中宋"/>
                      <w:b/>
                      <w:bCs/>
                      <w:kern w:val="0"/>
                      <w:szCs w:val="21"/>
                    </w:rPr>
                  </w:pPr>
                  <w:r>
                    <w:rPr>
                      <w:rFonts w:ascii="Times New Roman" w:hAnsi="Times New Roman" w:eastAsia="华文中宋"/>
                      <w:b/>
                      <w:bCs/>
                      <w:kern w:val="0"/>
                      <w:szCs w:val="21"/>
                    </w:rPr>
                    <w:t>占地类型</w:t>
                  </w:r>
                </w:p>
              </w:tc>
              <w:tc>
                <w:tcPr>
                  <w:tcW w:w="554" w:type="pct"/>
                  <w:shd w:val="clear" w:color="auto" w:fill="auto"/>
                  <w:noWrap w:val="0"/>
                  <w:vAlign w:val="center"/>
                </w:tcPr>
                <w:p>
                  <w:pPr>
                    <w:widowControl/>
                    <w:jc w:val="center"/>
                    <w:rPr>
                      <w:rFonts w:ascii="Times New Roman" w:hAnsi="Times New Roman" w:eastAsia="华文中宋"/>
                      <w:b/>
                      <w:bCs/>
                      <w:kern w:val="0"/>
                      <w:szCs w:val="21"/>
                    </w:rPr>
                  </w:pPr>
                  <w:r>
                    <w:rPr>
                      <w:rFonts w:ascii="Times New Roman" w:hAnsi="Times New Roman" w:eastAsia="华文中宋"/>
                      <w:b/>
                      <w:bCs/>
                      <w:kern w:val="0"/>
                      <w:szCs w:val="21"/>
                    </w:rPr>
                    <w:t>部位用途</w:t>
                  </w:r>
                </w:p>
              </w:tc>
              <w:tc>
                <w:tcPr>
                  <w:tcW w:w="731" w:type="pct"/>
                  <w:shd w:val="clear" w:color="auto" w:fill="auto"/>
                  <w:noWrap w:val="0"/>
                  <w:vAlign w:val="center"/>
                </w:tcPr>
                <w:p>
                  <w:pPr>
                    <w:widowControl/>
                    <w:jc w:val="center"/>
                    <w:rPr>
                      <w:rFonts w:ascii="Times New Roman" w:hAnsi="Times New Roman" w:eastAsia="华文中宋"/>
                      <w:b/>
                      <w:bCs/>
                      <w:kern w:val="0"/>
                      <w:szCs w:val="21"/>
                    </w:rPr>
                  </w:pPr>
                  <w:r>
                    <w:rPr>
                      <w:rFonts w:ascii="Times New Roman" w:hAnsi="Times New Roman" w:eastAsia="华文中宋"/>
                      <w:b/>
                      <w:bCs/>
                      <w:kern w:val="0"/>
                      <w:szCs w:val="21"/>
                    </w:rPr>
                    <w:t>总占地面积（亩）</w:t>
                  </w:r>
                </w:p>
              </w:tc>
              <w:tc>
                <w:tcPr>
                  <w:tcW w:w="571" w:type="pct"/>
                  <w:shd w:val="clear" w:color="auto" w:fill="auto"/>
                  <w:noWrap w:val="0"/>
                  <w:vAlign w:val="center"/>
                </w:tcPr>
                <w:p>
                  <w:pPr>
                    <w:widowControl/>
                    <w:jc w:val="center"/>
                    <w:rPr>
                      <w:rFonts w:ascii="Times New Roman" w:hAnsi="Times New Roman" w:eastAsia="华文中宋"/>
                      <w:b/>
                      <w:bCs/>
                      <w:kern w:val="0"/>
                      <w:szCs w:val="21"/>
                    </w:rPr>
                  </w:pPr>
                  <w:r>
                    <w:rPr>
                      <w:rFonts w:ascii="Times New Roman" w:hAnsi="Times New Roman" w:eastAsia="华文中宋"/>
                      <w:b/>
                      <w:bCs/>
                      <w:kern w:val="0"/>
                      <w:szCs w:val="21"/>
                    </w:rPr>
                    <w:t>耕地（亩）</w:t>
                  </w:r>
                </w:p>
              </w:tc>
              <w:tc>
                <w:tcPr>
                  <w:tcW w:w="571" w:type="pct"/>
                  <w:shd w:val="clear" w:color="auto" w:fill="auto"/>
                  <w:noWrap w:val="0"/>
                  <w:vAlign w:val="center"/>
                </w:tcPr>
                <w:p>
                  <w:pPr>
                    <w:widowControl/>
                    <w:jc w:val="center"/>
                    <w:rPr>
                      <w:rFonts w:ascii="Times New Roman" w:hAnsi="Times New Roman" w:eastAsia="华文中宋"/>
                      <w:b/>
                      <w:bCs/>
                      <w:kern w:val="0"/>
                      <w:szCs w:val="21"/>
                    </w:rPr>
                  </w:pPr>
                  <w:r>
                    <w:rPr>
                      <w:rFonts w:ascii="Times New Roman" w:hAnsi="Times New Roman" w:eastAsia="华文中宋"/>
                      <w:b/>
                      <w:bCs/>
                      <w:kern w:val="0"/>
                      <w:szCs w:val="21"/>
                    </w:rPr>
                    <w:t>林地（亩）</w:t>
                  </w:r>
                </w:p>
              </w:tc>
              <w:tc>
                <w:tcPr>
                  <w:tcW w:w="571" w:type="pct"/>
                  <w:shd w:val="clear" w:color="auto" w:fill="auto"/>
                  <w:noWrap w:val="0"/>
                  <w:vAlign w:val="center"/>
                </w:tcPr>
                <w:p>
                  <w:pPr>
                    <w:widowControl/>
                    <w:jc w:val="center"/>
                    <w:rPr>
                      <w:rFonts w:ascii="Times New Roman" w:hAnsi="Times New Roman" w:eastAsia="华文中宋"/>
                      <w:b/>
                      <w:bCs/>
                      <w:kern w:val="0"/>
                      <w:szCs w:val="21"/>
                    </w:rPr>
                  </w:pPr>
                  <w:r>
                    <w:rPr>
                      <w:rFonts w:ascii="Times New Roman" w:hAnsi="Times New Roman" w:eastAsia="华文中宋"/>
                      <w:b/>
                      <w:bCs/>
                      <w:kern w:val="0"/>
                      <w:szCs w:val="21"/>
                    </w:rPr>
                    <w:t>果园（亩）</w:t>
                  </w:r>
                </w:p>
              </w:tc>
              <w:tc>
                <w:tcPr>
                  <w:tcW w:w="477" w:type="pct"/>
                  <w:shd w:val="clear" w:color="auto" w:fill="auto"/>
                  <w:noWrap w:val="0"/>
                  <w:vAlign w:val="center"/>
                </w:tcPr>
                <w:p>
                  <w:pPr>
                    <w:widowControl/>
                    <w:jc w:val="center"/>
                    <w:rPr>
                      <w:rFonts w:ascii="Times New Roman" w:hAnsi="Times New Roman" w:eastAsia="华文中宋"/>
                      <w:b/>
                      <w:bCs/>
                      <w:kern w:val="0"/>
                      <w:szCs w:val="21"/>
                    </w:rPr>
                  </w:pPr>
                  <w:r>
                    <w:rPr>
                      <w:rFonts w:ascii="Times New Roman" w:hAnsi="Times New Roman" w:eastAsia="华文中宋"/>
                      <w:b/>
                      <w:bCs/>
                      <w:kern w:val="0"/>
                      <w:szCs w:val="21"/>
                    </w:rPr>
                    <w:t>河滩地（亩）</w:t>
                  </w:r>
                </w:p>
              </w:tc>
              <w:tc>
                <w:tcPr>
                  <w:tcW w:w="1131" w:type="pct"/>
                  <w:noWrap w:val="0"/>
                  <w:vAlign w:val="center"/>
                </w:tcPr>
                <w:p>
                  <w:pPr>
                    <w:widowControl/>
                    <w:jc w:val="center"/>
                    <w:rPr>
                      <w:rFonts w:ascii="Times New Roman" w:hAnsi="Times New Roman" w:eastAsia="华文中宋"/>
                      <w:b/>
                      <w:bCs/>
                      <w:kern w:val="0"/>
                      <w:szCs w:val="21"/>
                    </w:rPr>
                  </w:pPr>
                  <w:r>
                    <w:rPr>
                      <w:rFonts w:ascii="Times New Roman" w:hAnsi="Times New Roman" w:eastAsia="华文中宋"/>
                      <w:b/>
                      <w:bCs/>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394" w:type="pct"/>
                  <w:shd w:val="clear" w:color="auto" w:fill="auto"/>
                  <w:noWrap w:val="0"/>
                  <w:vAlign w:val="center"/>
                </w:tcPr>
                <w:p>
                  <w:pPr>
                    <w:widowControl/>
                    <w:jc w:val="center"/>
                    <w:rPr>
                      <w:rFonts w:ascii="Times New Roman" w:hAnsi="Times New Roman" w:eastAsia="华文中宋"/>
                      <w:kern w:val="0"/>
                      <w:szCs w:val="21"/>
                    </w:rPr>
                  </w:pPr>
                  <w:r>
                    <w:rPr>
                      <w:rFonts w:ascii="Times New Roman" w:hAnsi="Times New Roman" w:eastAsia="华文中宋"/>
                      <w:kern w:val="0"/>
                      <w:szCs w:val="21"/>
                    </w:rPr>
                    <w:t>永久占地</w:t>
                  </w:r>
                </w:p>
              </w:tc>
              <w:tc>
                <w:tcPr>
                  <w:tcW w:w="554" w:type="pct"/>
                  <w:shd w:val="clear" w:color="auto" w:fill="auto"/>
                  <w:noWrap w:val="0"/>
                  <w:vAlign w:val="center"/>
                </w:tcPr>
                <w:p>
                  <w:pPr>
                    <w:widowControl/>
                    <w:jc w:val="center"/>
                    <w:rPr>
                      <w:rFonts w:ascii="Times New Roman" w:hAnsi="Times New Roman" w:eastAsia="华文中宋"/>
                      <w:kern w:val="0"/>
                      <w:szCs w:val="21"/>
                    </w:rPr>
                  </w:pPr>
                  <w:r>
                    <w:rPr>
                      <w:rFonts w:ascii="Times New Roman" w:hAnsi="Times New Roman" w:eastAsia="华文中宋"/>
                      <w:kern w:val="0"/>
                      <w:szCs w:val="21"/>
                    </w:rPr>
                    <w:t>新建堤防及加固段</w:t>
                  </w:r>
                </w:p>
              </w:tc>
              <w:tc>
                <w:tcPr>
                  <w:tcW w:w="731" w:type="pct"/>
                  <w:shd w:val="clear" w:color="auto" w:fill="auto"/>
                  <w:noWrap w:val="0"/>
                  <w:vAlign w:val="center"/>
                </w:tcPr>
                <w:p>
                  <w:pPr>
                    <w:widowControl/>
                    <w:jc w:val="center"/>
                    <w:rPr>
                      <w:rFonts w:ascii="Times New Roman" w:hAnsi="Times New Roman" w:eastAsia="等线"/>
                      <w:kern w:val="0"/>
                      <w:szCs w:val="21"/>
                    </w:rPr>
                  </w:pPr>
                  <w:r>
                    <w:rPr>
                      <w:rFonts w:ascii="Times New Roman" w:hAnsi="Times New Roman" w:eastAsia="等线"/>
                      <w:szCs w:val="21"/>
                    </w:rPr>
                    <w:t>82.71</w:t>
                  </w:r>
                </w:p>
              </w:tc>
              <w:tc>
                <w:tcPr>
                  <w:tcW w:w="571" w:type="pct"/>
                  <w:shd w:val="clear" w:color="auto" w:fill="auto"/>
                  <w:noWrap w:val="0"/>
                  <w:vAlign w:val="center"/>
                </w:tcPr>
                <w:p>
                  <w:pPr>
                    <w:widowControl/>
                    <w:jc w:val="center"/>
                    <w:rPr>
                      <w:rFonts w:ascii="Times New Roman" w:hAnsi="Times New Roman" w:eastAsia="等线"/>
                      <w:kern w:val="0"/>
                      <w:szCs w:val="21"/>
                    </w:rPr>
                  </w:pPr>
                  <w:r>
                    <w:rPr>
                      <w:rFonts w:ascii="Times New Roman" w:hAnsi="Times New Roman" w:eastAsia="等线"/>
                      <w:szCs w:val="21"/>
                    </w:rPr>
                    <w:t>39.04</w:t>
                  </w:r>
                </w:p>
              </w:tc>
              <w:tc>
                <w:tcPr>
                  <w:tcW w:w="571" w:type="pct"/>
                  <w:shd w:val="clear" w:color="auto" w:fill="auto"/>
                  <w:noWrap w:val="0"/>
                  <w:vAlign w:val="center"/>
                </w:tcPr>
                <w:p>
                  <w:pPr>
                    <w:jc w:val="center"/>
                    <w:rPr>
                      <w:rFonts w:ascii="Times New Roman" w:hAnsi="Times New Roman" w:eastAsia="等线"/>
                      <w:szCs w:val="21"/>
                    </w:rPr>
                  </w:pPr>
                  <w:r>
                    <w:rPr>
                      <w:rFonts w:ascii="Times New Roman" w:hAnsi="Times New Roman" w:eastAsia="等线"/>
                      <w:szCs w:val="21"/>
                    </w:rPr>
                    <w:t>19.41</w:t>
                  </w:r>
                </w:p>
              </w:tc>
              <w:tc>
                <w:tcPr>
                  <w:tcW w:w="571" w:type="pct"/>
                  <w:shd w:val="clear" w:color="auto" w:fill="auto"/>
                  <w:noWrap w:val="0"/>
                  <w:vAlign w:val="center"/>
                </w:tcPr>
                <w:p>
                  <w:pPr>
                    <w:jc w:val="center"/>
                    <w:rPr>
                      <w:rFonts w:ascii="Times New Roman" w:hAnsi="Times New Roman" w:eastAsia="等线"/>
                      <w:szCs w:val="21"/>
                    </w:rPr>
                  </w:pPr>
                  <w:r>
                    <w:rPr>
                      <w:rFonts w:ascii="Times New Roman" w:hAnsi="Times New Roman" w:eastAsia="等线"/>
                      <w:szCs w:val="21"/>
                    </w:rPr>
                    <w:t>1.51</w:t>
                  </w:r>
                </w:p>
              </w:tc>
              <w:tc>
                <w:tcPr>
                  <w:tcW w:w="477" w:type="pct"/>
                  <w:shd w:val="clear" w:color="auto" w:fill="auto"/>
                  <w:noWrap w:val="0"/>
                  <w:vAlign w:val="center"/>
                </w:tcPr>
                <w:p>
                  <w:pPr>
                    <w:jc w:val="center"/>
                    <w:rPr>
                      <w:rFonts w:ascii="Times New Roman" w:hAnsi="Times New Roman" w:eastAsia="等线"/>
                      <w:szCs w:val="21"/>
                    </w:rPr>
                  </w:pPr>
                  <w:r>
                    <w:rPr>
                      <w:rFonts w:ascii="Times New Roman" w:hAnsi="Times New Roman" w:eastAsia="等线"/>
                      <w:szCs w:val="21"/>
                    </w:rPr>
                    <w:t>22.75</w:t>
                  </w:r>
                </w:p>
              </w:tc>
              <w:tc>
                <w:tcPr>
                  <w:tcW w:w="1131" w:type="pct"/>
                  <w:noWrap w:val="0"/>
                  <w:vAlign w:val="center"/>
                </w:tcPr>
                <w:p>
                  <w:pPr>
                    <w:jc w:val="center"/>
                    <w:rPr>
                      <w:rFonts w:ascii="Times New Roman" w:hAnsi="Times New Roman" w:eastAsia="华文中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394" w:type="pct"/>
                  <w:vMerge w:val="restart"/>
                  <w:shd w:val="clear" w:color="auto" w:fill="auto"/>
                  <w:noWrap w:val="0"/>
                  <w:vAlign w:val="center"/>
                </w:tcPr>
                <w:p>
                  <w:pPr>
                    <w:widowControl/>
                    <w:jc w:val="center"/>
                    <w:rPr>
                      <w:rFonts w:ascii="Times New Roman" w:hAnsi="Times New Roman" w:eastAsia="华文中宋"/>
                      <w:kern w:val="0"/>
                      <w:szCs w:val="21"/>
                    </w:rPr>
                  </w:pPr>
                  <w:r>
                    <w:rPr>
                      <w:rFonts w:ascii="Times New Roman" w:hAnsi="Times New Roman" w:eastAsia="华文中宋"/>
                      <w:kern w:val="0"/>
                      <w:szCs w:val="21"/>
                    </w:rPr>
                    <w:t>临时用地</w:t>
                  </w:r>
                </w:p>
              </w:tc>
              <w:tc>
                <w:tcPr>
                  <w:tcW w:w="554" w:type="pct"/>
                  <w:shd w:val="clear" w:color="auto" w:fill="auto"/>
                  <w:noWrap w:val="0"/>
                  <w:vAlign w:val="center"/>
                </w:tcPr>
                <w:p>
                  <w:pPr>
                    <w:widowControl/>
                    <w:jc w:val="center"/>
                    <w:rPr>
                      <w:rFonts w:ascii="Times New Roman" w:hAnsi="Times New Roman" w:eastAsia="华文中宋"/>
                      <w:kern w:val="0"/>
                      <w:szCs w:val="21"/>
                    </w:rPr>
                  </w:pPr>
                  <w:r>
                    <w:rPr>
                      <w:rFonts w:ascii="Times New Roman" w:hAnsi="Times New Roman" w:eastAsia="华文中宋"/>
                      <w:kern w:val="0"/>
                      <w:szCs w:val="21"/>
                    </w:rPr>
                    <w:t>施工交通</w:t>
                  </w:r>
                </w:p>
              </w:tc>
              <w:tc>
                <w:tcPr>
                  <w:tcW w:w="731" w:type="pct"/>
                  <w:shd w:val="clear" w:color="auto" w:fill="auto"/>
                  <w:noWrap w:val="0"/>
                  <w:vAlign w:val="center"/>
                </w:tcPr>
                <w:p>
                  <w:pPr>
                    <w:widowControl/>
                    <w:jc w:val="center"/>
                    <w:rPr>
                      <w:rFonts w:ascii="Times New Roman" w:hAnsi="Times New Roman" w:eastAsia="等线"/>
                      <w:kern w:val="0"/>
                      <w:szCs w:val="21"/>
                    </w:rPr>
                  </w:pPr>
                  <w:r>
                    <w:rPr>
                      <w:rFonts w:ascii="Times New Roman" w:hAnsi="Times New Roman" w:eastAsia="等线"/>
                      <w:szCs w:val="21"/>
                    </w:rPr>
                    <w:t>13.37</w:t>
                  </w:r>
                </w:p>
              </w:tc>
              <w:tc>
                <w:tcPr>
                  <w:tcW w:w="571" w:type="pct"/>
                  <w:shd w:val="clear" w:color="auto" w:fill="auto"/>
                  <w:noWrap w:val="0"/>
                  <w:vAlign w:val="center"/>
                </w:tcPr>
                <w:p>
                  <w:pPr>
                    <w:jc w:val="center"/>
                    <w:rPr>
                      <w:rFonts w:ascii="Times New Roman" w:hAnsi="Times New Roman" w:eastAsia="等线"/>
                      <w:szCs w:val="21"/>
                    </w:rPr>
                  </w:pPr>
                  <w:r>
                    <w:rPr>
                      <w:rFonts w:ascii="Times New Roman" w:hAnsi="Times New Roman" w:eastAsia="等线"/>
                      <w:szCs w:val="21"/>
                    </w:rPr>
                    <w:t>7.62</w:t>
                  </w:r>
                </w:p>
              </w:tc>
              <w:tc>
                <w:tcPr>
                  <w:tcW w:w="571" w:type="pct"/>
                  <w:shd w:val="clear" w:color="auto" w:fill="auto"/>
                  <w:noWrap w:val="0"/>
                  <w:vAlign w:val="center"/>
                </w:tcPr>
                <w:p>
                  <w:pPr>
                    <w:jc w:val="center"/>
                    <w:rPr>
                      <w:rFonts w:ascii="Times New Roman" w:hAnsi="Times New Roman" w:eastAsia="等线"/>
                      <w:szCs w:val="21"/>
                    </w:rPr>
                  </w:pPr>
                  <w:r>
                    <w:rPr>
                      <w:rFonts w:ascii="Times New Roman" w:hAnsi="Times New Roman" w:eastAsia="等线"/>
                      <w:szCs w:val="21"/>
                    </w:rPr>
                    <w:t>0.28</w:t>
                  </w:r>
                </w:p>
              </w:tc>
              <w:tc>
                <w:tcPr>
                  <w:tcW w:w="571" w:type="pct"/>
                  <w:shd w:val="clear" w:color="auto" w:fill="auto"/>
                  <w:noWrap w:val="0"/>
                  <w:vAlign w:val="center"/>
                </w:tcPr>
                <w:p>
                  <w:pPr>
                    <w:jc w:val="center"/>
                    <w:rPr>
                      <w:rFonts w:ascii="Times New Roman" w:hAnsi="Times New Roman" w:eastAsia="等线"/>
                      <w:szCs w:val="21"/>
                    </w:rPr>
                  </w:pPr>
                  <w:r>
                    <w:rPr>
                      <w:rFonts w:ascii="Times New Roman" w:hAnsi="Times New Roman" w:eastAsia="等线"/>
                      <w:szCs w:val="21"/>
                    </w:rPr>
                    <w:t>0</w:t>
                  </w:r>
                </w:p>
              </w:tc>
              <w:tc>
                <w:tcPr>
                  <w:tcW w:w="477" w:type="pct"/>
                  <w:shd w:val="clear" w:color="auto" w:fill="auto"/>
                  <w:noWrap w:val="0"/>
                  <w:vAlign w:val="center"/>
                </w:tcPr>
                <w:p>
                  <w:pPr>
                    <w:jc w:val="center"/>
                    <w:rPr>
                      <w:rFonts w:ascii="Times New Roman" w:hAnsi="Times New Roman" w:eastAsia="等线"/>
                      <w:szCs w:val="21"/>
                    </w:rPr>
                  </w:pPr>
                  <w:r>
                    <w:rPr>
                      <w:rFonts w:ascii="Times New Roman" w:hAnsi="Times New Roman" w:eastAsia="等线"/>
                      <w:szCs w:val="21"/>
                    </w:rPr>
                    <w:t>5.47</w:t>
                  </w:r>
                </w:p>
              </w:tc>
              <w:tc>
                <w:tcPr>
                  <w:tcW w:w="1131" w:type="pct"/>
                  <w:noWrap w:val="0"/>
                  <w:vAlign w:val="center"/>
                </w:tcPr>
                <w:p>
                  <w:pPr>
                    <w:jc w:val="center"/>
                    <w:rPr>
                      <w:rFonts w:ascii="Times New Roman" w:hAnsi="Times New Roman" w:eastAsia="华文中宋"/>
                      <w:szCs w:val="21"/>
                    </w:rPr>
                  </w:pPr>
                  <w:r>
                    <w:rPr>
                      <w:rFonts w:ascii="Times New Roman" w:hAnsi="Times New Roman" w:eastAsia="华文中宋"/>
                      <w:szCs w:val="21"/>
                    </w:rPr>
                    <w:t>其中3.97亩耕地在永久用地范围内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394" w:type="pct"/>
                  <w:vMerge w:val="continue"/>
                  <w:shd w:val="clear" w:color="auto" w:fill="auto"/>
                  <w:noWrap w:val="0"/>
                  <w:vAlign w:val="center"/>
                </w:tcPr>
                <w:p>
                  <w:pPr>
                    <w:widowControl/>
                    <w:jc w:val="center"/>
                    <w:rPr>
                      <w:rFonts w:ascii="Times New Roman" w:hAnsi="Times New Roman" w:eastAsia="华文中宋"/>
                      <w:kern w:val="0"/>
                      <w:szCs w:val="21"/>
                    </w:rPr>
                  </w:pPr>
                </w:p>
              </w:tc>
              <w:tc>
                <w:tcPr>
                  <w:tcW w:w="554" w:type="pct"/>
                  <w:shd w:val="clear" w:color="auto" w:fill="auto"/>
                  <w:noWrap w:val="0"/>
                  <w:vAlign w:val="center"/>
                </w:tcPr>
                <w:p>
                  <w:pPr>
                    <w:widowControl/>
                    <w:jc w:val="center"/>
                    <w:rPr>
                      <w:rFonts w:ascii="Times New Roman" w:hAnsi="Times New Roman" w:eastAsia="华文中宋"/>
                      <w:kern w:val="0"/>
                      <w:szCs w:val="21"/>
                    </w:rPr>
                  </w:pPr>
                  <w:r>
                    <w:rPr>
                      <w:rFonts w:ascii="Times New Roman" w:hAnsi="Times New Roman" w:eastAsia="华文中宋"/>
                      <w:kern w:val="0"/>
                      <w:szCs w:val="21"/>
                    </w:rPr>
                    <w:t>施工生产生活区</w:t>
                  </w:r>
                </w:p>
              </w:tc>
              <w:tc>
                <w:tcPr>
                  <w:tcW w:w="731" w:type="pct"/>
                  <w:shd w:val="clear" w:color="auto" w:fill="auto"/>
                  <w:noWrap w:val="0"/>
                  <w:vAlign w:val="center"/>
                </w:tcPr>
                <w:p>
                  <w:pPr>
                    <w:jc w:val="center"/>
                    <w:rPr>
                      <w:rFonts w:hint="default" w:ascii="Times New Roman" w:hAnsi="Times New Roman" w:eastAsia="宋体"/>
                      <w:szCs w:val="21"/>
                      <w:lang w:val="en-US" w:eastAsia="zh-CN"/>
                    </w:rPr>
                  </w:pPr>
                  <w:r>
                    <w:rPr>
                      <w:rFonts w:hint="eastAsia"/>
                      <w:szCs w:val="21"/>
                      <w:lang w:val="en-US" w:eastAsia="zh-CN"/>
                    </w:rPr>
                    <w:t>2.25</w:t>
                  </w:r>
                </w:p>
              </w:tc>
              <w:tc>
                <w:tcPr>
                  <w:tcW w:w="571" w:type="pct"/>
                  <w:shd w:val="clear" w:color="auto" w:fill="auto"/>
                  <w:noWrap w:val="0"/>
                  <w:vAlign w:val="center"/>
                </w:tcPr>
                <w:p>
                  <w:pPr>
                    <w:jc w:val="center"/>
                    <w:rPr>
                      <w:rFonts w:ascii="Times New Roman" w:hAnsi="Times New Roman"/>
                      <w:szCs w:val="21"/>
                    </w:rPr>
                  </w:pPr>
                </w:p>
              </w:tc>
              <w:tc>
                <w:tcPr>
                  <w:tcW w:w="571" w:type="pct"/>
                  <w:shd w:val="clear" w:color="auto" w:fill="auto"/>
                  <w:noWrap w:val="0"/>
                  <w:vAlign w:val="center"/>
                </w:tcPr>
                <w:p>
                  <w:pPr>
                    <w:jc w:val="center"/>
                    <w:rPr>
                      <w:rFonts w:ascii="Times New Roman" w:hAnsi="Times New Roman"/>
                      <w:szCs w:val="21"/>
                    </w:rPr>
                  </w:pPr>
                  <w:r>
                    <w:rPr>
                      <w:rFonts w:ascii="Times New Roman" w:hAnsi="Times New Roman"/>
                      <w:szCs w:val="21"/>
                    </w:rPr>
                    <w:t>1.65</w:t>
                  </w:r>
                </w:p>
              </w:tc>
              <w:tc>
                <w:tcPr>
                  <w:tcW w:w="571" w:type="pct"/>
                  <w:shd w:val="clear" w:color="auto" w:fill="auto"/>
                  <w:noWrap w:val="0"/>
                  <w:vAlign w:val="center"/>
                </w:tcPr>
                <w:p>
                  <w:pPr>
                    <w:jc w:val="center"/>
                    <w:rPr>
                      <w:rFonts w:ascii="Times New Roman" w:hAnsi="Times New Roman"/>
                      <w:szCs w:val="21"/>
                    </w:rPr>
                  </w:pPr>
                </w:p>
              </w:tc>
              <w:tc>
                <w:tcPr>
                  <w:tcW w:w="477" w:type="pct"/>
                  <w:shd w:val="clear" w:color="auto" w:fill="auto"/>
                  <w:noWrap w:val="0"/>
                  <w:vAlign w:val="center"/>
                </w:tcPr>
                <w:p>
                  <w:pPr>
                    <w:jc w:val="center"/>
                    <w:rPr>
                      <w:rFonts w:ascii="Times New Roman" w:hAnsi="Times New Roman"/>
                      <w:szCs w:val="21"/>
                    </w:rPr>
                  </w:pPr>
                  <w:r>
                    <w:rPr>
                      <w:rFonts w:ascii="Times New Roman" w:hAnsi="Times New Roman"/>
                      <w:szCs w:val="21"/>
                    </w:rPr>
                    <w:t>0.3</w:t>
                  </w:r>
                </w:p>
              </w:tc>
              <w:tc>
                <w:tcPr>
                  <w:tcW w:w="1131" w:type="pct"/>
                  <w:noWrap w:val="0"/>
                  <w:vAlign w:val="center"/>
                </w:tcPr>
                <w:p>
                  <w:pPr>
                    <w:jc w:val="center"/>
                    <w:rPr>
                      <w:rFonts w:ascii="Times New Roman" w:hAnsi="Times New Roman" w:eastAsia="华文中宋"/>
                      <w:szCs w:val="21"/>
                    </w:rPr>
                  </w:pPr>
                  <w:r>
                    <w:rPr>
                      <w:rFonts w:ascii="Times New Roman" w:hAnsi="Times New Roman" w:eastAsia="华文中宋"/>
                      <w:szCs w:val="21"/>
                    </w:rPr>
                    <w:t>其中1.65亩林地在永久用地范围内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394" w:type="pct"/>
                  <w:vMerge w:val="continue"/>
                  <w:shd w:val="clear" w:color="auto" w:fill="auto"/>
                  <w:noWrap w:val="0"/>
                  <w:vAlign w:val="center"/>
                </w:tcPr>
                <w:p>
                  <w:pPr>
                    <w:widowControl/>
                    <w:jc w:val="center"/>
                    <w:rPr>
                      <w:rFonts w:ascii="Times New Roman" w:hAnsi="Times New Roman" w:eastAsia="华文中宋"/>
                      <w:kern w:val="0"/>
                      <w:szCs w:val="21"/>
                    </w:rPr>
                  </w:pPr>
                </w:p>
              </w:tc>
              <w:tc>
                <w:tcPr>
                  <w:tcW w:w="554" w:type="pct"/>
                  <w:shd w:val="clear" w:color="auto" w:fill="auto"/>
                  <w:noWrap w:val="0"/>
                  <w:vAlign w:val="center"/>
                </w:tcPr>
                <w:p>
                  <w:pPr>
                    <w:widowControl/>
                    <w:jc w:val="center"/>
                    <w:rPr>
                      <w:rFonts w:ascii="Times New Roman" w:hAnsi="Times New Roman" w:eastAsia="华文中宋"/>
                      <w:kern w:val="0"/>
                      <w:szCs w:val="21"/>
                    </w:rPr>
                  </w:pPr>
                  <w:r>
                    <w:rPr>
                      <w:rFonts w:ascii="Times New Roman" w:hAnsi="Times New Roman" w:eastAsia="华文中宋"/>
                      <w:kern w:val="0"/>
                      <w:szCs w:val="21"/>
                    </w:rPr>
                    <w:t>弃渣场</w:t>
                  </w:r>
                </w:p>
              </w:tc>
              <w:tc>
                <w:tcPr>
                  <w:tcW w:w="731" w:type="pct"/>
                  <w:shd w:val="clear" w:color="auto" w:fill="auto"/>
                  <w:noWrap w:val="0"/>
                  <w:vAlign w:val="center"/>
                </w:tcPr>
                <w:p>
                  <w:pPr>
                    <w:jc w:val="center"/>
                    <w:rPr>
                      <w:rFonts w:ascii="Times New Roman" w:hAnsi="Times New Roman"/>
                      <w:szCs w:val="21"/>
                    </w:rPr>
                  </w:pPr>
                  <w:r>
                    <w:rPr>
                      <w:rFonts w:ascii="Times New Roman" w:hAnsi="Times New Roman"/>
                      <w:szCs w:val="21"/>
                    </w:rPr>
                    <w:t>5.4</w:t>
                  </w:r>
                </w:p>
              </w:tc>
              <w:tc>
                <w:tcPr>
                  <w:tcW w:w="571" w:type="pct"/>
                  <w:shd w:val="clear" w:color="auto" w:fill="auto"/>
                  <w:noWrap w:val="0"/>
                  <w:vAlign w:val="center"/>
                </w:tcPr>
                <w:p>
                  <w:pPr>
                    <w:widowControl/>
                    <w:jc w:val="center"/>
                    <w:rPr>
                      <w:rFonts w:ascii="Times New Roman" w:hAnsi="Times New Roman" w:eastAsia="等线"/>
                      <w:kern w:val="0"/>
                      <w:szCs w:val="21"/>
                    </w:rPr>
                  </w:pPr>
                  <w:r>
                    <w:rPr>
                      <w:rFonts w:ascii="Times New Roman" w:hAnsi="Times New Roman" w:eastAsia="等线"/>
                      <w:szCs w:val="21"/>
                    </w:rPr>
                    <w:t>4.92</w:t>
                  </w:r>
                </w:p>
              </w:tc>
              <w:tc>
                <w:tcPr>
                  <w:tcW w:w="571" w:type="pct"/>
                  <w:shd w:val="clear" w:color="auto" w:fill="auto"/>
                  <w:noWrap w:val="0"/>
                  <w:vAlign w:val="center"/>
                </w:tcPr>
                <w:p>
                  <w:pPr>
                    <w:jc w:val="center"/>
                    <w:rPr>
                      <w:rFonts w:ascii="Times New Roman" w:hAnsi="Times New Roman" w:eastAsia="等线"/>
                      <w:szCs w:val="21"/>
                    </w:rPr>
                  </w:pPr>
                  <w:r>
                    <w:rPr>
                      <w:rFonts w:ascii="Times New Roman" w:hAnsi="Times New Roman" w:eastAsia="等线"/>
                      <w:szCs w:val="21"/>
                    </w:rPr>
                    <w:t>0.00</w:t>
                  </w:r>
                </w:p>
              </w:tc>
              <w:tc>
                <w:tcPr>
                  <w:tcW w:w="571" w:type="pct"/>
                  <w:shd w:val="clear" w:color="auto" w:fill="auto"/>
                  <w:noWrap w:val="0"/>
                  <w:vAlign w:val="center"/>
                </w:tcPr>
                <w:p>
                  <w:pPr>
                    <w:jc w:val="center"/>
                    <w:rPr>
                      <w:rFonts w:ascii="Times New Roman" w:hAnsi="Times New Roman" w:eastAsia="等线"/>
                      <w:szCs w:val="21"/>
                    </w:rPr>
                  </w:pPr>
                  <w:r>
                    <w:rPr>
                      <w:rFonts w:ascii="Times New Roman" w:hAnsi="Times New Roman" w:eastAsia="等线"/>
                      <w:szCs w:val="21"/>
                    </w:rPr>
                    <w:t>0.48</w:t>
                  </w:r>
                </w:p>
              </w:tc>
              <w:tc>
                <w:tcPr>
                  <w:tcW w:w="477" w:type="pct"/>
                  <w:shd w:val="clear" w:color="auto" w:fill="auto"/>
                  <w:noWrap w:val="0"/>
                  <w:vAlign w:val="center"/>
                </w:tcPr>
                <w:p>
                  <w:pPr>
                    <w:jc w:val="center"/>
                    <w:rPr>
                      <w:rFonts w:ascii="Times New Roman" w:hAnsi="Times New Roman" w:eastAsia="等线"/>
                      <w:szCs w:val="21"/>
                    </w:rPr>
                  </w:pPr>
                  <w:r>
                    <w:rPr>
                      <w:rFonts w:ascii="Times New Roman" w:hAnsi="Times New Roman" w:eastAsia="等线"/>
                      <w:szCs w:val="21"/>
                    </w:rPr>
                    <w:t>0</w:t>
                  </w:r>
                </w:p>
              </w:tc>
              <w:tc>
                <w:tcPr>
                  <w:tcW w:w="1131" w:type="pct"/>
                  <w:noWrap w:val="0"/>
                  <w:vAlign w:val="center"/>
                </w:tcPr>
                <w:p>
                  <w:pPr>
                    <w:jc w:val="center"/>
                    <w:rPr>
                      <w:rFonts w:ascii="Times New Roman" w:hAnsi="Times New Roman" w:eastAsia="华文中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394" w:type="pct"/>
                  <w:vMerge w:val="continue"/>
                  <w:shd w:val="clear" w:color="auto" w:fill="auto"/>
                  <w:noWrap w:val="0"/>
                  <w:vAlign w:val="center"/>
                </w:tcPr>
                <w:p>
                  <w:pPr>
                    <w:widowControl/>
                    <w:jc w:val="center"/>
                    <w:rPr>
                      <w:rFonts w:ascii="Times New Roman" w:hAnsi="Times New Roman" w:eastAsia="华文中宋"/>
                      <w:kern w:val="0"/>
                      <w:szCs w:val="21"/>
                    </w:rPr>
                  </w:pPr>
                </w:p>
              </w:tc>
              <w:tc>
                <w:tcPr>
                  <w:tcW w:w="554" w:type="pct"/>
                  <w:shd w:val="clear" w:color="auto" w:fill="auto"/>
                  <w:noWrap w:val="0"/>
                  <w:vAlign w:val="center"/>
                </w:tcPr>
                <w:p>
                  <w:pPr>
                    <w:widowControl/>
                    <w:jc w:val="center"/>
                    <w:rPr>
                      <w:rFonts w:ascii="Times New Roman" w:hAnsi="Times New Roman" w:eastAsia="华文中宋"/>
                      <w:kern w:val="0"/>
                      <w:szCs w:val="21"/>
                    </w:rPr>
                  </w:pPr>
                  <w:r>
                    <w:rPr>
                      <w:rFonts w:ascii="Times New Roman" w:hAnsi="Times New Roman" w:eastAsia="华文中宋"/>
                      <w:kern w:val="0"/>
                      <w:szCs w:val="21"/>
                    </w:rPr>
                    <w:t>合计</w:t>
                  </w:r>
                </w:p>
              </w:tc>
              <w:tc>
                <w:tcPr>
                  <w:tcW w:w="731" w:type="pct"/>
                  <w:shd w:val="clear" w:color="auto" w:fill="auto"/>
                  <w:noWrap w:val="0"/>
                  <w:vAlign w:val="center"/>
                </w:tcPr>
                <w:p>
                  <w:pPr>
                    <w:widowControl/>
                    <w:jc w:val="center"/>
                    <w:rPr>
                      <w:rFonts w:hint="default" w:ascii="Times New Roman" w:hAnsi="Times New Roman" w:eastAsia="等线"/>
                      <w:kern w:val="0"/>
                      <w:szCs w:val="21"/>
                      <w:lang w:val="en-US" w:eastAsia="zh-CN"/>
                    </w:rPr>
                  </w:pPr>
                  <w:r>
                    <w:rPr>
                      <w:rFonts w:hint="eastAsia" w:eastAsia="等线"/>
                      <w:szCs w:val="21"/>
                      <w:lang w:val="en-US" w:eastAsia="zh-CN"/>
                    </w:rPr>
                    <w:t>21.02</w:t>
                  </w:r>
                </w:p>
              </w:tc>
              <w:tc>
                <w:tcPr>
                  <w:tcW w:w="571" w:type="pct"/>
                  <w:shd w:val="clear" w:color="auto" w:fill="auto"/>
                  <w:noWrap w:val="0"/>
                  <w:vAlign w:val="center"/>
                </w:tcPr>
                <w:p>
                  <w:pPr>
                    <w:jc w:val="center"/>
                    <w:rPr>
                      <w:rFonts w:ascii="Times New Roman" w:hAnsi="Times New Roman" w:eastAsia="等线"/>
                      <w:szCs w:val="21"/>
                    </w:rPr>
                  </w:pPr>
                  <w:r>
                    <w:rPr>
                      <w:rFonts w:ascii="Times New Roman" w:hAnsi="Times New Roman" w:eastAsia="等线"/>
                      <w:szCs w:val="21"/>
                    </w:rPr>
                    <w:t>12.96</w:t>
                  </w:r>
                </w:p>
              </w:tc>
              <w:tc>
                <w:tcPr>
                  <w:tcW w:w="571" w:type="pct"/>
                  <w:shd w:val="clear" w:color="auto" w:fill="auto"/>
                  <w:noWrap w:val="0"/>
                  <w:vAlign w:val="center"/>
                </w:tcPr>
                <w:p>
                  <w:pPr>
                    <w:jc w:val="center"/>
                    <w:rPr>
                      <w:rFonts w:ascii="Times New Roman" w:hAnsi="Times New Roman" w:eastAsia="等线"/>
                      <w:szCs w:val="21"/>
                    </w:rPr>
                  </w:pPr>
                  <w:r>
                    <w:rPr>
                      <w:rFonts w:ascii="Times New Roman" w:hAnsi="Times New Roman" w:eastAsia="等线"/>
                      <w:szCs w:val="21"/>
                    </w:rPr>
                    <w:t>1.93</w:t>
                  </w:r>
                </w:p>
              </w:tc>
              <w:tc>
                <w:tcPr>
                  <w:tcW w:w="571" w:type="pct"/>
                  <w:shd w:val="clear" w:color="auto" w:fill="auto"/>
                  <w:noWrap w:val="0"/>
                  <w:vAlign w:val="center"/>
                </w:tcPr>
                <w:p>
                  <w:pPr>
                    <w:jc w:val="center"/>
                    <w:rPr>
                      <w:rFonts w:ascii="Times New Roman" w:hAnsi="Times New Roman" w:eastAsia="等线"/>
                      <w:szCs w:val="21"/>
                    </w:rPr>
                  </w:pPr>
                  <w:r>
                    <w:rPr>
                      <w:rFonts w:ascii="Times New Roman" w:hAnsi="Times New Roman" w:eastAsia="等线"/>
                      <w:szCs w:val="21"/>
                    </w:rPr>
                    <w:t>0.48</w:t>
                  </w:r>
                </w:p>
              </w:tc>
              <w:tc>
                <w:tcPr>
                  <w:tcW w:w="477" w:type="pct"/>
                  <w:shd w:val="clear" w:color="auto" w:fill="auto"/>
                  <w:noWrap w:val="0"/>
                  <w:vAlign w:val="center"/>
                </w:tcPr>
                <w:p>
                  <w:pPr>
                    <w:jc w:val="center"/>
                    <w:rPr>
                      <w:rFonts w:ascii="Times New Roman" w:hAnsi="Times New Roman" w:eastAsia="等线"/>
                      <w:szCs w:val="21"/>
                    </w:rPr>
                  </w:pPr>
                  <w:r>
                    <w:rPr>
                      <w:rFonts w:ascii="Times New Roman" w:hAnsi="Times New Roman" w:eastAsia="等线"/>
                      <w:szCs w:val="21"/>
                    </w:rPr>
                    <w:t>5.35</w:t>
                  </w:r>
                </w:p>
              </w:tc>
              <w:tc>
                <w:tcPr>
                  <w:tcW w:w="1131" w:type="pct"/>
                  <w:noWrap w:val="0"/>
                  <w:vAlign w:val="center"/>
                </w:tcPr>
                <w:p>
                  <w:pPr>
                    <w:jc w:val="center"/>
                    <w:rPr>
                      <w:rFonts w:ascii="Times New Roman" w:hAnsi="Times New Roman" w:eastAsia="华文中宋"/>
                      <w:szCs w:val="21"/>
                    </w:rPr>
                  </w:pPr>
                  <w:r>
                    <w:rPr>
                      <w:rFonts w:ascii="Times New Roman" w:hAnsi="Times New Roman" w:eastAsia="华文中宋"/>
                      <w:szCs w:val="21"/>
                    </w:rPr>
                    <w:t>其中0.61亩河滩地、4.39亩耕地及1.65亩林地在永久用地范围内</w:t>
                  </w:r>
                </w:p>
              </w:tc>
            </w:tr>
          </w:tbl>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auto"/>
                <w:spacing w:val="-6"/>
                <w:highlight w:val="none"/>
              </w:rPr>
            </w:pPr>
            <w:r>
              <w:rPr>
                <w:rFonts w:hint="default" w:ascii="Times New Roman" w:hAnsi="Times New Roman" w:eastAsia="宋体" w:cs="Times New Roman"/>
                <w:b/>
                <w:bCs/>
                <w:color w:val="auto"/>
                <w:spacing w:val="-6"/>
                <w:highlight w:val="none"/>
              </w:rPr>
              <w:t>表</w:t>
            </w:r>
            <w:r>
              <w:rPr>
                <w:rFonts w:hint="default" w:ascii="Times New Roman" w:hAnsi="Times New Roman" w:eastAsia="宋体" w:cs="Times New Roman"/>
                <w:b/>
                <w:bCs/>
                <w:color w:val="auto"/>
                <w:spacing w:val="-6"/>
                <w:highlight w:val="none"/>
                <w:lang w:val="en-US" w:eastAsia="zh-CN"/>
              </w:rPr>
              <w:t>2</w:t>
            </w:r>
            <w:r>
              <w:rPr>
                <w:rFonts w:hint="default" w:ascii="Times New Roman" w:hAnsi="Times New Roman" w:eastAsia="宋体" w:cs="Times New Roman"/>
                <w:b/>
                <w:bCs/>
                <w:color w:val="auto"/>
                <w:spacing w:val="-6"/>
                <w:highlight w:val="none"/>
              </w:rPr>
              <w:t>-</w:t>
            </w:r>
            <w:r>
              <w:rPr>
                <w:rFonts w:hint="eastAsia" w:cs="Times New Roman"/>
                <w:b/>
                <w:bCs/>
                <w:color w:val="auto"/>
                <w:spacing w:val="-6"/>
                <w:highlight w:val="none"/>
                <w:lang w:val="en-US" w:eastAsia="zh-CN"/>
              </w:rPr>
              <w:t>6</w:t>
            </w:r>
            <w:r>
              <w:rPr>
                <w:rFonts w:hint="default" w:ascii="Times New Roman" w:hAnsi="Times New Roman" w:eastAsia="宋体" w:cs="Times New Roman"/>
                <w:b/>
                <w:bCs/>
                <w:color w:val="auto"/>
                <w:spacing w:val="-6"/>
                <w:highlight w:val="none"/>
              </w:rPr>
              <w:t xml:space="preserve">  </w:t>
            </w:r>
            <w:r>
              <w:rPr>
                <w:rFonts w:hint="default" w:ascii="Times New Roman" w:hAnsi="Times New Roman" w:eastAsia="宋体" w:cs="Times New Roman"/>
                <w:b/>
                <w:bCs/>
                <w:color w:val="auto"/>
                <w:spacing w:val="-6"/>
                <w:highlight w:val="none"/>
                <w:lang w:val="en-US" w:eastAsia="zh-CN"/>
              </w:rPr>
              <w:t>项目</w:t>
            </w:r>
            <w:r>
              <w:rPr>
                <w:rFonts w:hint="default" w:ascii="Times New Roman" w:hAnsi="Times New Roman" w:eastAsia="宋体" w:cs="Times New Roman"/>
                <w:b/>
                <w:bCs/>
                <w:color w:val="auto"/>
                <w:spacing w:val="-6"/>
                <w:highlight w:val="none"/>
              </w:rPr>
              <w:t>实物指标汇总表</w:t>
            </w:r>
          </w:p>
          <w:tbl>
            <w:tblPr>
              <w:tblStyle w:val="41"/>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515"/>
              <w:gridCol w:w="1293"/>
              <w:gridCol w:w="1292"/>
              <w:gridCol w:w="1806"/>
              <w:gridCol w:w="1806"/>
              <w:gridCol w:w="1292"/>
              <w:gridCol w:w="104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tblHeader/>
                <w:jc w:val="center"/>
              </w:trPr>
              <w:tc>
                <w:tcPr>
                  <w:tcW w:w="999" w:type="pct"/>
                  <w:gridSpan w:val="2"/>
                  <w:vMerge w:val="restart"/>
                  <w:tcBorders>
                    <w:tl2br w:val="nil"/>
                    <w:tr2bl w:val="nil"/>
                  </w:tcBorders>
                  <w:noWrap w:val="0"/>
                  <w:vAlign w:val="center"/>
                </w:tcPr>
                <w:p>
                  <w:pPr>
                    <w:widowControl/>
                    <w:jc w:val="center"/>
                    <w:rPr>
                      <w:rFonts w:ascii="Times New Roman" w:hAnsi="Times New Roman"/>
                      <w:b/>
                      <w:kern w:val="0"/>
                      <w:szCs w:val="21"/>
                    </w:rPr>
                  </w:pPr>
                  <w:r>
                    <w:rPr>
                      <w:rFonts w:ascii="Times New Roman" w:hAnsi="Times New Roman"/>
                      <w:b/>
                      <w:kern w:val="0"/>
                      <w:szCs w:val="21"/>
                    </w:rPr>
                    <w:t>项目</w:t>
                  </w:r>
                </w:p>
              </w:tc>
              <w:tc>
                <w:tcPr>
                  <w:tcW w:w="4001" w:type="pct"/>
                  <w:gridSpan w:val="5"/>
                  <w:tcBorders>
                    <w:tl2br w:val="nil"/>
                    <w:tr2bl w:val="nil"/>
                  </w:tcBorders>
                  <w:noWrap w:val="0"/>
                  <w:vAlign w:val="top"/>
                </w:tcPr>
                <w:p>
                  <w:pPr>
                    <w:widowControl/>
                    <w:jc w:val="center"/>
                    <w:rPr>
                      <w:rFonts w:ascii="Times New Roman" w:hAnsi="Times New Roman"/>
                      <w:b/>
                      <w:kern w:val="0"/>
                      <w:szCs w:val="21"/>
                    </w:rPr>
                  </w:pPr>
                  <w:r>
                    <w:rPr>
                      <w:rFonts w:ascii="Times New Roman" w:hAnsi="Times New Roman"/>
                      <w:b/>
                      <w:kern w:val="0"/>
                      <w:szCs w:val="21"/>
                    </w:rPr>
                    <w:t>推荐方案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tblHeader/>
                <w:jc w:val="center"/>
              </w:trPr>
              <w:tc>
                <w:tcPr>
                  <w:tcW w:w="999" w:type="pct"/>
                  <w:gridSpan w:val="2"/>
                  <w:vMerge w:val="continue"/>
                  <w:tcBorders>
                    <w:tl2br w:val="nil"/>
                    <w:tr2bl w:val="nil"/>
                  </w:tcBorders>
                  <w:noWrap w:val="0"/>
                  <w:vAlign w:val="center"/>
                </w:tcPr>
                <w:p>
                  <w:pPr>
                    <w:widowControl/>
                    <w:jc w:val="center"/>
                    <w:rPr>
                      <w:rFonts w:ascii="Times New Roman" w:hAnsi="Times New Roman"/>
                      <w:b/>
                      <w:kern w:val="0"/>
                      <w:szCs w:val="21"/>
                    </w:rPr>
                  </w:pPr>
                </w:p>
              </w:tc>
              <w:tc>
                <w:tcPr>
                  <w:tcW w:w="714" w:type="pct"/>
                  <w:tcBorders>
                    <w:tl2br w:val="nil"/>
                    <w:tr2bl w:val="nil"/>
                  </w:tcBorders>
                  <w:noWrap w:val="0"/>
                  <w:vAlign w:val="center"/>
                </w:tcPr>
                <w:p>
                  <w:pPr>
                    <w:widowControl/>
                    <w:jc w:val="center"/>
                    <w:rPr>
                      <w:rFonts w:ascii="Times New Roman" w:hAnsi="Times New Roman"/>
                      <w:b/>
                      <w:kern w:val="0"/>
                      <w:szCs w:val="21"/>
                    </w:rPr>
                  </w:pPr>
                  <w:r>
                    <w:rPr>
                      <w:rFonts w:ascii="Times New Roman" w:hAnsi="Times New Roman"/>
                      <w:b/>
                      <w:kern w:val="0"/>
                      <w:szCs w:val="21"/>
                    </w:rPr>
                    <w:t>永久占地</w:t>
                  </w:r>
                </w:p>
              </w:tc>
              <w:tc>
                <w:tcPr>
                  <w:tcW w:w="998" w:type="pct"/>
                  <w:tcBorders>
                    <w:tl2br w:val="nil"/>
                    <w:tr2bl w:val="nil"/>
                  </w:tcBorders>
                  <w:noWrap w:val="0"/>
                  <w:vAlign w:val="top"/>
                </w:tcPr>
                <w:p>
                  <w:pPr>
                    <w:widowControl/>
                    <w:jc w:val="center"/>
                    <w:rPr>
                      <w:rFonts w:ascii="Times New Roman" w:hAnsi="Times New Roman"/>
                      <w:b/>
                      <w:kern w:val="0"/>
                      <w:szCs w:val="21"/>
                    </w:rPr>
                  </w:pPr>
                  <w:r>
                    <w:rPr>
                      <w:rFonts w:hint="eastAsia" w:ascii="Times New Roman" w:hAnsi="Times New Roman"/>
                      <w:b/>
                      <w:kern w:val="0"/>
                      <w:szCs w:val="21"/>
                    </w:rPr>
                    <w:t>临时道路</w:t>
                  </w:r>
                </w:p>
              </w:tc>
              <w:tc>
                <w:tcPr>
                  <w:tcW w:w="998" w:type="pct"/>
                  <w:tcBorders>
                    <w:tl2br w:val="nil"/>
                    <w:tr2bl w:val="nil"/>
                  </w:tcBorders>
                  <w:noWrap w:val="0"/>
                  <w:vAlign w:val="center"/>
                </w:tcPr>
                <w:p>
                  <w:pPr>
                    <w:widowControl/>
                    <w:jc w:val="center"/>
                    <w:rPr>
                      <w:rFonts w:ascii="Times New Roman" w:hAnsi="Times New Roman"/>
                      <w:b/>
                      <w:kern w:val="0"/>
                      <w:szCs w:val="21"/>
                    </w:rPr>
                  </w:pPr>
                  <w:r>
                    <w:rPr>
                      <w:rFonts w:ascii="Times New Roman" w:hAnsi="Times New Roman"/>
                      <w:b/>
                      <w:kern w:val="0"/>
                      <w:szCs w:val="21"/>
                    </w:rPr>
                    <w:t>临时</w:t>
                  </w:r>
                  <w:r>
                    <w:rPr>
                      <w:rFonts w:hint="eastAsia" w:ascii="Times New Roman" w:hAnsi="Times New Roman"/>
                      <w:b/>
                      <w:kern w:val="0"/>
                      <w:szCs w:val="21"/>
                    </w:rPr>
                    <w:t>施工区</w:t>
                  </w:r>
                </w:p>
              </w:tc>
              <w:tc>
                <w:tcPr>
                  <w:tcW w:w="714" w:type="pct"/>
                  <w:tcBorders>
                    <w:tl2br w:val="nil"/>
                    <w:tr2bl w:val="nil"/>
                  </w:tcBorders>
                  <w:noWrap w:val="0"/>
                  <w:vAlign w:val="center"/>
                </w:tcPr>
                <w:p>
                  <w:pPr>
                    <w:widowControl/>
                    <w:jc w:val="center"/>
                    <w:rPr>
                      <w:rFonts w:ascii="Times New Roman" w:hAnsi="Times New Roman"/>
                      <w:b/>
                      <w:kern w:val="0"/>
                      <w:szCs w:val="21"/>
                    </w:rPr>
                  </w:pPr>
                  <w:r>
                    <w:rPr>
                      <w:rFonts w:ascii="Times New Roman" w:hAnsi="Times New Roman"/>
                      <w:b/>
                      <w:kern w:val="0"/>
                      <w:szCs w:val="21"/>
                    </w:rPr>
                    <w:t>渣场占地</w:t>
                  </w:r>
                </w:p>
              </w:tc>
              <w:tc>
                <w:tcPr>
                  <w:tcW w:w="576" w:type="pct"/>
                  <w:tcBorders>
                    <w:tl2br w:val="nil"/>
                    <w:tr2bl w:val="nil"/>
                  </w:tcBorders>
                  <w:noWrap w:val="0"/>
                  <w:vAlign w:val="center"/>
                </w:tcPr>
                <w:p>
                  <w:pPr>
                    <w:widowControl/>
                    <w:jc w:val="center"/>
                    <w:rPr>
                      <w:rFonts w:ascii="Times New Roman" w:hAnsi="Times New Roman"/>
                      <w:b/>
                      <w:kern w:val="0"/>
                      <w:szCs w:val="21"/>
                    </w:rPr>
                  </w:pPr>
                  <w:r>
                    <w:rPr>
                      <w:rFonts w:ascii="Times New Roman" w:hAnsi="Times New Roman"/>
                      <w:b/>
                      <w:kern w:val="0"/>
                      <w:szCs w:val="21"/>
                    </w:rPr>
                    <w:t>总计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285" w:type="pct"/>
                  <w:tcBorders>
                    <w:tl2br w:val="nil"/>
                    <w:tr2bl w:val="nil"/>
                  </w:tcBorders>
                  <w:noWrap w:val="0"/>
                  <w:vAlign w:val="center"/>
                </w:tcPr>
                <w:p>
                  <w:pPr>
                    <w:widowControl/>
                    <w:jc w:val="center"/>
                    <w:rPr>
                      <w:rFonts w:ascii="Times New Roman" w:hAnsi="Times New Roman"/>
                      <w:kern w:val="0"/>
                      <w:szCs w:val="21"/>
                    </w:rPr>
                  </w:pPr>
                  <w:r>
                    <w:rPr>
                      <w:rFonts w:ascii="Times New Roman" w:hAnsi="Times New Roman"/>
                      <w:kern w:val="0"/>
                      <w:szCs w:val="21"/>
                    </w:rPr>
                    <w:t>一</w:t>
                  </w:r>
                </w:p>
              </w:tc>
              <w:tc>
                <w:tcPr>
                  <w:tcW w:w="715" w:type="pct"/>
                  <w:tcBorders>
                    <w:tl2br w:val="nil"/>
                    <w:tr2bl w:val="nil"/>
                  </w:tcBorders>
                  <w:noWrap w:val="0"/>
                  <w:vAlign w:val="center"/>
                </w:tcPr>
                <w:p>
                  <w:pPr>
                    <w:widowControl/>
                    <w:jc w:val="center"/>
                    <w:rPr>
                      <w:rFonts w:hint="eastAsia" w:ascii="Times New Roman" w:hAnsi="Times New Roman" w:eastAsia="宋体"/>
                      <w:kern w:val="0"/>
                      <w:szCs w:val="21"/>
                      <w:lang w:eastAsia="zh-CN"/>
                    </w:rPr>
                  </w:pPr>
                  <w:r>
                    <w:rPr>
                      <w:rFonts w:ascii="Times New Roman" w:hAnsi="Times New Roman"/>
                      <w:kern w:val="0"/>
                      <w:szCs w:val="21"/>
                    </w:rPr>
                    <w:t>土地</w:t>
                  </w:r>
                  <w:r>
                    <w:rPr>
                      <w:rFonts w:hint="eastAsia"/>
                      <w:kern w:val="0"/>
                      <w:szCs w:val="21"/>
                      <w:lang w:eastAsia="zh-CN"/>
                    </w:rPr>
                    <w:t>（</w:t>
                  </w:r>
                  <w:r>
                    <w:rPr>
                      <w:rFonts w:ascii="Times New Roman" w:hAnsi="Times New Roman"/>
                      <w:kern w:val="0"/>
                      <w:szCs w:val="21"/>
                    </w:rPr>
                    <w:t>亩</w:t>
                  </w:r>
                  <w:r>
                    <w:rPr>
                      <w:rFonts w:hint="eastAsia"/>
                      <w:kern w:val="0"/>
                      <w:szCs w:val="21"/>
                      <w:lang w:eastAsia="zh-CN"/>
                    </w:rPr>
                    <w:t>）</w:t>
                  </w:r>
                </w:p>
              </w:tc>
              <w:tc>
                <w:tcPr>
                  <w:tcW w:w="714" w:type="pct"/>
                  <w:tcBorders>
                    <w:tl2br w:val="nil"/>
                    <w:tr2bl w:val="nil"/>
                  </w:tcBorders>
                  <w:noWrap w:val="0"/>
                  <w:vAlign w:val="center"/>
                </w:tcPr>
                <w:p>
                  <w:pPr>
                    <w:jc w:val="center"/>
                    <w:rPr>
                      <w:rFonts w:ascii="Times New Roman" w:hAnsi="Times New Roman"/>
                    </w:rPr>
                  </w:pPr>
                </w:p>
              </w:tc>
              <w:tc>
                <w:tcPr>
                  <w:tcW w:w="998" w:type="pct"/>
                  <w:tcBorders>
                    <w:tl2br w:val="nil"/>
                    <w:tr2bl w:val="nil"/>
                  </w:tcBorders>
                  <w:noWrap w:val="0"/>
                  <w:vAlign w:val="top"/>
                </w:tcPr>
                <w:p>
                  <w:pPr>
                    <w:jc w:val="center"/>
                    <w:rPr>
                      <w:rFonts w:ascii="Times New Roman" w:hAnsi="Times New Roman"/>
                    </w:rPr>
                  </w:pPr>
                </w:p>
              </w:tc>
              <w:tc>
                <w:tcPr>
                  <w:tcW w:w="998" w:type="pct"/>
                  <w:tcBorders>
                    <w:tl2br w:val="nil"/>
                    <w:tr2bl w:val="nil"/>
                  </w:tcBorders>
                  <w:noWrap w:val="0"/>
                  <w:vAlign w:val="center"/>
                </w:tcPr>
                <w:p>
                  <w:pPr>
                    <w:jc w:val="center"/>
                    <w:rPr>
                      <w:rFonts w:ascii="Times New Roman" w:hAnsi="Times New Roman"/>
                    </w:rPr>
                  </w:pPr>
                </w:p>
              </w:tc>
              <w:tc>
                <w:tcPr>
                  <w:tcW w:w="714" w:type="pct"/>
                  <w:tcBorders>
                    <w:tl2br w:val="nil"/>
                    <w:tr2bl w:val="nil"/>
                  </w:tcBorders>
                  <w:noWrap w:val="0"/>
                  <w:vAlign w:val="center"/>
                </w:tcPr>
                <w:p>
                  <w:pPr>
                    <w:jc w:val="center"/>
                    <w:rPr>
                      <w:rFonts w:ascii="Times New Roman" w:hAnsi="Times New Roman"/>
                    </w:rPr>
                  </w:pPr>
                </w:p>
              </w:tc>
              <w:tc>
                <w:tcPr>
                  <w:tcW w:w="576" w:type="pct"/>
                  <w:tcBorders>
                    <w:tl2br w:val="nil"/>
                    <w:tr2bl w:val="nil"/>
                  </w:tcBorders>
                  <w:noWrap w:val="0"/>
                  <w:vAlign w:val="center"/>
                </w:tcPr>
                <w:p>
                  <w:pPr>
                    <w:jc w:val="center"/>
                    <w:rPr>
                      <w:rFonts w:ascii="Times New Roman" w:hAnsi="Times New Roma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285" w:type="pct"/>
                  <w:tcBorders>
                    <w:tl2br w:val="nil"/>
                    <w:tr2bl w:val="nil"/>
                  </w:tcBorders>
                  <w:noWrap w:val="0"/>
                  <w:vAlign w:val="center"/>
                </w:tcPr>
                <w:p>
                  <w:pPr>
                    <w:widowControl/>
                    <w:jc w:val="center"/>
                    <w:rPr>
                      <w:rFonts w:ascii="Times New Roman" w:hAnsi="Times New Roman"/>
                      <w:kern w:val="0"/>
                      <w:szCs w:val="21"/>
                    </w:rPr>
                  </w:pPr>
                  <w:r>
                    <w:rPr>
                      <w:rFonts w:ascii="Times New Roman" w:hAnsi="Times New Roman"/>
                      <w:kern w:val="0"/>
                      <w:szCs w:val="21"/>
                    </w:rPr>
                    <w:t>1</w:t>
                  </w:r>
                </w:p>
              </w:tc>
              <w:tc>
                <w:tcPr>
                  <w:tcW w:w="715" w:type="pct"/>
                  <w:tcBorders>
                    <w:tl2br w:val="nil"/>
                    <w:tr2bl w:val="nil"/>
                  </w:tcBorders>
                  <w:noWrap w:val="0"/>
                  <w:vAlign w:val="center"/>
                </w:tcPr>
                <w:p>
                  <w:pPr>
                    <w:widowControl/>
                    <w:jc w:val="center"/>
                    <w:rPr>
                      <w:rFonts w:ascii="Times New Roman" w:hAnsi="Times New Roman"/>
                      <w:kern w:val="0"/>
                      <w:szCs w:val="21"/>
                    </w:rPr>
                  </w:pPr>
                  <w:r>
                    <w:rPr>
                      <w:rFonts w:ascii="Times New Roman" w:hAnsi="Times New Roman"/>
                      <w:kern w:val="0"/>
                      <w:szCs w:val="21"/>
                    </w:rPr>
                    <w:t>耕地</w:t>
                  </w:r>
                </w:p>
              </w:tc>
              <w:tc>
                <w:tcPr>
                  <w:tcW w:w="714" w:type="pct"/>
                  <w:tcBorders>
                    <w:tl2br w:val="nil"/>
                    <w:tr2bl w:val="nil"/>
                  </w:tcBorders>
                  <w:noWrap w:val="0"/>
                  <w:vAlign w:val="center"/>
                </w:tcPr>
                <w:p>
                  <w:pPr>
                    <w:jc w:val="center"/>
                    <w:rPr>
                      <w:rFonts w:ascii="Times New Roman" w:hAnsi="Times New Roman"/>
                    </w:rPr>
                  </w:pPr>
                  <w:r>
                    <w:rPr>
                      <w:rFonts w:ascii="Times New Roman" w:hAnsi="Times New Roman"/>
                    </w:rPr>
                    <w:t>39.04</w:t>
                  </w:r>
                </w:p>
              </w:tc>
              <w:tc>
                <w:tcPr>
                  <w:tcW w:w="998" w:type="pct"/>
                  <w:tcBorders>
                    <w:tl2br w:val="nil"/>
                    <w:tr2bl w:val="nil"/>
                  </w:tcBorders>
                  <w:noWrap w:val="0"/>
                  <w:vAlign w:val="top"/>
                </w:tcPr>
                <w:p>
                  <w:pPr>
                    <w:jc w:val="center"/>
                    <w:rPr>
                      <w:rFonts w:ascii="Times New Roman" w:hAnsi="Times New Roman"/>
                    </w:rPr>
                  </w:pPr>
                  <w:r>
                    <w:rPr>
                      <w:rFonts w:hint="eastAsia" w:ascii="Times New Roman" w:hAnsi="Times New Roman"/>
                    </w:rPr>
                    <w:t>3</w:t>
                  </w:r>
                  <w:r>
                    <w:rPr>
                      <w:rFonts w:ascii="Times New Roman" w:hAnsi="Times New Roman"/>
                    </w:rPr>
                    <w:t>.65</w:t>
                  </w:r>
                </w:p>
              </w:tc>
              <w:tc>
                <w:tcPr>
                  <w:tcW w:w="998" w:type="pct"/>
                  <w:tcBorders>
                    <w:tl2br w:val="nil"/>
                    <w:tr2bl w:val="nil"/>
                  </w:tcBorders>
                  <w:noWrap w:val="0"/>
                  <w:vAlign w:val="center"/>
                </w:tcPr>
                <w:p>
                  <w:pPr>
                    <w:jc w:val="center"/>
                    <w:rPr>
                      <w:rFonts w:ascii="Times New Roman" w:hAnsi="Times New Roman"/>
                    </w:rPr>
                  </w:pPr>
                  <w:r>
                    <w:rPr>
                      <w:rFonts w:ascii="Times New Roman" w:hAnsi="Times New Roman"/>
                    </w:rPr>
                    <w:t>0.00</w:t>
                  </w:r>
                </w:p>
              </w:tc>
              <w:tc>
                <w:tcPr>
                  <w:tcW w:w="714" w:type="pct"/>
                  <w:tcBorders>
                    <w:tl2br w:val="nil"/>
                    <w:tr2bl w:val="nil"/>
                  </w:tcBorders>
                  <w:noWrap w:val="0"/>
                  <w:vAlign w:val="center"/>
                </w:tcPr>
                <w:p>
                  <w:pPr>
                    <w:jc w:val="center"/>
                    <w:rPr>
                      <w:rFonts w:ascii="Times New Roman" w:hAnsi="Times New Roman"/>
                    </w:rPr>
                  </w:pPr>
                  <w:r>
                    <w:rPr>
                      <w:rFonts w:ascii="Times New Roman" w:hAnsi="Times New Roman"/>
                    </w:rPr>
                    <w:t>4.92</w:t>
                  </w:r>
                </w:p>
              </w:tc>
              <w:tc>
                <w:tcPr>
                  <w:tcW w:w="914" w:type="dxa"/>
                  <w:tcBorders>
                    <w:tl2br w:val="nil"/>
                    <w:tr2bl w:val="nil"/>
                  </w:tcBorders>
                  <w:noWrap w:val="0"/>
                  <w:vAlign w:val="center"/>
                </w:tcPr>
                <w:p>
                  <w:pPr>
                    <w:jc w:val="center"/>
                    <w:rPr>
                      <w:rFonts w:ascii="Times New Roman" w:hAnsi="Times New Roman" w:eastAsia="宋体"/>
                    </w:rPr>
                  </w:pPr>
                  <w:r>
                    <w:rPr>
                      <w:rFonts w:hint="eastAsia" w:ascii="Times New Roman" w:hAnsi="Times New Roman" w:eastAsia="宋体"/>
                      <w:lang w:val="en-US" w:eastAsia="zh-CN"/>
                    </w:rPr>
                    <w:t>47.61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285" w:type="pct"/>
                  <w:tcBorders>
                    <w:tl2br w:val="nil"/>
                    <w:tr2bl w:val="nil"/>
                  </w:tcBorders>
                  <w:noWrap w:val="0"/>
                  <w:vAlign w:val="center"/>
                </w:tcPr>
                <w:p>
                  <w:pPr>
                    <w:widowControl/>
                    <w:jc w:val="center"/>
                    <w:rPr>
                      <w:rFonts w:ascii="Times New Roman" w:hAnsi="Times New Roman"/>
                      <w:kern w:val="0"/>
                      <w:szCs w:val="21"/>
                    </w:rPr>
                  </w:pPr>
                  <w:r>
                    <w:rPr>
                      <w:rFonts w:ascii="Times New Roman" w:hAnsi="Times New Roman"/>
                      <w:kern w:val="0"/>
                      <w:szCs w:val="21"/>
                    </w:rPr>
                    <w:t>2</w:t>
                  </w:r>
                </w:p>
              </w:tc>
              <w:tc>
                <w:tcPr>
                  <w:tcW w:w="715" w:type="pct"/>
                  <w:tcBorders>
                    <w:tl2br w:val="nil"/>
                    <w:tr2bl w:val="nil"/>
                  </w:tcBorders>
                  <w:noWrap w:val="0"/>
                  <w:vAlign w:val="center"/>
                </w:tcPr>
                <w:p>
                  <w:pPr>
                    <w:widowControl/>
                    <w:jc w:val="center"/>
                    <w:rPr>
                      <w:rFonts w:ascii="Times New Roman" w:hAnsi="Times New Roman"/>
                      <w:kern w:val="0"/>
                      <w:szCs w:val="21"/>
                    </w:rPr>
                  </w:pPr>
                  <w:r>
                    <w:rPr>
                      <w:rFonts w:ascii="Times New Roman" w:hAnsi="Times New Roman"/>
                      <w:kern w:val="0"/>
                      <w:szCs w:val="21"/>
                    </w:rPr>
                    <w:t>林地</w:t>
                  </w:r>
                </w:p>
              </w:tc>
              <w:tc>
                <w:tcPr>
                  <w:tcW w:w="714" w:type="pct"/>
                  <w:tcBorders>
                    <w:tl2br w:val="nil"/>
                    <w:tr2bl w:val="nil"/>
                  </w:tcBorders>
                  <w:noWrap w:val="0"/>
                  <w:vAlign w:val="center"/>
                </w:tcPr>
                <w:p>
                  <w:pPr>
                    <w:jc w:val="center"/>
                    <w:rPr>
                      <w:rFonts w:ascii="Times New Roman" w:hAnsi="Times New Roman"/>
                    </w:rPr>
                  </w:pPr>
                  <w:r>
                    <w:rPr>
                      <w:rFonts w:ascii="Times New Roman" w:hAnsi="Times New Roman"/>
                    </w:rPr>
                    <w:t>19.41</w:t>
                  </w:r>
                </w:p>
              </w:tc>
              <w:tc>
                <w:tcPr>
                  <w:tcW w:w="998" w:type="pct"/>
                  <w:tcBorders>
                    <w:tl2br w:val="nil"/>
                    <w:tr2bl w:val="nil"/>
                  </w:tcBorders>
                  <w:noWrap w:val="0"/>
                  <w:vAlign w:val="top"/>
                </w:tcPr>
                <w:p>
                  <w:pPr>
                    <w:jc w:val="center"/>
                    <w:rPr>
                      <w:rFonts w:ascii="Times New Roman" w:hAnsi="Times New Roman"/>
                    </w:rPr>
                  </w:pPr>
                  <w:r>
                    <w:rPr>
                      <w:rFonts w:hint="eastAsia" w:ascii="Times New Roman" w:hAnsi="Times New Roman"/>
                    </w:rPr>
                    <w:t>0</w:t>
                  </w:r>
                  <w:r>
                    <w:rPr>
                      <w:rFonts w:ascii="Times New Roman" w:hAnsi="Times New Roman"/>
                    </w:rPr>
                    <w:t>.28</w:t>
                  </w:r>
                </w:p>
              </w:tc>
              <w:tc>
                <w:tcPr>
                  <w:tcW w:w="998" w:type="pct"/>
                  <w:tcBorders>
                    <w:tl2br w:val="nil"/>
                    <w:tr2bl w:val="nil"/>
                  </w:tcBorders>
                  <w:noWrap w:val="0"/>
                  <w:vAlign w:val="center"/>
                </w:tcPr>
                <w:p>
                  <w:pPr>
                    <w:jc w:val="center"/>
                    <w:rPr>
                      <w:rFonts w:ascii="Times New Roman" w:hAnsi="Times New Roman"/>
                    </w:rPr>
                  </w:pPr>
                  <w:r>
                    <w:rPr>
                      <w:rFonts w:ascii="Times New Roman" w:hAnsi="Times New Roman"/>
                    </w:rPr>
                    <w:t>0.00</w:t>
                  </w:r>
                </w:p>
              </w:tc>
              <w:tc>
                <w:tcPr>
                  <w:tcW w:w="714" w:type="pct"/>
                  <w:tcBorders>
                    <w:tl2br w:val="nil"/>
                    <w:tr2bl w:val="nil"/>
                  </w:tcBorders>
                  <w:noWrap w:val="0"/>
                  <w:vAlign w:val="center"/>
                </w:tcPr>
                <w:p>
                  <w:pPr>
                    <w:jc w:val="center"/>
                    <w:rPr>
                      <w:rFonts w:ascii="Times New Roman" w:hAnsi="Times New Roman"/>
                    </w:rPr>
                  </w:pPr>
                  <w:r>
                    <w:rPr>
                      <w:rFonts w:ascii="Times New Roman" w:hAnsi="Times New Roman"/>
                    </w:rPr>
                    <w:t>0.00</w:t>
                  </w:r>
                </w:p>
              </w:tc>
              <w:tc>
                <w:tcPr>
                  <w:tcW w:w="914" w:type="dxa"/>
                  <w:tcBorders>
                    <w:tl2br w:val="nil"/>
                    <w:tr2bl w:val="nil"/>
                  </w:tcBorders>
                  <w:noWrap w:val="0"/>
                  <w:vAlign w:val="center"/>
                </w:tcPr>
                <w:p>
                  <w:pPr>
                    <w:jc w:val="center"/>
                    <w:rPr>
                      <w:rFonts w:ascii="Times New Roman" w:hAnsi="Times New Roman" w:eastAsia="宋体"/>
                    </w:rPr>
                  </w:pPr>
                  <w:r>
                    <w:rPr>
                      <w:rFonts w:hint="eastAsia" w:ascii="Times New Roman" w:hAnsi="Times New Roman" w:eastAsia="宋体"/>
                      <w:lang w:val="en-US" w:eastAsia="zh-CN"/>
                    </w:rPr>
                    <w:t>19.69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285" w:type="pct"/>
                  <w:tcBorders>
                    <w:tl2br w:val="nil"/>
                    <w:tr2bl w:val="nil"/>
                  </w:tcBorders>
                  <w:noWrap w:val="0"/>
                  <w:vAlign w:val="center"/>
                </w:tcPr>
                <w:p>
                  <w:pPr>
                    <w:widowControl/>
                    <w:jc w:val="center"/>
                    <w:rPr>
                      <w:rFonts w:ascii="Times New Roman" w:hAnsi="Times New Roman"/>
                      <w:kern w:val="0"/>
                      <w:szCs w:val="21"/>
                    </w:rPr>
                  </w:pPr>
                  <w:r>
                    <w:rPr>
                      <w:rFonts w:ascii="Times New Roman" w:hAnsi="Times New Roman"/>
                      <w:kern w:val="0"/>
                      <w:szCs w:val="21"/>
                    </w:rPr>
                    <w:t>3</w:t>
                  </w:r>
                </w:p>
              </w:tc>
              <w:tc>
                <w:tcPr>
                  <w:tcW w:w="715" w:type="pct"/>
                  <w:tcBorders>
                    <w:tl2br w:val="nil"/>
                    <w:tr2bl w:val="nil"/>
                  </w:tcBorders>
                  <w:noWrap w:val="0"/>
                  <w:vAlign w:val="center"/>
                </w:tcPr>
                <w:p>
                  <w:pPr>
                    <w:widowControl/>
                    <w:jc w:val="center"/>
                    <w:rPr>
                      <w:rFonts w:ascii="Times New Roman" w:hAnsi="Times New Roman"/>
                      <w:kern w:val="0"/>
                      <w:szCs w:val="21"/>
                    </w:rPr>
                  </w:pPr>
                  <w:r>
                    <w:rPr>
                      <w:rFonts w:ascii="Times New Roman" w:hAnsi="Times New Roman"/>
                      <w:kern w:val="0"/>
                      <w:szCs w:val="21"/>
                    </w:rPr>
                    <w:t>果园</w:t>
                  </w:r>
                </w:p>
              </w:tc>
              <w:tc>
                <w:tcPr>
                  <w:tcW w:w="714" w:type="pct"/>
                  <w:tcBorders>
                    <w:tl2br w:val="nil"/>
                    <w:tr2bl w:val="nil"/>
                  </w:tcBorders>
                  <w:noWrap w:val="0"/>
                  <w:vAlign w:val="center"/>
                </w:tcPr>
                <w:p>
                  <w:pPr>
                    <w:jc w:val="center"/>
                    <w:rPr>
                      <w:rFonts w:ascii="Times New Roman" w:hAnsi="Times New Roman"/>
                    </w:rPr>
                  </w:pPr>
                  <w:r>
                    <w:rPr>
                      <w:rFonts w:ascii="Times New Roman" w:hAnsi="Times New Roman"/>
                    </w:rPr>
                    <w:t>1.51</w:t>
                  </w:r>
                </w:p>
              </w:tc>
              <w:tc>
                <w:tcPr>
                  <w:tcW w:w="998" w:type="pct"/>
                  <w:tcBorders>
                    <w:tl2br w:val="nil"/>
                    <w:tr2bl w:val="nil"/>
                  </w:tcBorders>
                  <w:noWrap w:val="0"/>
                  <w:vAlign w:val="top"/>
                </w:tcPr>
                <w:p>
                  <w:pPr>
                    <w:jc w:val="center"/>
                    <w:rPr>
                      <w:rFonts w:ascii="Times New Roman" w:hAnsi="Times New Roman"/>
                    </w:rPr>
                  </w:pPr>
                  <w:r>
                    <w:rPr>
                      <w:rFonts w:hint="eastAsia" w:ascii="Times New Roman" w:hAnsi="Times New Roman"/>
                    </w:rPr>
                    <w:t>0</w:t>
                  </w:r>
                  <w:r>
                    <w:rPr>
                      <w:rFonts w:ascii="Times New Roman" w:hAnsi="Times New Roman"/>
                    </w:rPr>
                    <w:t>.00</w:t>
                  </w:r>
                </w:p>
              </w:tc>
              <w:tc>
                <w:tcPr>
                  <w:tcW w:w="998" w:type="pct"/>
                  <w:tcBorders>
                    <w:tl2br w:val="nil"/>
                    <w:tr2bl w:val="nil"/>
                  </w:tcBorders>
                  <w:noWrap w:val="0"/>
                  <w:vAlign w:val="center"/>
                </w:tcPr>
                <w:p>
                  <w:pPr>
                    <w:jc w:val="center"/>
                    <w:rPr>
                      <w:rFonts w:ascii="Times New Roman" w:hAnsi="Times New Roman"/>
                    </w:rPr>
                  </w:pPr>
                  <w:r>
                    <w:rPr>
                      <w:rFonts w:ascii="Times New Roman" w:hAnsi="Times New Roman"/>
                    </w:rPr>
                    <w:t>0.00</w:t>
                  </w:r>
                </w:p>
              </w:tc>
              <w:tc>
                <w:tcPr>
                  <w:tcW w:w="714" w:type="pct"/>
                  <w:tcBorders>
                    <w:tl2br w:val="nil"/>
                    <w:tr2bl w:val="nil"/>
                  </w:tcBorders>
                  <w:noWrap w:val="0"/>
                  <w:vAlign w:val="center"/>
                </w:tcPr>
                <w:p>
                  <w:pPr>
                    <w:jc w:val="center"/>
                    <w:rPr>
                      <w:rFonts w:ascii="Times New Roman" w:hAnsi="Times New Roman"/>
                    </w:rPr>
                  </w:pPr>
                  <w:r>
                    <w:rPr>
                      <w:rFonts w:ascii="Times New Roman" w:hAnsi="Times New Roman"/>
                    </w:rPr>
                    <w:t>0.48</w:t>
                  </w:r>
                </w:p>
              </w:tc>
              <w:tc>
                <w:tcPr>
                  <w:tcW w:w="914" w:type="dxa"/>
                  <w:tcBorders>
                    <w:tl2br w:val="nil"/>
                    <w:tr2bl w:val="nil"/>
                  </w:tcBorders>
                  <w:noWrap w:val="0"/>
                  <w:vAlign w:val="center"/>
                </w:tcPr>
                <w:p>
                  <w:pPr>
                    <w:jc w:val="center"/>
                    <w:rPr>
                      <w:rFonts w:ascii="Times New Roman" w:hAnsi="Times New Roman" w:eastAsia="宋体"/>
                    </w:rPr>
                  </w:pPr>
                  <w:r>
                    <w:rPr>
                      <w:rFonts w:hint="eastAsia" w:ascii="Times New Roman" w:hAnsi="Times New Roman" w:eastAsia="宋体"/>
                      <w:lang w:val="en-US" w:eastAsia="zh-CN"/>
                    </w:rPr>
                    <w:t>1.99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285" w:type="pct"/>
                  <w:tcBorders>
                    <w:tl2br w:val="nil"/>
                    <w:tr2bl w:val="nil"/>
                  </w:tcBorders>
                  <w:noWrap w:val="0"/>
                  <w:vAlign w:val="center"/>
                </w:tcPr>
                <w:p>
                  <w:pPr>
                    <w:widowControl/>
                    <w:jc w:val="center"/>
                    <w:rPr>
                      <w:rFonts w:ascii="Times New Roman" w:hAnsi="Times New Roman"/>
                      <w:kern w:val="0"/>
                      <w:szCs w:val="21"/>
                    </w:rPr>
                  </w:pPr>
                  <w:r>
                    <w:rPr>
                      <w:rFonts w:ascii="Times New Roman" w:hAnsi="Times New Roman"/>
                      <w:kern w:val="0"/>
                      <w:szCs w:val="21"/>
                    </w:rPr>
                    <w:t>4</w:t>
                  </w:r>
                </w:p>
              </w:tc>
              <w:tc>
                <w:tcPr>
                  <w:tcW w:w="715" w:type="pct"/>
                  <w:tcBorders>
                    <w:tl2br w:val="nil"/>
                    <w:tr2bl w:val="nil"/>
                  </w:tcBorders>
                  <w:noWrap w:val="0"/>
                  <w:vAlign w:val="center"/>
                </w:tcPr>
                <w:p>
                  <w:pPr>
                    <w:widowControl/>
                    <w:jc w:val="center"/>
                    <w:rPr>
                      <w:rFonts w:ascii="Times New Roman" w:hAnsi="Times New Roman"/>
                      <w:kern w:val="0"/>
                      <w:szCs w:val="21"/>
                    </w:rPr>
                  </w:pPr>
                  <w:r>
                    <w:rPr>
                      <w:rFonts w:ascii="Times New Roman" w:hAnsi="Times New Roman"/>
                      <w:kern w:val="0"/>
                      <w:szCs w:val="21"/>
                    </w:rPr>
                    <w:t>河滩地</w:t>
                  </w:r>
                </w:p>
              </w:tc>
              <w:tc>
                <w:tcPr>
                  <w:tcW w:w="714" w:type="pct"/>
                  <w:tcBorders>
                    <w:tl2br w:val="nil"/>
                    <w:tr2bl w:val="nil"/>
                  </w:tcBorders>
                  <w:noWrap w:val="0"/>
                  <w:vAlign w:val="center"/>
                </w:tcPr>
                <w:p>
                  <w:pPr>
                    <w:jc w:val="center"/>
                    <w:rPr>
                      <w:rFonts w:ascii="Times New Roman" w:hAnsi="Times New Roman"/>
                    </w:rPr>
                  </w:pPr>
                  <w:r>
                    <w:rPr>
                      <w:rFonts w:ascii="Times New Roman" w:hAnsi="Times New Roman"/>
                    </w:rPr>
                    <w:t>22.75</w:t>
                  </w:r>
                </w:p>
              </w:tc>
              <w:tc>
                <w:tcPr>
                  <w:tcW w:w="998" w:type="pct"/>
                  <w:tcBorders>
                    <w:tl2br w:val="nil"/>
                    <w:tr2bl w:val="nil"/>
                  </w:tcBorders>
                  <w:noWrap w:val="0"/>
                  <w:vAlign w:val="top"/>
                </w:tcPr>
                <w:p>
                  <w:pPr>
                    <w:jc w:val="center"/>
                    <w:rPr>
                      <w:rFonts w:ascii="Times New Roman" w:hAnsi="Times New Roman"/>
                    </w:rPr>
                  </w:pPr>
                  <w:r>
                    <w:rPr>
                      <w:rFonts w:ascii="Times New Roman" w:hAnsi="Times New Roman"/>
                    </w:rPr>
                    <w:t>5.47</w:t>
                  </w:r>
                </w:p>
              </w:tc>
              <w:tc>
                <w:tcPr>
                  <w:tcW w:w="998" w:type="pct"/>
                  <w:tcBorders>
                    <w:tl2br w:val="nil"/>
                    <w:tr2bl w:val="nil"/>
                  </w:tcBorders>
                  <w:noWrap w:val="0"/>
                  <w:vAlign w:val="center"/>
                </w:tcPr>
                <w:p>
                  <w:pPr>
                    <w:jc w:val="center"/>
                    <w:rPr>
                      <w:rFonts w:ascii="Times New Roman" w:hAnsi="Times New Roman"/>
                    </w:rPr>
                  </w:pPr>
                  <w:r>
                    <w:rPr>
                      <w:rFonts w:ascii="Times New Roman" w:hAnsi="Times New Roman"/>
                    </w:rPr>
                    <w:t>0.3</w:t>
                  </w:r>
                </w:p>
              </w:tc>
              <w:tc>
                <w:tcPr>
                  <w:tcW w:w="714" w:type="pct"/>
                  <w:tcBorders>
                    <w:tl2br w:val="nil"/>
                    <w:tr2bl w:val="nil"/>
                  </w:tcBorders>
                  <w:noWrap w:val="0"/>
                  <w:vAlign w:val="center"/>
                </w:tcPr>
                <w:p>
                  <w:pPr>
                    <w:jc w:val="center"/>
                    <w:rPr>
                      <w:rFonts w:ascii="Times New Roman" w:hAnsi="Times New Roman"/>
                    </w:rPr>
                  </w:pPr>
                  <w:r>
                    <w:rPr>
                      <w:rFonts w:ascii="Times New Roman" w:hAnsi="Times New Roman"/>
                    </w:rPr>
                    <w:t>0</w:t>
                  </w:r>
                </w:p>
              </w:tc>
              <w:tc>
                <w:tcPr>
                  <w:tcW w:w="914" w:type="dxa"/>
                  <w:tcBorders>
                    <w:tl2br w:val="nil"/>
                    <w:tr2bl w:val="nil"/>
                  </w:tcBorders>
                  <w:noWrap w:val="0"/>
                  <w:vAlign w:val="center"/>
                </w:tcPr>
                <w:p>
                  <w:pPr>
                    <w:jc w:val="center"/>
                    <w:rPr>
                      <w:rFonts w:ascii="Times New Roman" w:hAnsi="Times New Roman" w:eastAsia="宋体"/>
                    </w:rPr>
                  </w:pPr>
                  <w:r>
                    <w:rPr>
                      <w:rFonts w:hint="eastAsia" w:ascii="Times New Roman" w:hAnsi="Times New Roman" w:eastAsia="宋体"/>
                      <w:lang w:val="en-US" w:eastAsia="zh-CN"/>
                    </w:rPr>
                    <w:t>28.52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285" w:type="pct"/>
                  <w:tcBorders>
                    <w:tl2br w:val="nil"/>
                    <w:tr2bl w:val="nil"/>
                  </w:tcBorders>
                  <w:noWrap w:val="0"/>
                  <w:vAlign w:val="center"/>
                </w:tcPr>
                <w:p>
                  <w:pPr>
                    <w:widowControl/>
                    <w:jc w:val="center"/>
                    <w:rPr>
                      <w:rFonts w:ascii="Times New Roman" w:hAnsi="Times New Roman"/>
                      <w:kern w:val="0"/>
                      <w:szCs w:val="21"/>
                    </w:rPr>
                  </w:pPr>
                  <w:r>
                    <w:rPr>
                      <w:rFonts w:hint="eastAsia" w:ascii="Times New Roman" w:hAnsi="Times New Roman"/>
                      <w:kern w:val="0"/>
                      <w:szCs w:val="21"/>
                    </w:rPr>
                    <w:t>二</w:t>
                  </w:r>
                </w:p>
              </w:tc>
              <w:tc>
                <w:tcPr>
                  <w:tcW w:w="715" w:type="pct"/>
                  <w:tcBorders>
                    <w:tl2br w:val="nil"/>
                    <w:tr2bl w:val="nil"/>
                  </w:tcBorders>
                  <w:noWrap w:val="0"/>
                  <w:vAlign w:val="center"/>
                </w:tcPr>
                <w:p>
                  <w:pPr>
                    <w:widowControl/>
                    <w:jc w:val="center"/>
                    <w:rPr>
                      <w:rFonts w:hint="eastAsia" w:ascii="Times New Roman" w:hAnsi="Times New Roman"/>
                      <w:kern w:val="0"/>
                      <w:szCs w:val="21"/>
                    </w:rPr>
                  </w:pPr>
                  <w:r>
                    <w:rPr>
                      <w:rFonts w:hint="eastAsia" w:ascii="Times New Roman" w:hAnsi="Times New Roman"/>
                      <w:kern w:val="0"/>
                      <w:szCs w:val="21"/>
                    </w:rPr>
                    <w:t>零星树木</w:t>
                  </w:r>
                </w:p>
              </w:tc>
              <w:tc>
                <w:tcPr>
                  <w:tcW w:w="4001" w:type="pct"/>
                  <w:gridSpan w:val="5"/>
                  <w:tcBorders>
                    <w:tl2br w:val="nil"/>
                    <w:tr2bl w:val="nil"/>
                  </w:tcBorders>
                  <w:noWrap w:val="0"/>
                  <w:vAlign w:val="center"/>
                </w:tcPr>
                <w:p>
                  <w:pPr>
                    <w:jc w:val="center"/>
                    <w:rPr>
                      <w:rFonts w:ascii="Times New Roman" w:hAnsi="Times New Roman"/>
                      <w:szCs w:val="21"/>
                    </w:rPr>
                  </w:pPr>
                  <w:r>
                    <w:rPr>
                      <w:rFonts w:hint="eastAsia" w:ascii="Times New Roman" w:hAnsi="Times New Roman"/>
                      <w:szCs w:val="21"/>
                    </w:rPr>
                    <w:t>2</w:t>
                  </w:r>
                  <w:r>
                    <w:rPr>
                      <w:rFonts w:ascii="Times New Roman" w:hAnsi="Times New Roman"/>
                      <w:szCs w:val="21"/>
                    </w:rPr>
                    <w:t>7</w:t>
                  </w:r>
                  <w:r>
                    <w:rPr>
                      <w:rFonts w:hint="eastAsia" w:ascii="Times New Roman" w:hAnsi="Times New Roman"/>
                      <w:szCs w:val="21"/>
                    </w:rPr>
                    <w:t>棵红豆杉苗、7棵柑橘苗</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285" w:type="pct"/>
                  <w:tcBorders>
                    <w:tl2br w:val="nil"/>
                    <w:tr2bl w:val="nil"/>
                  </w:tcBorders>
                  <w:noWrap w:val="0"/>
                  <w:vAlign w:val="center"/>
                </w:tcPr>
                <w:p>
                  <w:pPr>
                    <w:widowControl/>
                    <w:jc w:val="center"/>
                    <w:rPr>
                      <w:rFonts w:hint="eastAsia" w:ascii="Times New Roman" w:hAnsi="Times New Roman"/>
                      <w:kern w:val="0"/>
                      <w:szCs w:val="21"/>
                    </w:rPr>
                  </w:pPr>
                  <w:r>
                    <w:rPr>
                      <w:rFonts w:hint="eastAsia" w:ascii="Times New Roman" w:hAnsi="Times New Roman"/>
                      <w:kern w:val="0"/>
                      <w:szCs w:val="21"/>
                    </w:rPr>
                    <w:t>三</w:t>
                  </w:r>
                </w:p>
              </w:tc>
              <w:tc>
                <w:tcPr>
                  <w:tcW w:w="715" w:type="pct"/>
                  <w:tcBorders>
                    <w:tl2br w:val="nil"/>
                    <w:tr2bl w:val="nil"/>
                  </w:tcBorders>
                  <w:noWrap w:val="0"/>
                  <w:vAlign w:val="center"/>
                </w:tcPr>
                <w:p>
                  <w:pPr>
                    <w:widowControl/>
                    <w:jc w:val="center"/>
                    <w:rPr>
                      <w:rFonts w:hint="eastAsia" w:ascii="Times New Roman" w:hAnsi="Times New Roman"/>
                      <w:kern w:val="0"/>
                      <w:szCs w:val="21"/>
                    </w:rPr>
                  </w:pPr>
                  <w:r>
                    <w:rPr>
                      <w:rFonts w:hint="eastAsia" w:ascii="Times New Roman" w:hAnsi="Times New Roman"/>
                      <w:kern w:val="0"/>
                      <w:szCs w:val="21"/>
                    </w:rPr>
                    <w:t>农村小型专项设施</w:t>
                  </w:r>
                </w:p>
              </w:tc>
              <w:tc>
                <w:tcPr>
                  <w:tcW w:w="4001" w:type="pct"/>
                  <w:gridSpan w:val="5"/>
                  <w:tcBorders>
                    <w:tl2br w:val="nil"/>
                    <w:tr2bl w:val="nil"/>
                  </w:tcBorders>
                  <w:noWrap w:val="0"/>
                  <w:vAlign w:val="center"/>
                </w:tcPr>
                <w:p>
                  <w:pPr>
                    <w:jc w:val="center"/>
                    <w:rPr>
                      <w:rFonts w:ascii="Times New Roman" w:hAnsi="Times New Roman"/>
                      <w:szCs w:val="21"/>
                    </w:rPr>
                  </w:pPr>
                  <w:r>
                    <w:rPr>
                      <w:rFonts w:hint="eastAsia" w:ascii="Times New Roman" w:hAnsi="Times New Roman"/>
                      <w:szCs w:val="21"/>
                    </w:rPr>
                    <w:t>水池：尺寸为</w:t>
                  </w:r>
                  <w:r>
                    <w:rPr>
                      <w:rFonts w:ascii="Times New Roman" w:hAnsi="Times New Roman"/>
                      <w:szCs w:val="21"/>
                    </w:rPr>
                    <w:t>2m</w:t>
                  </w:r>
                  <w:r>
                    <w:rPr>
                      <w:rFonts w:hint="eastAsia" w:ascii="Times New Roman" w:hAnsi="Times New Roman"/>
                      <w:szCs w:val="21"/>
                    </w:rPr>
                    <w:t>×</w:t>
                  </w:r>
                  <w:r>
                    <w:rPr>
                      <w:rFonts w:ascii="Times New Roman" w:hAnsi="Times New Roman"/>
                      <w:szCs w:val="21"/>
                    </w:rPr>
                    <w:t>2m</w:t>
                  </w:r>
                  <w:r>
                    <w:rPr>
                      <w:rFonts w:hint="eastAsia" w:ascii="Times New Roman" w:hAnsi="Times New Roman"/>
                      <w:szCs w:val="21"/>
                    </w:rPr>
                    <w:t>×</w:t>
                  </w:r>
                  <w:r>
                    <w:rPr>
                      <w:rFonts w:ascii="Times New Roman" w:hAnsi="Times New Roman"/>
                      <w:szCs w:val="21"/>
                    </w:rPr>
                    <w:t>1.6m</w:t>
                  </w:r>
                </w:p>
              </w:tc>
            </w:tr>
          </w:tbl>
          <w:p>
            <w:pPr>
              <w:pageBreakBefore w:val="0"/>
              <w:kinsoku/>
              <w:wordWrap/>
              <w:overflowPunct/>
              <w:topLinePunct w:val="0"/>
              <w:bidi w:val="0"/>
              <w:adjustRightInd w:val="0"/>
              <w:snapToGrid w:val="0"/>
              <w:spacing w:line="360" w:lineRule="auto"/>
              <w:ind w:left="0" w:leftChars="0" w:right="0" w:rightChars="0"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（2）移民搬迁</w:t>
            </w:r>
          </w:p>
          <w:p>
            <w:pPr>
              <w:pageBreakBefore w:val="0"/>
              <w:kinsoku/>
              <w:wordWrap/>
              <w:overflowPunct/>
              <w:topLinePunct w:val="0"/>
              <w:bidi w:val="0"/>
              <w:adjustRightInd w:val="0"/>
              <w:snapToGrid w:val="0"/>
              <w:spacing w:line="360" w:lineRule="auto"/>
              <w:ind w:left="0" w:leftChars="0" w:right="0" w:rightChars="0"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本工程护岸均布置在易受洪水淹没的河岸边线上，在这些地方没有居住的住户。故不涉及移</w:t>
            </w:r>
            <w:r>
              <w:rPr>
                <w:rFonts w:hint="eastAsia" w:cs="Times New Roman"/>
                <w:color w:val="auto"/>
                <w:sz w:val="24"/>
                <w:szCs w:val="24"/>
                <w:lang w:val="en-US" w:eastAsia="zh-CN"/>
              </w:rPr>
              <w:t>民</w:t>
            </w:r>
            <w:r>
              <w:rPr>
                <w:rFonts w:hint="default" w:ascii="Times New Roman" w:hAnsi="Times New Roman" w:eastAsia="宋体" w:cs="Times New Roman"/>
                <w:color w:val="auto"/>
                <w:sz w:val="24"/>
                <w:szCs w:val="24"/>
                <w:lang w:val="en-US" w:eastAsia="zh-CN"/>
              </w:rPr>
              <w:t>安置问题。</w:t>
            </w:r>
          </w:p>
          <w:p>
            <w:pPr>
              <w:adjustRightInd w:val="0"/>
              <w:snapToGrid w:val="0"/>
              <w:spacing w:line="360" w:lineRule="auto"/>
              <w:ind w:firstLine="456" w:firstLineChars="200"/>
              <w:rPr>
                <w:rFonts w:hint="default" w:ascii="Times New Roman" w:hAnsi="Times New Roman" w:eastAsia="宋体" w:cs="Times New Roman"/>
                <w:color w:val="auto"/>
                <w:spacing w:val="-6"/>
                <w:sz w:val="24"/>
              </w:rPr>
            </w:pPr>
            <w:r>
              <w:rPr>
                <w:rFonts w:hint="default" w:ascii="Times New Roman" w:hAnsi="Times New Roman" w:eastAsia="宋体" w:cs="Times New Roman"/>
                <w:color w:val="auto"/>
                <w:spacing w:val="-6"/>
                <w:sz w:val="24"/>
                <w:lang w:eastAsia="zh-CN"/>
              </w:rPr>
              <w:t>（</w:t>
            </w:r>
            <w:r>
              <w:rPr>
                <w:rFonts w:hint="default" w:ascii="Times New Roman" w:hAnsi="Times New Roman" w:eastAsia="宋体" w:cs="Times New Roman"/>
                <w:color w:val="auto"/>
                <w:spacing w:val="-6"/>
                <w:sz w:val="24"/>
                <w:lang w:val="en-US" w:eastAsia="zh-CN"/>
              </w:rPr>
              <w:t>3</w:t>
            </w:r>
            <w:r>
              <w:rPr>
                <w:rFonts w:hint="default" w:ascii="Times New Roman" w:hAnsi="Times New Roman" w:eastAsia="宋体" w:cs="Times New Roman"/>
                <w:color w:val="auto"/>
                <w:spacing w:val="-6"/>
                <w:sz w:val="24"/>
                <w:lang w:eastAsia="zh-CN"/>
              </w:rPr>
              <w:t>）</w:t>
            </w:r>
            <w:r>
              <w:rPr>
                <w:rFonts w:hint="default" w:ascii="Times New Roman" w:hAnsi="Times New Roman" w:eastAsia="宋体" w:cs="Times New Roman"/>
                <w:color w:val="auto"/>
                <w:spacing w:val="-6"/>
                <w:sz w:val="24"/>
              </w:rPr>
              <w:t>临时占地恢复</w:t>
            </w:r>
          </w:p>
          <w:p>
            <w:pPr>
              <w:pageBreakBefore w:val="0"/>
              <w:kinsoku/>
              <w:wordWrap/>
              <w:overflowPunct/>
              <w:topLinePunct w:val="0"/>
              <w:bidi w:val="0"/>
              <w:adjustRightInd w:val="0"/>
              <w:snapToGrid w:val="0"/>
              <w:spacing w:line="360" w:lineRule="auto"/>
              <w:ind w:left="0" w:leftChars="0" w:right="0" w:rightChars="0" w:firstLine="480" w:firstLineChars="200"/>
              <w:jc w:val="both"/>
              <w:rPr>
                <w:rFonts w:hint="eastAsia" w:ascii="Times New Roman" w:hAnsi="Times New Roman" w:eastAsia="宋体" w:cs="Times New Roman"/>
                <w:color w:val="auto"/>
                <w:sz w:val="24"/>
                <w:szCs w:val="24"/>
                <w:highlight w:val="none"/>
                <w:lang w:val="en-US" w:eastAsia="zh-CN"/>
              </w:rPr>
            </w:pPr>
            <w:r>
              <w:rPr>
                <w:rFonts w:ascii="Times New Roman" w:hAnsi="Times New Roman"/>
                <w:sz w:val="24"/>
              </w:rPr>
              <w:t>施工临时占地包</w:t>
            </w:r>
            <w:r>
              <w:rPr>
                <w:rFonts w:ascii="Times New Roman" w:hAnsi="Times New Roman"/>
                <w:sz w:val="24"/>
                <w:highlight w:val="none"/>
              </w:rPr>
              <w:t>括营地和施工场地布置、临时施工道路、施工辅助企业、弃渣场等占地，共占地</w:t>
            </w:r>
            <w:r>
              <w:rPr>
                <w:rFonts w:hint="eastAsia"/>
                <w:sz w:val="24"/>
                <w:highlight w:val="none"/>
                <w:lang w:val="en-US" w:eastAsia="zh-CN"/>
              </w:rPr>
              <w:t>21.02</w:t>
            </w:r>
            <w:r>
              <w:rPr>
                <w:rFonts w:ascii="Times New Roman" w:hAnsi="Times New Roman"/>
                <w:sz w:val="24"/>
                <w:highlight w:val="none"/>
              </w:rPr>
              <w:t>亩</w:t>
            </w:r>
            <w:r>
              <w:rPr>
                <w:rFonts w:hint="eastAsia" w:ascii="Times New Roman" w:hAnsi="Times New Roman"/>
                <w:sz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color w:val="auto"/>
                <w:spacing w:val="-6"/>
                <w:highlight w:val="none"/>
              </w:rPr>
            </w:pPr>
            <w:r>
              <w:rPr>
                <w:rFonts w:hint="default" w:ascii="Times New Roman" w:hAnsi="Times New Roman" w:eastAsia="宋体" w:cs="Times New Roman"/>
                <w:b/>
                <w:bCs/>
                <w:color w:val="auto"/>
                <w:spacing w:val="-6"/>
                <w:highlight w:val="none"/>
              </w:rPr>
              <w:t>表</w:t>
            </w:r>
            <w:r>
              <w:rPr>
                <w:rFonts w:hint="eastAsia" w:eastAsia="宋体" w:cs="Times New Roman"/>
                <w:b/>
                <w:bCs/>
                <w:color w:val="auto"/>
                <w:spacing w:val="-6"/>
                <w:highlight w:val="none"/>
                <w:lang w:val="en-US" w:eastAsia="zh-CN"/>
              </w:rPr>
              <w:t>2-</w:t>
            </w:r>
            <w:r>
              <w:rPr>
                <w:rFonts w:hint="eastAsia" w:cs="Times New Roman"/>
                <w:b/>
                <w:bCs/>
                <w:color w:val="auto"/>
                <w:spacing w:val="-6"/>
                <w:highlight w:val="none"/>
                <w:lang w:val="en-US" w:eastAsia="zh-CN"/>
              </w:rPr>
              <w:t>7</w:t>
            </w:r>
            <w:r>
              <w:rPr>
                <w:rFonts w:hint="default" w:ascii="Times New Roman" w:hAnsi="Times New Roman" w:eastAsia="宋体" w:cs="Times New Roman"/>
                <w:b/>
                <w:bCs/>
                <w:color w:val="auto"/>
                <w:spacing w:val="-6"/>
                <w:highlight w:val="none"/>
              </w:rPr>
              <w:t xml:space="preserve"> </w:t>
            </w:r>
            <w:r>
              <w:rPr>
                <w:rFonts w:hint="eastAsia" w:cs="Times New Roman"/>
                <w:b/>
                <w:bCs/>
                <w:color w:val="auto"/>
                <w:spacing w:val="-6"/>
                <w:highlight w:val="none"/>
                <w:lang w:val="en-US" w:eastAsia="zh-CN"/>
              </w:rPr>
              <w:t xml:space="preserve"> </w:t>
            </w:r>
            <w:r>
              <w:rPr>
                <w:rFonts w:hint="default" w:ascii="Times New Roman" w:hAnsi="Times New Roman" w:eastAsia="宋体" w:cs="Times New Roman"/>
                <w:b/>
                <w:bCs/>
                <w:color w:val="auto"/>
                <w:spacing w:val="-6"/>
                <w:highlight w:val="none"/>
              </w:rPr>
              <w:t>施工临时</w:t>
            </w:r>
            <w:r>
              <w:rPr>
                <w:rFonts w:hint="eastAsia" w:eastAsia="宋体" w:cs="Times New Roman"/>
                <w:b/>
                <w:bCs/>
                <w:color w:val="auto"/>
                <w:spacing w:val="-6"/>
                <w:highlight w:val="none"/>
                <w:lang w:val="en-US" w:eastAsia="zh-CN"/>
              </w:rPr>
              <w:t>用</w:t>
            </w:r>
            <w:r>
              <w:rPr>
                <w:rFonts w:hint="default" w:ascii="Times New Roman" w:hAnsi="Times New Roman" w:eastAsia="宋体" w:cs="Times New Roman"/>
                <w:b/>
                <w:bCs/>
                <w:color w:val="auto"/>
                <w:spacing w:val="-6"/>
                <w:highlight w:val="none"/>
              </w:rPr>
              <w:t>地汇总表</w:t>
            </w:r>
          </w:p>
          <w:tbl>
            <w:tblPr>
              <w:tblStyle w:val="41"/>
              <w:tblW w:w="5000"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970"/>
              <w:gridCol w:w="2262"/>
              <w:gridCol w:w="2334"/>
              <w:gridCol w:w="248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089" w:type="pct"/>
                  <w:shd w:val="clear" w:color="auto" w:fill="auto"/>
                  <w:noWrap w:val="0"/>
                  <w:vAlign w:val="center"/>
                </w:tcPr>
                <w:p>
                  <w:pPr>
                    <w:widowControl/>
                    <w:jc w:val="center"/>
                    <w:rPr>
                      <w:rFonts w:ascii="Times New Roman" w:hAnsi="Times New Roman"/>
                      <w:b/>
                      <w:kern w:val="0"/>
                      <w:szCs w:val="21"/>
                    </w:rPr>
                  </w:pPr>
                  <w:r>
                    <w:rPr>
                      <w:rFonts w:ascii="Times New Roman" w:hAnsi="Times New Roman"/>
                      <w:b/>
                      <w:kern w:val="0"/>
                      <w:szCs w:val="21"/>
                    </w:rPr>
                    <w:t>序号</w:t>
                  </w:r>
                </w:p>
              </w:tc>
              <w:tc>
                <w:tcPr>
                  <w:tcW w:w="1250" w:type="pct"/>
                  <w:shd w:val="clear" w:color="auto" w:fill="auto"/>
                  <w:noWrap w:val="0"/>
                  <w:vAlign w:val="center"/>
                </w:tcPr>
                <w:p>
                  <w:pPr>
                    <w:widowControl/>
                    <w:jc w:val="center"/>
                    <w:rPr>
                      <w:rFonts w:ascii="Times New Roman" w:hAnsi="Times New Roman"/>
                      <w:b/>
                      <w:kern w:val="0"/>
                      <w:szCs w:val="21"/>
                    </w:rPr>
                  </w:pPr>
                  <w:r>
                    <w:rPr>
                      <w:rFonts w:ascii="Times New Roman" w:hAnsi="Times New Roman"/>
                      <w:b/>
                      <w:kern w:val="0"/>
                      <w:szCs w:val="21"/>
                    </w:rPr>
                    <w:t>名称</w:t>
                  </w:r>
                </w:p>
              </w:tc>
              <w:tc>
                <w:tcPr>
                  <w:tcW w:w="1290" w:type="pct"/>
                  <w:shd w:val="clear" w:color="auto" w:fill="auto"/>
                  <w:noWrap w:val="0"/>
                  <w:vAlign w:val="center"/>
                </w:tcPr>
                <w:p>
                  <w:pPr>
                    <w:widowControl/>
                    <w:jc w:val="center"/>
                    <w:rPr>
                      <w:rFonts w:ascii="Times New Roman" w:hAnsi="Times New Roman"/>
                      <w:b/>
                      <w:kern w:val="0"/>
                      <w:szCs w:val="21"/>
                    </w:rPr>
                  </w:pPr>
                  <w:r>
                    <w:rPr>
                      <w:rFonts w:ascii="Times New Roman" w:hAnsi="Times New Roman"/>
                      <w:b/>
                      <w:kern w:val="0"/>
                      <w:szCs w:val="21"/>
                    </w:rPr>
                    <w:t>占地面积（m</w:t>
                  </w:r>
                  <w:r>
                    <w:rPr>
                      <w:rFonts w:ascii="Times New Roman" w:hAnsi="Times New Roman"/>
                      <w:b/>
                      <w:kern w:val="0"/>
                      <w:szCs w:val="21"/>
                      <w:vertAlign w:val="superscript"/>
                    </w:rPr>
                    <w:t>2</w:t>
                  </w:r>
                  <w:r>
                    <w:rPr>
                      <w:rFonts w:ascii="Times New Roman" w:hAnsi="Times New Roman"/>
                      <w:b/>
                      <w:kern w:val="0"/>
                      <w:szCs w:val="21"/>
                    </w:rPr>
                    <w:t>）</w:t>
                  </w:r>
                </w:p>
              </w:tc>
              <w:tc>
                <w:tcPr>
                  <w:tcW w:w="1371" w:type="pct"/>
                  <w:shd w:val="clear" w:color="auto" w:fill="auto"/>
                  <w:noWrap w:val="0"/>
                  <w:vAlign w:val="center"/>
                </w:tcPr>
                <w:p>
                  <w:pPr>
                    <w:widowControl/>
                    <w:jc w:val="center"/>
                    <w:rPr>
                      <w:rFonts w:hint="eastAsia" w:ascii="Times New Roman" w:hAnsi="Times New Roman" w:eastAsia="宋体"/>
                      <w:b/>
                      <w:kern w:val="0"/>
                      <w:szCs w:val="21"/>
                      <w:lang w:eastAsia="zh-CN"/>
                    </w:rPr>
                  </w:pPr>
                  <w:r>
                    <w:rPr>
                      <w:rFonts w:ascii="Times New Roman" w:hAnsi="Times New Roman"/>
                      <w:b/>
                      <w:kern w:val="0"/>
                      <w:szCs w:val="21"/>
                    </w:rPr>
                    <w:t>数量</w:t>
                  </w:r>
                  <w:r>
                    <w:rPr>
                      <w:rFonts w:hint="eastAsia" w:ascii="Times New Roman" w:hAnsi="Times New Roman"/>
                      <w:b/>
                      <w:kern w:val="0"/>
                      <w:szCs w:val="21"/>
                      <w:lang w:eastAsia="zh-CN"/>
                    </w:rPr>
                    <w:t>（</w:t>
                  </w:r>
                  <w:r>
                    <w:rPr>
                      <w:rFonts w:ascii="Times New Roman" w:hAnsi="Times New Roman"/>
                      <w:b/>
                      <w:kern w:val="0"/>
                      <w:szCs w:val="21"/>
                    </w:rPr>
                    <w:t>亩</w:t>
                  </w:r>
                  <w:r>
                    <w:rPr>
                      <w:rFonts w:hint="eastAsia" w:ascii="Times New Roman" w:hAnsi="Times New Roman"/>
                      <w:b/>
                      <w:kern w:val="0"/>
                      <w:szCs w:val="21"/>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089" w:type="pct"/>
                  <w:shd w:val="clear" w:color="auto" w:fill="auto"/>
                  <w:noWrap w:val="0"/>
                  <w:vAlign w:val="center"/>
                </w:tcPr>
                <w:p>
                  <w:pPr>
                    <w:widowControl/>
                    <w:jc w:val="center"/>
                    <w:rPr>
                      <w:rFonts w:ascii="Times New Roman" w:hAnsi="Times New Roman"/>
                      <w:kern w:val="0"/>
                      <w:szCs w:val="21"/>
                    </w:rPr>
                  </w:pPr>
                  <w:r>
                    <w:rPr>
                      <w:rFonts w:ascii="Times New Roman" w:hAnsi="Times New Roman"/>
                      <w:kern w:val="0"/>
                      <w:szCs w:val="21"/>
                    </w:rPr>
                    <w:t>1</w:t>
                  </w:r>
                </w:p>
              </w:tc>
              <w:tc>
                <w:tcPr>
                  <w:tcW w:w="1250" w:type="pct"/>
                  <w:shd w:val="clear" w:color="auto" w:fill="auto"/>
                  <w:noWrap w:val="0"/>
                  <w:vAlign w:val="center"/>
                </w:tcPr>
                <w:p>
                  <w:pPr>
                    <w:widowControl/>
                    <w:jc w:val="center"/>
                    <w:rPr>
                      <w:rFonts w:ascii="Times New Roman" w:hAnsi="Times New Roman"/>
                      <w:kern w:val="0"/>
                      <w:szCs w:val="21"/>
                    </w:rPr>
                  </w:pPr>
                  <w:r>
                    <w:rPr>
                      <w:rFonts w:ascii="Times New Roman" w:hAnsi="Times New Roman"/>
                      <w:kern w:val="0"/>
                      <w:szCs w:val="21"/>
                    </w:rPr>
                    <w:t>临时设施</w:t>
                  </w:r>
                </w:p>
              </w:tc>
              <w:tc>
                <w:tcPr>
                  <w:tcW w:w="1290" w:type="pct"/>
                  <w:shd w:val="clear" w:color="auto" w:fill="auto"/>
                  <w:noWrap w:val="0"/>
                  <w:vAlign w:val="center"/>
                </w:tcPr>
                <w:p>
                  <w:pPr>
                    <w:widowControl/>
                    <w:jc w:val="center"/>
                    <w:rPr>
                      <w:rFonts w:ascii="Times New Roman" w:hAnsi="Times New Roman"/>
                      <w:kern w:val="0"/>
                      <w:szCs w:val="21"/>
                    </w:rPr>
                  </w:pPr>
                  <w:r>
                    <w:rPr>
                      <w:rFonts w:ascii="Times New Roman" w:hAnsi="Times New Roman"/>
                      <w:kern w:val="0"/>
                      <w:szCs w:val="21"/>
                    </w:rPr>
                    <w:t>1500</w:t>
                  </w:r>
                </w:p>
              </w:tc>
              <w:tc>
                <w:tcPr>
                  <w:tcW w:w="1371" w:type="pct"/>
                  <w:shd w:val="clear" w:color="auto" w:fill="auto"/>
                  <w:noWrap w:val="0"/>
                  <w:vAlign w:val="center"/>
                </w:tcPr>
                <w:p>
                  <w:pPr>
                    <w:jc w:val="center"/>
                    <w:rPr>
                      <w:rFonts w:ascii="Times New Roman" w:hAnsi="Times New Roman"/>
                      <w:kern w:val="0"/>
                      <w:szCs w:val="21"/>
                    </w:rPr>
                  </w:pPr>
                  <w:r>
                    <w:rPr>
                      <w:rFonts w:ascii="Times New Roman" w:hAnsi="Times New Roman"/>
                      <w:kern w:val="0"/>
                      <w:szCs w:val="21"/>
                    </w:rPr>
                    <w:t xml:space="preserve">2.25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089" w:type="pct"/>
                  <w:shd w:val="clear" w:color="auto" w:fill="auto"/>
                  <w:noWrap w:val="0"/>
                  <w:vAlign w:val="center"/>
                </w:tcPr>
                <w:p>
                  <w:pPr>
                    <w:widowControl/>
                    <w:jc w:val="center"/>
                    <w:rPr>
                      <w:rFonts w:ascii="Times New Roman" w:hAnsi="Times New Roman"/>
                      <w:kern w:val="0"/>
                      <w:szCs w:val="21"/>
                    </w:rPr>
                  </w:pPr>
                  <w:r>
                    <w:rPr>
                      <w:rFonts w:ascii="Times New Roman" w:hAnsi="Times New Roman"/>
                      <w:kern w:val="0"/>
                      <w:szCs w:val="21"/>
                    </w:rPr>
                    <w:t>2</w:t>
                  </w:r>
                </w:p>
              </w:tc>
              <w:tc>
                <w:tcPr>
                  <w:tcW w:w="1250" w:type="pct"/>
                  <w:shd w:val="clear" w:color="auto" w:fill="auto"/>
                  <w:noWrap w:val="0"/>
                  <w:vAlign w:val="center"/>
                </w:tcPr>
                <w:p>
                  <w:pPr>
                    <w:widowControl/>
                    <w:jc w:val="center"/>
                    <w:rPr>
                      <w:rFonts w:ascii="Times New Roman" w:hAnsi="Times New Roman"/>
                      <w:kern w:val="0"/>
                      <w:szCs w:val="21"/>
                    </w:rPr>
                  </w:pPr>
                  <w:r>
                    <w:rPr>
                      <w:rFonts w:ascii="Times New Roman" w:hAnsi="Times New Roman"/>
                      <w:kern w:val="0"/>
                      <w:szCs w:val="21"/>
                    </w:rPr>
                    <w:t>临时道路</w:t>
                  </w:r>
                </w:p>
              </w:tc>
              <w:tc>
                <w:tcPr>
                  <w:tcW w:w="1290" w:type="pct"/>
                  <w:shd w:val="clear" w:color="auto" w:fill="auto"/>
                  <w:noWrap w:val="0"/>
                  <w:vAlign w:val="center"/>
                </w:tcPr>
                <w:p>
                  <w:pPr>
                    <w:widowControl/>
                    <w:jc w:val="center"/>
                    <w:rPr>
                      <w:rFonts w:ascii="Times New Roman" w:hAnsi="Times New Roman"/>
                      <w:kern w:val="0"/>
                      <w:szCs w:val="21"/>
                    </w:rPr>
                  </w:pPr>
                  <w:r>
                    <w:rPr>
                      <w:rFonts w:ascii="Times New Roman" w:hAnsi="Times New Roman"/>
                      <w:kern w:val="0"/>
                      <w:szCs w:val="21"/>
                    </w:rPr>
                    <w:t>8915</w:t>
                  </w:r>
                </w:p>
              </w:tc>
              <w:tc>
                <w:tcPr>
                  <w:tcW w:w="1371" w:type="pct"/>
                  <w:shd w:val="clear" w:color="auto" w:fill="auto"/>
                  <w:noWrap w:val="0"/>
                  <w:vAlign w:val="center"/>
                </w:tcPr>
                <w:p>
                  <w:pPr>
                    <w:widowControl/>
                    <w:jc w:val="center"/>
                    <w:rPr>
                      <w:rFonts w:ascii="Times New Roman" w:hAnsi="Times New Roman"/>
                      <w:kern w:val="0"/>
                      <w:szCs w:val="21"/>
                    </w:rPr>
                  </w:pPr>
                  <w:r>
                    <w:rPr>
                      <w:rFonts w:ascii="Times New Roman" w:hAnsi="Times New Roman"/>
                      <w:kern w:val="0"/>
                      <w:szCs w:val="21"/>
                    </w:rPr>
                    <w:t>13.37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82" w:hRule="atLeast"/>
              </w:trPr>
              <w:tc>
                <w:tcPr>
                  <w:tcW w:w="1089" w:type="pct"/>
                  <w:shd w:val="clear" w:color="auto" w:fill="auto"/>
                  <w:noWrap w:val="0"/>
                  <w:vAlign w:val="center"/>
                </w:tcPr>
                <w:p>
                  <w:pPr>
                    <w:widowControl/>
                    <w:jc w:val="center"/>
                    <w:rPr>
                      <w:rFonts w:ascii="Times New Roman" w:hAnsi="Times New Roman"/>
                      <w:kern w:val="0"/>
                      <w:szCs w:val="21"/>
                    </w:rPr>
                  </w:pPr>
                  <w:r>
                    <w:rPr>
                      <w:rFonts w:ascii="Times New Roman" w:hAnsi="Times New Roman"/>
                      <w:kern w:val="0"/>
                      <w:szCs w:val="21"/>
                    </w:rPr>
                    <w:t>3</w:t>
                  </w:r>
                </w:p>
              </w:tc>
              <w:tc>
                <w:tcPr>
                  <w:tcW w:w="1250" w:type="pct"/>
                  <w:shd w:val="clear" w:color="auto" w:fill="auto"/>
                  <w:noWrap w:val="0"/>
                  <w:vAlign w:val="center"/>
                </w:tcPr>
                <w:p>
                  <w:pPr>
                    <w:widowControl/>
                    <w:jc w:val="center"/>
                    <w:rPr>
                      <w:rFonts w:ascii="Times New Roman" w:hAnsi="Times New Roman"/>
                      <w:kern w:val="0"/>
                      <w:szCs w:val="21"/>
                    </w:rPr>
                  </w:pPr>
                  <w:r>
                    <w:rPr>
                      <w:rFonts w:ascii="Times New Roman" w:hAnsi="Times New Roman"/>
                      <w:kern w:val="0"/>
                      <w:szCs w:val="21"/>
                    </w:rPr>
                    <w:t>临时弃渣场</w:t>
                  </w:r>
                </w:p>
              </w:tc>
              <w:tc>
                <w:tcPr>
                  <w:tcW w:w="1290" w:type="pct"/>
                  <w:shd w:val="clear" w:color="auto" w:fill="auto"/>
                  <w:noWrap w:val="0"/>
                  <w:vAlign w:val="center"/>
                </w:tcPr>
                <w:p>
                  <w:pPr>
                    <w:widowControl/>
                    <w:jc w:val="center"/>
                    <w:rPr>
                      <w:rFonts w:ascii="Times New Roman" w:hAnsi="Times New Roman"/>
                      <w:kern w:val="0"/>
                      <w:szCs w:val="21"/>
                    </w:rPr>
                  </w:pPr>
                  <w:r>
                    <w:rPr>
                      <w:rFonts w:ascii="Times New Roman" w:hAnsi="Times New Roman"/>
                      <w:kern w:val="0"/>
                      <w:szCs w:val="21"/>
                    </w:rPr>
                    <w:t>3600</w:t>
                  </w:r>
                </w:p>
              </w:tc>
              <w:tc>
                <w:tcPr>
                  <w:tcW w:w="1371" w:type="pct"/>
                  <w:shd w:val="clear" w:color="auto" w:fill="auto"/>
                  <w:noWrap w:val="0"/>
                  <w:vAlign w:val="center"/>
                </w:tcPr>
                <w:p>
                  <w:pPr>
                    <w:widowControl/>
                    <w:jc w:val="center"/>
                    <w:rPr>
                      <w:rFonts w:ascii="Times New Roman" w:hAnsi="Times New Roman"/>
                      <w:kern w:val="0"/>
                      <w:szCs w:val="21"/>
                    </w:rPr>
                  </w:pPr>
                  <w:r>
                    <w:rPr>
                      <w:rFonts w:ascii="Times New Roman" w:hAnsi="Times New Roman"/>
                      <w:kern w:val="0"/>
                      <w:szCs w:val="21"/>
                    </w:rPr>
                    <w:t>5.4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1089" w:type="pct"/>
                  <w:shd w:val="clear" w:color="auto" w:fill="auto"/>
                  <w:noWrap w:val="0"/>
                  <w:vAlign w:val="center"/>
                </w:tcPr>
                <w:p>
                  <w:pPr>
                    <w:widowControl/>
                    <w:jc w:val="center"/>
                    <w:rPr>
                      <w:rFonts w:ascii="Times New Roman" w:hAnsi="Times New Roman"/>
                      <w:kern w:val="0"/>
                      <w:szCs w:val="21"/>
                    </w:rPr>
                  </w:pPr>
                  <w:r>
                    <w:rPr>
                      <w:rFonts w:ascii="Times New Roman" w:hAnsi="Times New Roman"/>
                      <w:kern w:val="0"/>
                      <w:szCs w:val="21"/>
                    </w:rPr>
                    <w:t>4</w:t>
                  </w:r>
                </w:p>
              </w:tc>
              <w:tc>
                <w:tcPr>
                  <w:tcW w:w="1250" w:type="pct"/>
                  <w:shd w:val="clear" w:color="auto" w:fill="auto"/>
                  <w:noWrap w:val="0"/>
                  <w:vAlign w:val="center"/>
                </w:tcPr>
                <w:p>
                  <w:pPr>
                    <w:widowControl/>
                    <w:jc w:val="center"/>
                    <w:rPr>
                      <w:rFonts w:ascii="Times New Roman" w:hAnsi="Times New Roman"/>
                      <w:kern w:val="0"/>
                      <w:szCs w:val="21"/>
                    </w:rPr>
                  </w:pPr>
                  <w:r>
                    <w:rPr>
                      <w:rFonts w:ascii="Times New Roman" w:hAnsi="Times New Roman"/>
                      <w:kern w:val="0"/>
                      <w:szCs w:val="21"/>
                    </w:rPr>
                    <w:t>临时工程汇总</w:t>
                  </w:r>
                </w:p>
              </w:tc>
              <w:tc>
                <w:tcPr>
                  <w:tcW w:w="1290" w:type="pct"/>
                  <w:shd w:val="clear" w:color="auto" w:fill="auto"/>
                  <w:noWrap w:val="0"/>
                  <w:vAlign w:val="center"/>
                </w:tcPr>
                <w:p>
                  <w:pPr>
                    <w:widowControl/>
                    <w:jc w:val="center"/>
                    <w:rPr>
                      <w:rFonts w:ascii="Times New Roman" w:hAnsi="Times New Roman"/>
                      <w:kern w:val="0"/>
                      <w:szCs w:val="21"/>
                    </w:rPr>
                  </w:pPr>
                  <w:r>
                    <w:rPr>
                      <w:rFonts w:ascii="Times New Roman" w:hAnsi="Times New Roman"/>
                      <w:kern w:val="0"/>
                      <w:szCs w:val="21"/>
                    </w:rPr>
                    <w:t>14015</w:t>
                  </w:r>
                </w:p>
              </w:tc>
              <w:tc>
                <w:tcPr>
                  <w:tcW w:w="1371" w:type="pct"/>
                  <w:shd w:val="clear" w:color="auto" w:fill="auto"/>
                  <w:noWrap w:val="0"/>
                  <w:vAlign w:val="center"/>
                </w:tcPr>
                <w:p>
                  <w:pPr>
                    <w:widowControl/>
                    <w:jc w:val="center"/>
                    <w:rPr>
                      <w:rFonts w:ascii="Times New Roman" w:hAnsi="Times New Roman"/>
                      <w:kern w:val="0"/>
                      <w:szCs w:val="21"/>
                    </w:rPr>
                  </w:pPr>
                  <w:r>
                    <w:rPr>
                      <w:rFonts w:ascii="Times New Roman" w:hAnsi="Times New Roman"/>
                      <w:kern w:val="0"/>
                      <w:szCs w:val="21"/>
                    </w:rPr>
                    <w:t>21.02</w:t>
                  </w:r>
                </w:p>
              </w:tc>
            </w:tr>
          </w:tbl>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rPr>
              <w:t>临时用地涉及的各类土地均考虑在施工结束后通过工程措施予以恢复。施工占地期间用地按年产值逐年补偿。在施工期结束后由建设单位按土地复垦的技术要求，恢复土地生产条件，及时归还给原土地使用权单位或个人。</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82" w:firstLineChars="200"/>
              <w:jc w:val="both"/>
              <w:textAlignment w:val="auto"/>
              <w:rPr>
                <w:rFonts w:hint="default" w:ascii="Times New Roman" w:hAnsi="Times New Roman" w:eastAsia="宋体" w:cs="Times New Roman"/>
                <w:b/>
                <w:bCs/>
                <w:color w:val="auto"/>
                <w:sz w:val="24"/>
                <w:szCs w:val="24"/>
              </w:rPr>
            </w:pPr>
            <w:r>
              <w:rPr>
                <w:rFonts w:hint="eastAsia" w:eastAsia="宋体" w:cs="Times New Roman"/>
                <w:b/>
                <w:bCs/>
                <w:color w:val="auto"/>
                <w:sz w:val="24"/>
                <w:szCs w:val="24"/>
                <w:lang w:val="en-US" w:eastAsia="zh-CN"/>
              </w:rPr>
              <w:t xml:space="preserve">5 </w:t>
            </w:r>
            <w:r>
              <w:rPr>
                <w:rFonts w:hint="default" w:ascii="Times New Roman" w:hAnsi="Times New Roman" w:eastAsia="宋体" w:cs="Times New Roman"/>
                <w:b/>
                <w:bCs/>
                <w:color w:val="auto"/>
                <w:sz w:val="24"/>
                <w:szCs w:val="24"/>
              </w:rPr>
              <w:t>土石方工程</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本工程</w:t>
            </w:r>
            <w:r>
              <w:rPr>
                <w:rFonts w:hint="default" w:ascii="Times New Roman" w:hAnsi="Times New Roman" w:eastAsia="宋体" w:cs="Times New Roman"/>
                <w:color w:val="auto"/>
                <w:sz w:val="24"/>
                <w:szCs w:val="24"/>
                <w:highlight w:val="none"/>
                <w:lang w:val="en-US" w:eastAsia="zh-CN"/>
              </w:rPr>
              <w:t>开挖量约94592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eastAsia" w:eastAsia="宋体" w:cs="Times New Roman"/>
                <w:color w:val="auto"/>
                <w:sz w:val="24"/>
                <w:szCs w:val="24"/>
                <w:highlight w:val="none"/>
                <w:vertAlign w:val="baseline"/>
                <w:lang w:eastAsia="zh-CN"/>
              </w:rPr>
              <w:t>（</w:t>
            </w:r>
            <w:r>
              <w:rPr>
                <w:rFonts w:hint="eastAsia" w:cs="Times New Roman"/>
                <w:color w:val="auto"/>
                <w:sz w:val="24"/>
                <w:szCs w:val="24"/>
                <w:highlight w:val="none"/>
                <w:vertAlign w:val="baseline"/>
                <w:lang w:val="en-US" w:eastAsia="zh-CN"/>
              </w:rPr>
              <w:t>其中表土约</w:t>
            </w:r>
            <w:r>
              <w:rPr>
                <w:rFonts w:hint="eastAsia" w:eastAsia="宋体" w:cs="Times New Roman"/>
                <w:color w:val="auto"/>
                <w:sz w:val="24"/>
                <w:szCs w:val="24"/>
                <w:highlight w:val="none"/>
                <w:vertAlign w:val="baseline"/>
                <w:lang w:val="en-US" w:eastAsia="zh-CN"/>
              </w:rPr>
              <w:t>10400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eastAsia" w:eastAsia="宋体" w:cs="Times New Roman"/>
                <w:color w:val="auto"/>
                <w:sz w:val="24"/>
                <w:szCs w:val="24"/>
                <w:highlight w:val="none"/>
                <w:vertAlign w:val="baseline"/>
                <w:lang w:eastAsia="zh-CN"/>
              </w:rPr>
              <w:t>）</w:t>
            </w:r>
            <w:r>
              <w:rPr>
                <w:rFonts w:hint="default" w:ascii="Times New Roman" w:hAnsi="Times New Roman" w:eastAsia="宋体" w:cs="Times New Roman"/>
                <w:color w:val="auto"/>
                <w:sz w:val="24"/>
                <w:szCs w:val="24"/>
                <w:highlight w:val="none"/>
                <w:vertAlign w:val="baseline"/>
                <w:lang w:eastAsia="zh-CN"/>
              </w:rPr>
              <w:t>，</w:t>
            </w:r>
            <w:r>
              <w:rPr>
                <w:rFonts w:hint="default" w:ascii="Times New Roman" w:hAnsi="Times New Roman" w:eastAsia="宋体" w:cs="Times New Roman"/>
                <w:color w:val="auto"/>
                <w:sz w:val="24"/>
                <w:szCs w:val="24"/>
                <w:highlight w:val="none"/>
                <w:lang w:val="en-US" w:eastAsia="zh-CN"/>
              </w:rPr>
              <w:t>其中</w:t>
            </w:r>
            <w:r>
              <w:rPr>
                <w:rFonts w:hint="default" w:ascii="Times New Roman" w:hAnsi="Times New Roman" w:eastAsia="宋体" w:cs="Times New Roman"/>
                <w:color w:val="auto"/>
                <w:sz w:val="24"/>
                <w:szCs w:val="24"/>
                <w:highlight w:val="none"/>
              </w:rPr>
              <w:t>土方开挖量约19605m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石方</w:t>
            </w:r>
            <w:r>
              <w:rPr>
                <w:rFonts w:hint="default" w:ascii="Times New Roman" w:hAnsi="Times New Roman" w:eastAsia="宋体" w:cs="Times New Roman"/>
                <w:color w:val="auto"/>
                <w:sz w:val="24"/>
                <w:szCs w:val="24"/>
                <w:highlight w:val="none"/>
              </w:rPr>
              <w:t>开挖约27089m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疏浚</w:t>
            </w:r>
            <w:r>
              <w:rPr>
                <w:rFonts w:hint="eastAsia" w:eastAsia="宋体" w:cs="Times New Roman"/>
                <w:color w:val="auto"/>
                <w:sz w:val="24"/>
                <w:szCs w:val="24"/>
                <w:highlight w:val="none"/>
                <w:lang w:val="en-US" w:eastAsia="zh-CN"/>
              </w:rPr>
              <w:t>开挖（可利用料）</w:t>
            </w:r>
            <w:r>
              <w:rPr>
                <w:rFonts w:hint="default" w:ascii="Times New Roman" w:hAnsi="Times New Roman" w:eastAsia="宋体" w:cs="Times New Roman"/>
                <w:color w:val="auto"/>
                <w:sz w:val="24"/>
                <w:szCs w:val="24"/>
                <w:highlight w:val="none"/>
                <w:lang w:val="en-US" w:eastAsia="zh-CN"/>
              </w:rPr>
              <w:t>约</w:t>
            </w:r>
            <w:r>
              <w:rPr>
                <w:rFonts w:hint="default" w:ascii="Times New Roman" w:hAnsi="Times New Roman" w:eastAsia="宋体" w:cs="Times New Roman"/>
                <w:color w:val="auto"/>
                <w:sz w:val="24"/>
                <w:szCs w:val="24"/>
                <w:highlight w:val="none"/>
              </w:rPr>
              <w:t>为43070m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vertAlign w:val="baseline"/>
                <w:lang w:eastAsia="zh-CN"/>
              </w:rPr>
              <w:t>。疏浚开挖（土料）</w:t>
            </w:r>
            <w:r>
              <w:rPr>
                <w:rFonts w:hint="default" w:ascii="Times New Roman" w:hAnsi="Times New Roman" w:eastAsia="宋体" w:cs="Times New Roman"/>
                <w:color w:val="auto"/>
                <w:sz w:val="24"/>
                <w:szCs w:val="24"/>
                <w:highlight w:val="none"/>
                <w:lang w:val="en-US" w:eastAsia="zh-CN"/>
              </w:rPr>
              <w:t>约</w:t>
            </w:r>
            <w:r>
              <w:rPr>
                <w:rFonts w:hint="default" w:ascii="Times New Roman" w:hAnsi="Times New Roman" w:eastAsia="宋体" w:cs="Times New Roman"/>
                <w:color w:val="auto"/>
                <w:sz w:val="24"/>
                <w:szCs w:val="24"/>
                <w:highlight w:val="none"/>
              </w:rPr>
              <w:t>为43</w:t>
            </w:r>
            <w:r>
              <w:rPr>
                <w:rFonts w:hint="eastAsia"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eastAsia" w:eastAsia="宋体" w:cs="Times New Roman"/>
                <w:color w:val="auto"/>
                <w:sz w:val="24"/>
                <w:szCs w:val="24"/>
                <w:highlight w:val="none"/>
                <w:vertAlign w:val="baseline"/>
                <w:lang w:eastAsia="zh-CN"/>
              </w:rPr>
              <w:t>，围堰拆除</w:t>
            </w:r>
            <w:r>
              <w:rPr>
                <w:rFonts w:hint="eastAsia" w:eastAsia="宋体" w:cs="Times New Roman"/>
                <w:color w:val="auto"/>
                <w:sz w:val="24"/>
                <w:szCs w:val="24"/>
                <w:highlight w:val="none"/>
                <w:vertAlign w:val="baseline"/>
                <w:lang w:val="en-US" w:eastAsia="zh-CN"/>
              </w:rPr>
              <w:t>约为4393</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eastAsia" w:eastAsia="宋体" w:cs="Times New Roman"/>
                <w:color w:val="auto"/>
                <w:sz w:val="24"/>
                <w:szCs w:val="24"/>
                <w:highlight w:val="none"/>
                <w:vertAlign w:val="baseline"/>
                <w:lang w:eastAsia="zh-CN"/>
              </w:rPr>
              <w:t>，</w:t>
            </w:r>
            <w:r>
              <w:rPr>
                <w:rFonts w:hint="default" w:ascii="Times New Roman" w:hAnsi="Times New Roman" w:eastAsia="宋体" w:cs="Times New Roman"/>
                <w:color w:val="auto"/>
                <w:sz w:val="24"/>
                <w:szCs w:val="24"/>
                <w:highlight w:val="none"/>
                <w:lang w:val="en-US" w:eastAsia="zh-CN"/>
              </w:rPr>
              <w:t>利用方总量约</w:t>
            </w:r>
            <w:r>
              <w:rPr>
                <w:rFonts w:hint="eastAsia" w:eastAsia="宋体" w:cs="Times New Roman"/>
                <w:color w:val="auto"/>
                <w:sz w:val="24"/>
                <w:szCs w:val="24"/>
                <w:highlight w:val="none"/>
                <w:lang w:val="en-US" w:eastAsia="zh-CN"/>
              </w:rPr>
              <w:t>80811</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vertAlign w:val="baseline"/>
                <w:lang w:eastAsia="zh-CN"/>
              </w:rPr>
              <w:t>，</w:t>
            </w:r>
            <w:r>
              <w:rPr>
                <w:rFonts w:hint="default" w:ascii="Times New Roman" w:hAnsi="Times New Roman" w:eastAsia="宋体" w:cs="Times New Roman"/>
                <w:color w:val="auto"/>
                <w:sz w:val="24"/>
                <w:szCs w:val="24"/>
                <w:highlight w:val="none"/>
                <w:vertAlign w:val="baseline"/>
                <w:lang w:val="en-US" w:eastAsia="zh-CN"/>
              </w:rPr>
              <w:t>其中</w:t>
            </w:r>
            <w:r>
              <w:rPr>
                <w:rFonts w:hint="eastAsia" w:cs="Times New Roman"/>
                <w:color w:val="auto"/>
                <w:sz w:val="24"/>
                <w:szCs w:val="24"/>
                <w:highlight w:val="none"/>
                <w:vertAlign w:val="baseline"/>
                <w:lang w:val="en-US" w:eastAsia="zh-CN"/>
              </w:rPr>
              <w:t>约</w:t>
            </w:r>
            <w:r>
              <w:rPr>
                <w:rFonts w:hint="eastAsia" w:eastAsia="宋体" w:cs="Times New Roman"/>
                <w:color w:val="auto"/>
                <w:sz w:val="24"/>
                <w:szCs w:val="24"/>
                <w:highlight w:val="none"/>
                <w:vertAlign w:val="baseline"/>
                <w:lang w:val="en-US" w:eastAsia="zh-CN"/>
              </w:rPr>
              <w:t>2293</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eastAsia" w:eastAsia="宋体" w:cs="Times New Roman"/>
                <w:color w:val="auto"/>
                <w:sz w:val="24"/>
                <w:szCs w:val="24"/>
                <w:highlight w:val="none"/>
                <w:vertAlign w:val="baseline"/>
                <w:lang w:val="en-US" w:eastAsia="zh-CN"/>
              </w:rPr>
              <w:t>运输至1#弃渣场进行复耕，</w:t>
            </w:r>
            <w:r>
              <w:rPr>
                <w:rFonts w:hint="eastAsia" w:cs="Times New Roman"/>
                <w:color w:val="auto"/>
                <w:sz w:val="24"/>
                <w:szCs w:val="24"/>
                <w:highlight w:val="none"/>
                <w:vertAlign w:val="baseline"/>
                <w:lang w:val="en-US" w:eastAsia="zh-CN"/>
              </w:rPr>
              <w:t>约</w:t>
            </w:r>
            <w:r>
              <w:rPr>
                <w:rFonts w:hint="eastAsia" w:eastAsia="宋体" w:cs="Times New Roman"/>
                <w:color w:val="auto"/>
                <w:sz w:val="24"/>
                <w:szCs w:val="24"/>
                <w:highlight w:val="none"/>
                <w:vertAlign w:val="baseline"/>
                <w:lang w:val="en-US" w:eastAsia="zh-CN"/>
              </w:rPr>
              <w:t>26111</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eastAsia" w:eastAsia="宋体" w:cs="Times New Roman"/>
                <w:color w:val="auto"/>
                <w:sz w:val="24"/>
                <w:szCs w:val="24"/>
                <w:highlight w:val="none"/>
                <w:vertAlign w:val="baseline"/>
                <w:lang w:val="en-US" w:eastAsia="zh-CN"/>
              </w:rPr>
              <w:t>用于堤脚回填、填筑围堰和袋装围堰，</w:t>
            </w:r>
            <w:r>
              <w:rPr>
                <w:rFonts w:hint="eastAsia" w:cs="Times New Roman"/>
                <w:color w:val="auto"/>
                <w:sz w:val="24"/>
                <w:szCs w:val="24"/>
                <w:highlight w:val="none"/>
                <w:vertAlign w:val="baseline"/>
                <w:lang w:val="en-US" w:eastAsia="zh-CN"/>
              </w:rPr>
              <w:t>约</w:t>
            </w:r>
            <w:r>
              <w:rPr>
                <w:rFonts w:hint="eastAsia" w:eastAsia="宋体" w:cs="Times New Roman"/>
                <w:color w:val="auto"/>
                <w:sz w:val="24"/>
                <w:szCs w:val="24"/>
                <w:highlight w:val="none"/>
                <w:vertAlign w:val="baseline"/>
                <w:lang w:val="en-US" w:eastAsia="zh-CN"/>
              </w:rPr>
              <w:t>978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eastAsia" w:eastAsia="宋体" w:cs="Times New Roman"/>
                <w:color w:val="auto"/>
                <w:sz w:val="24"/>
                <w:szCs w:val="24"/>
                <w:highlight w:val="none"/>
                <w:vertAlign w:val="baseline"/>
                <w:lang w:val="en-US" w:eastAsia="zh-CN"/>
              </w:rPr>
              <w:t>用于砂垫层、碎石垫层和堤身填筑，</w:t>
            </w:r>
            <w:r>
              <w:rPr>
                <w:rFonts w:hint="eastAsia" w:cs="Times New Roman"/>
                <w:color w:val="auto"/>
                <w:sz w:val="24"/>
                <w:szCs w:val="24"/>
                <w:highlight w:val="none"/>
                <w:vertAlign w:val="baseline"/>
                <w:lang w:val="en-US" w:eastAsia="zh-CN"/>
              </w:rPr>
              <w:t>约</w:t>
            </w:r>
            <w:r>
              <w:rPr>
                <w:rFonts w:hint="eastAsia" w:eastAsia="宋体" w:cs="Times New Roman"/>
                <w:color w:val="auto"/>
                <w:sz w:val="24"/>
                <w:szCs w:val="24"/>
                <w:highlight w:val="none"/>
                <w:vertAlign w:val="baseline"/>
                <w:lang w:val="en-US" w:eastAsia="zh-CN"/>
              </w:rPr>
              <w:t>51</w:t>
            </w:r>
            <w:r>
              <w:rPr>
                <w:rFonts w:hint="eastAsia" w:cs="Times New Roman"/>
                <w:color w:val="auto"/>
                <w:sz w:val="24"/>
                <w:szCs w:val="24"/>
                <w:highlight w:val="none"/>
                <w:vertAlign w:val="baseline"/>
                <w:lang w:val="en-US" w:eastAsia="zh-CN"/>
              </w:rPr>
              <w:t>429</w:t>
            </w:r>
            <w:r>
              <w:rPr>
                <w:rFonts w:hint="eastAsia" w:eastAsia="宋体" w:cs="Times New Roman"/>
                <w:color w:val="auto"/>
                <w:sz w:val="24"/>
                <w:szCs w:val="24"/>
                <w:highlight w:val="none"/>
                <w:vertAlign w:val="baseline"/>
                <w:lang w:val="en-US" w:eastAsia="zh-CN"/>
              </w:rPr>
              <w:t>m</w:t>
            </w:r>
            <w:r>
              <w:rPr>
                <w:rFonts w:hint="eastAsia" w:eastAsia="宋体" w:cs="Times New Roman"/>
                <w:color w:val="auto"/>
                <w:sz w:val="24"/>
                <w:szCs w:val="24"/>
                <w:highlight w:val="none"/>
                <w:vertAlign w:val="superscript"/>
                <w:lang w:val="en-US" w:eastAsia="zh-CN"/>
              </w:rPr>
              <w:t>3</w:t>
            </w:r>
            <w:r>
              <w:rPr>
                <w:rFonts w:hint="eastAsia" w:eastAsia="宋体" w:cs="Times New Roman"/>
                <w:color w:val="auto"/>
                <w:sz w:val="24"/>
                <w:szCs w:val="24"/>
                <w:highlight w:val="none"/>
                <w:vertAlign w:val="baseline"/>
                <w:lang w:val="en-US" w:eastAsia="zh-CN"/>
              </w:rPr>
              <w:t>运输至堤身填筑部位，表土全部用于</w:t>
            </w:r>
            <w:r>
              <w:rPr>
                <w:rFonts w:ascii="Times New Roman" w:hAnsi="Times New Roman"/>
                <w:color w:val="auto"/>
                <w:sz w:val="24"/>
                <w:lang w:val="zh-CN"/>
              </w:rPr>
              <w:t>斜坡式堤防马道以上的土地以及背水侧堤防顶到堤后排水沟的土地进行耕植土回覆</w:t>
            </w:r>
            <w:r>
              <w:rPr>
                <w:rFonts w:hint="eastAsia"/>
                <w:color w:val="auto"/>
                <w:sz w:val="24"/>
                <w:lang w:val="zh-CN"/>
              </w:rPr>
              <w:t>，</w:t>
            </w:r>
            <w:r>
              <w:rPr>
                <w:rFonts w:ascii="Times New Roman" w:hAnsi="Times New Roman"/>
                <w:color w:val="auto"/>
                <w:sz w:val="24"/>
                <w:lang w:val="zh-CN"/>
              </w:rPr>
              <w:t>以便于进行草皮护坡</w:t>
            </w:r>
            <w:r>
              <w:rPr>
                <w:rFonts w:hint="default" w:ascii="Times New Roman" w:hAnsi="Times New Roman" w:eastAsia="宋体" w:cs="Times New Roman"/>
                <w:color w:val="auto"/>
                <w:sz w:val="24"/>
                <w:szCs w:val="24"/>
                <w:highlight w:val="none"/>
                <w:vertAlign w:val="baseline"/>
                <w:lang w:eastAsia="zh-CN"/>
              </w:rPr>
              <w:t>。</w:t>
            </w:r>
            <w:r>
              <w:rPr>
                <w:rFonts w:hint="default" w:ascii="Times New Roman" w:hAnsi="Times New Roman" w:eastAsia="宋体" w:cs="Times New Roman"/>
                <w:color w:val="auto"/>
                <w:sz w:val="24"/>
                <w:szCs w:val="24"/>
                <w:highlight w:val="none"/>
              </w:rPr>
              <w:t>经过土石方平衡计算</w:t>
            </w:r>
            <w:r>
              <w:rPr>
                <w:rFonts w:hint="eastAsia" w:ascii="Times New Roman" w:hAnsi="Times New Roman"/>
                <w:color w:val="auto"/>
                <w:sz w:val="24"/>
                <w:lang w:val="zh-CN"/>
              </w:rPr>
              <w:t>，</w:t>
            </w:r>
            <w:r>
              <w:rPr>
                <w:rFonts w:hint="default" w:ascii="Times New Roman" w:hAnsi="Times New Roman" w:eastAsia="宋体" w:cs="Times New Roman"/>
                <w:color w:val="auto"/>
                <w:sz w:val="24"/>
                <w:szCs w:val="24"/>
                <w:highlight w:val="none"/>
              </w:rPr>
              <w:t>剩余弃渣</w:t>
            </w:r>
            <w:r>
              <w:rPr>
                <w:rFonts w:hint="eastAsia" w:eastAsia="宋体" w:cs="Times New Roman"/>
                <w:color w:val="auto"/>
                <w:sz w:val="24"/>
                <w:szCs w:val="24"/>
                <w:highlight w:val="none"/>
                <w:lang w:eastAsia="zh-CN"/>
              </w:rPr>
              <w:t>（</w:t>
            </w:r>
            <w:r>
              <w:rPr>
                <w:rFonts w:hint="eastAsia" w:eastAsia="宋体" w:cs="Times New Roman"/>
                <w:color w:val="auto"/>
                <w:sz w:val="24"/>
                <w:szCs w:val="24"/>
                <w:highlight w:val="none"/>
                <w:lang w:val="en-US" w:eastAsia="zh-CN"/>
              </w:rPr>
              <w:t>自然方，无表土</w:t>
            </w:r>
            <w:r>
              <w:rPr>
                <w:rFonts w:hint="eastAsia"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约13781m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弃渣</w:t>
            </w:r>
            <w:r>
              <w:rPr>
                <w:rFonts w:hint="default" w:ascii="Times New Roman" w:hAnsi="Times New Roman" w:eastAsia="宋体" w:cs="Times New Roman"/>
                <w:color w:val="auto"/>
                <w:sz w:val="24"/>
                <w:szCs w:val="24"/>
                <w:highlight w:val="none"/>
                <w:lang w:val="en-US" w:eastAsia="zh-CN"/>
              </w:rPr>
              <w:t>土石方运输至1#渣场</w:t>
            </w:r>
            <w:r>
              <w:rPr>
                <w:rFonts w:hint="default" w:ascii="Times New Roman" w:hAnsi="Times New Roman" w:eastAsia="宋体" w:cs="Times New Roman"/>
                <w:color w:val="auto"/>
                <w:sz w:val="24"/>
                <w:szCs w:val="24"/>
                <w:highlight w:val="none"/>
              </w:rPr>
              <w:t>。项目土石方平衡见表</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8</w:t>
            </w:r>
            <w:r>
              <w:rPr>
                <w:rFonts w:hint="eastAsia" w:eastAsia="宋体" w:cs="Times New Roman"/>
                <w:color w:val="auto"/>
                <w:sz w:val="24"/>
                <w:szCs w:val="24"/>
                <w:highlight w:val="none"/>
                <w:lang w:val="en-US" w:eastAsia="zh-CN"/>
              </w:rPr>
              <w:t>。</w:t>
            </w:r>
          </w:p>
          <w:p>
            <w:pPr>
              <w:pStyle w:val="22"/>
              <w:adjustRightInd w:val="0"/>
              <w:snapToGrid w:val="0"/>
              <w:spacing w:line="360" w:lineRule="auto"/>
              <w:ind w:firstLine="0" w:firstLineChars="0"/>
              <w:jc w:val="center"/>
              <w:rPr>
                <w:rFonts w:hint="default" w:ascii="Times New Roman" w:hAnsi="Times New Roman" w:eastAsia="宋体" w:cs="Times New Roman"/>
                <w:b/>
                <w:bCs/>
                <w:color w:val="auto"/>
                <w:sz w:val="21"/>
                <w:szCs w:val="21"/>
                <w:highlight w:val="none"/>
                <w:vertAlign w:val="superscript"/>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w:t>
            </w:r>
            <w:r>
              <w:rPr>
                <w:rFonts w:hint="eastAsia" w:cs="Times New Roman"/>
                <w:b/>
                <w:bCs/>
                <w:color w:val="auto"/>
                <w:sz w:val="21"/>
                <w:szCs w:val="21"/>
                <w:highlight w:val="none"/>
                <w:lang w:val="en-US" w:eastAsia="zh-CN"/>
              </w:rPr>
              <w:t>8</w:t>
            </w:r>
            <w:r>
              <w:rPr>
                <w:rFonts w:hint="default" w:ascii="Times New Roman" w:hAnsi="Times New Roman" w:eastAsia="宋体" w:cs="Times New Roman"/>
                <w:b/>
                <w:bCs/>
                <w:color w:val="auto"/>
                <w:sz w:val="21"/>
                <w:szCs w:val="21"/>
                <w:highlight w:val="none"/>
              </w:rPr>
              <w:t xml:space="preserve">  项目土石方平衡一览表</w:t>
            </w:r>
          </w:p>
          <w:tbl>
            <w:tblPr>
              <w:tblStyle w:val="4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1"/>
              <w:gridCol w:w="1356"/>
              <w:gridCol w:w="2325"/>
              <w:gridCol w:w="1240"/>
              <w:gridCol w:w="3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noWrap w:val="0"/>
                  <w:vAlign w:val="center"/>
                </w:tcPr>
                <w:p>
                  <w:pPr>
                    <w:pStyle w:val="22"/>
                    <w:adjustRightInd w:val="0"/>
                    <w:spacing w:line="312" w:lineRule="atLeast"/>
                    <w:ind w:firstLine="0" w:firstLineChars="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w:t>
                  </w:r>
                </w:p>
              </w:tc>
              <w:tc>
                <w:tcPr>
                  <w:tcW w:w="750" w:type="pct"/>
                  <w:noWrap w:val="0"/>
                  <w:vAlign w:val="center"/>
                </w:tcPr>
                <w:p>
                  <w:pPr>
                    <w:pStyle w:val="22"/>
                    <w:adjustRightInd w:val="0"/>
                    <w:spacing w:line="312" w:lineRule="atLeast"/>
                    <w:ind w:firstLine="0" w:firstLineChars="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挖方（m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c>
                <w:tcPr>
                  <w:tcW w:w="1286" w:type="pct"/>
                  <w:noWrap w:val="0"/>
                  <w:vAlign w:val="center"/>
                </w:tcPr>
                <w:p>
                  <w:pPr>
                    <w:pStyle w:val="22"/>
                    <w:adjustRightInd w:val="0"/>
                    <w:spacing w:line="312" w:lineRule="atLeast"/>
                    <w:ind w:firstLine="0" w:firstLineChars="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利用</w:t>
                  </w:r>
                  <w:r>
                    <w:rPr>
                      <w:rFonts w:hint="eastAsia" w:ascii="Times New Roman" w:hAnsi="Times New Roman" w:eastAsia="宋体" w:cs="Times New Roman"/>
                      <w:b/>
                      <w:bCs/>
                      <w:color w:val="auto"/>
                      <w:sz w:val="21"/>
                      <w:szCs w:val="21"/>
                      <w:lang w:val="en-US" w:eastAsia="zh-CN"/>
                    </w:rPr>
                    <w:t>、回填</w:t>
                  </w:r>
                  <w:r>
                    <w:rPr>
                      <w:rFonts w:hint="default" w:ascii="Times New Roman" w:hAnsi="Times New Roman" w:eastAsia="宋体" w:cs="Times New Roman"/>
                      <w:b/>
                      <w:bCs/>
                      <w:color w:val="auto"/>
                      <w:sz w:val="21"/>
                      <w:szCs w:val="21"/>
                      <w:lang w:val="en-US" w:eastAsia="zh-CN"/>
                    </w:rPr>
                    <w:t>方</w:t>
                  </w:r>
                  <w:r>
                    <w:rPr>
                      <w:rFonts w:hint="default" w:ascii="Times New Roman" w:hAnsi="Times New Roman" w:eastAsia="宋体" w:cs="Times New Roman"/>
                      <w:b/>
                      <w:bCs/>
                      <w:color w:val="auto"/>
                      <w:sz w:val="21"/>
                      <w:szCs w:val="21"/>
                    </w:rPr>
                    <w:t>（m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c>
                <w:tcPr>
                  <w:tcW w:w="686" w:type="pct"/>
                  <w:noWrap w:val="0"/>
                  <w:vAlign w:val="center"/>
                </w:tcPr>
                <w:p>
                  <w:pPr>
                    <w:pStyle w:val="22"/>
                    <w:adjustRightInd w:val="0"/>
                    <w:spacing w:line="312" w:lineRule="atLeast"/>
                    <w:ind w:firstLine="0" w:firstLineChars="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弃方（m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c>
                <w:tcPr>
                  <w:tcW w:w="1678" w:type="pct"/>
                  <w:noWrap w:val="0"/>
                  <w:vAlign w:val="center"/>
                </w:tcPr>
                <w:p>
                  <w:pPr>
                    <w:pStyle w:val="22"/>
                    <w:adjustRightInd w:val="0"/>
                    <w:spacing w:line="312" w:lineRule="atLeast"/>
                    <w:ind w:firstLine="0" w:firstLineChars="0"/>
                    <w:jc w:val="center"/>
                    <w:textAlignment w:val="baseline"/>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noWrap w:val="0"/>
                  <w:vAlign w:val="center"/>
                </w:tcPr>
                <w:p>
                  <w:pPr>
                    <w:pStyle w:val="22"/>
                    <w:adjustRightInd w:val="0"/>
                    <w:spacing w:line="312" w:lineRule="atLeast"/>
                    <w:ind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本项目工程</w:t>
                  </w:r>
                  <w:r>
                    <w:rPr>
                      <w:rFonts w:hint="default" w:ascii="Times New Roman" w:hAnsi="Times New Roman" w:eastAsia="宋体" w:cs="Times New Roman"/>
                      <w:color w:val="auto"/>
                      <w:sz w:val="21"/>
                      <w:szCs w:val="21"/>
                      <w:lang w:val="en-US" w:eastAsia="zh-CN"/>
                    </w:rPr>
                    <w:t>总量</w:t>
                  </w:r>
                </w:p>
              </w:tc>
              <w:tc>
                <w:tcPr>
                  <w:tcW w:w="750"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 w:val="21"/>
                      <w:szCs w:val="21"/>
                    </w:rPr>
                    <w:t xml:space="preserve">94592 </w:t>
                  </w:r>
                </w:p>
              </w:tc>
              <w:tc>
                <w:tcPr>
                  <w:tcW w:w="1286" w:type="pct"/>
                  <w:noWrap w:val="0"/>
                  <w:vAlign w:val="center"/>
                </w:tcPr>
                <w:p>
                  <w:pPr>
                    <w:pStyle w:val="22"/>
                    <w:adjustRightInd w:val="0"/>
                    <w:spacing w:line="312" w:lineRule="atLeast"/>
                    <w:ind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highlight w:val="none"/>
                      <w:lang w:val="en-US" w:eastAsia="zh-CN"/>
                    </w:rPr>
                    <w:t>80811</w:t>
                  </w:r>
                </w:p>
              </w:tc>
              <w:tc>
                <w:tcPr>
                  <w:tcW w:w="686" w:type="pct"/>
                  <w:noWrap w:val="0"/>
                  <w:vAlign w:val="center"/>
                </w:tcPr>
                <w:p>
                  <w:pPr>
                    <w:pStyle w:val="22"/>
                    <w:adjustRightInd w:val="0"/>
                    <w:spacing w:line="312" w:lineRule="atLeast"/>
                    <w:ind w:firstLine="0" w:firstLineChars="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13781</w:t>
                  </w:r>
                </w:p>
              </w:tc>
              <w:tc>
                <w:tcPr>
                  <w:tcW w:w="1678" w:type="pct"/>
                  <w:noWrap w:val="0"/>
                  <w:vAlign w:val="center"/>
                </w:tcPr>
                <w:p>
                  <w:pPr>
                    <w:pStyle w:val="22"/>
                    <w:adjustRightInd w:val="0"/>
                    <w:spacing w:line="312" w:lineRule="atLeast"/>
                    <w:ind w:firstLine="0" w:firstLineChars="0"/>
                    <w:jc w:val="center"/>
                    <w:textAlignment w:val="baseline"/>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表土全部用于斜坡式堤防马道以上的土地以及背水侧堤防顶到堤后排水沟的土地进行耕植土回覆</w:t>
                  </w:r>
                  <w:r>
                    <w:rPr>
                      <w:rFonts w:hint="eastAsia" w:ascii="Times New Roman" w:hAnsi="Times New Roman" w:eastAsia="宋体" w:cs="Times New Roman"/>
                      <w:color w:val="auto"/>
                      <w:sz w:val="21"/>
                      <w:szCs w:val="21"/>
                      <w:lang w:val="en-US" w:eastAsia="zh-CN"/>
                    </w:rPr>
                    <w:t>；弃渣土石方运输至1#渣场</w:t>
                  </w:r>
                </w:p>
              </w:tc>
            </w:tr>
          </w:tbl>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color w:val="auto"/>
                <w:sz w:val="24"/>
                <w:szCs w:val="24"/>
                <w:highlight w:val="none"/>
                <w:vertAlign w:val="baseline"/>
                <w:lang w:val="en-US" w:eastAsia="zh-CN"/>
              </w:rPr>
            </w:pPr>
            <w:r>
              <w:rPr>
                <w:rFonts w:hint="eastAsia" w:ascii="Times New Roman" w:hAnsi="Times New Roman" w:eastAsia="宋体" w:cs="Times New Roman"/>
                <w:color w:val="auto"/>
                <w:sz w:val="24"/>
                <w:szCs w:val="24"/>
                <w:highlight w:val="none"/>
                <w:vertAlign w:val="baseline"/>
                <w:lang w:val="en-US" w:eastAsia="zh-CN"/>
              </w:rPr>
              <w:t>土石方平衡图：</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center"/>
              <w:textAlignment w:val="auto"/>
              <w:rPr>
                <w:rFonts w:hint="eastAsia" w:ascii="Times New Roman" w:hAnsi="Times New Roman" w:eastAsia="宋体" w:cs="Times New Roman"/>
                <w:color w:val="FF0000"/>
                <w:sz w:val="24"/>
                <w:szCs w:val="24"/>
                <w:highlight w:val="none"/>
                <w:vertAlign w:val="baseline"/>
                <w:lang w:val="en-US" w:eastAsia="zh-CN"/>
              </w:rPr>
            </w:pPr>
            <w:r>
              <w:rPr>
                <w:rFonts w:hint="eastAsia" w:ascii="Times New Roman" w:hAnsi="Times New Roman" w:eastAsia="宋体" w:cs="Times New Roman"/>
                <w:color w:val="FF0000"/>
                <w:sz w:val="24"/>
                <w:szCs w:val="24"/>
                <w:highlight w:val="none"/>
                <w:vertAlign w:val="baseline"/>
                <w:lang w:val="en-US" w:eastAsia="zh-CN"/>
              </w:rPr>
              <w:object>
                <v:shape id="_x0000_i1029" o:spt="75" type="#_x0000_t75" style="height:220.5pt;width:308.25pt;" o:ole="t" filled="f" o:preferrelative="t" stroked="f" coordsize="21600,21600">
                  <v:path/>
                  <v:fill on="f" focussize="0,0"/>
                  <v:stroke on="f"/>
                  <v:imagedata r:id="rId20" o:title=""/>
                  <o:lock v:ext="edit" aspectratio="t"/>
                  <w10:wrap type="none"/>
                  <w10:anchorlock/>
                </v:shape>
                <o:OLEObject Type="Embed" ProgID="Visio.Drawing.11" ShapeID="_x0000_i1029" DrawAspect="Content" ObjectID="_1468075725" r:id="rId19">
                  <o:LockedField>false</o:LockedField>
                </o:OLEObject>
              </w:object>
            </w:r>
          </w:p>
          <w:p>
            <w:pPr>
              <w:widowControl/>
              <w:adjustRightInd w:val="0"/>
              <w:snapToGrid w:val="0"/>
              <w:spacing w:line="360" w:lineRule="auto"/>
              <w:jc w:val="center"/>
              <w:rPr>
                <w:rFonts w:hint="default" w:ascii="Times New Roman" w:hAnsi="Times New Roman" w:eastAsia="宋体" w:cs="Times New Roman"/>
                <w:color w:val="auto"/>
                <w:sz w:val="24"/>
                <w:szCs w:val="24"/>
                <w:highlight w:val="none"/>
                <w:vertAlign w:val="baseline"/>
                <w:lang w:val="en-US" w:eastAsia="zh-CN"/>
              </w:rPr>
            </w:pPr>
            <w:r>
              <w:rPr>
                <w:rFonts w:hint="eastAsia" w:ascii="Times New Roman" w:hAnsi="Times New Roman" w:eastAsia="宋体" w:cs="Times New Roman"/>
                <w:b/>
                <w:bCs w:val="0"/>
                <w:color w:val="auto"/>
                <w:kern w:val="0"/>
                <w:szCs w:val="21"/>
                <w:lang w:val="en-US" w:eastAsia="zh-CN"/>
              </w:rPr>
              <w:t>图</w:t>
            </w:r>
            <w:r>
              <w:rPr>
                <w:rFonts w:hint="default" w:ascii="Times New Roman" w:hAnsi="Times New Roman" w:eastAsia="宋体" w:cs="Times New Roman"/>
                <w:b/>
                <w:bCs w:val="0"/>
                <w:color w:val="auto"/>
                <w:kern w:val="0"/>
                <w:szCs w:val="21"/>
                <w:lang w:val="en-US" w:eastAsia="zh-CN"/>
              </w:rPr>
              <w:t>2</w:t>
            </w:r>
            <w:r>
              <w:rPr>
                <w:rFonts w:hint="default" w:ascii="Times New Roman" w:hAnsi="Times New Roman" w:eastAsia="宋体" w:cs="Times New Roman"/>
                <w:b/>
                <w:bCs w:val="0"/>
                <w:color w:val="auto"/>
                <w:kern w:val="0"/>
                <w:szCs w:val="21"/>
              </w:rPr>
              <w:t>-</w:t>
            </w:r>
            <w:r>
              <w:rPr>
                <w:rFonts w:hint="eastAsia" w:ascii="Times New Roman" w:hAnsi="Times New Roman" w:eastAsia="宋体" w:cs="Times New Roman"/>
                <w:b/>
                <w:bCs w:val="0"/>
                <w:color w:val="auto"/>
                <w:kern w:val="0"/>
                <w:szCs w:val="21"/>
                <w:lang w:val="en-US" w:eastAsia="zh-CN"/>
              </w:rPr>
              <w:t>1</w:t>
            </w:r>
            <w:r>
              <w:rPr>
                <w:rFonts w:hint="default" w:ascii="Times New Roman" w:hAnsi="Times New Roman" w:eastAsia="宋体" w:cs="Times New Roman"/>
                <w:b/>
                <w:bCs w:val="0"/>
                <w:color w:val="auto"/>
                <w:kern w:val="0"/>
                <w:szCs w:val="21"/>
              </w:rPr>
              <w:t xml:space="preserve">  </w:t>
            </w:r>
            <w:r>
              <w:rPr>
                <w:rFonts w:hint="eastAsia" w:ascii="Times New Roman" w:hAnsi="Times New Roman" w:eastAsia="宋体" w:cs="Times New Roman"/>
                <w:b/>
                <w:bCs w:val="0"/>
                <w:color w:val="auto"/>
                <w:kern w:val="0"/>
                <w:szCs w:val="21"/>
                <w:lang w:val="en-US" w:eastAsia="zh-CN"/>
              </w:rPr>
              <w:t>土石方平衡示意图</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left"/>
              <w:textAlignment w:val="center"/>
              <w:rPr>
                <w:rFonts w:hint="default" w:ascii="Times New Roman" w:hAnsi="Times New Roman" w:eastAsia="宋体" w:cs="Times New Roman"/>
                <w:b/>
                <w:bCs/>
                <w:color w:val="auto"/>
                <w:sz w:val="24"/>
                <w:szCs w:val="24"/>
              </w:rPr>
            </w:pPr>
            <w:r>
              <w:rPr>
                <w:rFonts w:hint="eastAsia" w:eastAsia="宋体" w:cs="Times New Roman"/>
                <w:b/>
                <w:bCs/>
                <w:color w:val="auto"/>
                <w:sz w:val="24"/>
                <w:szCs w:val="24"/>
                <w:lang w:val="en-US" w:eastAsia="zh-CN"/>
              </w:rPr>
              <w:t xml:space="preserve">6 </w:t>
            </w:r>
            <w:r>
              <w:rPr>
                <w:rFonts w:hint="default" w:ascii="Times New Roman" w:hAnsi="Times New Roman" w:eastAsia="宋体" w:cs="Times New Roman"/>
                <w:b/>
                <w:bCs/>
                <w:color w:val="auto"/>
                <w:sz w:val="24"/>
                <w:szCs w:val="24"/>
              </w:rPr>
              <w:t>项目资金来源</w:t>
            </w:r>
          </w:p>
          <w:p>
            <w:pPr>
              <w:pageBreakBefore w:val="0"/>
              <w:kinsoku/>
              <w:wordWrap/>
              <w:overflowPunct/>
              <w:topLinePunct w:val="0"/>
              <w:bidi w:val="0"/>
              <w:adjustRightInd w:val="0"/>
              <w:snapToGrid w:val="0"/>
              <w:spacing w:line="360" w:lineRule="auto"/>
              <w:ind w:left="0" w:leftChars="0" w:right="0" w:rightChars="0" w:firstLine="480" w:firstLineChars="200"/>
              <w:jc w:val="both"/>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工程总投资2229.38万</w:t>
            </w:r>
            <w:r>
              <w:rPr>
                <w:rFonts w:hint="default" w:ascii="Times New Roman" w:hAnsi="Times New Roman" w:eastAsia="宋体" w:cs="Times New Roman"/>
                <w:color w:val="auto"/>
                <w:sz w:val="24"/>
                <w:szCs w:val="24"/>
                <w:highlight w:val="none"/>
                <w:lang w:val="en-US" w:eastAsia="zh-CN"/>
              </w:rPr>
              <w:t>元，</w:t>
            </w:r>
            <w:r>
              <w:rPr>
                <w:rFonts w:hint="eastAsia" w:ascii="Times New Roman" w:hAnsi="Times New Roman" w:eastAsia="宋体" w:cs="Times New Roman"/>
                <w:color w:val="auto"/>
                <w:sz w:val="24"/>
                <w:szCs w:val="24"/>
                <w:highlight w:val="none"/>
                <w:lang w:val="en-US" w:eastAsia="zh-CN"/>
              </w:rPr>
              <w:t>其中</w:t>
            </w:r>
            <w:r>
              <w:rPr>
                <w:rFonts w:hint="default" w:ascii="Times New Roman" w:hAnsi="Times New Roman" w:eastAsia="宋体" w:cs="Times New Roman"/>
                <w:color w:val="auto"/>
                <w:sz w:val="24"/>
                <w:szCs w:val="24"/>
                <w:highlight w:val="none"/>
                <w:lang w:val="en-US" w:eastAsia="zh-CN"/>
              </w:rPr>
              <w:t>环境保护工程投资</w:t>
            </w:r>
            <w:r>
              <w:rPr>
                <w:rFonts w:hint="eastAsia" w:cs="Times New Roman"/>
                <w:color w:val="auto"/>
                <w:kern w:val="21"/>
                <w:sz w:val="24"/>
                <w:szCs w:val="24"/>
                <w:highlight w:val="none"/>
                <w:lang w:val="en-US" w:eastAsia="zh-CN"/>
              </w:rPr>
              <w:t>41.72</w:t>
            </w:r>
            <w:r>
              <w:rPr>
                <w:rFonts w:hint="default" w:ascii="Times New Roman" w:hAnsi="Times New Roman" w:eastAsia="宋体" w:cs="Times New Roman"/>
                <w:color w:val="auto"/>
                <w:sz w:val="24"/>
                <w:szCs w:val="24"/>
                <w:highlight w:val="none"/>
                <w:lang w:val="en-US" w:eastAsia="zh-CN"/>
              </w:rPr>
              <w:t>万元。</w:t>
            </w:r>
            <w:r>
              <w:rPr>
                <w:rFonts w:hint="eastAsia" w:ascii="Times New Roman" w:hAnsi="Times New Roman" w:eastAsia="宋体" w:cs="Times New Roman"/>
                <w:color w:val="auto"/>
                <w:sz w:val="24"/>
                <w:szCs w:val="24"/>
                <w:highlight w:val="none"/>
                <w:lang w:val="en-US" w:eastAsia="zh-CN"/>
              </w:rPr>
              <w:t>资</w:t>
            </w:r>
            <w:r>
              <w:rPr>
                <w:rFonts w:hint="default" w:ascii="Times New Roman" w:hAnsi="Times New Roman" w:eastAsia="宋体" w:cs="Times New Roman"/>
                <w:color w:val="auto"/>
                <w:sz w:val="24"/>
                <w:szCs w:val="24"/>
                <w:highlight w:val="none"/>
                <w:lang w:val="en-US" w:eastAsia="zh-CN"/>
              </w:rPr>
              <w:t>金</w:t>
            </w:r>
            <w:r>
              <w:rPr>
                <w:rFonts w:hint="default" w:ascii="Times New Roman" w:hAnsi="Times New Roman" w:eastAsia="宋体" w:cs="Times New Roman"/>
                <w:color w:val="auto"/>
                <w:sz w:val="24"/>
                <w:szCs w:val="24"/>
                <w:lang w:val="en-US" w:eastAsia="zh-CN"/>
              </w:rPr>
              <w:t>来源为中央投资加地方配套</w:t>
            </w:r>
            <w:r>
              <w:rPr>
                <w:rFonts w:hint="eastAsia" w:ascii="Times New Roman" w:hAnsi="Times New Roman" w:eastAsia="宋体" w:cs="Times New Roman"/>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2" w:firstLineChars="200"/>
              <w:jc w:val="both"/>
              <w:textAlignment w:val="auto"/>
              <w:rPr>
                <w:rFonts w:hint="default" w:ascii="Times New Roman" w:hAnsi="Times New Roman" w:eastAsia="宋体" w:cs="Times New Roman"/>
                <w:color w:val="auto"/>
                <w:sz w:val="24"/>
                <w:szCs w:val="24"/>
                <w:lang w:val="en-US" w:eastAsia="zh-CN"/>
              </w:rPr>
            </w:pPr>
            <w:r>
              <w:rPr>
                <w:rFonts w:hint="eastAsia" w:eastAsia="宋体" w:cs="Times New Roman"/>
                <w:b/>
                <w:bCs/>
                <w:color w:val="auto"/>
                <w:sz w:val="24"/>
                <w:szCs w:val="24"/>
                <w:lang w:val="en-US" w:eastAsia="zh-CN"/>
              </w:rPr>
              <w:t xml:space="preserve">7 </w:t>
            </w:r>
            <w:r>
              <w:rPr>
                <w:rFonts w:hint="default" w:ascii="Times New Roman" w:hAnsi="Times New Roman" w:eastAsia="宋体" w:cs="Times New Roman"/>
                <w:b/>
                <w:bCs/>
                <w:color w:val="auto"/>
                <w:sz w:val="24"/>
                <w:szCs w:val="24"/>
                <w:lang w:val="en-US" w:eastAsia="zh-CN"/>
              </w:rPr>
              <w:t>项目工程等级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center"/>
              <w:rPr>
                <w:rFonts w:hint="eastAsia" w:ascii="Times New Roman" w:hAnsi="Times New Roman" w:eastAsia="宋体" w:cs="Times New Roman"/>
                <w:b/>
                <w:bCs/>
                <w:color w:val="auto"/>
                <w:sz w:val="21"/>
                <w:szCs w:val="21"/>
              </w:rPr>
            </w:pPr>
            <w:r>
              <w:rPr>
                <w:rFonts w:ascii="Times New Roman" w:hAnsi="Times New Roman"/>
                <w:sz w:val="24"/>
              </w:rPr>
              <w:t>工程防洪标准</w:t>
            </w:r>
            <w:r>
              <w:rPr>
                <w:rFonts w:hint="eastAsia" w:ascii="Times New Roman" w:hAnsi="Times New Roman"/>
                <w:sz w:val="24"/>
              </w:rPr>
              <w:t>游坝村破屋基段保护对象为居民密集区，防洪标准采用1</w:t>
            </w:r>
            <w:r>
              <w:rPr>
                <w:rFonts w:ascii="Times New Roman" w:hAnsi="Times New Roman"/>
                <w:sz w:val="24"/>
              </w:rPr>
              <w:t>0</w:t>
            </w:r>
            <w:r>
              <w:rPr>
                <w:rFonts w:hint="eastAsia" w:ascii="Times New Roman" w:hAnsi="Times New Roman"/>
                <w:sz w:val="24"/>
              </w:rPr>
              <w:t>年一遇，其余段堤防护岸保护对象为农田采用5年一遇防洪标准，</w:t>
            </w:r>
            <w:r>
              <w:rPr>
                <w:rFonts w:ascii="Times New Roman" w:hAnsi="Times New Roman"/>
                <w:sz w:val="24"/>
              </w:rPr>
              <w:t>排涝标准采用5年一遇，堤防工程等级为5级，其主要建筑物按5级设计，次要及临时建筑物按5级设计</w:t>
            </w:r>
            <w:r>
              <w:rPr>
                <w:rFonts w:hint="eastAsia"/>
                <w:sz w:val="24"/>
                <w:lang w:eastAsia="zh-CN"/>
              </w:rPr>
              <w:t>。</w:t>
            </w:r>
          </w:p>
          <w:p>
            <w:pPr>
              <w:pStyle w:val="22"/>
              <w:adjustRightInd w:val="0"/>
              <w:snapToGrid w:val="0"/>
              <w:spacing w:line="360" w:lineRule="auto"/>
              <w:ind w:firstLine="0" w:firstLineChars="0"/>
              <w:jc w:val="center"/>
              <w:rPr>
                <w:rFonts w:hint="default"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表</w:t>
            </w:r>
            <w:r>
              <w:rPr>
                <w:rFonts w:hint="eastAsia" w:ascii="Times New Roman" w:hAnsi="Times New Roman" w:eastAsia="宋体" w:cs="Times New Roman"/>
                <w:b/>
                <w:bCs/>
                <w:color w:val="auto"/>
                <w:sz w:val="21"/>
                <w:szCs w:val="21"/>
                <w:lang w:val="en-US" w:eastAsia="zh-CN"/>
              </w:rPr>
              <w:t>2</w:t>
            </w:r>
            <w:r>
              <w:rPr>
                <w:rFonts w:hint="eastAsia" w:cs="Times New Roman"/>
                <w:b/>
                <w:bCs/>
                <w:color w:val="auto"/>
                <w:sz w:val="21"/>
                <w:szCs w:val="21"/>
                <w:lang w:val="en-US" w:eastAsia="zh-CN"/>
              </w:rPr>
              <w:t>-9</w:t>
            </w:r>
            <w:r>
              <w:rPr>
                <w:rFonts w:hint="default" w:ascii="Times New Roman" w:hAnsi="Times New Roman" w:eastAsia="宋体" w:cs="Times New Roman"/>
                <w:b/>
                <w:bCs/>
                <w:color w:val="auto"/>
                <w:sz w:val="21"/>
                <w:szCs w:val="21"/>
              </w:rPr>
              <w:t xml:space="preserve">  </w:t>
            </w:r>
            <w:r>
              <w:rPr>
                <w:rFonts w:hint="eastAsia" w:ascii="Times New Roman" w:hAnsi="Times New Roman" w:eastAsia="宋体" w:cs="Times New Roman"/>
                <w:b/>
                <w:bCs/>
                <w:color w:val="auto"/>
                <w:sz w:val="21"/>
                <w:szCs w:val="21"/>
              </w:rPr>
              <w:t>设计防洪标准分段统计表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1576"/>
              <w:gridCol w:w="1752"/>
              <w:gridCol w:w="1263"/>
              <w:gridCol w:w="1202"/>
              <w:gridCol w:w="1055"/>
              <w:gridCol w:w="1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07" w:type="pct"/>
                  <w:shd w:val="clear" w:color="auto" w:fill="auto"/>
                  <w:noWrap w:val="0"/>
                  <w:vAlign w:val="center"/>
                </w:tcPr>
                <w:p>
                  <w:pPr>
                    <w:jc w:val="center"/>
                    <w:rPr>
                      <w:rFonts w:hint="eastAsia" w:ascii="Times New Roman" w:hAnsi="Times New Roman" w:cs="Times New Roman"/>
                      <w:b/>
                      <w:bCs/>
                      <w:szCs w:val="21"/>
                    </w:rPr>
                  </w:pPr>
                  <w:r>
                    <w:rPr>
                      <w:rFonts w:hint="eastAsia" w:ascii="Times New Roman" w:hAnsi="Times New Roman" w:cs="Times New Roman"/>
                      <w:b/>
                      <w:bCs/>
                      <w:szCs w:val="21"/>
                    </w:rPr>
                    <w:t>序号</w:t>
                  </w:r>
                </w:p>
              </w:tc>
              <w:tc>
                <w:tcPr>
                  <w:tcW w:w="871" w:type="pct"/>
                  <w:shd w:val="clear" w:color="auto" w:fill="auto"/>
                  <w:noWrap w:val="0"/>
                  <w:vAlign w:val="center"/>
                </w:tcPr>
                <w:p>
                  <w:pPr>
                    <w:jc w:val="center"/>
                    <w:rPr>
                      <w:rFonts w:hint="eastAsia" w:ascii="Times New Roman" w:hAnsi="Times New Roman" w:cs="Times New Roman"/>
                      <w:b/>
                      <w:bCs/>
                      <w:szCs w:val="21"/>
                    </w:rPr>
                  </w:pPr>
                  <w:r>
                    <w:rPr>
                      <w:rFonts w:hint="eastAsia" w:ascii="Times New Roman" w:hAnsi="Times New Roman" w:cs="Times New Roman"/>
                      <w:b/>
                      <w:bCs/>
                      <w:szCs w:val="21"/>
                    </w:rPr>
                    <w:t>起止点</w:t>
                  </w:r>
                </w:p>
              </w:tc>
              <w:tc>
                <w:tcPr>
                  <w:tcW w:w="968" w:type="pct"/>
                  <w:shd w:val="clear" w:color="auto" w:fill="auto"/>
                  <w:noWrap w:val="0"/>
                  <w:vAlign w:val="center"/>
                </w:tcPr>
                <w:p>
                  <w:pPr>
                    <w:jc w:val="center"/>
                    <w:rPr>
                      <w:rFonts w:hint="eastAsia" w:ascii="Times New Roman" w:hAnsi="Times New Roman" w:cs="Times New Roman"/>
                      <w:b/>
                      <w:bCs/>
                      <w:szCs w:val="21"/>
                    </w:rPr>
                  </w:pPr>
                  <w:r>
                    <w:rPr>
                      <w:rFonts w:hint="eastAsia" w:ascii="Times New Roman" w:hAnsi="Times New Roman" w:cs="Times New Roman"/>
                      <w:b/>
                      <w:bCs/>
                      <w:szCs w:val="21"/>
                    </w:rPr>
                    <w:t>起止桩号</w:t>
                  </w:r>
                </w:p>
              </w:tc>
              <w:tc>
                <w:tcPr>
                  <w:tcW w:w="698" w:type="pct"/>
                  <w:shd w:val="clear" w:color="auto" w:fill="auto"/>
                  <w:noWrap w:val="0"/>
                  <w:vAlign w:val="center"/>
                </w:tcPr>
                <w:p>
                  <w:pPr>
                    <w:jc w:val="center"/>
                    <w:rPr>
                      <w:rFonts w:hint="eastAsia" w:ascii="Times New Roman" w:hAnsi="Times New Roman" w:cs="Times New Roman"/>
                      <w:b/>
                      <w:bCs/>
                      <w:szCs w:val="21"/>
                    </w:rPr>
                  </w:pPr>
                  <w:r>
                    <w:rPr>
                      <w:rFonts w:hint="eastAsia" w:ascii="Times New Roman" w:hAnsi="Times New Roman" w:cs="Times New Roman"/>
                      <w:b/>
                      <w:bCs/>
                      <w:szCs w:val="21"/>
                    </w:rPr>
                    <w:t>保护对象</w:t>
                  </w:r>
                </w:p>
              </w:tc>
              <w:tc>
                <w:tcPr>
                  <w:tcW w:w="664" w:type="pct"/>
                  <w:shd w:val="clear" w:color="auto" w:fill="auto"/>
                  <w:noWrap w:val="0"/>
                  <w:vAlign w:val="center"/>
                </w:tcPr>
                <w:p>
                  <w:pPr>
                    <w:jc w:val="center"/>
                    <w:rPr>
                      <w:rFonts w:hint="eastAsia" w:ascii="Times New Roman" w:hAnsi="Times New Roman" w:cs="Times New Roman"/>
                      <w:b/>
                      <w:bCs/>
                      <w:szCs w:val="21"/>
                    </w:rPr>
                  </w:pPr>
                  <w:r>
                    <w:rPr>
                      <w:rFonts w:hint="eastAsia" w:ascii="Times New Roman" w:hAnsi="Times New Roman" w:cs="Times New Roman"/>
                      <w:b/>
                      <w:bCs/>
                      <w:szCs w:val="21"/>
                    </w:rPr>
                    <w:t>建设类型</w:t>
                  </w:r>
                </w:p>
              </w:tc>
              <w:tc>
                <w:tcPr>
                  <w:tcW w:w="583" w:type="pct"/>
                  <w:shd w:val="clear" w:color="auto" w:fill="auto"/>
                  <w:noWrap w:val="0"/>
                  <w:vAlign w:val="center"/>
                </w:tcPr>
                <w:p>
                  <w:pPr>
                    <w:jc w:val="center"/>
                    <w:rPr>
                      <w:rFonts w:hint="eastAsia" w:ascii="Times New Roman" w:hAnsi="Times New Roman" w:cs="Times New Roman"/>
                      <w:b/>
                      <w:bCs/>
                      <w:szCs w:val="21"/>
                    </w:rPr>
                  </w:pPr>
                  <w:r>
                    <w:rPr>
                      <w:rFonts w:hint="eastAsia" w:ascii="Times New Roman" w:hAnsi="Times New Roman" w:cs="Times New Roman"/>
                      <w:b/>
                      <w:bCs/>
                      <w:szCs w:val="21"/>
                    </w:rPr>
                    <w:t>设计防洪标准</w:t>
                  </w:r>
                </w:p>
              </w:tc>
              <w:tc>
                <w:tcPr>
                  <w:tcW w:w="805" w:type="pct"/>
                  <w:shd w:val="clear" w:color="auto" w:fill="auto"/>
                  <w:noWrap w:val="0"/>
                  <w:vAlign w:val="center"/>
                </w:tcPr>
                <w:p>
                  <w:pPr>
                    <w:jc w:val="center"/>
                    <w:rPr>
                      <w:rFonts w:hint="eastAsia" w:ascii="Times New Roman" w:hAnsi="Times New Roman" w:cs="Times New Roman"/>
                      <w:b/>
                      <w:bCs/>
                      <w:szCs w:val="21"/>
                    </w:rPr>
                  </w:pPr>
                  <w:r>
                    <w:rPr>
                      <w:rFonts w:hint="eastAsia" w:ascii="Times New Roman" w:hAnsi="Times New Roman" w:cs="Times New Roman"/>
                      <w:b/>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07" w:type="pct"/>
                  <w:shd w:val="clear" w:color="auto" w:fill="auto"/>
                  <w:noWrap w:val="0"/>
                  <w:vAlign w:val="center"/>
                </w:tcPr>
                <w:p>
                  <w:pPr>
                    <w:jc w:val="center"/>
                    <w:rPr>
                      <w:rFonts w:hint="eastAsia" w:ascii="Times New Roman" w:hAnsi="Times New Roman"/>
                      <w:szCs w:val="21"/>
                    </w:rPr>
                  </w:pPr>
                  <w:r>
                    <w:rPr>
                      <w:rFonts w:hint="eastAsia" w:ascii="Times New Roman" w:hAnsi="Times New Roman"/>
                      <w:szCs w:val="21"/>
                    </w:rPr>
                    <w:t>1</w:t>
                  </w:r>
                </w:p>
              </w:tc>
              <w:tc>
                <w:tcPr>
                  <w:tcW w:w="871" w:type="pct"/>
                  <w:shd w:val="clear" w:color="auto" w:fill="auto"/>
                  <w:noWrap w:val="0"/>
                  <w:vAlign w:val="center"/>
                </w:tcPr>
                <w:p>
                  <w:pPr>
                    <w:jc w:val="center"/>
                    <w:rPr>
                      <w:rFonts w:hint="eastAsia" w:ascii="Times New Roman" w:hAnsi="Times New Roman"/>
                      <w:szCs w:val="21"/>
                    </w:rPr>
                  </w:pPr>
                  <w:r>
                    <w:rPr>
                      <w:rFonts w:hint="eastAsia" w:ascii="Times New Roman" w:hAnsi="Times New Roman"/>
                      <w:szCs w:val="21"/>
                    </w:rPr>
                    <w:t>游坝村破屋基-周桃枝家</w:t>
                  </w:r>
                </w:p>
              </w:tc>
              <w:tc>
                <w:tcPr>
                  <w:tcW w:w="968" w:type="pct"/>
                  <w:shd w:val="clear" w:color="auto" w:fill="auto"/>
                  <w:noWrap w:val="0"/>
                  <w:vAlign w:val="center"/>
                </w:tcPr>
                <w:p>
                  <w:pPr>
                    <w:jc w:val="center"/>
                    <w:rPr>
                      <w:rFonts w:hint="eastAsia" w:ascii="Times New Roman" w:hAnsi="Times New Roman"/>
                      <w:szCs w:val="21"/>
                    </w:rPr>
                  </w:pPr>
                  <w:r>
                    <w:rPr>
                      <w:rFonts w:hint="eastAsia" w:ascii="Times New Roman" w:hAnsi="Times New Roman"/>
                      <w:szCs w:val="21"/>
                    </w:rPr>
                    <w:t>临右0</w:t>
                  </w:r>
                  <w:r>
                    <w:rPr>
                      <w:rFonts w:ascii="Times New Roman" w:hAnsi="Times New Roman"/>
                      <w:szCs w:val="21"/>
                    </w:rPr>
                    <w:t>+057-</w:t>
                  </w:r>
                  <w:r>
                    <w:rPr>
                      <w:rFonts w:hint="eastAsia" w:ascii="Times New Roman" w:hAnsi="Times New Roman"/>
                      <w:szCs w:val="21"/>
                    </w:rPr>
                    <w:t>临右0</w:t>
                  </w:r>
                  <w:r>
                    <w:rPr>
                      <w:rFonts w:ascii="Times New Roman" w:hAnsi="Times New Roman"/>
                      <w:szCs w:val="21"/>
                    </w:rPr>
                    <w:t>+227</w:t>
                  </w:r>
                </w:p>
              </w:tc>
              <w:tc>
                <w:tcPr>
                  <w:tcW w:w="698" w:type="pct"/>
                  <w:shd w:val="clear" w:color="auto" w:fill="auto"/>
                  <w:noWrap w:val="0"/>
                  <w:vAlign w:val="center"/>
                </w:tcPr>
                <w:p>
                  <w:pPr>
                    <w:jc w:val="center"/>
                    <w:rPr>
                      <w:rFonts w:hint="eastAsia" w:ascii="Times New Roman" w:hAnsi="Times New Roman"/>
                      <w:szCs w:val="21"/>
                    </w:rPr>
                  </w:pPr>
                  <w:r>
                    <w:rPr>
                      <w:rFonts w:hint="eastAsia" w:ascii="Times New Roman" w:hAnsi="Times New Roman"/>
                      <w:szCs w:val="21"/>
                    </w:rPr>
                    <w:t>游坝村居民</w:t>
                  </w:r>
                  <w:r>
                    <w:rPr>
                      <w:rFonts w:ascii="Times New Roman" w:hAnsi="Times New Roman"/>
                      <w:szCs w:val="21"/>
                    </w:rPr>
                    <w:t>2000</w:t>
                  </w:r>
                  <w:r>
                    <w:rPr>
                      <w:rFonts w:hint="eastAsia" w:ascii="Times New Roman" w:hAnsi="Times New Roman"/>
                      <w:szCs w:val="21"/>
                    </w:rPr>
                    <w:t>人</w:t>
                  </w:r>
                </w:p>
              </w:tc>
              <w:tc>
                <w:tcPr>
                  <w:tcW w:w="664" w:type="pct"/>
                  <w:shd w:val="clear" w:color="auto" w:fill="auto"/>
                  <w:noWrap w:val="0"/>
                  <w:vAlign w:val="center"/>
                </w:tcPr>
                <w:p>
                  <w:pPr>
                    <w:jc w:val="center"/>
                    <w:rPr>
                      <w:rFonts w:hint="eastAsia" w:ascii="Times New Roman" w:hAnsi="Times New Roman"/>
                      <w:szCs w:val="21"/>
                    </w:rPr>
                  </w:pPr>
                  <w:r>
                    <w:rPr>
                      <w:rFonts w:hint="eastAsia" w:ascii="Times New Roman" w:hAnsi="Times New Roman"/>
                      <w:szCs w:val="21"/>
                    </w:rPr>
                    <w:t>新建堤防</w:t>
                  </w:r>
                </w:p>
              </w:tc>
              <w:tc>
                <w:tcPr>
                  <w:tcW w:w="583" w:type="pct"/>
                  <w:shd w:val="clear" w:color="auto" w:fill="auto"/>
                  <w:noWrap w:val="0"/>
                  <w:vAlign w:val="center"/>
                </w:tcPr>
                <w:p>
                  <w:pPr>
                    <w:jc w:val="center"/>
                    <w:rPr>
                      <w:rFonts w:hint="eastAsia" w:ascii="Times New Roman" w:hAnsi="Times New Roman"/>
                      <w:szCs w:val="21"/>
                    </w:rPr>
                  </w:pPr>
                  <w:r>
                    <w:rPr>
                      <w:rFonts w:hint="eastAsia" w:ascii="Times New Roman" w:hAnsi="Times New Roman"/>
                      <w:szCs w:val="21"/>
                    </w:rPr>
                    <w:t>1</w:t>
                  </w:r>
                  <w:r>
                    <w:rPr>
                      <w:rFonts w:ascii="Times New Roman" w:hAnsi="Times New Roman"/>
                      <w:szCs w:val="21"/>
                    </w:rPr>
                    <w:t>0</w:t>
                  </w:r>
                </w:p>
              </w:tc>
              <w:tc>
                <w:tcPr>
                  <w:tcW w:w="805" w:type="pct"/>
                  <w:shd w:val="clear" w:color="auto" w:fill="auto"/>
                  <w:noWrap w:val="0"/>
                  <w:vAlign w:val="center"/>
                </w:tcPr>
                <w:p>
                  <w:pPr>
                    <w:jc w:val="center"/>
                    <w:rPr>
                      <w:rFonts w:hint="eastAsia" w:ascii="Times New Roman" w:hAnsi="Times New Roman"/>
                      <w:szCs w:val="21"/>
                    </w:rPr>
                  </w:pPr>
                  <w:r>
                    <w:rPr>
                      <w:rFonts w:hint="eastAsia" w:ascii="Times New Roman" w:hAnsi="Times New Roman"/>
                      <w:szCs w:val="21"/>
                    </w:rPr>
                    <w:t>堤顶安全加高1</w:t>
                  </w:r>
                  <w:r>
                    <w:rPr>
                      <w:rFonts w:ascii="Times New Roman" w:hAnsi="Times New Roman"/>
                      <w:szCs w:val="21"/>
                    </w:rPr>
                    <w:t>.0m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07" w:type="pct"/>
                  <w:shd w:val="clear" w:color="auto" w:fill="auto"/>
                  <w:noWrap w:val="0"/>
                  <w:vAlign w:val="center"/>
                </w:tcPr>
                <w:p>
                  <w:pPr>
                    <w:jc w:val="center"/>
                    <w:rPr>
                      <w:rFonts w:hint="eastAsia" w:ascii="Times New Roman" w:hAnsi="Times New Roman"/>
                      <w:szCs w:val="21"/>
                    </w:rPr>
                  </w:pPr>
                  <w:r>
                    <w:rPr>
                      <w:rFonts w:ascii="Times New Roman" w:hAnsi="Times New Roman"/>
                      <w:szCs w:val="21"/>
                    </w:rPr>
                    <w:t>2</w:t>
                  </w:r>
                </w:p>
              </w:tc>
              <w:tc>
                <w:tcPr>
                  <w:tcW w:w="871" w:type="pct"/>
                  <w:shd w:val="clear" w:color="auto" w:fill="auto"/>
                  <w:noWrap w:val="0"/>
                  <w:vAlign w:val="center"/>
                </w:tcPr>
                <w:p>
                  <w:pPr>
                    <w:jc w:val="center"/>
                    <w:rPr>
                      <w:rFonts w:hint="eastAsia" w:ascii="Times New Roman" w:hAnsi="Times New Roman"/>
                      <w:szCs w:val="21"/>
                    </w:rPr>
                  </w:pPr>
                  <w:r>
                    <w:rPr>
                      <w:rFonts w:hint="eastAsia" w:ascii="Times New Roman" w:hAnsi="Times New Roman"/>
                      <w:szCs w:val="21"/>
                    </w:rPr>
                    <w:t>周桃枝家-游坝村桥</w:t>
                  </w:r>
                </w:p>
              </w:tc>
              <w:tc>
                <w:tcPr>
                  <w:tcW w:w="968" w:type="pct"/>
                  <w:shd w:val="clear" w:color="auto" w:fill="auto"/>
                  <w:noWrap w:val="0"/>
                  <w:vAlign w:val="center"/>
                </w:tcPr>
                <w:p>
                  <w:pPr>
                    <w:jc w:val="center"/>
                    <w:rPr>
                      <w:rFonts w:hint="eastAsia" w:ascii="Times New Roman" w:hAnsi="Times New Roman"/>
                      <w:szCs w:val="21"/>
                    </w:rPr>
                  </w:pPr>
                  <w:r>
                    <w:rPr>
                      <w:rFonts w:hint="eastAsia" w:ascii="Times New Roman" w:hAnsi="Times New Roman"/>
                      <w:szCs w:val="21"/>
                    </w:rPr>
                    <w:t>临右0+</w:t>
                  </w:r>
                  <w:r>
                    <w:rPr>
                      <w:rFonts w:ascii="Times New Roman" w:hAnsi="Times New Roman"/>
                      <w:szCs w:val="21"/>
                    </w:rPr>
                    <w:t>227</w:t>
                  </w:r>
                  <w:r>
                    <w:rPr>
                      <w:rFonts w:hint="eastAsia" w:ascii="Times New Roman" w:hAnsi="Times New Roman"/>
                      <w:szCs w:val="21"/>
                    </w:rPr>
                    <w:t>-临右1</w:t>
                  </w:r>
                  <w:r>
                    <w:rPr>
                      <w:rFonts w:ascii="Times New Roman" w:hAnsi="Times New Roman"/>
                      <w:szCs w:val="21"/>
                    </w:rPr>
                    <w:t>+435</w:t>
                  </w:r>
                </w:p>
              </w:tc>
              <w:tc>
                <w:tcPr>
                  <w:tcW w:w="698" w:type="pct"/>
                  <w:shd w:val="clear" w:color="auto" w:fill="auto"/>
                  <w:noWrap w:val="0"/>
                  <w:vAlign w:val="center"/>
                </w:tcPr>
                <w:p>
                  <w:pPr>
                    <w:jc w:val="center"/>
                    <w:rPr>
                      <w:rFonts w:hint="eastAsia" w:ascii="Times New Roman" w:hAnsi="Times New Roman"/>
                      <w:szCs w:val="21"/>
                    </w:rPr>
                  </w:pPr>
                  <w:r>
                    <w:rPr>
                      <w:rFonts w:hint="eastAsia" w:ascii="Times New Roman" w:hAnsi="Times New Roman"/>
                      <w:szCs w:val="21"/>
                    </w:rPr>
                    <w:t>游坝村农田</w:t>
                  </w:r>
                </w:p>
              </w:tc>
              <w:tc>
                <w:tcPr>
                  <w:tcW w:w="664" w:type="pct"/>
                  <w:shd w:val="clear" w:color="auto" w:fill="auto"/>
                  <w:noWrap w:val="0"/>
                  <w:vAlign w:val="center"/>
                </w:tcPr>
                <w:p>
                  <w:pPr>
                    <w:jc w:val="center"/>
                    <w:rPr>
                      <w:rFonts w:hint="eastAsia" w:ascii="Times New Roman" w:hAnsi="Times New Roman"/>
                      <w:szCs w:val="21"/>
                    </w:rPr>
                  </w:pPr>
                  <w:r>
                    <w:rPr>
                      <w:rFonts w:hint="eastAsia" w:ascii="Times New Roman" w:hAnsi="Times New Roman"/>
                      <w:szCs w:val="21"/>
                    </w:rPr>
                    <w:t>新建护岸</w:t>
                  </w:r>
                </w:p>
              </w:tc>
              <w:tc>
                <w:tcPr>
                  <w:tcW w:w="583" w:type="pct"/>
                  <w:shd w:val="clear" w:color="auto" w:fill="auto"/>
                  <w:noWrap w:val="0"/>
                  <w:vAlign w:val="center"/>
                </w:tcPr>
                <w:p>
                  <w:pPr>
                    <w:jc w:val="center"/>
                    <w:rPr>
                      <w:rFonts w:hint="eastAsia" w:ascii="Times New Roman" w:hAnsi="Times New Roman"/>
                      <w:szCs w:val="21"/>
                    </w:rPr>
                  </w:pPr>
                  <w:r>
                    <w:rPr>
                      <w:rFonts w:hint="eastAsia" w:ascii="Times New Roman" w:hAnsi="Times New Roman"/>
                      <w:szCs w:val="21"/>
                    </w:rPr>
                    <w:t>5</w:t>
                  </w:r>
                </w:p>
              </w:tc>
              <w:tc>
                <w:tcPr>
                  <w:tcW w:w="805" w:type="pct"/>
                  <w:shd w:val="clear" w:color="auto" w:fill="auto"/>
                  <w:noWrap w:val="0"/>
                  <w:vAlign w:val="center"/>
                </w:tcPr>
                <w:p>
                  <w:pPr>
                    <w:jc w:val="center"/>
                    <w:rPr>
                      <w:rFonts w:hint="eastAsia" w:ascii="Times New Roman" w:hAnsi="Times New Roman"/>
                      <w:szCs w:val="21"/>
                    </w:rPr>
                  </w:pPr>
                  <w:r>
                    <w:rPr>
                      <w:rFonts w:hint="eastAsia" w:ascii="Times New Roman" w:hAnsi="Times New Roman"/>
                      <w:szCs w:val="21"/>
                    </w:rPr>
                    <w:t>护岸顶接现状地面或与5年一遇水位齐平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07" w:type="pct"/>
                  <w:shd w:val="clear" w:color="auto" w:fill="auto"/>
                  <w:noWrap w:val="0"/>
                  <w:vAlign w:val="center"/>
                </w:tcPr>
                <w:p>
                  <w:pPr>
                    <w:jc w:val="center"/>
                    <w:rPr>
                      <w:rFonts w:ascii="Times New Roman" w:hAnsi="Times New Roman"/>
                      <w:szCs w:val="21"/>
                    </w:rPr>
                  </w:pPr>
                  <w:r>
                    <w:rPr>
                      <w:rFonts w:hint="eastAsia" w:ascii="Times New Roman" w:hAnsi="Times New Roman"/>
                      <w:szCs w:val="21"/>
                    </w:rPr>
                    <w:t>3</w:t>
                  </w:r>
                </w:p>
              </w:tc>
              <w:tc>
                <w:tcPr>
                  <w:tcW w:w="871" w:type="pct"/>
                  <w:shd w:val="clear" w:color="auto" w:fill="auto"/>
                  <w:noWrap w:val="0"/>
                  <w:vAlign w:val="center"/>
                </w:tcPr>
                <w:p>
                  <w:pPr>
                    <w:jc w:val="center"/>
                    <w:rPr>
                      <w:rFonts w:hint="eastAsia" w:ascii="Times New Roman" w:hAnsi="Times New Roman"/>
                      <w:szCs w:val="21"/>
                    </w:rPr>
                  </w:pPr>
                  <w:r>
                    <w:rPr>
                      <w:rFonts w:hint="eastAsia" w:ascii="Times New Roman" w:hAnsi="Times New Roman"/>
                      <w:szCs w:val="21"/>
                    </w:rPr>
                    <w:t>三圣村流滴岩</w:t>
                  </w:r>
                  <w:r>
                    <w:rPr>
                      <w:rFonts w:ascii="Times New Roman" w:hAnsi="Times New Roman"/>
                      <w:szCs w:val="21"/>
                    </w:rPr>
                    <w:t>—</w:t>
                  </w:r>
                  <w:r>
                    <w:rPr>
                      <w:rFonts w:hint="eastAsia" w:ascii="Times New Roman" w:hAnsi="Times New Roman"/>
                      <w:szCs w:val="21"/>
                    </w:rPr>
                    <w:t>琵琶沱</w:t>
                  </w:r>
                </w:p>
              </w:tc>
              <w:tc>
                <w:tcPr>
                  <w:tcW w:w="968" w:type="pct"/>
                  <w:shd w:val="clear" w:color="auto" w:fill="auto"/>
                  <w:noWrap w:val="0"/>
                  <w:vAlign w:val="center"/>
                </w:tcPr>
                <w:p>
                  <w:pPr>
                    <w:jc w:val="center"/>
                    <w:rPr>
                      <w:rFonts w:hint="eastAsia" w:ascii="Times New Roman" w:hAnsi="Times New Roman"/>
                      <w:szCs w:val="21"/>
                    </w:rPr>
                  </w:pPr>
                  <w:r>
                    <w:rPr>
                      <w:rFonts w:hint="eastAsia" w:ascii="Times New Roman" w:hAnsi="Times New Roman"/>
                      <w:szCs w:val="21"/>
                    </w:rPr>
                    <w:t>临左5+</w:t>
                  </w:r>
                  <w:r>
                    <w:rPr>
                      <w:rFonts w:ascii="Times New Roman" w:hAnsi="Times New Roman"/>
                      <w:szCs w:val="21"/>
                    </w:rPr>
                    <w:t>150</w:t>
                  </w:r>
                  <w:r>
                    <w:rPr>
                      <w:rFonts w:hint="eastAsia" w:ascii="Times New Roman" w:hAnsi="Times New Roman"/>
                      <w:szCs w:val="21"/>
                    </w:rPr>
                    <w:t>-临左</w:t>
                  </w:r>
                  <w:r>
                    <w:rPr>
                      <w:rFonts w:ascii="Times New Roman" w:hAnsi="Times New Roman"/>
                      <w:szCs w:val="21"/>
                    </w:rPr>
                    <w:t>6</w:t>
                  </w:r>
                  <w:r>
                    <w:rPr>
                      <w:rFonts w:hint="eastAsia" w:ascii="Times New Roman" w:hAnsi="Times New Roman"/>
                      <w:szCs w:val="21"/>
                    </w:rPr>
                    <w:t>+</w:t>
                  </w:r>
                  <w:r>
                    <w:rPr>
                      <w:rFonts w:ascii="Times New Roman" w:hAnsi="Times New Roman"/>
                      <w:szCs w:val="21"/>
                    </w:rPr>
                    <w:t>260</w:t>
                  </w:r>
                </w:p>
              </w:tc>
              <w:tc>
                <w:tcPr>
                  <w:tcW w:w="698" w:type="pct"/>
                  <w:shd w:val="clear" w:color="auto" w:fill="auto"/>
                  <w:noWrap w:val="0"/>
                  <w:vAlign w:val="center"/>
                </w:tcPr>
                <w:p>
                  <w:pPr>
                    <w:jc w:val="center"/>
                    <w:rPr>
                      <w:rFonts w:hint="eastAsia" w:ascii="Times New Roman" w:hAnsi="Times New Roman"/>
                      <w:szCs w:val="21"/>
                    </w:rPr>
                  </w:pPr>
                  <w:r>
                    <w:rPr>
                      <w:rFonts w:hint="eastAsia" w:ascii="Times New Roman" w:hAnsi="Times New Roman"/>
                      <w:szCs w:val="21"/>
                    </w:rPr>
                    <w:t>三圣村农田</w:t>
                  </w:r>
                </w:p>
              </w:tc>
              <w:tc>
                <w:tcPr>
                  <w:tcW w:w="664" w:type="pct"/>
                  <w:shd w:val="clear" w:color="auto" w:fill="auto"/>
                  <w:noWrap w:val="0"/>
                  <w:vAlign w:val="center"/>
                </w:tcPr>
                <w:p>
                  <w:pPr>
                    <w:jc w:val="center"/>
                    <w:rPr>
                      <w:rFonts w:hint="eastAsia" w:ascii="Times New Roman" w:hAnsi="Times New Roman"/>
                      <w:szCs w:val="21"/>
                    </w:rPr>
                  </w:pPr>
                  <w:r>
                    <w:rPr>
                      <w:rFonts w:hint="eastAsia" w:ascii="Times New Roman" w:hAnsi="Times New Roman"/>
                      <w:szCs w:val="21"/>
                    </w:rPr>
                    <w:t>新建堤防</w:t>
                  </w:r>
                </w:p>
              </w:tc>
              <w:tc>
                <w:tcPr>
                  <w:tcW w:w="583" w:type="pct"/>
                  <w:shd w:val="clear" w:color="auto" w:fill="auto"/>
                  <w:noWrap w:val="0"/>
                  <w:vAlign w:val="center"/>
                </w:tcPr>
                <w:p>
                  <w:pPr>
                    <w:jc w:val="center"/>
                    <w:rPr>
                      <w:rFonts w:hint="eastAsia" w:ascii="Times New Roman" w:hAnsi="Times New Roman"/>
                      <w:szCs w:val="21"/>
                    </w:rPr>
                  </w:pPr>
                  <w:r>
                    <w:rPr>
                      <w:rFonts w:hint="eastAsia" w:ascii="Times New Roman" w:hAnsi="Times New Roman"/>
                      <w:szCs w:val="21"/>
                    </w:rPr>
                    <w:t>5</w:t>
                  </w:r>
                </w:p>
              </w:tc>
              <w:tc>
                <w:tcPr>
                  <w:tcW w:w="805" w:type="pct"/>
                  <w:shd w:val="clear" w:color="auto" w:fill="auto"/>
                  <w:noWrap w:val="0"/>
                  <w:vAlign w:val="center"/>
                </w:tcPr>
                <w:p>
                  <w:pPr>
                    <w:jc w:val="center"/>
                    <w:rPr>
                      <w:rFonts w:hint="eastAsia" w:ascii="Times New Roman" w:hAnsi="Times New Roman"/>
                      <w:szCs w:val="21"/>
                    </w:rPr>
                  </w:pPr>
                  <w:r>
                    <w:rPr>
                      <w:rFonts w:hint="eastAsia" w:ascii="Times New Roman" w:hAnsi="Times New Roman"/>
                      <w:szCs w:val="21"/>
                    </w:rPr>
                    <w:t>堤顶5年一遇水位齐平</w:t>
                  </w:r>
                </w:p>
              </w:tc>
            </w:tr>
          </w:tbl>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color w:val="0000FF"/>
                <w:kern w:val="0"/>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kern w:val="0"/>
                <w:sz w:val="24"/>
                <w:szCs w:val="24"/>
              </w:rPr>
            </w:pPr>
            <w:r>
              <w:rPr>
                <w:rFonts w:hint="default" w:ascii="Times New Roman" w:hAnsi="Times New Roman" w:cs="Times New Roman"/>
                <w:kern w:val="0"/>
                <w:sz w:val="24"/>
                <w:szCs w:val="24"/>
              </w:rPr>
              <w:t>总平面及现场布置</w:t>
            </w:r>
          </w:p>
        </w:tc>
        <w:tc>
          <w:tcPr>
            <w:tcW w:w="4796" w:type="pct"/>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center"/>
              <w:rPr>
                <w:rFonts w:hint="default" w:ascii="Times New Roman" w:hAnsi="Times New Roman" w:eastAsia="宋体"/>
                <w:b/>
                <w:bCs/>
                <w:sz w:val="24"/>
              </w:rPr>
            </w:pPr>
            <w:r>
              <w:rPr>
                <w:rFonts w:hint="eastAsia" w:ascii="Times New Roman" w:hAnsi="Times New Roman" w:eastAsia="宋体"/>
                <w:b/>
                <w:bCs/>
                <w:sz w:val="24"/>
                <w:lang w:val="en-US" w:eastAsia="zh-CN"/>
              </w:rPr>
              <w:t xml:space="preserve">1 </w:t>
            </w:r>
            <w:r>
              <w:rPr>
                <w:rFonts w:hint="default" w:ascii="Times New Roman" w:hAnsi="Times New Roman" w:eastAsia="宋体"/>
                <w:b/>
                <w:bCs/>
                <w:sz w:val="24"/>
              </w:rPr>
              <w:t>施工生产区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center"/>
              <w:rPr>
                <w:rFonts w:hint="eastAsia" w:ascii="Times New Roman" w:hAnsi="Times New Roman" w:eastAsia="宋体"/>
                <w:sz w:val="24"/>
                <w:lang w:val="en-US" w:eastAsia="zh-CN"/>
              </w:rPr>
            </w:pPr>
            <w:r>
              <w:rPr>
                <w:rFonts w:hint="eastAsia" w:ascii="Times New Roman" w:hAnsi="Times New Roman"/>
                <w:sz w:val="24"/>
                <w:lang w:val="en-US" w:eastAsia="zh-CN"/>
              </w:rPr>
              <w:t>工程</w:t>
            </w:r>
            <w:r>
              <w:rPr>
                <w:rFonts w:ascii="Times New Roman" w:hAnsi="Times New Roman"/>
                <w:sz w:val="24"/>
              </w:rPr>
              <w:t>沿河有居民集中居住区，有部分空置房屋，可租用为施工营地或仓库</w:t>
            </w:r>
            <w:r>
              <w:rPr>
                <w:rFonts w:hint="eastAsia" w:ascii="Times New Roman" w:hAnsi="Times New Roman"/>
                <w:sz w:val="24"/>
                <w:lang w:eastAsia="zh-CN"/>
              </w:rPr>
              <w:t>；</w:t>
            </w:r>
            <w:r>
              <w:rPr>
                <w:rFonts w:hint="eastAsia" w:ascii="Times New Roman" w:hAnsi="Times New Roman"/>
                <w:sz w:val="24"/>
                <w:lang w:val="en-US" w:eastAsia="zh-CN"/>
              </w:rPr>
              <w:t>不设立</w:t>
            </w:r>
            <w:r>
              <w:rPr>
                <w:rFonts w:hint="default" w:ascii="Times New Roman" w:hAnsi="Times New Roman" w:eastAsia="宋体" w:cs="Times New Roman"/>
                <w:color w:val="auto"/>
                <w:sz w:val="24"/>
                <w:szCs w:val="24"/>
              </w:rPr>
              <w:t>设备维修站</w:t>
            </w:r>
            <w:r>
              <w:rPr>
                <w:rFonts w:hint="eastAsia" w:cs="Times New Roman"/>
                <w:color w:val="auto"/>
                <w:sz w:val="24"/>
                <w:szCs w:val="24"/>
                <w:lang w:eastAsia="zh-CN"/>
              </w:rPr>
              <w:t>，</w:t>
            </w:r>
            <w:r>
              <w:rPr>
                <w:rFonts w:ascii="Times New Roman" w:hAnsi="Times New Roman"/>
                <w:sz w:val="24"/>
              </w:rPr>
              <w:t>工程区位于乐山市市中区平兴镇场镇</w:t>
            </w:r>
            <w:r>
              <w:rPr>
                <w:rFonts w:hint="eastAsia" w:ascii="Times New Roman" w:hAnsi="Times New Roman"/>
                <w:sz w:val="24"/>
              </w:rPr>
              <w:t>周边</w:t>
            </w:r>
            <w:r>
              <w:rPr>
                <w:rFonts w:ascii="Times New Roman" w:hAnsi="Times New Roman"/>
                <w:sz w:val="24"/>
              </w:rPr>
              <w:t>，内、外交通便利，而且该工程施工期短，因此施工机械设备及零配件的大、小维修均可在平兴镇和市中区解决</w:t>
            </w:r>
            <w:r>
              <w:rPr>
                <w:rFonts w:hint="eastAsia" w:ascii="Times New Roman" w:hAnsi="Times New Roman"/>
                <w:sz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center"/>
              <w:rPr>
                <w:rFonts w:hint="eastAsia" w:ascii="Times New Roman" w:hAnsi="Times New Roman" w:eastAsia="宋体"/>
                <w:sz w:val="24"/>
              </w:rPr>
            </w:pPr>
            <w:r>
              <w:rPr>
                <w:rFonts w:hint="eastAsia" w:ascii="Times New Roman" w:hAnsi="Times New Roman" w:eastAsia="宋体"/>
                <w:sz w:val="24"/>
              </w:rPr>
              <w:t>工程位于乐山市市中区平兴镇三圣村，施工条件较好，综合分析对外及场内交通路线、河道施工范围、施工强度等因素，按该堤防工程布置特点，遵循因地制宜，利于生产，便于管理，经济合理的原则，考虑到主要工程量位于三圣村，因此，本工程设置2个工区，分别位于临右0+100.00和临左5+500.00处，施工工区规划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center"/>
              <w:rPr>
                <w:rFonts w:hint="eastAsia" w:ascii="Times New Roman" w:hAnsi="Times New Roman" w:eastAsia="宋体"/>
                <w:sz w:val="24"/>
              </w:rPr>
            </w:pPr>
            <w:r>
              <w:rPr>
                <w:rFonts w:hint="eastAsia" w:ascii="Times New Roman" w:hAnsi="Times New Roman" w:eastAsia="宋体"/>
                <w:sz w:val="24"/>
              </w:rPr>
              <w:t>①1#施工生产区位于临左5+500.00处，施工范围为临左5+114.00～临左6+274.00段和临右4+972.00～临右6+078.00段两段堤防、堤防加固及河道疏浚，工区分生产和生活区，生活区为办公、生活及福利用房，采用租赁民房的方式解决。生产区布置有移动式拌</w:t>
            </w:r>
            <w:r>
              <w:rPr>
                <w:rFonts w:hint="eastAsia"/>
                <w:sz w:val="24"/>
                <w:lang w:val="en-US" w:eastAsia="zh-CN"/>
              </w:rPr>
              <w:t>合</w:t>
            </w:r>
            <w:r>
              <w:rPr>
                <w:rFonts w:hint="eastAsia" w:ascii="Times New Roman" w:hAnsi="Times New Roman" w:eastAsia="宋体"/>
                <w:sz w:val="24"/>
              </w:rPr>
              <w:t>站、综合厂、供水站、仓库等，生产区主要布置在主河道左岸的台地上。临时设施占地面积约1300m</w:t>
            </w:r>
            <w:r>
              <w:rPr>
                <w:rFonts w:hint="eastAsia" w:ascii="Times New Roman" w:hAnsi="Times New Roman" w:eastAsia="宋体"/>
                <w:sz w:val="24"/>
                <w:vertAlign w:val="superscript"/>
              </w:rPr>
              <w:t>2</w:t>
            </w:r>
            <w:r>
              <w:rPr>
                <w:rFonts w:hint="eastAsia" w:ascii="Times New Roman" w:hAnsi="Times New Roman" w:eastAsia="宋体"/>
                <w:sz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center"/>
              <w:rPr>
                <w:rFonts w:hint="eastAsia" w:ascii="Times New Roman" w:hAnsi="Times New Roman" w:eastAsia="宋体"/>
                <w:sz w:val="24"/>
              </w:rPr>
            </w:pPr>
            <w:r>
              <w:rPr>
                <w:rFonts w:hint="eastAsia" w:ascii="Times New Roman" w:hAnsi="Times New Roman" w:eastAsia="宋体"/>
                <w:sz w:val="24"/>
              </w:rPr>
              <w:t>②2#施工生产区位于临右0+100.00，施工范围为临右0+057.00～临右0+156.00段右岸堤防及右岸1#、2#、3#河道疏浚范围，工区分生产和生活区，生活区为办公、生活及福利用房，采用租赁民房的方式解决。生产区布置有综合厂、拌合站、供水站、仓库等，生产区主要布置在主河道右岸的台地上。临时设施占地面积约200m</w:t>
            </w:r>
            <w:r>
              <w:rPr>
                <w:rFonts w:hint="eastAsia" w:ascii="Times New Roman" w:hAnsi="Times New Roman" w:eastAsia="宋体"/>
                <w:sz w:val="24"/>
                <w:vertAlign w:val="superscript"/>
              </w:rPr>
              <w:t>2</w:t>
            </w:r>
            <w:r>
              <w:rPr>
                <w:rFonts w:hint="eastAsia" w:ascii="Times New Roman" w:hAnsi="Times New Roman" w:eastAsia="宋体"/>
                <w:sz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center"/>
              <w:rPr>
                <w:rFonts w:hint="eastAsia" w:eastAsia="宋体"/>
                <w:sz w:val="24"/>
                <w:lang w:val="en-US" w:eastAsia="zh-CN"/>
              </w:rPr>
            </w:pPr>
            <w:r>
              <w:rPr>
                <w:rFonts w:hint="eastAsia" w:eastAsia="宋体"/>
                <w:sz w:val="24"/>
                <w:lang w:val="en-US" w:eastAsia="zh-CN"/>
              </w:rPr>
              <w:t>项目施工对周围环境造成了一定影响，将施工机械（高噪声设备）等布设于远离敏感点一侧，并设置围挡、洒水降尘，施工对周围居民敏感点的影响较小。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center"/>
              <w:rPr>
                <w:rFonts w:hint="default"/>
              </w:rPr>
            </w:pPr>
            <w:r>
              <w:rPr>
                <w:rFonts w:hint="eastAsia" w:eastAsia="宋体"/>
                <w:sz w:val="24"/>
                <w:lang w:val="en-US" w:eastAsia="zh-CN"/>
              </w:rPr>
              <w:t>因此本项目施工生产区总平面布置合理。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kern w:val="0"/>
                <w:sz w:val="24"/>
                <w:szCs w:val="24"/>
              </w:rPr>
            </w:pPr>
            <w:r>
              <w:rPr>
                <w:rFonts w:hint="default" w:ascii="Times New Roman" w:hAnsi="Times New Roman" w:cs="Times New Roman"/>
                <w:kern w:val="0"/>
                <w:sz w:val="24"/>
                <w:szCs w:val="24"/>
              </w:rPr>
              <w:t>施工方案</w:t>
            </w:r>
          </w:p>
        </w:tc>
        <w:tc>
          <w:tcPr>
            <w:tcW w:w="4796"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right="0" w:firstLine="482" w:firstLineChars="200"/>
              <w:jc w:val="left"/>
              <w:textAlignment w:val="auto"/>
              <w:rPr>
                <w:rFonts w:hint="default" w:ascii="Times New Roman" w:hAnsi="Times New Roman" w:eastAsia="宋体" w:cs="Times New Roman"/>
                <w:b/>
                <w:bCs w:val="0"/>
                <w:color w:val="auto"/>
                <w:sz w:val="24"/>
                <w:szCs w:val="24"/>
              </w:rPr>
            </w:pPr>
            <w:r>
              <w:rPr>
                <w:rFonts w:hint="default" w:ascii="Times New Roman" w:hAnsi="Times New Roman" w:eastAsia="宋体" w:cs="Times New Roman"/>
                <w:b/>
                <w:bCs w:val="0"/>
                <w:color w:val="auto"/>
                <w:kern w:val="0"/>
                <w:sz w:val="24"/>
                <w:szCs w:val="24"/>
                <w:lang w:val="en-US" w:eastAsia="zh-CN" w:bidi="ar"/>
              </w:rPr>
              <w:t>1</w:t>
            </w:r>
            <w:r>
              <w:rPr>
                <w:rFonts w:hint="default" w:ascii="Times New Roman" w:hAnsi="Times New Roman" w:eastAsia="宋体" w:cs="Times New Roman"/>
                <w:b/>
                <w:bCs w:val="0"/>
                <w:color w:val="auto"/>
                <w:kern w:val="0"/>
                <w:sz w:val="24"/>
                <w:szCs w:val="24"/>
                <w:lang w:bidi="ar"/>
              </w:rPr>
              <w:t>、工艺流程简述（图示）：</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right="0" w:rightChars="0" w:firstLine="480" w:firstLineChars="200"/>
              <w:jc w:val="left"/>
              <w:textAlignment w:val="auto"/>
              <w:rPr>
                <w:rStyle w:val="48"/>
                <w:rFonts w:hint="default" w:ascii="Times New Roman" w:hAnsi="Times New Roman" w:eastAsia="宋体" w:cs="Times New Roman"/>
                <w:color w:val="auto"/>
                <w:kern w:val="0"/>
                <w:sz w:val="24"/>
                <w:szCs w:val="24"/>
                <w:lang w:eastAsia="en-US" w:bidi="en-US"/>
              </w:rPr>
            </w:pPr>
            <w:r>
              <w:rPr>
                <w:rFonts w:hint="default" w:ascii="Times New Roman" w:hAnsi="Times New Roman" w:eastAsia="宋体" w:cs="Times New Roman"/>
                <w:color w:val="auto"/>
                <w:kern w:val="0"/>
                <w:sz w:val="24"/>
                <w:szCs w:val="24"/>
                <w:lang w:eastAsia="zh-CN" w:bidi="ar"/>
              </w:rPr>
              <w:t>（</w:t>
            </w:r>
            <w:r>
              <w:rPr>
                <w:rFonts w:hint="default" w:ascii="Times New Roman" w:hAnsi="Times New Roman" w:eastAsia="宋体" w:cs="Times New Roman"/>
                <w:color w:val="auto"/>
                <w:kern w:val="0"/>
                <w:sz w:val="24"/>
                <w:szCs w:val="24"/>
                <w:lang w:val="en-US" w:eastAsia="zh-CN" w:bidi="ar"/>
              </w:rPr>
              <w:t>1</w:t>
            </w:r>
            <w:r>
              <w:rPr>
                <w:rFonts w:hint="default" w:ascii="Times New Roman" w:hAnsi="Times New Roman" w:eastAsia="宋体" w:cs="Times New Roman"/>
                <w:color w:val="auto"/>
                <w:kern w:val="0"/>
                <w:sz w:val="24"/>
                <w:szCs w:val="24"/>
                <w:lang w:eastAsia="zh-CN" w:bidi="ar"/>
              </w:rPr>
              <w:t>）</w:t>
            </w:r>
            <w:r>
              <w:rPr>
                <w:rFonts w:hint="default" w:ascii="Times New Roman" w:hAnsi="Times New Roman" w:eastAsia="宋体" w:cs="Times New Roman"/>
                <w:color w:val="auto"/>
                <w:kern w:val="0"/>
                <w:sz w:val="24"/>
                <w:szCs w:val="24"/>
                <w:lang w:bidi="ar"/>
              </w:rPr>
              <w:t>施工工艺流程简述</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bidi="ar"/>
              </w:rPr>
              <w:t>施工工艺流程及产污位置如下图</w:t>
            </w:r>
            <w:r>
              <w:rPr>
                <w:rFonts w:hint="default" w:ascii="Times New Roman" w:hAnsi="Times New Roman" w:eastAsia="宋体" w:cs="Times New Roman"/>
                <w:color w:val="auto"/>
                <w:kern w:val="0"/>
                <w:sz w:val="24"/>
                <w:szCs w:val="24"/>
                <w:lang w:val="en-US" w:eastAsia="zh-CN" w:bidi="ar"/>
              </w:rPr>
              <w:t>2</w:t>
            </w:r>
            <w:r>
              <w:rPr>
                <w:rFonts w:hint="default" w:ascii="Times New Roman" w:hAnsi="Times New Roman" w:eastAsia="宋体" w:cs="Times New Roman"/>
                <w:color w:val="auto"/>
                <w:kern w:val="0"/>
                <w:sz w:val="24"/>
                <w:szCs w:val="24"/>
                <w:lang w:bidi="ar"/>
              </w:rPr>
              <w:t>-</w:t>
            </w:r>
            <w:r>
              <w:rPr>
                <w:rFonts w:hint="eastAsia" w:cs="Times New Roman"/>
                <w:color w:val="auto"/>
                <w:kern w:val="0"/>
                <w:sz w:val="24"/>
                <w:szCs w:val="24"/>
                <w:lang w:val="en-US" w:eastAsia="zh-CN" w:bidi="ar"/>
              </w:rPr>
              <w:t>2、图2-3</w:t>
            </w:r>
            <w:r>
              <w:rPr>
                <w:rFonts w:hint="default" w:ascii="Times New Roman" w:hAnsi="Times New Roman" w:eastAsia="宋体" w:cs="Times New Roman"/>
                <w:color w:val="auto"/>
                <w:kern w:val="0"/>
                <w:sz w:val="24"/>
                <w:szCs w:val="24"/>
                <w:lang w:bidi="ar"/>
              </w:rPr>
              <w:t>：</w:t>
            </w:r>
          </w:p>
          <w:p>
            <w:pPr>
              <w:widowControl/>
              <w:spacing w:line="360" w:lineRule="auto"/>
              <w:jc w:val="center"/>
              <w:rPr>
                <w:rFonts w:hint="default" w:ascii="Times New Roman" w:hAnsi="Times New Roman" w:eastAsia="宋体" w:cs="Times New Roman"/>
                <w:color w:val="auto"/>
                <w:kern w:val="0"/>
                <w:sz w:val="24"/>
                <w:lang w:eastAsia="zh-CN" w:bidi="ar"/>
              </w:rPr>
            </w:pPr>
            <w:r>
              <w:rPr>
                <w:rFonts w:hint="default" w:ascii="Times New Roman" w:hAnsi="Times New Roman" w:eastAsia="宋体" w:cs="Times New Roman"/>
                <w:color w:val="auto"/>
                <w:kern w:val="0"/>
                <w:sz w:val="24"/>
                <w:lang w:eastAsia="zh-CN" w:bidi="ar"/>
              </w:rPr>
              <w:drawing>
                <wp:inline distT="0" distB="0" distL="114300" distR="114300">
                  <wp:extent cx="4946650" cy="1943735"/>
                  <wp:effectExtent l="0" t="0" r="6350" b="1841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21"/>
                          <a:stretch>
                            <a:fillRect/>
                          </a:stretch>
                        </pic:blipFill>
                        <pic:spPr>
                          <a:xfrm>
                            <a:off x="0" y="0"/>
                            <a:ext cx="4946650" cy="1943735"/>
                          </a:xfrm>
                          <a:prstGeom prst="rect">
                            <a:avLst/>
                          </a:prstGeom>
                          <a:noFill/>
                          <a:ln>
                            <a:noFill/>
                          </a:ln>
                        </pic:spPr>
                      </pic:pic>
                    </a:graphicData>
                  </a:graphic>
                </wp:inline>
              </w:drawing>
            </w:r>
          </w:p>
          <w:p>
            <w:pPr>
              <w:widowControl/>
              <w:adjustRightInd w:val="0"/>
              <w:snapToGrid w:val="0"/>
              <w:spacing w:line="360" w:lineRule="auto"/>
              <w:jc w:val="center"/>
              <w:rPr>
                <w:rFonts w:hint="default" w:ascii="Times New Roman" w:hAnsi="Times New Roman" w:cs="Times New Roman"/>
                <w:color w:val="auto"/>
                <w:kern w:val="0"/>
                <w:sz w:val="24"/>
              </w:rPr>
            </w:pPr>
            <w:r>
              <w:rPr>
                <w:rFonts w:hint="default" w:ascii="Times New Roman" w:hAnsi="Times New Roman" w:eastAsia="宋体" w:cs="Times New Roman"/>
                <w:b/>
                <w:bCs w:val="0"/>
                <w:color w:val="auto"/>
                <w:kern w:val="0"/>
                <w:szCs w:val="21"/>
                <w:lang w:bidi="ar"/>
              </w:rPr>
              <w:t>图</w:t>
            </w:r>
            <w:r>
              <w:rPr>
                <w:rFonts w:hint="default" w:ascii="Times New Roman" w:hAnsi="Times New Roman" w:eastAsia="宋体" w:cs="Times New Roman"/>
                <w:b/>
                <w:bCs w:val="0"/>
                <w:color w:val="auto"/>
                <w:kern w:val="0"/>
                <w:szCs w:val="21"/>
                <w:lang w:val="en-US" w:eastAsia="zh-CN" w:bidi="ar"/>
              </w:rPr>
              <w:t>2</w:t>
            </w:r>
            <w:r>
              <w:rPr>
                <w:rFonts w:hint="default" w:ascii="Times New Roman" w:hAnsi="Times New Roman" w:eastAsia="宋体" w:cs="Times New Roman"/>
                <w:b/>
                <w:bCs w:val="0"/>
                <w:color w:val="auto"/>
                <w:kern w:val="0"/>
                <w:szCs w:val="21"/>
                <w:lang w:bidi="ar"/>
              </w:rPr>
              <w:t>-</w:t>
            </w:r>
            <w:r>
              <w:rPr>
                <w:rFonts w:hint="eastAsia" w:cs="Times New Roman"/>
                <w:b/>
                <w:bCs w:val="0"/>
                <w:color w:val="auto"/>
                <w:kern w:val="0"/>
                <w:szCs w:val="21"/>
                <w:lang w:val="en-US" w:eastAsia="zh-CN" w:bidi="ar"/>
              </w:rPr>
              <w:t>2</w:t>
            </w:r>
            <w:r>
              <w:rPr>
                <w:rFonts w:hint="default" w:ascii="Times New Roman" w:hAnsi="Times New Roman" w:eastAsia="宋体" w:cs="Times New Roman"/>
                <w:b/>
                <w:bCs w:val="0"/>
                <w:color w:val="auto"/>
                <w:kern w:val="0"/>
                <w:szCs w:val="21"/>
                <w:lang w:bidi="ar"/>
              </w:rPr>
              <w:t xml:space="preserve">  堤防施工工艺流程及</w:t>
            </w:r>
            <w:r>
              <w:rPr>
                <w:rFonts w:hint="default" w:ascii="Times New Roman" w:hAnsi="Times New Roman" w:eastAsia="宋体" w:cs="Times New Roman"/>
                <w:b/>
                <w:bCs w:val="0"/>
                <w:color w:val="auto"/>
                <w:kern w:val="0"/>
                <w:szCs w:val="21"/>
                <w:lang w:val="en-US" w:eastAsia="zh-CN" w:bidi="ar"/>
              </w:rPr>
              <w:t>产污</w:t>
            </w:r>
            <w:r>
              <w:rPr>
                <w:rFonts w:hint="default" w:ascii="Times New Roman" w:hAnsi="Times New Roman" w:eastAsia="宋体" w:cs="Times New Roman"/>
                <w:b/>
                <w:bCs w:val="0"/>
                <w:color w:val="auto"/>
                <w:kern w:val="0"/>
                <w:szCs w:val="21"/>
                <w:lang w:bidi="ar"/>
              </w:rPr>
              <w:t>位置图</w:t>
            </w:r>
          </w:p>
          <w:p>
            <w:pPr>
              <w:widowControl/>
              <w:spacing w:line="360" w:lineRule="auto"/>
              <w:jc w:val="center"/>
              <w:rPr>
                <w:rFonts w:hint="eastAsia" w:ascii="Times New Roman" w:hAnsi="Times New Roman" w:eastAsia="宋体" w:cs="Times New Roman"/>
                <w:color w:val="auto"/>
                <w:kern w:val="0"/>
                <w:sz w:val="24"/>
                <w:lang w:eastAsia="zh-CN" w:bidi="ar"/>
              </w:rPr>
            </w:pPr>
            <w:r>
              <w:rPr>
                <w:rFonts w:hint="eastAsia" w:ascii="Times New Roman" w:hAnsi="Times New Roman" w:eastAsia="宋体" w:cs="Times New Roman"/>
                <w:color w:val="auto"/>
                <w:kern w:val="0"/>
                <w:sz w:val="24"/>
                <w:lang w:eastAsia="zh-CN" w:bidi="ar"/>
              </w:rPr>
              <w:object>
                <v:shape id="_x0000_i1030" o:spt="75" type="#_x0000_t75" style="height:176.25pt;width:283.5pt;" o:ole="t" filled="f" o:preferrelative="t" stroked="f" coordsize="21600,21600">
                  <v:path/>
                  <v:fill on="f" focussize="0,0"/>
                  <v:stroke on="f"/>
                  <v:imagedata r:id="rId23" o:title=""/>
                  <o:lock v:ext="edit" aspectratio="t"/>
                  <w10:wrap type="none"/>
                  <w10:anchorlock/>
                </v:shape>
                <o:OLEObject Type="Embed" ProgID="Visio.Drawing.11" ShapeID="_x0000_i1030" DrawAspect="Content" ObjectID="_1468075726" r:id="rId22">
                  <o:LockedField>false</o:LockedField>
                </o:OLEObject>
              </w:object>
            </w:r>
          </w:p>
          <w:p>
            <w:pPr>
              <w:widowControl/>
              <w:adjustRightInd w:val="0"/>
              <w:snapToGrid w:val="0"/>
              <w:spacing w:line="360" w:lineRule="auto"/>
              <w:jc w:val="center"/>
              <w:rPr>
                <w:rFonts w:hint="default" w:ascii="Times New Roman" w:hAnsi="Times New Roman" w:cs="Times New Roman"/>
                <w:b/>
                <w:color w:val="auto"/>
                <w:kern w:val="0"/>
                <w:szCs w:val="21"/>
                <w:lang w:bidi="ar"/>
              </w:rPr>
            </w:pPr>
            <w:r>
              <w:rPr>
                <w:rFonts w:hint="default" w:ascii="Times New Roman" w:hAnsi="Times New Roman" w:cs="Times New Roman"/>
                <w:b/>
                <w:color w:val="auto"/>
                <w:kern w:val="0"/>
                <w:szCs w:val="21"/>
                <w:lang w:bidi="ar"/>
              </w:rPr>
              <w:t>图2-</w:t>
            </w:r>
            <w:r>
              <w:rPr>
                <w:rFonts w:hint="eastAsia" w:cs="Times New Roman"/>
                <w:b/>
                <w:color w:val="auto"/>
                <w:kern w:val="0"/>
                <w:szCs w:val="21"/>
                <w:lang w:val="en-US" w:eastAsia="zh-CN" w:bidi="ar"/>
              </w:rPr>
              <w:t>3</w:t>
            </w:r>
            <w:r>
              <w:rPr>
                <w:rFonts w:hint="default" w:ascii="Times New Roman" w:hAnsi="Times New Roman" w:cs="Times New Roman"/>
                <w:b/>
                <w:color w:val="auto"/>
                <w:kern w:val="0"/>
                <w:szCs w:val="21"/>
                <w:lang w:bidi="ar"/>
              </w:rPr>
              <w:t xml:space="preserve">  河道疏浚施工工艺流程及产污位置图</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left"/>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eastAsia="zh-CN" w:bidi="ar"/>
              </w:rPr>
              <w:t>（</w:t>
            </w:r>
            <w:r>
              <w:rPr>
                <w:rFonts w:hint="default" w:ascii="Times New Roman" w:hAnsi="Times New Roman" w:eastAsia="宋体" w:cs="Times New Roman"/>
                <w:color w:val="auto"/>
                <w:kern w:val="0"/>
                <w:sz w:val="24"/>
                <w:szCs w:val="24"/>
                <w:lang w:val="en-US" w:eastAsia="zh-CN" w:bidi="ar"/>
              </w:rPr>
              <w:t>2</w:t>
            </w:r>
            <w:r>
              <w:rPr>
                <w:rFonts w:hint="default" w:ascii="Times New Roman" w:hAnsi="Times New Roman" w:eastAsia="宋体" w:cs="Times New Roman"/>
                <w:color w:val="auto"/>
                <w:kern w:val="0"/>
                <w:sz w:val="24"/>
                <w:szCs w:val="24"/>
                <w:lang w:eastAsia="zh-CN" w:bidi="ar"/>
              </w:rPr>
              <w:t>）</w:t>
            </w:r>
            <w:r>
              <w:rPr>
                <w:rFonts w:hint="default" w:ascii="Times New Roman" w:hAnsi="Times New Roman" w:eastAsia="宋体" w:cs="Times New Roman"/>
                <w:color w:val="auto"/>
                <w:kern w:val="0"/>
                <w:sz w:val="24"/>
                <w:szCs w:val="24"/>
                <w:lang w:bidi="ar"/>
              </w:rPr>
              <w:t>工艺流程主要施工工艺</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2" w:firstLineChars="200"/>
              <w:jc w:val="left"/>
              <w:rPr>
                <w:rFonts w:hint="default" w:ascii="Times New Roman" w:hAnsi="Times New Roman" w:eastAsia="宋体" w:cs="Times New Roman"/>
                <w:b/>
                <w:bCs/>
                <w:color w:val="auto"/>
                <w:kern w:val="0"/>
                <w:sz w:val="24"/>
                <w:szCs w:val="24"/>
                <w:lang w:bidi="ar"/>
              </w:rPr>
            </w:pPr>
            <w:r>
              <w:rPr>
                <w:rFonts w:hint="default" w:ascii="Times New Roman" w:hAnsi="Times New Roman" w:eastAsia="宋体" w:cs="Times New Roman"/>
                <w:b/>
                <w:bCs/>
                <w:color w:val="auto"/>
                <w:kern w:val="0"/>
                <w:sz w:val="24"/>
                <w:szCs w:val="24"/>
                <w:lang w:val="en-US" w:eastAsia="zh-CN" w:bidi="ar"/>
              </w:rPr>
              <w:t>1）</w:t>
            </w:r>
            <w:r>
              <w:rPr>
                <w:rFonts w:hint="default" w:ascii="Times New Roman" w:hAnsi="Times New Roman" w:eastAsia="宋体" w:cs="Times New Roman"/>
                <w:b/>
                <w:bCs/>
                <w:color w:val="auto"/>
                <w:kern w:val="0"/>
                <w:sz w:val="24"/>
                <w:szCs w:val="24"/>
                <w:lang w:bidi="ar"/>
              </w:rPr>
              <w:t>堤防施工</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2" w:firstLineChars="200"/>
              <w:jc w:val="left"/>
              <w:rPr>
                <w:rFonts w:hint="default" w:ascii="Times New Roman" w:hAnsi="Times New Roman" w:eastAsia="宋体" w:cs="Times New Roman"/>
                <w:b/>
                <w:bCs/>
                <w:color w:val="auto"/>
                <w:kern w:val="0"/>
                <w:sz w:val="24"/>
                <w:szCs w:val="24"/>
                <w:lang w:bidi="ar"/>
              </w:rPr>
            </w:pPr>
            <w:r>
              <w:rPr>
                <w:rFonts w:hint="default" w:ascii="Times New Roman" w:hAnsi="Times New Roman" w:eastAsia="宋体" w:cs="Times New Roman"/>
                <w:b/>
                <w:bCs/>
                <w:color w:val="auto"/>
                <w:kern w:val="0"/>
                <w:sz w:val="24"/>
                <w:szCs w:val="24"/>
                <w:lang w:val="en-US" w:eastAsia="zh-CN" w:bidi="ar"/>
              </w:rPr>
              <w:t>①</w:t>
            </w:r>
            <w:r>
              <w:rPr>
                <w:rFonts w:hint="default" w:ascii="Times New Roman" w:hAnsi="Times New Roman" w:eastAsia="宋体" w:cs="Times New Roman"/>
                <w:b/>
                <w:bCs/>
                <w:color w:val="auto"/>
                <w:kern w:val="0"/>
                <w:sz w:val="24"/>
                <w:szCs w:val="24"/>
                <w:lang w:bidi="ar"/>
              </w:rPr>
              <w:t>导流围堰施工</w:t>
            </w:r>
          </w:p>
          <w:p>
            <w:pPr>
              <w:keepNext w:val="0"/>
              <w:keepLines w:val="0"/>
              <w:pageBreakBefore w:val="0"/>
              <w:kinsoku/>
              <w:wordWrap/>
              <w:overflowPunct/>
              <w:topLinePunct w:val="0"/>
              <w:autoSpaceDE/>
              <w:autoSpaceDN/>
              <w:bidi w:val="0"/>
              <w:adjustRightInd w:val="0"/>
              <w:snapToGrid w:val="0"/>
              <w:spacing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A.</w:t>
            </w:r>
            <w:r>
              <w:rPr>
                <w:rFonts w:hint="default" w:ascii="Times New Roman" w:hAnsi="Times New Roman" w:eastAsia="宋体" w:cs="Times New Roman"/>
                <w:color w:val="auto"/>
                <w:sz w:val="24"/>
                <w:szCs w:val="24"/>
              </w:rPr>
              <w:t>导流标准</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根据《堤防工程设计规范》</w:t>
            </w:r>
            <w:r>
              <w:rPr>
                <w:rFonts w:hint="eastAsia" w:cs="Times New Roman"/>
                <w:color w:val="auto"/>
                <w:kern w:val="0"/>
                <w:sz w:val="24"/>
                <w:szCs w:val="24"/>
                <w:lang w:eastAsia="zh-CN" w:bidi="ar"/>
              </w:rPr>
              <w:t>（</w:t>
            </w:r>
            <w:r>
              <w:rPr>
                <w:rFonts w:hint="default" w:ascii="Times New Roman" w:hAnsi="Times New Roman" w:eastAsia="宋体" w:cs="Times New Roman"/>
                <w:color w:val="auto"/>
                <w:kern w:val="0"/>
                <w:sz w:val="24"/>
                <w:szCs w:val="24"/>
                <w:lang w:bidi="ar"/>
              </w:rPr>
              <w:t>GB50286-2013</w:t>
            </w:r>
            <w:r>
              <w:rPr>
                <w:rFonts w:hint="eastAsia" w:cs="Times New Roman"/>
                <w:color w:val="auto"/>
                <w:kern w:val="0"/>
                <w:sz w:val="24"/>
                <w:szCs w:val="24"/>
                <w:lang w:eastAsia="zh-CN" w:bidi="ar"/>
              </w:rPr>
              <w:t>）</w:t>
            </w:r>
            <w:r>
              <w:rPr>
                <w:rFonts w:hint="default" w:ascii="Times New Roman" w:hAnsi="Times New Roman" w:eastAsia="宋体" w:cs="Times New Roman"/>
                <w:color w:val="auto"/>
                <w:kern w:val="0"/>
                <w:sz w:val="24"/>
                <w:szCs w:val="24"/>
                <w:lang w:bidi="ar"/>
              </w:rPr>
              <w:t>确定本堤防工程级别为5级；根据《水利水电工程施工组织设计规范》</w:t>
            </w:r>
            <w:r>
              <w:rPr>
                <w:rFonts w:hint="eastAsia" w:cs="Times New Roman"/>
                <w:color w:val="auto"/>
                <w:kern w:val="0"/>
                <w:sz w:val="24"/>
                <w:szCs w:val="24"/>
                <w:lang w:eastAsia="zh-CN" w:bidi="ar"/>
              </w:rPr>
              <w:t>（</w:t>
            </w:r>
            <w:r>
              <w:rPr>
                <w:rFonts w:hint="default" w:ascii="Times New Roman" w:hAnsi="Times New Roman" w:eastAsia="宋体" w:cs="Times New Roman"/>
                <w:color w:val="auto"/>
                <w:kern w:val="0"/>
                <w:sz w:val="24"/>
                <w:szCs w:val="24"/>
                <w:lang w:bidi="ar"/>
              </w:rPr>
              <w:t>SL303—2017</w:t>
            </w:r>
            <w:r>
              <w:rPr>
                <w:rFonts w:hint="eastAsia" w:cs="Times New Roman"/>
                <w:color w:val="auto"/>
                <w:kern w:val="0"/>
                <w:sz w:val="24"/>
                <w:szCs w:val="24"/>
                <w:lang w:eastAsia="zh-CN" w:bidi="ar"/>
              </w:rPr>
              <w:t>）</w:t>
            </w:r>
            <w:r>
              <w:rPr>
                <w:rFonts w:hint="default" w:ascii="Times New Roman" w:hAnsi="Times New Roman" w:eastAsia="宋体" w:cs="Times New Roman"/>
                <w:color w:val="auto"/>
                <w:kern w:val="0"/>
                <w:sz w:val="24"/>
                <w:szCs w:val="24"/>
                <w:lang w:bidi="ar"/>
              </w:rPr>
              <w:t>，其相应的施工期临时导流建筑物为5级，围堰导流的洪水标准为5年一遇标准。</w:t>
            </w:r>
          </w:p>
          <w:p>
            <w:pPr>
              <w:keepNext w:val="0"/>
              <w:keepLines w:val="0"/>
              <w:pageBreakBefore w:val="0"/>
              <w:kinsoku/>
              <w:wordWrap/>
              <w:overflowPunct/>
              <w:topLinePunct w:val="0"/>
              <w:autoSpaceDE/>
              <w:autoSpaceDN/>
              <w:bidi w:val="0"/>
              <w:adjustRightInd w:val="0"/>
              <w:snapToGrid w:val="0"/>
              <w:spacing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B.</w:t>
            </w:r>
            <w:r>
              <w:rPr>
                <w:rFonts w:hint="default" w:ascii="Times New Roman" w:hAnsi="Times New Roman" w:eastAsia="宋体" w:cs="Times New Roman"/>
                <w:color w:val="auto"/>
                <w:sz w:val="24"/>
                <w:szCs w:val="24"/>
              </w:rPr>
              <w:t>导流方式</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本工程施工特点是范围大，堤线长，建筑物呈线性布置。根据工程布置特点，工程主要在非汛期进行基坑施工，施工期间主要利用原河道过流，针对设计基础底高程低于分期洪水水深段，在施工期间需要采用纵向围堰导流措施，待堤防填筑完毕后拆除围堰即可。汛期洪水来时应停工度汛，待洪水过后恢复基坑继续施工。部分河段原地面线较高，设计基础底高程高于分期洪水水深段，水位不影响基础施工的可不设围堰。</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临时施工围堰采用常规土石围堰，堰体材料采用砂卵石填筑，防渗体材料采用复合土工膜防渗。围堰高度0.5～1.5m，迎水面及背水面边坡1：1.5，堰顶宽3.0m，堰体用砂卵石填筑，距离基础开挖线1.0m。按《水利水电工程施工组织设计规范》</w:t>
            </w:r>
            <w:r>
              <w:rPr>
                <w:rFonts w:hint="eastAsia" w:cs="Times New Roman"/>
                <w:color w:val="auto"/>
                <w:kern w:val="0"/>
                <w:sz w:val="24"/>
                <w:szCs w:val="24"/>
                <w:lang w:eastAsia="zh-CN" w:bidi="ar"/>
              </w:rPr>
              <w:t>（</w:t>
            </w:r>
            <w:r>
              <w:rPr>
                <w:rFonts w:hint="default" w:ascii="Times New Roman" w:hAnsi="Times New Roman" w:eastAsia="宋体" w:cs="Times New Roman"/>
                <w:color w:val="auto"/>
                <w:kern w:val="0"/>
                <w:sz w:val="24"/>
                <w:szCs w:val="24"/>
                <w:lang w:bidi="ar"/>
              </w:rPr>
              <w:t>SL303—2017</w:t>
            </w:r>
            <w:r>
              <w:rPr>
                <w:rFonts w:hint="eastAsia" w:cs="Times New Roman"/>
                <w:color w:val="auto"/>
                <w:kern w:val="0"/>
                <w:sz w:val="24"/>
                <w:szCs w:val="24"/>
                <w:lang w:eastAsia="zh-CN" w:bidi="ar"/>
              </w:rPr>
              <w:t>）</w:t>
            </w:r>
            <w:r>
              <w:rPr>
                <w:rFonts w:hint="default" w:ascii="Times New Roman" w:hAnsi="Times New Roman" w:eastAsia="宋体" w:cs="Times New Roman"/>
                <w:color w:val="auto"/>
                <w:kern w:val="0"/>
                <w:sz w:val="24"/>
                <w:szCs w:val="24"/>
                <w:lang w:bidi="ar"/>
              </w:rPr>
              <w:t>规定，土石围堰安全加高取0.5m。</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围堰总填筑量根据导流平、剖面图进行核算，围堰总长1409m。</w:t>
            </w:r>
          </w:p>
          <w:p>
            <w:pPr>
              <w:pStyle w:val="2"/>
              <w:keepNext w:val="0"/>
              <w:keepLines w:val="0"/>
              <w:pageBreakBefore w:val="0"/>
              <w:numPr>
                <w:ilvl w:val="0"/>
                <w:numId w:val="0"/>
              </w:numPr>
              <w:kinsoku/>
              <w:wordWrap/>
              <w:overflowPunct/>
              <w:topLinePunct w:val="0"/>
              <w:autoSpaceDE/>
              <w:autoSpaceDN/>
              <w:bidi w:val="0"/>
              <w:adjustRightInd w:val="0"/>
              <w:snapToGrid w:val="0"/>
              <w:spacing w:before="0" w:after="0" w:line="360" w:lineRule="auto"/>
              <w:ind w:left="0" w:leftChars="0" w:right="0" w:rightChars="0"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②</w:t>
            </w:r>
            <w:r>
              <w:rPr>
                <w:rFonts w:hint="default" w:ascii="Times New Roman" w:hAnsi="Times New Roman" w:eastAsia="宋体" w:cs="Times New Roman"/>
                <w:b/>
                <w:bCs/>
                <w:color w:val="auto"/>
                <w:sz w:val="24"/>
                <w:szCs w:val="24"/>
              </w:rPr>
              <w:t>堤防施工</w:t>
            </w:r>
          </w:p>
          <w:p>
            <w:pPr>
              <w:keepNext w:val="0"/>
              <w:keepLines w:val="0"/>
              <w:pageBreakBefore w:val="0"/>
              <w:kinsoku/>
              <w:wordWrap/>
              <w:overflowPunct/>
              <w:topLinePunct w:val="0"/>
              <w:autoSpaceDE/>
              <w:autoSpaceDN/>
              <w:bidi w:val="0"/>
              <w:adjustRightInd w:val="0"/>
              <w:snapToGrid w:val="0"/>
              <w:spacing w:line="360" w:lineRule="auto"/>
              <w:ind w:left="0" w:right="0"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a.</w:t>
            </w:r>
            <w:r>
              <w:rPr>
                <w:rFonts w:hint="default" w:ascii="Times New Roman" w:hAnsi="Times New Roman" w:eastAsia="宋体" w:cs="Times New Roman"/>
                <w:b/>
                <w:bCs/>
                <w:color w:val="auto"/>
                <w:sz w:val="24"/>
                <w:szCs w:val="24"/>
              </w:rPr>
              <w:t>土石方开挖</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1、表土及覆盖层开挖</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表土及覆盖层开挖主要清除表层50~60cm的耕植土层，采用功率为120kw推土机集中推料，ZL50C（3m</w:t>
            </w:r>
            <w:r>
              <w:rPr>
                <w:rFonts w:hint="default" w:ascii="Times New Roman" w:hAnsi="Times New Roman" w:eastAsia="宋体" w:cs="Times New Roman"/>
                <w:color w:val="auto"/>
                <w:kern w:val="0"/>
                <w:sz w:val="24"/>
                <w:szCs w:val="24"/>
                <w:vertAlign w:val="superscript"/>
                <w:lang w:bidi="ar"/>
              </w:rPr>
              <w:t>3</w:t>
            </w:r>
            <w:r>
              <w:rPr>
                <w:rFonts w:hint="default" w:ascii="Times New Roman" w:hAnsi="Times New Roman" w:eastAsia="宋体" w:cs="Times New Roman"/>
                <w:color w:val="auto"/>
                <w:kern w:val="0"/>
                <w:sz w:val="24"/>
                <w:szCs w:val="24"/>
                <w:lang w:bidi="ar"/>
              </w:rPr>
              <w:t>）装载机装12t自卸汽车出渣，对覆盖层较厚处，采用WY160（1.6m</w:t>
            </w:r>
            <w:r>
              <w:rPr>
                <w:rFonts w:hint="default" w:ascii="Times New Roman" w:hAnsi="Times New Roman" w:eastAsia="宋体" w:cs="Times New Roman"/>
                <w:color w:val="auto"/>
                <w:kern w:val="0"/>
                <w:sz w:val="24"/>
                <w:szCs w:val="24"/>
                <w:vertAlign w:val="superscript"/>
                <w:lang w:bidi="ar"/>
              </w:rPr>
              <w:t>3</w:t>
            </w:r>
            <w:r>
              <w:rPr>
                <w:rFonts w:hint="default" w:ascii="Times New Roman" w:hAnsi="Times New Roman" w:eastAsia="宋体" w:cs="Times New Roman"/>
                <w:color w:val="auto"/>
                <w:kern w:val="0"/>
                <w:sz w:val="24"/>
                <w:szCs w:val="24"/>
                <w:lang w:bidi="ar"/>
              </w:rPr>
              <w:t>）挖掘机挖，装12t自卸汽车出渣，弃渣运至1#弃渣料场堆放，综合运距0.6km。表土后期回采填框格梁和用于1#渣场复耕使用。</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2、砂卵石层和基岩开挖</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堤身基础砂卵石层开挖采用WY160（1.6m</w:t>
            </w:r>
            <w:r>
              <w:rPr>
                <w:rFonts w:hint="default" w:ascii="Times New Roman" w:hAnsi="Times New Roman" w:eastAsia="宋体" w:cs="Times New Roman"/>
                <w:color w:val="auto"/>
                <w:kern w:val="0"/>
                <w:sz w:val="24"/>
                <w:szCs w:val="24"/>
                <w:vertAlign w:val="superscript"/>
                <w:lang w:bidi="ar"/>
              </w:rPr>
              <w:t>3</w:t>
            </w:r>
            <w:r>
              <w:rPr>
                <w:rFonts w:hint="default" w:ascii="Times New Roman" w:hAnsi="Times New Roman" w:eastAsia="宋体" w:cs="Times New Roman"/>
                <w:color w:val="auto"/>
                <w:kern w:val="0"/>
                <w:sz w:val="24"/>
                <w:szCs w:val="24"/>
                <w:lang w:bidi="ar"/>
              </w:rPr>
              <w:t>）挖掘机挖，装12t自卸汽车运输，开挖料运至指定位置用于堤后填筑。</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根据本工程实际情况，局部地段拟结合开挖的同时进行围堰的填筑。开挖顺序采用挖掘机倒退施工，一次性形成基坑，减少施工机械操作平台，从而减少开挖量。</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基岩开挖根据实际情况，采用挖掘机破碎钻进行破碎，辅以手持风镐开挖，随后按砂卵石层开挖采用的WY160（1.6m</w:t>
            </w:r>
            <w:r>
              <w:rPr>
                <w:rFonts w:hint="eastAsia"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bidi="ar"/>
              </w:rPr>
              <w:t>）挖掘机挖，装12t自卸汽车运输至指定位置用于堤后填筑。</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3、保护层开挖</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在挖至距建基面50-100cm时，采用人工配合小型机械进行开挖，倒退出场</w:t>
            </w:r>
            <w:r>
              <w:rPr>
                <w:rFonts w:hint="eastAsia" w:cs="Times New Roman"/>
                <w:color w:val="auto"/>
                <w:kern w:val="0"/>
                <w:sz w:val="24"/>
                <w:szCs w:val="24"/>
                <w:lang w:eastAsia="zh-CN" w:bidi="ar"/>
              </w:rPr>
              <w:t>，</w:t>
            </w:r>
            <w:r>
              <w:rPr>
                <w:rFonts w:hint="default" w:ascii="Times New Roman" w:hAnsi="Times New Roman" w:eastAsia="宋体" w:cs="Times New Roman"/>
                <w:color w:val="auto"/>
                <w:kern w:val="0"/>
                <w:sz w:val="24"/>
                <w:szCs w:val="24"/>
                <w:lang w:bidi="ar"/>
              </w:rPr>
              <w:t>避免建基面受到扰动</w:t>
            </w:r>
            <w:r>
              <w:rPr>
                <w:rFonts w:hint="eastAsia" w:cs="Times New Roman"/>
                <w:color w:val="auto"/>
                <w:kern w:val="0"/>
                <w:sz w:val="24"/>
                <w:szCs w:val="24"/>
                <w:lang w:eastAsia="zh-CN" w:bidi="ar"/>
              </w:rPr>
              <w:t>，</w:t>
            </w:r>
            <w:r>
              <w:rPr>
                <w:rFonts w:hint="default" w:ascii="Times New Roman" w:hAnsi="Times New Roman" w:eastAsia="宋体" w:cs="Times New Roman"/>
                <w:color w:val="auto"/>
                <w:kern w:val="0"/>
                <w:sz w:val="24"/>
                <w:szCs w:val="24"/>
                <w:lang w:bidi="ar"/>
              </w:rPr>
              <w:t>杜绝因超挖而造成的回填现象。</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4、临河建筑段开挖</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受临河建筑影响段开挖，应确保建筑物及施工安全，采用人工台阶式开挖，在开挖过程中，要设专人随时监控，监控包括原有建筑物情况，建筑物基础土体情况，如开挖位置距离临河建筑过近，采取在建筑物的基础周围施打钢板桩的方式进行支护。施工期间出现附近建筑物明显沉降或位移时，立即停止施工，用钢木结构支撑牢固及采取适当的措施后，才能继续进行施工。</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此环节的产污节点主要为开挖过程中产生的粉尘、弃土以及清淤过程中造成水体污染。</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b/>
                <w:bCs/>
                <w:color w:val="auto"/>
                <w:kern w:val="0"/>
                <w:sz w:val="24"/>
                <w:szCs w:val="24"/>
                <w:lang w:bidi="ar"/>
              </w:rPr>
            </w:pPr>
            <w:r>
              <w:rPr>
                <w:rFonts w:hint="default" w:ascii="Times New Roman" w:hAnsi="Times New Roman" w:eastAsia="宋体" w:cs="Times New Roman"/>
                <w:b/>
                <w:bCs/>
                <w:color w:val="auto"/>
                <w:sz w:val="24"/>
                <w:szCs w:val="24"/>
                <w:lang w:val="en-US" w:eastAsia="zh-CN"/>
              </w:rPr>
              <w:t>b.</w:t>
            </w:r>
            <w:r>
              <w:rPr>
                <w:rFonts w:hint="default" w:ascii="Times New Roman" w:hAnsi="Times New Roman" w:eastAsia="宋体" w:cs="Times New Roman"/>
                <w:b/>
                <w:bCs/>
                <w:color w:val="auto"/>
                <w:sz w:val="24"/>
                <w:szCs w:val="24"/>
              </w:rPr>
              <w:t>混凝土浇筑</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砼面板采用滑模浇筑的方式进行施工，仰斜式墙身和框格梁等其他建筑结构用组合钢模板的方式进行施工，砼用胶轮车和拖拉机运输至现场，溜槽入仓或人力手推车运至浇筑工作面，混凝土入仓后采用人工平仓，2.2kw～4.0kw插入式振捣器振捣密实。</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混凝土养护采用人工洒水养护，彩条布遮盖。</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面板堤混凝土应分层浇筑，在混凝土浇筑24h后，混凝土表面用草袋覆盖，并保持草袋湿润，三天后采用喷水养护。</w:t>
            </w:r>
          </w:p>
          <w:p>
            <w:pPr>
              <w:pStyle w:val="2"/>
              <w:keepNext w:val="0"/>
              <w:keepLines w:val="0"/>
              <w:pageBreakBefore w:val="0"/>
              <w:kinsoku/>
              <w:wordWrap/>
              <w:overflowPunct/>
              <w:topLinePunct w:val="0"/>
              <w:autoSpaceDE/>
              <w:autoSpaceDN/>
              <w:bidi w:val="0"/>
              <w:adjustRightInd w:val="0"/>
              <w:snapToGrid w:val="0"/>
              <w:spacing w:before="0" w:after="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此环节的产污节点主要为施工机械噪声、粉尘</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清洗废水</w:t>
            </w:r>
            <w:r>
              <w:rPr>
                <w:rFonts w:hint="default" w:ascii="Times New Roman" w:hAnsi="Times New Roman" w:eastAsia="宋体" w:cs="Times New Roman"/>
                <w:color w:val="auto"/>
                <w:sz w:val="24"/>
                <w:szCs w:val="24"/>
              </w:rPr>
              <w:t>等。</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b/>
                <w:bCs/>
                <w:color w:val="auto"/>
                <w:kern w:val="0"/>
                <w:sz w:val="24"/>
                <w:szCs w:val="24"/>
                <w:lang w:bidi="ar"/>
              </w:rPr>
            </w:pPr>
            <w:r>
              <w:rPr>
                <w:rFonts w:hint="default" w:ascii="Times New Roman" w:hAnsi="Times New Roman" w:eastAsia="宋体" w:cs="Times New Roman"/>
                <w:b/>
                <w:bCs/>
                <w:color w:val="auto"/>
                <w:kern w:val="0"/>
                <w:sz w:val="24"/>
                <w:szCs w:val="24"/>
                <w:lang w:val="en-US" w:eastAsia="zh-CN" w:bidi="ar"/>
              </w:rPr>
              <w:t>c.</w:t>
            </w:r>
            <w:r>
              <w:rPr>
                <w:rFonts w:hint="default" w:ascii="Times New Roman" w:hAnsi="Times New Roman" w:eastAsia="宋体" w:cs="Times New Roman"/>
                <w:b/>
                <w:bCs/>
                <w:color w:val="auto"/>
                <w:kern w:val="0"/>
                <w:sz w:val="24"/>
                <w:szCs w:val="24"/>
                <w:lang w:bidi="ar"/>
              </w:rPr>
              <w:t>砂卵石回填</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color w:val="auto"/>
                <w:kern w:val="0"/>
                <w:sz w:val="24"/>
                <w:szCs w:val="24"/>
                <w:lang w:bidi="ar"/>
              </w:rPr>
            </w:pPr>
            <w:r>
              <w:rPr>
                <w:rFonts w:hint="eastAsia" w:ascii="Times New Roman" w:hAnsi="Times New Roman" w:eastAsia="宋体" w:cs="Times New Roman"/>
                <w:color w:val="auto"/>
                <w:kern w:val="0"/>
                <w:sz w:val="24"/>
                <w:szCs w:val="24"/>
                <w:lang w:bidi="ar"/>
              </w:rPr>
              <w:t>1、堤脚回填</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eastAsia" w:ascii="Times New Roman" w:hAnsi="Times New Roman" w:eastAsia="宋体" w:cs="Times New Roman"/>
                <w:color w:val="auto"/>
                <w:kern w:val="0"/>
                <w:sz w:val="24"/>
                <w:szCs w:val="24"/>
                <w:lang w:bidi="ar"/>
              </w:rPr>
            </w:pPr>
            <w:r>
              <w:rPr>
                <w:rFonts w:hint="eastAsia" w:ascii="Times New Roman" w:hAnsi="Times New Roman" w:eastAsia="宋体" w:cs="Times New Roman"/>
                <w:color w:val="auto"/>
                <w:kern w:val="0"/>
                <w:sz w:val="24"/>
                <w:szCs w:val="24"/>
                <w:lang w:bidi="ar"/>
              </w:rPr>
              <w:t>堤脚回填砂卵石直接采用挖掘机回填，人工辅以挖掘机夯实。</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color w:val="auto"/>
                <w:kern w:val="0"/>
                <w:sz w:val="24"/>
                <w:szCs w:val="24"/>
                <w:lang w:bidi="ar"/>
              </w:rPr>
            </w:pPr>
            <w:r>
              <w:rPr>
                <w:rFonts w:hint="eastAsia" w:ascii="Times New Roman" w:hAnsi="Times New Roman" w:eastAsia="宋体" w:cs="Times New Roman"/>
                <w:color w:val="auto"/>
                <w:kern w:val="0"/>
                <w:sz w:val="24"/>
                <w:szCs w:val="24"/>
                <w:lang w:bidi="ar"/>
              </w:rPr>
              <w:t>2、斜坡式堤身填筑</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堤身砂卵石填筑</w:t>
            </w:r>
            <w:r>
              <w:rPr>
                <w:rFonts w:hint="eastAsia" w:ascii="Times New Roman" w:hAnsi="Times New Roman" w:eastAsia="宋体" w:cs="Times New Roman"/>
                <w:color w:val="auto"/>
                <w:kern w:val="0"/>
                <w:sz w:val="24"/>
                <w:szCs w:val="24"/>
                <w:lang w:bidi="ar"/>
              </w:rPr>
              <w:t>主体工程部位合格开挖料直接</w:t>
            </w:r>
            <w:r>
              <w:rPr>
                <w:rFonts w:hint="default" w:ascii="Times New Roman" w:hAnsi="Times New Roman" w:eastAsia="宋体" w:cs="Times New Roman"/>
                <w:color w:val="auto"/>
                <w:kern w:val="0"/>
                <w:sz w:val="24"/>
                <w:szCs w:val="24"/>
                <w:lang w:bidi="ar"/>
              </w:rPr>
              <w:t>采用</w:t>
            </w:r>
            <w:r>
              <w:rPr>
                <w:rFonts w:hint="eastAsia" w:ascii="Times New Roman" w:hAnsi="Times New Roman" w:eastAsia="宋体" w:cs="Times New Roman"/>
                <w:color w:val="auto"/>
                <w:kern w:val="0"/>
                <w:sz w:val="24"/>
                <w:szCs w:val="24"/>
                <w:lang w:bidi="ar"/>
              </w:rPr>
              <w:t>挖掘机挖料至堤身部位，推土机摊平，振动碾压实</w:t>
            </w:r>
            <w:r>
              <w:rPr>
                <w:rFonts w:hint="default" w:ascii="Times New Roman" w:hAnsi="Times New Roman" w:eastAsia="宋体" w:cs="Times New Roman"/>
                <w:color w:val="auto"/>
                <w:kern w:val="0"/>
                <w:sz w:val="24"/>
                <w:szCs w:val="24"/>
                <w:lang w:bidi="ar"/>
              </w:rPr>
              <w:t>。</w:t>
            </w:r>
          </w:p>
          <w:p>
            <w:pPr>
              <w:keepNext w:val="0"/>
              <w:keepLines w:val="0"/>
              <w:pageBreakBefore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3、仰斜式堤身填筑</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sz w:val="24"/>
                <w:szCs w:val="24"/>
              </w:rPr>
              <w:t>仰斜式堤身砂卵石填筑直接</w:t>
            </w:r>
            <w:r>
              <w:rPr>
                <w:rFonts w:hint="default" w:ascii="Times New Roman" w:hAnsi="Times New Roman" w:eastAsia="宋体" w:cs="Times New Roman"/>
                <w:color w:val="auto"/>
                <w:kern w:val="0"/>
                <w:sz w:val="24"/>
                <w:szCs w:val="24"/>
                <w:lang w:bidi="ar"/>
              </w:rPr>
              <w:t>采用挖掘机挖料至堤身部位，工作面不足的部位，在堤后形成推料平台，采用推土机回填，蛙式打夯机夯实；工作面足够部位同斜坡式堤身填筑方法。</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此环节的产污节点主要为施工机械噪声、粉尘等。</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b/>
                <w:bCs/>
                <w:color w:val="auto"/>
                <w:kern w:val="0"/>
                <w:sz w:val="24"/>
                <w:szCs w:val="24"/>
                <w:lang w:bidi="ar"/>
              </w:rPr>
            </w:pPr>
            <w:r>
              <w:rPr>
                <w:rFonts w:hint="eastAsia" w:eastAsia="宋体" w:cs="Times New Roman"/>
                <w:b/>
                <w:bCs/>
                <w:color w:val="auto"/>
                <w:kern w:val="0"/>
                <w:sz w:val="24"/>
                <w:szCs w:val="24"/>
                <w:lang w:val="en-US" w:eastAsia="zh-CN" w:bidi="ar"/>
              </w:rPr>
              <w:t>d</w:t>
            </w:r>
            <w:r>
              <w:rPr>
                <w:rFonts w:hint="default" w:ascii="Times New Roman" w:hAnsi="Times New Roman" w:eastAsia="宋体" w:cs="Times New Roman"/>
                <w:b/>
                <w:bCs/>
                <w:color w:val="auto"/>
                <w:kern w:val="0"/>
                <w:sz w:val="24"/>
                <w:szCs w:val="24"/>
                <w:lang w:val="en-US" w:eastAsia="zh-CN" w:bidi="ar"/>
              </w:rPr>
              <w:t>.</w:t>
            </w:r>
            <w:r>
              <w:rPr>
                <w:rFonts w:hint="eastAsia" w:eastAsia="宋体" w:cs="Times New Roman"/>
                <w:b/>
                <w:bCs/>
                <w:color w:val="auto"/>
                <w:kern w:val="0"/>
                <w:sz w:val="24"/>
                <w:szCs w:val="24"/>
                <w:lang w:val="en-US" w:eastAsia="zh-CN" w:bidi="ar"/>
              </w:rPr>
              <w:t>耕植土</w:t>
            </w:r>
            <w:r>
              <w:rPr>
                <w:rFonts w:hint="default" w:ascii="Times New Roman" w:hAnsi="Times New Roman" w:eastAsia="宋体" w:cs="Times New Roman"/>
                <w:b/>
                <w:bCs/>
                <w:color w:val="auto"/>
                <w:kern w:val="0"/>
                <w:sz w:val="24"/>
                <w:szCs w:val="24"/>
                <w:lang w:bidi="ar"/>
              </w:rPr>
              <w:t>回填</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耕植土采用现场开挖耕植土，开挖时采用推土机将表层土推放至堤后堤脚附近，随后沿途采用人工进行回采回填至框格梁内，弃土部分采用挖掘配合12t自卸汽车运输至弃渣场。弃渣场后期进行复耕。</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此环节的产污节点主要为施工机械噪声、粉尘等。</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2" w:firstLineChars="200"/>
              <w:jc w:val="left"/>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kern w:val="0"/>
                <w:sz w:val="24"/>
                <w:szCs w:val="24"/>
                <w:lang w:val="en-US" w:eastAsia="zh-CN" w:bidi="ar"/>
              </w:rPr>
              <w:t>③</w:t>
            </w:r>
            <w:r>
              <w:rPr>
                <w:rFonts w:hint="default" w:ascii="Times New Roman" w:hAnsi="Times New Roman" w:eastAsia="宋体" w:cs="Times New Roman"/>
                <w:b/>
                <w:bCs/>
                <w:color w:val="auto"/>
                <w:kern w:val="0"/>
                <w:sz w:val="24"/>
                <w:szCs w:val="24"/>
                <w:lang w:bidi="ar"/>
              </w:rPr>
              <w:t>浆砌石施工</w:t>
            </w:r>
          </w:p>
          <w:p>
            <w:pPr>
              <w:keepNext w:val="0"/>
              <w:keepLines w:val="0"/>
              <w:pageBreakBefore w:val="0"/>
              <w:widowControl/>
              <w:kinsoku/>
              <w:wordWrap/>
              <w:overflowPunct/>
              <w:topLinePunct w:val="0"/>
              <w:autoSpaceDE/>
              <w:autoSpaceDN/>
              <w:bidi w:val="0"/>
              <w:adjustRightInd w:val="0"/>
              <w:snapToGrid w:val="0"/>
              <w:spacing w:line="360" w:lineRule="auto"/>
              <w:ind w:left="0" w:right="0"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bidi="ar"/>
              </w:rPr>
              <w:t>防洪堤边墙采用浆砌块石结构，人工清边捡底，分段开挖，分段砌筑。砌筑采用挤浆法砌筑工艺，块石由人工安砌、勾缝，砌石砂浆饱满，不留空洞，严禁小片石集中使用。砌体隐蔽面随浆砌缝抹平，砌筑完成的砌体定期洒水养护。</w:t>
            </w:r>
            <w:r>
              <w:rPr>
                <w:rFonts w:hint="default" w:ascii="Times New Roman" w:hAnsi="Times New Roman" w:eastAsia="宋体" w:cs="Times New Roman"/>
                <w:color w:val="auto"/>
                <w:sz w:val="24"/>
                <w:szCs w:val="24"/>
              </w:rPr>
              <w:t>此环节的产污节点主要为施工粉尘。</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b/>
                <w:bCs/>
                <w:color w:val="auto"/>
                <w:kern w:val="0"/>
                <w:sz w:val="24"/>
                <w:szCs w:val="24"/>
                <w:lang w:bidi="ar"/>
              </w:rPr>
            </w:pPr>
            <w:r>
              <w:rPr>
                <w:rFonts w:hint="eastAsia" w:eastAsia="宋体" w:cs="Times New Roman"/>
                <w:b/>
                <w:bCs/>
                <w:color w:val="auto"/>
                <w:kern w:val="0"/>
                <w:sz w:val="24"/>
                <w:szCs w:val="24"/>
                <w:lang w:val="en-US" w:eastAsia="zh-CN" w:bidi="ar"/>
              </w:rPr>
              <w:t>④砌体</w:t>
            </w:r>
            <w:r>
              <w:rPr>
                <w:rFonts w:hint="default" w:ascii="Times New Roman" w:hAnsi="Times New Roman" w:eastAsia="宋体" w:cs="Times New Roman"/>
                <w:b/>
                <w:bCs/>
                <w:color w:val="auto"/>
                <w:kern w:val="0"/>
                <w:sz w:val="24"/>
                <w:szCs w:val="24"/>
                <w:lang w:bidi="ar"/>
              </w:rPr>
              <w:t>拆除</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对加固段护坡旁边的已损坏的趾墙用挖机予以挖除，采用人工手持风镐对砌石挡墙进行破碎，应该从上往下以半米的深度逐层破碎，破碎完一层随即挖除一层。必须将破碎后的石渣清运出基坑，采用挖掘机配合12t自卸车将石渣运至指定的弃渣场。此环节的产污节点主要为弃渣、施工噪声、粉尘等。</w:t>
            </w:r>
          </w:p>
          <w:p>
            <w:pPr>
              <w:widowControl/>
              <w:adjustRightInd w:val="0"/>
              <w:snapToGrid w:val="0"/>
              <w:spacing w:line="360" w:lineRule="auto"/>
              <w:ind w:firstLine="482" w:firstLineChars="200"/>
              <w:jc w:val="left"/>
              <w:rPr>
                <w:rFonts w:hint="default" w:ascii="Times New Roman" w:hAnsi="Times New Roman" w:cs="Times New Roman"/>
                <w:b/>
                <w:bCs w:val="0"/>
                <w:color w:val="auto"/>
                <w:kern w:val="0"/>
                <w:sz w:val="24"/>
                <w:lang w:bidi="ar"/>
              </w:rPr>
            </w:pPr>
            <w:r>
              <w:rPr>
                <w:rFonts w:hint="default" w:ascii="Times New Roman" w:hAnsi="Times New Roman" w:cs="Times New Roman"/>
                <w:b/>
                <w:bCs w:val="0"/>
                <w:color w:val="auto"/>
                <w:kern w:val="0"/>
                <w:sz w:val="24"/>
                <w:lang w:bidi="ar"/>
              </w:rPr>
              <w:t>2）河道疏浚</w:t>
            </w:r>
          </w:p>
          <w:p>
            <w:pPr>
              <w:adjustRightInd w:val="0"/>
              <w:snapToGrid w:val="0"/>
              <w:spacing w:line="360" w:lineRule="auto"/>
              <w:ind w:firstLine="480" w:firstLineChars="200"/>
              <w:rPr>
                <w:rFonts w:hint="default" w:ascii="Times New Roman" w:hAnsi="Times New Roman" w:eastAsia="宋体" w:cs="Times New Roman"/>
                <w:b/>
                <w:bCs/>
                <w:color w:val="auto"/>
                <w:sz w:val="24"/>
                <w:lang w:val="en-US" w:eastAsia="zh-CN"/>
              </w:rPr>
            </w:pPr>
            <w:r>
              <w:rPr>
                <w:rFonts w:hint="default" w:ascii="Times New Roman" w:hAnsi="Times New Roman" w:cs="Times New Roman"/>
                <w:color w:val="auto"/>
                <w:kern w:val="0"/>
                <w:sz w:val="24"/>
              </w:rPr>
              <w:t>堤防与疏浚相结合是治河工程的基本原则之一</w:t>
            </w:r>
            <w:r>
              <w:rPr>
                <w:rFonts w:hint="default" w:ascii="Times New Roman" w:hAnsi="Times New Roman" w:cs="Times New Roman"/>
                <w:color w:val="auto"/>
                <w:kern w:val="0"/>
                <w:sz w:val="24"/>
                <w:lang w:val="en-US" w:eastAsia="zh-CN"/>
              </w:rPr>
              <w:t>，</w:t>
            </w:r>
            <w:r>
              <w:rPr>
                <w:rFonts w:hint="default" w:ascii="Times New Roman" w:hAnsi="Times New Roman" w:cs="Times New Roman"/>
                <w:color w:val="auto"/>
                <w:kern w:val="0"/>
                <w:sz w:val="24"/>
              </w:rPr>
              <w:t>为了规整河道，本次将针对河道淤积段进行疏浚，本工程河道疏浚全长</w:t>
            </w:r>
            <w:r>
              <w:rPr>
                <w:rFonts w:hint="eastAsia" w:cs="Times New Roman"/>
                <w:color w:val="auto"/>
                <w:kern w:val="0"/>
                <w:sz w:val="24"/>
                <w:lang w:val="en-US" w:eastAsia="zh-CN"/>
              </w:rPr>
              <w:t>3000</w:t>
            </w:r>
            <w:r>
              <w:rPr>
                <w:rFonts w:hint="default" w:ascii="Times New Roman" w:hAnsi="Times New Roman" w:cs="Times New Roman"/>
                <w:color w:val="auto"/>
                <w:kern w:val="0"/>
                <w:sz w:val="24"/>
              </w:rPr>
              <w:t>m</w:t>
            </w:r>
            <w:r>
              <w:rPr>
                <w:rFonts w:hint="eastAsia" w:cs="Times New Roman"/>
                <w:color w:val="auto"/>
                <w:kern w:val="0"/>
                <w:sz w:val="24"/>
                <w:lang w:eastAsia="zh-CN"/>
              </w:rPr>
              <w:t>，</w:t>
            </w:r>
            <w:r>
              <w:rPr>
                <w:rFonts w:hint="default" w:ascii="Times New Roman" w:hAnsi="Times New Roman" w:cs="Times New Roman"/>
                <w:color w:val="auto"/>
                <w:kern w:val="0"/>
                <w:sz w:val="24"/>
              </w:rPr>
              <w:t>主要为河道内推移质</w:t>
            </w:r>
            <w:r>
              <w:rPr>
                <w:rFonts w:hint="eastAsia" w:cs="Times New Roman"/>
                <w:color w:val="auto"/>
                <w:kern w:val="0"/>
                <w:sz w:val="24"/>
                <w:lang w:eastAsia="zh-CN"/>
              </w:rPr>
              <w:t>：</w:t>
            </w:r>
            <w:r>
              <w:rPr>
                <w:rFonts w:hint="default" w:ascii="Times New Roman" w:hAnsi="Times New Roman" w:cs="Times New Roman"/>
                <w:color w:val="auto"/>
                <w:kern w:val="0"/>
                <w:sz w:val="24"/>
              </w:rPr>
              <w:t>按照河底高程对河道局部</w:t>
            </w:r>
            <w:r>
              <w:rPr>
                <w:rFonts w:hint="default" w:eastAsia="宋体" w:cs="Times New Roman"/>
                <w:color w:val="auto"/>
                <w:kern w:val="0"/>
                <w:sz w:val="24"/>
                <w:lang w:val="en-US" w:eastAsia="zh-CN"/>
              </w:rPr>
              <w:t>推移质及淤积物予以挖除</w:t>
            </w:r>
            <w:r>
              <w:rPr>
                <w:rFonts w:hint="eastAsia" w:cs="Times New Roman"/>
                <w:color w:val="auto"/>
                <w:kern w:val="0"/>
                <w:sz w:val="24"/>
                <w:lang w:val="en-US" w:eastAsia="zh-CN"/>
              </w:rPr>
              <w:t>。</w:t>
            </w:r>
            <w:r>
              <w:rPr>
                <w:rFonts w:hint="default" w:eastAsia="宋体" w:cs="Times New Roman"/>
                <w:color w:val="auto"/>
                <w:kern w:val="0"/>
                <w:sz w:val="24"/>
                <w:lang w:val="en-US" w:eastAsia="zh-CN"/>
              </w:rPr>
              <w:t>本次疏浚工程量：</w:t>
            </w:r>
            <w:r>
              <w:rPr>
                <w:rFonts w:hint="eastAsia" w:eastAsia="宋体" w:cs="Times New Roman"/>
                <w:color w:val="auto"/>
                <w:kern w:val="0"/>
                <w:sz w:val="24"/>
                <w:lang w:val="en-US" w:eastAsia="zh-CN"/>
              </w:rPr>
              <w:t>43505</w:t>
            </w:r>
            <w:r>
              <w:rPr>
                <w:rFonts w:hint="default" w:eastAsia="宋体" w:cs="Times New Roman"/>
                <w:color w:val="auto"/>
                <w:kern w:val="0"/>
                <w:sz w:val="24"/>
                <w:lang w:val="en-US" w:eastAsia="zh-CN"/>
              </w:rPr>
              <w:t>m</w:t>
            </w:r>
            <w:r>
              <w:rPr>
                <w:rFonts w:hint="default" w:eastAsia="宋体" w:cs="Times New Roman"/>
                <w:color w:val="auto"/>
                <w:kern w:val="0"/>
                <w:sz w:val="24"/>
                <w:vertAlign w:val="superscript"/>
                <w:lang w:val="en-US" w:eastAsia="zh-CN"/>
              </w:rPr>
              <w:t>3</w:t>
            </w:r>
            <w:r>
              <w:rPr>
                <w:rFonts w:hint="default" w:eastAsia="宋体" w:cs="Times New Roman"/>
                <w:color w:val="auto"/>
                <w:kern w:val="0"/>
                <w:sz w:val="24"/>
                <w:lang w:val="en-US" w:eastAsia="zh-CN"/>
              </w:rPr>
              <w:t>，疏浚深度0.5~2m，平均疏挖深度约为0.5m，疏浚纵坡为3‰~5‰。河道清淤后在河道中线形成深槽，对河道深泓线基本无影响，工程河段清淤后河势基本稳定，疏浚料可用于堤身填筑及堤后回填。</w:t>
            </w:r>
          </w:p>
          <w:p>
            <w:pPr>
              <w:adjustRightInd w:val="0"/>
              <w:snapToGrid w:val="0"/>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2</w:t>
            </w:r>
            <w:r>
              <w:rPr>
                <w:rFonts w:hint="default" w:ascii="Times New Roman" w:hAnsi="Times New Roman" w:eastAsia="宋体" w:cs="Times New Roman"/>
                <w:b/>
                <w:bCs/>
                <w:color w:val="auto"/>
                <w:sz w:val="24"/>
              </w:rPr>
              <w:t>、施工条件</w:t>
            </w:r>
          </w:p>
          <w:p>
            <w:pPr>
              <w:adjustRightInd w:val="0"/>
              <w:snapToGrid w:val="0"/>
              <w:spacing w:line="360" w:lineRule="auto"/>
              <w:ind w:firstLine="480" w:firstLineChars="200"/>
              <w:rPr>
                <w:rFonts w:hint="default" w:eastAsia="宋体" w:cs="Times New Roman"/>
                <w:color w:val="auto"/>
                <w:kern w:val="0"/>
                <w:sz w:val="24"/>
                <w:lang w:val="en-US" w:eastAsia="zh-CN"/>
              </w:rPr>
            </w:pPr>
            <w:r>
              <w:rPr>
                <w:rFonts w:hint="default" w:eastAsia="宋体" w:cs="Times New Roman"/>
                <w:color w:val="auto"/>
                <w:kern w:val="0"/>
                <w:sz w:val="24"/>
                <w:lang w:val="en-US" w:eastAsia="zh-CN"/>
              </w:rPr>
              <w:t>（1）施工供水</w:t>
            </w:r>
          </w:p>
          <w:p>
            <w:pPr>
              <w:adjustRightInd w:val="0"/>
              <w:snapToGrid w:val="0"/>
              <w:spacing w:line="360" w:lineRule="auto"/>
              <w:ind w:firstLine="480" w:firstLineChars="200"/>
              <w:rPr>
                <w:rFonts w:hint="eastAsia" w:eastAsia="宋体" w:cs="Times New Roman"/>
                <w:color w:val="auto"/>
                <w:kern w:val="0"/>
                <w:sz w:val="24"/>
                <w:lang w:val="en-US" w:eastAsia="zh-CN"/>
              </w:rPr>
            </w:pPr>
            <w:r>
              <w:rPr>
                <w:rFonts w:hint="eastAsia" w:eastAsia="宋体" w:cs="Times New Roman"/>
                <w:color w:val="auto"/>
                <w:kern w:val="0"/>
                <w:sz w:val="24"/>
                <w:lang w:val="en-US" w:eastAsia="zh-CN"/>
              </w:rPr>
              <w:t>本工程施工供水主要用于混凝土的拌</w:t>
            </w:r>
            <w:r>
              <w:rPr>
                <w:rFonts w:hint="eastAsia" w:cs="Times New Roman"/>
                <w:color w:val="auto"/>
                <w:kern w:val="0"/>
                <w:sz w:val="24"/>
                <w:lang w:val="en-US" w:eastAsia="zh-CN"/>
              </w:rPr>
              <w:t>合</w:t>
            </w:r>
            <w:r>
              <w:rPr>
                <w:rFonts w:hint="eastAsia" w:eastAsia="宋体" w:cs="Times New Roman"/>
                <w:color w:val="auto"/>
                <w:kern w:val="0"/>
                <w:sz w:val="24"/>
                <w:lang w:val="en-US" w:eastAsia="zh-CN"/>
              </w:rPr>
              <w:t>、养护，以及施工工厂的生产用水，施工人员的生活用水，施工期消防用水。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lang w:val="en-US" w:eastAsia="zh-CN"/>
              </w:rPr>
            </w:pPr>
            <w:r>
              <w:rPr>
                <w:rFonts w:hint="eastAsia" w:eastAsia="宋体" w:cs="Times New Roman"/>
                <w:color w:val="auto"/>
                <w:kern w:val="0"/>
                <w:sz w:val="24"/>
                <w:lang w:val="en-US" w:eastAsia="zh-CN"/>
              </w:rPr>
              <w:t>本工程沿堤线分段设置施工供水系统，设可移动式铁皮水箱2个，每个水箱容积10m</w:t>
            </w:r>
            <w:r>
              <w:rPr>
                <w:rFonts w:hint="eastAsia" w:eastAsia="宋体" w:cs="Times New Roman"/>
                <w:color w:val="auto"/>
                <w:kern w:val="0"/>
                <w:sz w:val="24"/>
                <w:vertAlign w:val="superscript"/>
                <w:lang w:val="en-US" w:eastAsia="zh-CN"/>
              </w:rPr>
              <w:t>3</w:t>
            </w:r>
            <w:r>
              <w:rPr>
                <w:rFonts w:hint="eastAsia" w:eastAsia="宋体" w:cs="Times New Roman"/>
                <w:color w:val="auto"/>
                <w:kern w:val="0"/>
                <w:sz w:val="24"/>
                <w:lang w:val="en-US" w:eastAsia="zh-CN"/>
              </w:rPr>
              <w:t>，共计20m</w:t>
            </w:r>
            <w:r>
              <w:rPr>
                <w:rFonts w:hint="eastAsia" w:eastAsia="宋体" w:cs="Times New Roman"/>
                <w:color w:val="auto"/>
                <w:kern w:val="0"/>
                <w:sz w:val="24"/>
                <w:vertAlign w:val="superscript"/>
                <w:lang w:val="en-US" w:eastAsia="zh-CN"/>
              </w:rPr>
              <w:t>3</w:t>
            </w:r>
            <w:r>
              <w:rPr>
                <w:rFonts w:hint="eastAsia" w:eastAsia="宋体" w:cs="Times New Roman"/>
                <w:color w:val="auto"/>
                <w:kern w:val="0"/>
                <w:sz w:val="24"/>
                <w:lang w:val="en-US" w:eastAsia="zh-CN"/>
              </w:rPr>
              <w:t>，选用IS150-125-200离心泵</w:t>
            </w:r>
            <w:r>
              <w:rPr>
                <w:rFonts w:hint="eastAsia" w:cs="Times New Roman"/>
                <w:color w:val="auto"/>
                <w:kern w:val="0"/>
                <w:sz w:val="24"/>
                <w:lang w:val="en-US" w:eastAsia="zh-CN"/>
              </w:rPr>
              <w:t>（</w:t>
            </w:r>
            <w:r>
              <w:rPr>
                <w:rFonts w:hint="eastAsia" w:eastAsia="宋体" w:cs="Times New Roman"/>
                <w:color w:val="auto"/>
                <w:kern w:val="0"/>
                <w:sz w:val="24"/>
                <w:lang w:val="en-US" w:eastAsia="zh-CN"/>
              </w:rPr>
              <w:t>流量：200m</w:t>
            </w:r>
            <w:r>
              <w:rPr>
                <w:rFonts w:hint="eastAsia" w:eastAsia="宋体" w:cs="Times New Roman"/>
                <w:color w:val="auto"/>
                <w:kern w:val="0"/>
                <w:sz w:val="24"/>
                <w:vertAlign w:val="superscript"/>
                <w:lang w:val="en-US" w:eastAsia="zh-CN"/>
              </w:rPr>
              <w:t>3</w:t>
            </w:r>
            <w:r>
              <w:rPr>
                <w:rFonts w:hint="eastAsia" w:eastAsia="宋体" w:cs="Times New Roman"/>
                <w:color w:val="auto"/>
                <w:kern w:val="0"/>
                <w:sz w:val="24"/>
                <w:lang w:val="en-US" w:eastAsia="zh-CN"/>
              </w:rPr>
              <w:t>/h，扬程：12.5m，转速：1450r/min，功率：11KW）抽取临江河河水，经储水池净化后作为混</w:t>
            </w:r>
            <w:r>
              <w:rPr>
                <w:rFonts w:hint="eastAsia" w:ascii="Times New Roman" w:hAnsi="Times New Roman" w:eastAsia="宋体" w:cs="Times New Roman"/>
                <w:color w:val="auto"/>
                <w:kern w:val="0"/>
                <w:sz w:val="24"/>
                <w:lang w:val="en-US" w:eastAsia="zh-CN"/>
              </w:rPr>
              <w:t>凝土和砂浆搅拌机用水及混凝土养护和机械用水等；生活用水则通过接当地自来水使用。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（2）施工供电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sz w:val="24"/>
                <w:szCs w:val="22"/>
              </w:rPr>
            </w:pPr>
            <w:r>
              <w:rPr>
                <w:rFonts w:hint="eastAsia" w:ascii="Times New Roman" w:hAnsi="Times New Roman" w:eastAsia="宋体" w:cs="Times New Roman"/>
                <w:color w:val="auto"/>
                <w:kern w:val="0"/>
                <w:sz w:val="24"/>
                <w:lang w:val="en-US" w:eastAsia="zh-CN"/>
              </w:rPr>
              <w:t>本工程区</w:t>
            </w:r>
            <w:r>
              <w:rPr>
                <w:rFonts w:ascii="Times New Roman" w:hAnsi="Times New Roman" w:eastAsia="宋体" w:cs="Times New Roman"/>
                <w:sz w:val="24"/>
                <w:szCs w:val="22"/>
              </w:rPr>
              <w:t>附近有国家电网覆盖，施工用电便利，本工程施工可直接由附近</w:t>
            </w:r>
            <w:r>
              <w:rPr>
                <w:rFonts w:hint="eastAsia" w:ascii="Times New Roman" w:hAnsi="Times New Roman" w:eastAsia="宋体" w:cs="Times New Roman"/>
                <w:sz w:val="24"/>
                <w:szCs w:val="22"/>
              </w:rPr>
              <w:t>铁二局钢筋棚</w:t>
            </w:r>
            <w:r>
              <w:rPr>
                <w:rFonts w:ascii="Times New Roman" w:hAnsi="Times New Roman" w:eastAsia="宋体" w:cs="Times New Roman"/>
                <w:sz w:val="24"/>
                <w:szCs w:val="22"/>
              </w:rPr>
              <w:t>变电站架设0.3km10kV高压输电线至工地降压站。根据施工布置，共设1座施工降压站，降压站供电容量为160kVA。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sz w:val="24"/>
                <w:szCs w:val="22"/>
              </w:rPr>
            </w:pPr>
            <w:r>
              <w:rPr>
                <w:rFonts w:ascii="Times New Roman" w:hAnsi="Times New Roman" w:eastAsia="宋体" w:cs="Times New Roman"/>
                <w:sz w:val="24"/>
                <w:szCs w:val="22"/>
              </w:rPr>
              <w:t>为确保本工程施工期用电要求，另外配备2台50kw的柴油发电机作为备用。</w:t>
            </w:r>
          </w:p>
          <w:p>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）施工通讯</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施工通讯分为施工区场内通讯与对外通讯。</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工程施工区具有良好的通信环境，外部通信系统基本形成，利用手持式移动电话作为通信工具，并通过当地邮电局申请安装外部电话。在各项目部安装程控电话交换机一部、分机两部和传真机一部，用于对外通讯联络。</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各施工区对内购置2对（4部）手持无线电对话机，满足工程施工期间各施工点的生产指挥、调度及流动用户的需要。</w:t>
            </w:r>
          </w:p>
          <w:p>
            <w:pPr>
              <w:keepNext/>
              <w:adjustRightInd w:val="0"/>
              <w:snapToGrid w:val="0"/>
              <w:spacing w:line="360" w:lineRule="auto"/>
              <w:ind w:firstLine="480" w:firstLineChars="200"/>
              <w:outlineLvl w:val="1"/>
              <w:rPr>
                <w:rFonts w:hint="default" w:ascii="Times New Roman" w:hAnsi="Times New Roman" w:eastAsia="宋体" w:cs="Times New Roman"/>
                <w:bCs/>
                <w:iCs/>
                <w:color w:val="auto"/>
                <w:sz w:val="24"/>
              </w:rPr>
            </w:pPr>
            <w:r>
              <w:rPr>
                <w:rFonts w:hint="default" w:ascii="Times New Roman" w:hAnsi="Times New Roman" w:eastAsia="宋体" w:cs="Times New Roman"/>
                <w:bCs/>
                <w:iCs/>
                <w:color w:val="auto"/>
                <w:sz w:val="24"/>
              </w:rPr>
              <w:t>（</w:t>
            </w:r>
            <w:r>
              <w:rPr>
                <w:rFonts w:hint="default" w:ascii="Times New Roman" w:hAnsi="Times New Roman" w:eastAsia="宋体" w:cs="Times New Roman"/>
                <w:bCs/>
                <w:iCs/>
                <w:color w:val="auto"/>
                <w:sz w:val="24"/>
                <w:lang w:val="en-US" w:eastAsia="zh-CN"/>
              </w:rPr>
              <w:t>4</w:t>
            </w:r>
            <w:r>
              <w:rPr>
                <w:rFonts w:hint="default" w:ascii="Times New Roman" w:hAnsi="Times New Roman" w:eastAsia="宋体" w:cs="Times New Roman"/>
                <w:bCs/>
                <w:iCs/>
                <w:color w:val="auto"/>
                <w:sz w:val="24"/>
              </w:rPr>
              <w:t>）施工交通运输</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eastAsia" w:ascii="Times New Roman" w:hAnsi="Times New Roman" w:eastAsia="宋体" w:cs="Times New Roman"/>
                <w:color w:val="auto"/>
                <w:kern w:val="0"/>
                <w:sz w:val="24"/>
                <w:szCs w:val="24"/>
                <w:lang w:eastAsia="zh-CN" w:bidi="ar"/>
              </w:rPr>
            </w:pPr>
            <w:bookmarkStart w:id="2" w:name="_Toc249744350"/>
            <w:bookmarkStart w:id="3" w:name="_Toc263409350"/>
            <w:bookmarkStart w:id="4" w:name="_Toc229056132"/>
            <w:bookmarkStart w:id="5" w:name="_Toc262110665"/>
            <w:bookmarkStart w:id="6" w:name="_Toc263380951"/>
            <w:bookmarkStart w:id="7" w:name="_Toc249838256"/>
            <w:r>
              <w:rPr>
                <w:rFonts w:hint="default" w:ascii="Times New Roman" w:hAnsi="Times New Roman" w:eastAsia="宋体" w:cs="Times New Roman"/>
                <w:color w:val="auto"/>
                <w:kern w:val="0"/>
                <w:sz w:val="24"/>
                <w:szCs w:val="24"/>
                <w:lang w:bidi="ar"/>
              </w:rPr>
              <w:t>对外交通运输</w:t>
            </w:r>
            <w:bookmarkEnd w:id="2"/>
            <w:bookmarkEnd w:id="3"/>
            <w:bookmarkEnd w:id="4"/>
            <w:bookmarkEnd w:id="5"/>
            <w:bookmarkEnd w:id="6"/>
            <w:bookmarkEnd w:id="7"/>
            <w:r>
              <w:rPr>
                <w:rFonts w:hint="eastAsia" w:eastAsia="宋体" w:cs="Times New Roman"/>
                <w:color w:val="auto"/>
                <w:kern w:val="0"/>
                <w:sz w:val="24"/>
                <w:szCs w:val="24"/>
                <w:lang w:eastAsia="zh-CN" w:bidi="ar"/>
              </w:rPr>
              <w:t>：</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河道对外交通有苏九路、苏沙路、成乐高速、乐嵋快速通道及场镇道路，施工场地条件较好，对外交通较方便，各种材料、设备运输便利，建设条件优越。</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eastAsia" w:ascii="Times New Roman" w:hAnsi="Times New Roman" w:eastAsia="宋体" w:cs="Times New Roman"/>
                <w:color w:val="auto"/>
                <w:kern w:val="0"/>
                <w:sz w:val="24"/>
                <w:szCs w:val="24"/>
                <w:lang w:eastAsia="zh-CN" w:bidi="ar"/>
              </w:rPr>
            </w:pPr>
            <w:bookmarkStart w:id="8" w:name="_Toc263409351"/>
            <w:bookmarkStart w:id="9" w:name="_Toc249744351"/>
            <w:bookmarkStart w:id="10" w:name="_Toc249838257"/>
            <w:bookmarkStart w:id="11" w:name="_Toc263380952"/>
            <w:bookmarkStart w:id="12" w:name="_Toc262110666"/>
            <w:bookmarkStart w:id="13" w:name="_Toc229056133"/>
            <w:r>
              <w:rPr>
                <w:rFonts w:hint="default" w:ascii="Times New Roman" w:hAnsi="Times New Roman" w:eastAsia="宋体" w:cs="Times New Roman"/>
                <w:color w:val="auto"/>
                <w:kern w:val="0"/>
                <w:sz w:val="24"/>
                <w:szCs w:val="24"/>
                <w:lang w:bidi="ar"/>
              </w:rPr>
              <w:t>场内交通运输</w:t>
            </w:r>
            <w:bookmarkEnd w:id="8"/>
            <w:bookmarkEnd w:id="9"/>
            <w:bookmarkEnd w:id="10"/>
            <w:bookmarkEnd w:id="11"/>
            <w:bookmarkEnd w:id="12"/>
            <w:bookmarkEnd w:id="13"/>
            <w:r>
              <w:rPr>
                <w:rFonts w:hint="eastAsia" w:eastAsia="宋体" w:cs="Times New Roman"/>
                <w:color w:val="auto"/>
                <w:kern w:val="0"/>
                <w:sz w:val="24"/>
                <w:szCs w:val="24"/>
                <w:lang w:eastAsia="zh-CN" w:bidi="ar"/>
              </w:rPr>
              <w:t>：</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本次治理河段场内有部分已有场镇道路，可利用部分场镇道路作为场内临时施工道路，但是工程区多数为天然河岸，无已成道路，需新建部分场内临时施工道路，工程河段场地开阔，各施工区通过原有场镇道路、新建的场内临时施工道路将各施工工区、施工企业仓库、料场、渣场及生活区等相互联系起来，左右岸通过新旧漫水桥进行联系，临时施工道路标准均为四级，单车道，路基宽4.5m，路面宽度3.5m，泥结碎石路面，最大纵坡≤10%。本工程共需新建场内临时道路1981m，</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表2</w:t>
            </w:r>
            <w:r>
              <w:rPr>
                <w:rFonts w:hint="eastAsia" w:cs="Times New Roman"/>
                <w:b/>
                <w:bCs/>
                <w:color w:val="auto"/>
                <w:sz w:val="21"/>
                <w:szCs w:val="21"/>
                <w:lang w:val="en-US" w:eastAsia="zh-CN"/>
              </w:rPr>
              <w:t>-10</w:t>
            </w:r>
            <w:r>
              <w:rPr>
                <w:rFonts w:hint="eastAsia" w:ascii="Times New Roman" w:hAnsi="Times New Roman" w:eastAsia="宋体" w:cs="Times New Roman"/>
                <w:b/>
                <w:bCs/>
                <w:color w:val="auto"/>
                <w:sz w:val="21"/>
                <w:szCs w:val="21"/>
                <w:lang w:val="en-US" w:eastAsia="zh-CN"/>
              </w:rPr>
              <w:t xml:space="preserve">  工程施工临时道路统计表</w:t>
            </w:r>
          </w:p>
          <w:tbl>
            <w:tblPr>
              <w:tblStyle w:val="41"/>
              <w:tblW w:w="4997"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098"/>
              <w:gridCol w:w="1484"/>
              <w:gridCol w:w="1268"/>
              <w:gridCol w:w="1538"/>
              <w:gridCol w:w="1315"/>
              <w:gridCol w:w="1169"/>
              <w:gridCol w:w="116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607" w:type="pct"/>
                  <w:noWrap w:val="0"/>
                  <w:vAlign w:val="center"/>
                </w:tcPr>
                <w:p>
                  <w:pPr>
                    <w:widowControl/>
                    <w:jc w:val="center"/>
                    <w:rPr>
                      <w:rFonts w:hint="default" w:ascii="Times New Roman" w:hAnsi="Times New Roman" w:eastAsia="宋体" w:cs="Times New Roman"/>
                      <w:b/>
                      <w:bCs w:val="0"/>
                      <w:kern w:val="0"/>
                      <w:sz w:val="21"/>
                      <w:szCs w:val="21"/>
                    </w:rPr>
                  </w:pPr>
                  <w:r>
                    <w:rPr>
                      <w:rFonts w:hint="default" w:ascii="Times New Roman" w:hAnsi="Times New Roman" w:eastAsia="宋体" w:cs="Times New Roman"/>
                      <w:b/>
                      <w:bCs w:val="0"/>
                      <w:kern w:val="0"/>
                      <w:sz w:val="21"/>
                      <w:szCs w:val="21"/>
                    </w:rPr>
                    <w:t>岸别</w:t>
                  </w:r>
                </w:p>
              </w:tc>
              <w:tc>
                <w:tcPr>
                  <w:tcW w:w="819" w:type="pct"/>
                  <w:noWrap w:val="0"/>
                  <w:vAlign w:val="center"/>
                </w:tcPr>
                <w:p>
                  <w:pPr>
                    <w:widowControl/>
                    <w:jc w:val="center"/>
                    <w:rPr>
                      <w:rFonts w:hint="default" w:ascii="Times New Roman" w:hAnsi="Times New Roman" w:eastAsia="宋体" w:cs="Times New Roman"/>
                      <w:b/>
                      <w:bCs w:val="0"/>
                      <w:kern w:val="0"/>
                      <w:sz w:val="21"/>
                      <w:szCs w:val="21"/>
                    </w:rPr>
                  </w:pPr>
                  <w:r>
                    <w:rPr>
                      <w:rFonts w:hint="default" w:ascii="Times New Roman" w:hAnsi="Times New Roman" w:eastAsia="宋体" w:cs="Times New Roman"/>
                      <w:b/>
                      <w:bCs w:val="0"/>
                      <w:kern w:val="0"/>
                      <w:sz w:val="21"/>
                      <w:szCs w:val="21"/>
                    </w:rPr>
                    <w:t>道路名称</w:t>
                  </w:r>
                </w:p>
              </w:tc>
              <w:tc>
                <w:tcPr>
                  <w:tcW w:w="701" w:type="pct"/>
                  <w:noWrap w:val="0"/>
                  <w:vAlign w:val="center"/>
                </w:tcPr>
                <w:p>
                  <w:pPr>
                    <w:widowControl/>
                    <w:jc w:val="center"/>
                    <w:rPr>
                      <w:rFonts w:hint="eastAsia" w:ascii="Times New Roman" w:hAnsi="Times New Roman" w:eastAsia="宋体" w:cs="Times New Roman"/>
                      <w:b/>
                      <w:bCs w:val="0"/>
                      <w:kern w:val="0"/>
                      <w:sz w:val="21"/>
                      <w:szCs w:val="21"/>
                      <w:lang w:eastAsia="zh-CN"/>
                    </w:rPr>
                  </w:pPr>
                  <w:r>
                    <w:rPr>
                      <w:rFonts w:hint="default" w:ascii="Times New Roman" w:hAnsi="Times New Roman" w:eastAsia="宋体" w:cs="Times New Roman"/>
                      <w:b/>
                      <w:bCs w:val="0"/>
                      <w:kern w:val="0"/>
                      <w:sz w:val="21"/>
                      <w:szCs w:val="21"/>
                    </w:rPr>
                    <w:t>长度</w:t>
                  </w:r>
                  <w:r>
                    <w:rPr>
                      <w:rFonts w:hint="eastAsia" w:cs="Times New Roman"/>
                      <w:b/>
                      <w:bCs w:val="0"/>
                      <w:kern w:val="0"/>
                      <w:sz w:val="21"/>
                      <w:szCs w:val="21"/>
                      <w:lang w:eastAsia="zh-CN"/>
                    </w:rPr>
                    <w:t>（</w:t>
                  </w:r>
                  <w:r>
                    <w:rPr>
                      <w:rFonts w:hint="default" w:ascii="Times New Roman" w:hAnsi="Times New Roman" w:eastAsia="宋体" w:cs="Times New Roman"/>
                      <w:b/>
                      <w:bCs w:val="0"/>
                      <w:kern w:val="0"/>
                      <w:sz w:val="21"/>
                      <w:szCs w:val="21"/>
                    </w:rPr>
                    <w:t>m</w:t>
                  </w:r>
                  <w:r>
                    <w:rPr>
                      <w:rFonts w:hint="eastAsia" w:cs="Times New Roman"/>
                      <w:b/>
                      <w:bCs w:val="0"/>
                      <w:kern w:val="0"/>
                      <w:sz w:val="21"/>
                      <w:szCs w:val="21"/>
                      <w:lang w:eastAsia="zh-CN"/>
                    </w:rPr>
                    <w:t>）</w:t>
                  </w:r>
                </w:p>
              </w:tc>
              <w:tc>
                <w:tcPr>
                  <w:tcW w:w="850" w:type="pct"/>
                  <w:noWrap w:val="0"/>
                  <w:vAlign w:val="center"/>
                </w:tcPr>
                <w:p>
                  <w:pPr>
                    <w:widowControl/>
                    <w:jc w:val="center"/>
                    <w:rPr>
                      <w:rFonts w:hint="eastAsia" w:ascii="Times New Roman" w:hAnsi="Times New Roman" w:eastAsia="宋体" w:cs="Times New Roman"/>
                      <w:b/>
                      <w:bCs w:val="0"/>
                      <w:kern w:val="0"/>
                      <w:sz w:val="21"/>
                      <w:szCs w:val="21"/>
                      <w:lang w:eastAsia="zh-CN"/>
                    </w:rPr>
                  </w:pPr>
                  <w:r>
                    <w:rPr>
                      <w:rFonts w:hint="default" w:ascii="Times New Roman" w:hAnsi="Times New Roman" w:eastAsia="宋体" w:cs="Times New Roman"/>
                      <w:b/>
                      <w:bCs w:val="0"/>
                      <w:kern w:val="0"/>
                      <w:sz w:val="21"/>
                      <w:szCs w:val="21"/>
                    </w:rPr>
                    <w:t>路面宽</w:t>
                  </w:r>
                  <w:r>
                    <w:rPr>
                      <w:rFonts w:hint="eastAsia" w:cs="Times New Roman"/>
                      <w:b/>
                      <w:bCs w:val="0"/>
                      <w:kern w:val="0"/>
                      <w:sz w:val="21"/>
                      <w:szCs w:val="21"/>
                      <w:lang w:eastAsia="zh-CN"/>
                    </w:rPr>
                    <w:t>（</w:t>
                  </w:r>
                  <w:r>
                    <w:rPr>
                      <w:rFonts w:hint="default" w:ascii="Times New Roman" w:hAnsi="Times New Roman" w:eastAsia="宋体" w:cs="Times New Roman"/>
                      <w:b/>
                      <w:bCs w:val="0"/>
                      <w:kern w:val="0"/>
                      <w:sz w:val="21"/>
                      <w:szCs w:val="21"/>
                    </w:rPr>
                    <w:t>m</w:t>
                  </w:r>
                  <w:r>
                    <w:rPr>
                      <w:rFonts w:hint="eastAsia" w:cs="Times New Roman"/>
                      <w:b/>
                      <w:bCs w:val="0"/>
                      <w:kern w:val="0"/>
                      <w:sz w:val="21"/>
                      <w:szCs w:val="21"/>
                      <w:lang w:eastAsia="zh-CN"/>
                    </w:rPr>
                    <w:t>）</w:t>
                  </w:r>
                </w:p>
              </w:tc>
              <w:tc>
                <w:tcPr>
                  <w:tcW w:w="727" w:type="pct"/>
                  <w:noWrap w:val="0"/>
                  <w:vAlign w:val="center"/>
                </w:tcPr>
                <w:p>
                  <w:pPr>
                    <w:widowControl/>
                    <w:jc w:val="center"/>
                    <w:rPr>
                      <w:rFonts w:hint="eastAsia" w:ascii="Times New Roman" w:hAnsi="Times New Roman" w:eastAsia="宋体" w:cs="Times New Roman"/>
                      <w:b/>
                      <w:bCs w:val="0"/>
                      <w:kern w:val="0"/>
                      <w:sz w:val="21"/>
                      <w:szCs w:val="21"/>
                      <w:lang w:eastAsia="zh-CN"/>
                    </w:rPr>
                  </w:pPr>
                  <w:r>
                    <w:rPr>
                      <w:rFonts w:hint="default" w:ascii="Times New Roman" w:hAnsi="Times New Roman" w:eastAsia="宋体" w:cs="Times New Roman"/>
                      <w:b/>
                      <w:bCs w:val="0"/>
                      <w:kern w:val="0"/>
                      <w:sz w:val="21"/>
                      <w:szCs w:val="21"/>
                    </w:rPr>
                    <w:t>路基宽</w:t>
                  </w:r>
                  <w:r>
                    <w:rPr>
                      <w:rFonts w:hint="eastAsia" w:cs="Times New Roman"/>
                      <w:b/>
                      <w:bCs w:val="0"/>
                      <w:kern w:val="0"/>
                      <w:sz w:val="21"/>
                      <w:szCs w:val="21"/>
                      <w:lang w:eastAsia="zh-CN"/>
                    </w:rPr>
                    <w:t>（</w:t>
                  </w:r>
                  <w:r>
                    <w:rPr>
                      <w:rFonts w:hint="default" w:ascii="Times New Roman" w:hAnsi="Times New Roman" w:eastAsia="宋体" w:cs="Times New Roman"/>
                      <w:b/>
                      <w:bCs w:val="0"/>
                      <w:kern w:val="0"/>
                      <w:sz w:val="21"/>
                      <w:szCs w:val="21"/>
                    </w:rPr>
                    <w:t>m</w:t>
                  </w:r>
                  <w:r>
                    <w:rPr>
                      <w:rFonts w:hint="eastAsia" w:cs="Times New Roman"/>
                      <w:b/>
                      <w:bCs w:val="0"/>
                      <w:kern w:val="0"/>
                      <w:sz w:val="21"/>
                      <w:szCs w:val="21"/>
                      <w:lang w:eastAsia="zh-CN"/>
                    </w:rPr>
                    <w:t>）</w:t>
                  </w:r>
                </w:p>
              </w:tc>
              <w:tc>
                <w:tcPr>
                  <w:tcW w:w="646" w:type="pct"/>
                  <w:noWrap w:val="0"/>
                  <w:vAlign w:val="center"/>
                </w:tcPr>
                <w:p>
                  <w:pPr>
                    <w:widowControl/>
                    <w:jc w:val="center"/>
                    <w:rPr>
                      <w:rFonts w:hint="default" w:ascii="Times New Roman" w:hAnsi="Times New Roman" w:eastAsia="宋体" w:cs="Times New Roman"/>
                      <w:b/>
                      <w:bCs w:val="0"/>
                      <w:kern w:val="0"/>
                      <w:sz w:val="21"/>
                      <w:szCs w:val="21"/>
                    </w:rPr>
                  </w:pPr>
                  <w:r>
                    <w:rPr>
                      <w:rFonts w:hint="default" w:ascii="Times New Roman" w:hAnsi="Times New Roman" w:eastAsia="宋体" w:cs="Times New Roman"/>
                      <w:b/>
                      <w:bCs w:val="0"/>
                      <w:kern w:val="0"/>
                      <w:sz w:val="21"/>
                      <w:szCs w:val="21"/>
                    </w:rPr>
                    <w:t>路面型式</w:t>
                  </w:r>
                </w:p>
              </w:tc>
              <w:tc>
                <w:tcPr>
                  <w:tcW w:w="646" w:type="pct"/>
                  <w:noWrap w:val="0"/>
                  <w:vAlign w:val="center"/>
                </w:tcPr>
                <w:p>
                  <w:pPr>
                    <w:widowControl/>
                    <w:jc w:val="center"/>
                    <w:rPr>
                      <w:rFonts w:hint="default" w:ascii="Times New Roman" w:hAnsi="Times New Roman" w:eastAsia="宋体" w:cs="Times New Roman"/>
                      <w:b/>
                      <w:bCs w:val="0"/>
                      <w:kern w:val="0"/>
                      <w:sz w:val="21"/>
                      <w:szCs w:val="21"/>
                    </w:rPr>
                  </w:pPr>
                  <w:r>
                    <w:rPr>
                      <w:rFonts w:hint="default" w:ascii="Times New Roman" w:hAnsi="Times New Roman" w:eastAsia="宋体" w:cs="Times New Roman"/>
                      <w:b/>
                      <w:bCs w:val="0"/>
                      <w:kern w:val="0"/>
                      <w:sz w:val="21"/>
                      <w:szCs w:val="21"/>
                    </w:rPr>
                    <w:t>备注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607" w:type="pct"/>
                  <w:vMerge w:val="restar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右岸</w:t>
                  </w:r>
                </w:p>
              </w:tc>
              <w:tc>
                <w:tcPr>
                  <w:tcW w:w="819"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1#临时施工道路</w:t>
                  </w:r>
                </w:p>
              </w:tc>
              <w:tc>
                <w:tcPr>
                  <w:tcW w:w="701"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230</w:t>
                  </w:r>
                </w:p>
              </w:tc>
              <w:tc>
                <w:tcPr>
                  <w:tcW w:w="850"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3.5</w:t>
                  </w:r>
                </w:p>
              </w:tc>
              <w:tc>
                <w:tcPr>
                  <w:tcW w:w="727"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4.5</w:t>
                  </w:r>
                </w:p>
              </w:tc>
              <w:tc>
                <w:tcPr>
                  <w:tcW w:w="646"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泥结石</w:t>
                  </w:r>
                </w:p>
              </w:tc>
              <w:tc>
                <w:tcPr>
                  <w:tcW w:w="646"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607" w:type="pct"/>
                  <w:vMerge w:val="continue"/>
                  <w:noWrap w:val="0"/>
                  <w:vAlign w:val="center"/>
                </w:tcPr>
                <w:p>
                  <w:pPr>
                    <w:widowControl/>
                    <w:jc w:val="left"/>
                    <w:rPr>
                      <w:rFonts w:hint="default" w:ascii="Times New Roman" w:hAnsi="Times New Roman" w:eastAsia="宋体" w:cs="Times New Roman"/>
                      <w:kern w:val="0"/>
                      <w:sz w:val="21"/>
                      <w:szCs w:val="21"/>
                    </w:rPr>
                  </w:pPr>
                </w:p>
              </w:tc>
              <w:tc>
                <w:tcPr>
                  <w:tcW w:w="819"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2#临时施工道路</w:t>
                  </w:r>
                </w:p>
              </w:tc>
              <w:tc>
                <w:tcPr>
                  <w:tcW w:w="701"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250</w:t>
                  </w:r>
                </w:p>
              </w:tc>
              <w:tc>
                <w:tcPr>
                  <w:tcW w:w="850"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3.5</w:t>
                  </w:r>
                </w:p>
              </w:tc>
              <w:tc>
                <w:tcPr>
                  <w:tcW w:w="727"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4.5</w:t>
                  </w:r>
                </w:p>
              </w:tc>
              <w:tc>
                <w:tcPr>
                  <w:tcW w:w="646"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泥结石</w:t>
                  </w:r>
                </w:p>
              </w:tc>
              <w:tc>
                <w:tcPr>
                  <w:tcW w:w="646"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607" w:type="pct"/>
                  <w:vMerge w:val="continue"/>
                  <w:noWrap w:val="0"/>
                  <w:vAlign w:val="center"/>
                </w:tcPr>
                <w:p>
                  <w:pPr>
                    <w:widowControl/>
                    <w:jc w:val="left"/>
                    <w:rPr>
                      <w:rFonts w:hint="default" w:ascii="Times New Roman" w:hAnsi="Times New Roman" w:eastAsia="宋体" w:cs="Times New Roman"/>
                      <w:kern w:val="0"/>
                      <w:sz w:val="21"/>
                      <w:szCs w:val="21"/>
                    </w:rPr>
                  </w:pPr>
                </w:p>
              </w:tc>
              <w:tc>
                <w:tcPr>
                  <w:tcW w:w="819"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3#临时施工道路</w:t>
                  </w:r>
                </w:p>
              </w:tc>
              <w:tc>
                <w:tcPr>
                  <w:tcW w:w="701"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60</w:t>
                  </w:r>
                </w:p>
              </w:tc>
              <w:tc>
                <w:tcPr>
                  <w:tcW w:w="850"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3.5</w:t>
                  </w:r>
                </w:p>
              </w:tc>
              <w:tc>
                <w:tcPr>
                  <w:tcW w:w="727"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4.5</w:t>
                  </w:r>
                </w:p>
              </w:tc>
              <w:tc>
                <w:tcPr>
                  <w:tcW w:w="646"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泥结石</w:t>
                  </w:r>
                </w:p>
              </w:tc>
              <w:tc>
                <w:tcPr>
                  <w:tcW w:w="646"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607" w:type="pct"/>
                  <w:vMerge w:val="continue"/>
                  <w:noWrap w:val="0"/>
                  <w:vAlign w:val="center"/>
                </w:tcPr>
                <w:p>
                  <w:pPr>
                    <w:widowControl/>
                    <w:jc w:val="left"/>
                    <w:rPr>
                      <w:rFonts w:hint="default" w:ascii="Times New Roman" w:hAnsi="Times New Roman" w:eastAsia="宋体" w:cs="Times New Roman"/>
                      <w:kern w:val="0"/>
                      <w:sz w:val="21"/>
                      <w:szCs w:val="21"/>
                    </w:rPr>
                  </w:pPr>
                </w:p>
              </w:tc>
              <w:tc>
                <w:tcPr>
                  <w:tcW w:w="819"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4#临时施工道路</w:t>
                  </w:r>
                </w:p>
              </w:tc>
              <w:tc>
                <w:tcPr>
                  <w:tcW w:w="701"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154</w:t>
                  </w:r>
                </w:p>
              </w:tc>
              <w:tc>
                <w:tcPr>
                  <w:tcW w:w="850"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3.5</w:t>
                  </w:r>
                </w:p>
              </w:tc>
              <w:tc>
                <w:tcPr>
                  <w:tcW w:w="727"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4.5</w:t>
                  </w:r>
                </w:p>
              </w:tc>
              <w:tc>
                <w:tcPr>
                  <w:tcW w:w="646"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泥结石</w:t>
                  </w:r>
                </w:p>
              </w:tc>
              <w:tc>
                <w:tcPr>
                  <w:tcW w:w="646"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607" w:type="pct"/>
                  <w:vMerge w:val="continue"/>
                  <w:noWrap w:val="0"/>
                  <w:vAlign w:val="center"/>
                </w:tcPr>
                <w:p>
                  <w:pPr>
                    <w:widowControl/>
                    <w:jc w:val="left"/>
                    <w:rPr>
                      <w:rFonts w:hint="default" w:ascii="Times New Roman" w:hAnsi="Times New Roman" w:eastAsia="宋体" w:cs="Times New Roman"/>
                      <w:kern w:val="0"/>
                      <w:sz w:val="21"/>
                      <w:szCs w:val="21"/>
                    </w:rPr>
                  </w:pPr>
                </w:p>
              </w:tc>
              <w:tc>
                <w:tcPr>
                  <w:tcW w:w="819"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5#临时施工道路</w:t>
                  </w:r>
                </w:p>
              </w:tc>
              <w:tc>
                <w:tcPr>
                  <w:tcW w:w="701"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42</w:t>
                  </w:r>
                </w:p>
              </w:tc>
              <w:tc>
                <w:tcPr>
                  <w:tcW w:w="850"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c>
                <w:tcPr>
                  <w:tcW w:w="727"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w:t>
                  </w:r>
                </w:p>
              </w:tc>
              <w:tc>
                <w:tcPr>
                  <w:tcW w:w="646"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泥结石</w:t>
                  </w:r>
                </w:p>
              </w:tc>
              <w:tc>
                <w:tcPr>
                  <w:tcW w:w="646"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607" w:type="pct"/>
                  <w:vMerge w:val="restar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左岸</w:t>
                  </w:r>
                </w:p>
              </w:tc>
              <w:tc>
                <w:tcPr>
                  <w:tcW w:w="819"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6#临时施工道路</w:t>
                  </w:r>
                </w:p>
              </w:tc>
              <w:tc>
                <w:tcPr>
                  <w:tcW w:w="701"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45</w:t>
                  </w:r>
                </w:p>
              </w:tc>
              <w:tc>
                <w:tcPr>
                  <w:tcW w:w="850"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3.5</w:t>
                  </w:r>
                </w:p>
              </w:tc>
              <w:tc>
                <w:tcPr>
                  <w:tcW w:w="727"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4.5</w:t>
                  </w:r>
                </w:p>
              </w:tc>
              <w:tc>
                <w:tcPr>
                  <w:tcW w:w="646"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泥结石</w:t>
                  </w:r>
                </w:p>
              </w:tc>
              <w:tc>
                <w:tcPr>
                  <w:tcW w:w="646"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607" w:type="pct"/>
                  <w:vMerge w:val="continue"/>
                  <w:noWrap w:val="0"/>
                  <w:vAlign w:val="center"/>
                </w:tcPr>
                <w:p>
                  <w:pPr>
                    <w:widowControl/>
                    <w:jc w:val="left"/>
                    <w:rPr>
                      <w:rFonts w:hint="default" w:ascii="Times New Roman" w:hAnsi="Times New Roman" w:eastAsia="宋体" w:cs="Times New Roman"/>
                      <w:kern w:val="0"/>
                      <w:sz w:val="21"/>
                      <w:szCs w:val="21"/>
                    </w:rPr>
                  </w:pPr>
                </w:p>
              </w:tc>
              <w:tc>
                <w:tcPr>
                  <w:tcW w:w="819"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7#临时施工道路</w:t>
                  </w:r>
                </w:p>
              </w:tc>
              <w:tc>
                <w:tcPr>
                  <w:tcW w:w="701"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135</w:t>
                  </w:r>
                </w:p>
              </w:tc>
              <w:tc>
                <w:tcPr>
                  <w:tcW w:w="850"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3.5</w:t>
                  </w:r>
                </w:p>
              </w:tc>
              <w:tc>
                <w:tcPr>
                  <w:tcW w:w="727"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4.5</w:t>
                  </w:r>
                </w:p>
              </w:tc>
              <w:tc>
                <w:tcPr>
                  <w:tcW w:w="646"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泥结石</w:t>
                  </w:r>
                </w:p>
              </w:tc>
              <w:tc>
                <w:tcPr>
                  <w:tcW w:w="646"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607" w:type="pct"/>
                  <w:vMerge w:val="continue"/>
                  <w:noWrap w:val="0"/>
                  <w:vAlign w:val="center"/>
                </w:tcPr>
                <w:p>
                  <w:pPr>
                    <w:widowControl/>
                    <w:jc w:val="left"/>
                    <w:rPr>
                      <w:rFonts w:hint="default" w:ascii="Times New Roman" w:hAnsi="Times New Roman" w:eastAsia="宋体" w:cs="Times New Roman"/>
                      <w:kern w:val="0"/>
                      <w:sz w:val="21"/>
                      <w:szCs w:val="21"/>
                    </w:rPr>
                  </w:pPr>
                </w:p>
              </w:tc>
              <w:tc>
                <w:tcPr>
                  <w:tcW w:w="819"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8#临时施工道路</w:t>
                  </w:r>
                </w:p>
              </w:tc>
              <w:tc>
                <w:tcPr>
                  <w:tcW w:w="701"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130</w:t>
                  </w:r>
                </w:p>
              </w:tc>
              <w:tc>
                <w:tcPr>
                  <w:tcW w:w="850"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3.5</w:t>
                  </w:r>
                </w:p>
              </w:tc>
              <w:tc>
                <w:tcPr>
                  <w:tcW w:w="727"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4.5</w:t>
                  </w:r>
                </w:p>
              </w:tc>
              <w:tc>
                <w:tcPr>
                  <w:tcW w:w="646"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泥结石</w:t>
                  </w:r>
                </w:p>
              </w:tc>
              <w:tc>
                <w:tcPr>
                  <w:tcW w:w="646"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607" w:type="pct"/>
                  <w:vMerge w:val="continue"/>
                  <w:noWrap w:val="0"/>
                  <w:vAlign w:val="center"/>
                </w:tcPr>
                <w:p>
                  <w:pPr>
                    <w:widowControl/>
                    <w:jc w:val="left"/>
                    <w:rPr>
                      <w:rFonts w:hint="default" w:ascii="Times New Roman" w:hAnsi="Times New Roman" w:eastAsia="宋体" w:cs="Times New Roman"/>
                      <w:kern w:val="0"/>
                      <w:sz w:val="21"/>
                      <w:szCs w:val="21"/>
                    </w:rPr>
                  </w:pPr>
                </w:p>
              </w:tc>
              <w:tc>
                <w:tcPr>
                  <w:tcW w:w="819"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9#临时施工道路</w:t>
                  </w:r>
                </w:p>
              </w:tc>
              <w:tc>
                <w:tcPr>
                  <w:tcW w:w="701"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140</w:t>
                  </w:r>
                </w:p>
              </w:tc>
              <w:tc>
                <w:tcPr>
                  <w:tcW w:w="850"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3.5</w:t>
                  </w:r>
                </w:p>
              </w:tc>
              <w:tc>
                <w:tcPr>
                  <w:tcW w:w="727"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4.5</w:t>
                  </w:r>
                </w:p>
              </w:tc>
              <w:tc>
                <w:tcPr>
                  <w:tcW w:w="646"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泥结石</w:t>
                  </w:r>
                </w:p>
              </w:tc>
              <w:tc>
                <w:tcPr>
                  <w:tcW w:w="646"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607" w:type="pct"/>
                  <w:vMerge w:val="continue"/>
                  <w:noWrap w:val="0"/>
                  <w:vAlign w:val="center"/>
                </w:tcPr>
                <w:p>
                  <w:pPr>
                    <w:widowControl/>
                    <w:jc w:val="left"/>
                    <w:rPr>
                      <w:rFonts w:hint="default" w:ascii="Times New Roman" w:hAnsi="Times New Roman" w:eastAsia="宋体" w:cs="Times New Roman"/>
                      <w:kern w:val="0"/>
                      <w:sz w:val="21"/>
                      <w:szCs w:val="21"/>
                    </w:rPr>
                  </w:pPr>
                </w:p>
              </w:tc>
              <w:tc>
                <w:tcPr>
                  <w:tcW w:w="819"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10#临时施工道路</w:t>
                  </w:r>
                </w:p>
              </w:tc>
              <w:tc>
                <w:tcPr>
                  <w:tcW w:w="701"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638</w:t>
                  </w:r>
                </w:p>
              </w:tc>
              <w:tc>
                <w:tcPr>
                  <w:tcW w:w="850"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3.5</w:t>
                  </w:r>
                </w:p>
              </w:tc>
              <w:tc>
                <w:tcPr>
                  <w:tcW w:w="727"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4.5</w:t>
                  </w:r>
                </w:p>
              </w:tc>
              <w:tc>
                <w:tcPr>
                  <w:tcW w:w="646"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泥结石</w:t>
                  </w:r>
                </w:p>
              </w:tc>
              <w:tc>
                <w:tcPr>
                  <w:tcW w:w="646"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607" w:type="pct"/>
                  <w:vMerge w:val="continue"/>
                  <w:noWrap w:val="0"/>
                  <w:vAlign w:val="center"/>
                </w:tcPr>
                <w:p>
                  <w:pPr>
                    <w:widowControl/>
                    <w:jc w:val="left"/>
                    <w:rPr>
                      <w:rFonts w:hint="default" w:ascii="Times New Roman" w:hAnsi="Times New Roman" w:eastAsia="宋体" w:cs="Times New Roman"/>
                      <w:kern w:val="0"/>
                      <w:sz w:val="21"/>
                      <w:szCs w:val="21"/>
                    </w:rPr>
                  </w:pPr>
                </w:p>
              </w:tc>
              <w:tc>
                <w:tcPr>
                  <w:tcW w:w="819"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11#临时施工道路</w:t>
                  </w:r>
                </w:p>
              </w:tc>
              <w:tc>
                <w:tcPr>
                  <w:tcW w:w="701"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157</w:t>
                  </w:r>
                </w:p>
              </w:tc>
              <w:tc>
                <w:tcPr>
                  <w:tcW w:w="850"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3.5</w:t>
                  </w:r>
                </w:p>
              </w:tc>
              <w:tc>
                <w:tcPr>
                  <w:tcW w:w="727"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4.5</w:t>
                  </w:r>
                </w:p>
              </w:tc>
              <w:tc>
                <w:tcPr>
                  <w:tcW w:w="646"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泥结石</w:t>
                  </w:r>
                </w:p>
              </w:tc>
              <w:tc>
                <w:tcPr>
                  <w:tcW w:w="646" w:type="pct"/>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新建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 w:hRule="atLeast"/>
              </w:trPr>
              <w:tc>
                <w:tcPr>
                  <w:tcW w:w="1427" w:type="pct"/>
                  <w:gridSpan w:val="2"/>
                  <w:noWrap w:val="0"/>
                  <w:vAlign w:val="center"/>
                </w:tcPr>
                <w:p>
                  <w:pPr>
                    <w:widowControl/>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总计</w:t>
                  </w:r>
                </w:p>
              </w:tc>
              <w:tc>
                <w:tcPr>
                  <w:tcW w:w="701" w:type="pct"/>
                  <w:noWrap w:val="0"/>
                  <w:vAlign w:val="center"/>
                </w:tcPr>
                <w:p>
                  <w:pPr>
                    <w:widowControl/>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1981</w:t>
                  </w:r>
                </w:p>
              </w:tc>
              <w:tc>
                <w:tcPr>
                  <w:tcW w:w="850" w:type="pct"/>
                  <w:noWrap w:val="0"/>
                  <w:vAlign w:val="center"/>
                </w:tcPr>
                <w:p>
                  <w:pPr>
                    <w:widowControl/>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　</w:t>
                  </w:r>
                </w:p>
              </w:tc>
              <w:tc>
                <w:tcPr>
                  <w:tcW w:w="727" w:type="pct"/>
                  <w:noWrap w:val="0"/>
                  <w:vAlign w:val="center"/>
                </w:tcPr>
                <w:p>
                  <w:pPr>
                    <w:widowControl/>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　</w:t>
                  </w:r>
                </w:p>
              </w:tc>
              <w:tc>
                <w:tcPr>
                  <w:tcW w:w="646" w:type="pct"/>
                  <w:noWrap w:val="0"/>
                  <w:vAlign w:val="center"/>
                </w:tcPr>
                <w:p>
                  <w:pPr>
                    <w:widowControl/>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　</w:t>
                  </w:r>
                </w:p>
              </w:tc>
              <w:tc>
                <w:tcPr>
                  <w:tcW w:w="646" w:type="pct"/>
                  <w:noWrap w:val="0"/>
                  <w:vAlign w:val="center"/>
                </w:tcPr>
                <w:p>
                  <w:pPr>
                    <w:widowControl/>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　</w:t>
                  </w:r>
                </w:p>
              </w:tc>
            </w:tr>
          </w:tbl>
          <w:p>
            <w:pPr>
              <w:pStyle w:val="2"/>
              <w:keepNext w:val="0"/>
              <w:keepLines w:val="0"/>
              <w:pageBreakBefore w:val="0"/>
              <w:widowControl/>
              <w:numPr>
                <w:ilvl w:val="0"/>
                <w:numId w:val="6"/>
              </w:numPr>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b/>
                <w:bCs/>
                <w:iCs/>
                <w:color w:val="auto"/>
                <w:sz w:val="24"/>
                <w:szCs w:val="24"/>
              </w:rPr>
            </w:pPr>
            <w:r>
              <w:rPr>
                <w:rFonts w:hint="default" w:ascii="Times New Roman" w:hAnsi="Times New Roman" w:eastAsia="宋体" w:cs="Times New Roman"/>
                <w:b/>
                <w:bCs/>
                <w:iCs/>
                <w:color w:val="auto"/>
                <w:sz w:val="24"/>
                <w:szCs w:val="24"/>
              </w:rPr>
              <w:t>施工设施</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color w:val="auto"/>
                <w:kern w:val="0"/>
                <w:sz w:val="24"/>
                <w:szCs w:val="24"/>
                <w:lang w:val="en-US" w:eastAsia="zh-CN" w:bidi="ar"/>
              </w:rPr>
            </w:pPr>
            <w:r>
              <w:rPr>
                <w:rFonts w:hint="eastAsia" w:eastAsia="宋体" w:cs="Times New Roman"/>
                <w:color w:val="auto"/>
                <w:kern w:val="0"/>
                <w:sz w:val="24"/>
                <w:szCs w:val="24"/>
                <w:lang w:eastAsia="zh-CN" w:bidi="ar"/>
              </w:rPr>
              <w:t>（</w:t>
            </w:r>
            <w:r>
              <w:rPr>
                <w:rFonts w:hint="eastAsia" w:eastAsia="宋体" w:cs="Times New Roman"/>
                <w:color w:val="auto"/>
                <w:kern w:val="0"/>
                <w:sz w:val="24"/>
                <w:szCs w:val="24"/>
                <w:lang w:val="en-US" w:eastAsia="zh-CN" w:bidi="ar"/>
              </w:rPr>
              <w:t>1</w:t>
            </w:r>
            <w:r>
              <w:rPr>
                <w:rFonts w:hint="eastAsia" w:eastAsia="宋体" w:cs="Times New Roman"/>
                <w:color w:val="auto"/>
                <w:kern w:val="0"/>
                <w:sz w:val="24"/>
                <w:szCs w:val="24"/>
                <w:lang w:eastAsia="zh-CN" w:bidi="ar"/>
              </w:rPr>
              <w:t>）</w:t>
            </w:r>
            <w:r>
              <w:rPr>
                <w:rFonts w:hint="eastAsia" w:eastAsia="宋体" w:cs="Times New Roman"/>
                <w:color w:val="auto"/>
                <w:kern w:val="0"/>
                <w:sz w:val="24"/>
                <w:szCs w:val="24"/>
                <w:lang w:val="en-US" w:eastAsia="zh-CN" w:bidi="ar"/>
              </w:rPr>
              <w:t>拌合系统</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由于本工程规模较小，混凝土浇筑强度较低，2个工区均设置2台0.8m</w:t>
            </w:r>
            <w:r>
              <w:rPr>
                <w:rFonts w:hint="default" w:ascii="Times New Roman" w:hAnsi="Times New Roman" w:eastAsia="宋体" w:cs="Times New Roman"/>
                <w:color w:val="auto"/>
                <w:kern w:val="0"/>
                <w:sz w:val="24"/>
                <w:szCs w:val="24"/>
                <w:vertAlign w:val="superscript"/>
                <w:lang w:bidi="ar"/>
              </w:rPr>
              <w:t>3</w:t>
            </w:r>
            <w:r>
              <w:rPr>
                <w:rFonts w:hint="default" w:ascii="Times New Roman" w:hAnsi="Times New Roman" w:eastAsia="宋体" w:cs="Times New Roman"/>
                <w:color w:val="auto"/>
                <w:kern w:val="0"/>
                <w:sz w:val="24"/>
                <w:szCs w:val="24"/>
                <w:lang w:bidi="ar"/>
              </w:rPr>
              <w:t>移动强制式混凝土拌合机，生产能力大于8.6m</w:t>
            </w:r>
            <w:r>
              <w:rPr>
                <w:rFonts w:hint="default" w:ascii="Times New Roman" w:hAnsi="Times New Roman" w:eastAsia="宋体" w:cs="Times New Roman"/>
                <w:color w:val="auto"/>
                <w:kern w:val="0"/>
                <w:sz w:val="24"/>
                <w:szCs w:val="24"/>
                <w:vertAlign w:val="superscript"/>
                <w:lang w:bidi="ar"/>
              </w:rPr>
              <w:t>3</w:t>
            </w:r>
            <w:r>
              <w:rPr>
                <w:rFonts w:hint="default" w:ascii="Times New Roman" w:hAnsi="Times New Roman" w:eastAsia="宋体" w:cs="Times New Roman"/>
                <w:color w:val="auto"/>
                <w:kern w:val="0"/>
                <w:sz w:val="24"/>
                <w:szCs w:val="24"/>
                <w:lang w:bidi="ar"/>
              </w:rPr>
              <w:t>/h，满足施工需要。</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拌合系统不设制冷设施，可采用水冷等其他冷却方式满足混凝土拌合要求。当地冬季气温一般可满足混凝土自然拌合要求，少数低温天气采用热水拌制混凝土。</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eastAsia" w:ascii="Times New Roman" w:hAnsi="Times New Roman" w:eastAsia="宋体" w:cs="Times New Roman"/>
                <w:color w:val="auto"/>
                <w:kern w:val="0"/>
                <w:sz w:val="24"/>
                <w:szCs w:val="24"/>
                <w:lang w:eastAsia="zh-CN" w:bidi="ar"/>
              </w:rPr>
            </w:pPr>
            <w:r>
              <w:rPr>
                <w:rFonts w:hint="eastAsia" w:eastAsia="宋体" w:cs="Times New Roman"/>
                <w:color w:val="auto"/>
                <w:kern w:val="0"/>
                <w:sz w:val="24"/>
                <w:szCs w:val="24"/>
                <w:lang w:eastAsia="zh-CN" w:bidi="ar"/>
              </w:rPr>
              <w:t>（</w:t>
            </w:r>
            <w:r>
              <w:rPr>
                <w:rFonts w:hint="eastAsia" w:eastAsia="宋体" w:cs="Times New Roman"/>
                <w:color w:val="auto"/>
                <w:kern w:val="0"/>
                <w:sz w:val="24"/>
                <w:szCs w:val="24"/>
                <w:lang w:val="en-US" w:eastAsia="zh-CN" w:bidi="ar"/>
              </w:rPr>
              <w:t>2</w:t>
            </w:r>
            <w:r>
              <w:rPr>
                <w:rFonts w:hint="eastAsia" w:eastAsia="宋体" w:cs="Times New Roman"/>
                <w:color w:val="auto"/>
                <w:kern w:val="0"/>
                <w:sz w:val="24"/>
                <w:szCs w:val="24"/>
                <w:lang w:eastAsia="zh-CN" w:bidi="ar"/>
              </w:rPr>
              <w:t>）机修及综合加工系统</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工程区位于乐山市市中区平兴镇场镇周边，内、外交通便利，而且该工程施工期短，因此施工机械设备及零配件的大、小维修均可在平兴镇和市中区解决。本工程主要砂石料均采用购买方式，以满足施工需要，无需考虑开采加工，无需配备加工厂。模板可采用购买，不设专门的模板加工场。</w:t>
            </w:r>
          </w:p>
          <w:p>
            <w:pPr>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2"/>
              <w:rPr>
                <w:rFonts w:hint="default" w:ascii="Times New Roman" w:hAnsi="Times New Roman" w:eastAsia="宋体" w:cs="Times New Roman"/>
                <w:b/>
                <w:bCs w:val="0"/>
                <w:color w:val="auto"/>
                <w:sz w:val="24"/>
              </w:rPr>
            </w:pPr>
            <w:r>
              <w:rPr>
                <w:rFonts w:hint="default" w:ascii="Times New Roman" w:hAnsi="Times New Roman" w:eastAsia="宋体" w:cs="Times New Roman"/>
                <w:b/>
                <w:bCs w:val="0"/>
                <w:color w:val="auto"/>
                <w:sz w:val="24"/>
                <w:lang w:val="en-US" w:eastAsia="zh-CN"/>
              </w:rPr>
              <w:t>4</w:t>
            </w:r>
            <w:r>
              <w:rPr>
                <w:rFonts w:hint="default" w:ascii="Times New Roman" w:hAnsi="Times New Roman" w:eastAsia="宋体" w:cs="Times New Roman"/>
                <w:b/>
                <w:bCs w:val="0"/>
                <w:color w:val="auto"/>
                <w:sz w:val="24"/>
              </w:rPr>
              <w:t>、</w:t>
            </w:r>
            <w:r>
              <w:rPr>
                <w:rFonts w:hint="default" w:ascii="Times New Roman" w:hAnsi="Times New Roman" w:eastAsia="宋体" w:cs="Times New Roman"/>
                <w:b/>
                <w:bCs w:val="0"/>
                <w:color w:val="auto"/>
                <w:sz w:val="24"/>
                <w:lang w:val="en-US" w:eastAsia="zh-CN"/>
              </w:rPr>
              <w:t>施工</w:t>
            </w:r>
            <w:r>
              <w:rPr>
                <w:rFonts w:hint="default" w:ascii="Times New Roman" w:hAnsi="Times New Roman" w:eastAsia="宋体" w:cs="Times New Roman"/>
                <w:b/>
                <w:bCs w:val="0"/>
                <w:color w:val="auto"/>
                <w:sz w:val="24"/>
              </w:rPr>
              <w:t>导流</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eastAsia" w:ascii="Times New Roman" w:hAnsi="Times New Roman" w:eastAsia="宋体" w:cs="Times New Roman"/>
                <w:color w:val="auto"/>
                <w:kern w:val="0"/>
                <w:sz w:val="24"/>
                <w:szCs w:val="24"/>
                <w:lang w:eastAsia="zh-CN" w:bidi="ar"/>
              </w:rPr>
            </w:pPr>
            <w:r>
              <w:rPr>
                <w:rFonts w:hint="default" w:ascii="Times New Roman" w:hAnsi="Times New Roman" w:eastAsia="宋体" w:cs="Times New Roman"/>
                <w:color w:val="auto"/>
                <w:kern w:val="0"/>
                <w:sz w:val="24"/>
                <w:szCs w:val="24"/>
                <w:lang w:bidi="ar"/>
              </w:rPr>
              <w:t>利用束窄河床过流，施工中需要顺河流修筑围堰进行施工导流</w:t>
            </w:r>
            <w:r>
              <w:rPr>
                <w:rFonts w:hint="eastAsia" w:eastAsia="宋体" w:cs="Times New Roman"/>
                <w:color w:val="auto"/>
                <w:kern w:val="0"/>
                <w:sz w:val="24"/>
                <w:szCs w:val="24"/>
                <w:lang w:eastAsia="zh-CN" w:bidi="ar"/>
              </w:rPr>
              <w:t>。</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临时施工围堰采用常规土石围堰，堰体材料采用砂卵石填筑，防渗体材料采用复合土工膜防渗。围堰高度0.5～1.5m，迎水面及背水面边坡1：1.5，堰顶宽3.0m，堰体用砂卵石填筑，距离基础开挖线1.0m。土石围堰安全加高取0.5m</w:t>
            </w:r>
            <w:r>
              <w:rPr>
                <w:rFonts w:hint="eastAsia" w:eastAsia="宋体" w:cs="Times New Roman"/>
                <w:color w:val="auto"/>
                <w:kern w:val="0"/>
                <w:sz w:val="24"/>
                <w:szCs w:val="24"/>
                <w:lang w:eastAsia="zh-CN" w:bidi="ar"/>
              </w:rPr>
              <w:t>，</w:t>
            </w:r>
            <w:r>
              <w:rPr>
                <w:rFonts w:hint="default" w:ascii="Times New Roman" w:hAnsi="Times New Roman" w:eastAsia="宋体" w:cs="Times New Roman"/>
                <w:color w:val="auto"/>
                <w:kern w:val="0"/>
                <w:sz w:val="24"/>
                <w:szCs w:val="24"/>
                <w:lang w:bidi="ar"/>
              </w:rPr>
              <w:t>围堰总长1409m。</w:t>
            </w:r>
          </w:p>
          <w:p>
            <w:pPr>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2"/>
              <w:rPr>
                <w:rFonts w:hint="default" w:ascii="Times New Roman" w:hAnsi="Times New Roman" w:eastAsia="宋体" w:cs="Times New Roman"/>
                <w:b/>
                <w:bCs w:val="0"/>
                <w:color w:val="auto"/>
                <w:sz w:val="24"/>
                <w:szCs w:val="24"/>
              </w:rPr>
            </w:pPr>
            <w:r>
              <w:rPr>
                <w:rFonts w:hint="default" w:ascii="Times New Roman" w:hAnsi="Times New Roman" w:eastAsia="宋体" w:cs="Times New Roman"/>
                <w:b/>
                <w:bCs w:val="0"/>
                <w:color w:val="auto"/>
                <w:sz w:val="24"/>
                <w:szCs w:val="24"/>
                <w:lang w:val="en-US" w:eastAsia="zh-CN"/>
              </w:rPr>
              <w:t>5</w:t>
            </w:r>
            <w:r>
              <w:rPr>
                <w:rFonts w:hint="default" w:ascii="Times New Roman" w:hAnsi="Times New Roman" w:eastAsia="宋体" w:cs="Times New Roman"/>
                <w:b/>
                <w:bCs w:val="0"/>
                <w:color w:val="auto"/>
                <w:sz w:val="24"/>
                <w:szCs w:val="24"/>
              </w:rPr>
              <w:t>、围堰设计</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围堰土石料采用开挖砂砾石料填筑</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采用挖掘机、自卸</w:t>
            </w:r>
            <w:r>
              <w:rPr>
                <w:rFonts w:hint="eastAsia" w:cs="Times New Roman"/>
                <w:color w:val="auto"/>
                <w:sz w:val="24"/>
                <w:szCs w:val="24"/>
                <w:lang w:val="en-US" w:eastAsia="zh-CN"/>
              </w:rPr>
              <w:t>汽</w:t>
            </w:r>
            <w:r>
              <w:rPr>
                <w:rFonts w:hint="default" w:ascii="Times New Roman" w:hAnsi="Times New Roman" w:eastAsia="宋体" w:cs="Times New Roman"/>
                <w:color w:val="auto"/>
                <w:sz w:val="24"/>
                <w:szCs w:val="24"/>
              </w:rPr>
              <w:t>车运输至围堰施工现场直接进入围堰后退法卸料。</w:t>
            </w:r>
          </w:p>
          <w:p>
            <w:pPr>
              <w:pageBreakBefore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rPr>
            </w:pPr>
            <w:r>
              <w:rPr>
                <w:rFonts w:hint="default" w:ascii="Times New Roman" w:hAnsi="Times New Roman" w:eastAsia="宋体" w:cs="Times New Roman"/>
                <w:b/>
                <w:bCs w:val="0"/>
                <w:color w:val="auto"/>
                <w:sz w:val="24"/>
                <w:szCs w:val="24"/>
                <w:lang w:val="en-US" w:eastAsia="zh-CN"/>
              </w:rPr>
              <w:t>6</w:t>
            </w:r>
            <w:r>
              <w:rPr>
                <w:rFonts w:hint="default" w:ascii="Times New Roman" w:hAnsi="Times New Roman" w:eastAsia="宋体" w:cs="Times New Roman"/>
                <w:b/>
                <w:bCs w:val="0"/>
                <w:color w:val="auto"/>
                <w:sz w:val="24"/>
                <w:szCs w:val="24"/>
              </w:rPr>
              <w:t>、基坑排水</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基坑集水采用常规的排水沟、集水井和水泵抽排方式进行处理。开挖过程中，结合开挖在基坑靠河一侧布置排水沟</w:t>
            </w:r>
            <w:r>
              <w:rPr>
                <w:rFonts w:hint="eastAsia" w:cs="Times New Roman"/>
                <w:color w:val="auto"/>
                <w:kern w:val="0"/>
                <w:sz w:val="24"/>
                <w:szCs w:val="24"/>
                <w:lang w:eastAsia="zh-CN" w:bidi="ar"/>
              </w:rPr>
              <w:t>（</w:t>
            </w:r>
            <w:r>
              <w:rPr>
                <w:rFonts w:hint="default" w:ascii="Times New Roman" w:hAnsi="Times New Roman" w:eastAsia="宋体" w:cs="Times New Roman"/>
                <w:color w:val="auto"/>
                <w:kern w:val="0"/>
                <w:sz w:val="24"/>
                <w:szCs w:val="24"/>
                <w:lang w:bidi="ar"/>
              </w:rPr>
              <w:t>0.6m×0.5m</w:t>
            </w:r>
            <w:r>
              <w:rPr>
                <w:rFonts w:hint="eastAsia" w:cs="Times New Roman"/>
                <w:color w:val="auto"/>
                <w:kern w:val="0"/>
                <w:sz w:val="24"/>
                <w:szCs w:val="24"/>
                <w:lang w:eastAsia="zh-CN" w:bidi="ar"/>
              </w:rPr>
              <w:t>）</w:t>
            </w:r>
            <w:r>
              <w:rPr>
                <w:rFonts w:hint="default" w:ascii="Times New Roman" w:hAnsi="Times New Roman" w:eastAsia="宋体" w:cs="Times New Roman"/>
                <w:color w:val="auto"/>
                <w:kern w:val="0"/>
                <w:sz w:val="24"/>
                <w:szCs w:val="24"/>
                <w:lang w:bidi="ar"/>
              </w:rPr>
              <w:t>，随着开挖工作的进行，逐层布置，排水沟以2</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bidi="ar"/>
              </w:rPr>
              <w:t>3‰的底坡通向集水井，集水井在每段围堰的末端进行布置，在集水井处布置水泵将集水抽出排到河流内。</w:t>
            </w:r>
          </w:p>
          <w:p>
            <w:pPr>
              <w:keepNext/>
              <w:keepLines w:val="0"/>
              <w:pageBreakBefore w:val="0"/>
              <w:kinsoku/>
              <w:wordWrap/>
              <w:overflowPunct/>
              <w:topLinePunct w:val="0"/>
              <w:autoSpaceDE/>
              <w:autoSpaceDN/>
              <w:bidi w:val="0"/>
              <w:adjustRightInd w:val="0"/>
              <w:snapToGrid w:val="0"/>
              <w:spacing w:line="360" w:lineRule="auto"/>
              <w:ind w:firstLine="482" w:firstLineChars="200"/>
              <w:textAlignment w:val="auto"/>
              <w:outlineLvl w:val="1"/>
              <w:rPr>
                <w:rFonts w:hint="default" w:ascii="Times New Roman" w:hAnsi="Times New Roman" w:eastAsia="宋体" w:cs="Times New Roman"/>
                <w:b/>
                <w:bCs w:val="0"/>
                <w:iCs/>
                <w:color w:val="auto"/>
                <w:sz w:val="24"/>
                <w:szCs w:val="24"/>
                <w:lang w:val="en-US" w:eastAsia="zh-CN"/>
              </w:rPr>
            </w:pPr>
            <w:r>
              <w:rPr>
                <w:rFonts w:hint="default" w:ascii="Times New Roman" w:hAnsi="Times New Roman" w:eastAsia="宋体" w:cs="Times New Roman"/>
                <w:b/>
                <w:bCs w:val="0"/>
                <w:iCs/>
                <w:color w:val="auto"/>
                <w:sz w:val="24"/>
                <w:szCs w:val="24"/>
                <w:lang w:val="en-US" w:eastAsia="zh-CN"/>
              </w:rPr>
              <w:t>7、围堰施工</w:t>
            </w:r>
          </w:p>
          <w:p>
            <w:pPr>
              <w:keepLines w:val="0"/>
              <w:pageBreakBefore w:val="0"/>
              <w:tabs>
                <w:tab w:val="left" w:pos="8505"/>
              </w:tabs>
              <w:kinsoku/>
              <w:wordWrap/>
              <w:overflowPunct/>
              <w:topLinePunct w:val="0"/>
              <w:autoSpaceDE/>
              <w:autoSpaceDN/>
              <w:bidi w:val="0"/>
              <w:snapToGrid w:val="0"/>
              <w:spacing w:line="360" w:lineRule="auto"/>
              <w:ind w:firstLine="480" w:firstLineChars="200"/>
              <w:textAlignment w:val="auto"/>
              <w:rPr>
                <w:rFonts w:ascii="Times New Roman" w:hAnsi="Times New Roman"/>
                <w:sz w:val="24"/>
                <w:szCs w:val="24"/>
              </w:rPr>
            </w:pPr>
            <w:r>
              <w:rPr>
                <w:rFonts w:hint="eastAsia" w:ascii="Times New Roman" w:hAnsi="Times New Roman"/>
                <w:sz w:val="24"/>
                <w:szCs w:val="24"/>
              </w:rPr>
              <w:t>袋装土</w:t>
            </w:r>
            <w:r>
              <w:rPr>
                <w:rFonts w:ascii="Times New Roman" w:hAnsi="Times New Roman"/>
                <w:sz w:val="24"/>
                <w:szCs w:val="24"/>
              </w:rPr>
              <w:t>为清表</w:t>
            </w:r>
            <w:r>
              <w:rPr>
                <w:rFonts w:hint="eastAsia" w:ascii="Times New Roman" w:hAnsi="Times New Roman"/>
                <w:sz w:val="24"/>
                <w:szCs w:val="24"/>
              </w:rPr>
              <w:t>的</w:t>
            </w:r>
            <w:r>
              <w:rPr>
                <w:rFonts w:ascii="Times New Roman" w:hAnsi="Times New Roman"/>
                <w:sz w:val="24"/>
                <w:szCs w:val="24"/>
              </w:rPr>
              <w:t>土料，采用</w:t>
            </w:r>
            <w:r>
              <w:rPr>
                <w:rFonts w:hint="eastAsia" w:ascii="Times New Roman" w:hAnsi="Times New Roman"/>
                <w:sz w:val="24"/>
                <w:szCs w:val="24"/>
              </w:rPr>
              <w:t>挖掘机</w:t>
            </w:r>
            <w:r>
              <w:rPr>
                <w:rFonts w:ascii="Times New Roman" w:hAnsi="Times New Roman"/>
                <w:sz w:val="24"/>
                <w:szCs w:val="24"/>
              </w:rPr>
              <w:t>集料，人工装</w:t>
            </w:r>
            <w:r>
              <w:rPr>
                <w:rFonts w:hint="eastAsia" w:ascii="Times New Roman" w:hAnsi="Times New Roman"/>
                <w:sz w:val="24"/>
                <w:szCs w:val="24"/>
              </w:rPr>
              <w:t>袋堆码</w:t>
            </w:r>
            <w:r>
              <w:rPr>
                <w:rFonts w:ascii="Times New Roman" w:hAnsi="Times New Roman"/>
                <w:sz w:val="24"/>
                <w:szCs w:val="24"/>
              </w:rPr>
              <w:t>；复合土工膜采用人工铺设。</w:t>
            </w:r>
          </w:p>
          <w:p>
            <w:pPr>
              <w:keepNext/>
              <w:keepLines w:val="0"/>
              <w:pageBreakBefore w:val="0"/>
              <w:kinsoku/>
              <w:wordWrap/>
              <w:overflowPunct/>
              <w:topLinePunct w:val="0"/>
              <w:autoSpaceDE/>
              <w:autoSpaceDN/>
              <w:bidi w:val="0"/>
              <w:adjustRightInd w:val="0"/>
              <w:snapToGrid w:val="0"/>
              <w:spacing w:line="360" w:lineRule="auto"/>
              <w:ind w:firstLine="482" w:firstLineChars="200"/>
              <w:textAlignment w:val="auto"/>
              <w:outlineLvl w:val="1"/>
              <w:rPr>
                <w:rFonts w:hint="default" w:ascii="Times New Roman" w:hAnsi="Times New Roman" w:eastAsia="宋体" w:cs="Times New Roman"/>
                <w:b/>
                <w:bCs w:val="0"/>
                <w:iCs/>
                <w:color w:val="auto"/>
                <w:sz w:val="24"/>
                <w:szCs w:val="24"/>
              </w:rPr>
            </w:pPr>
            <w:r>
              <w:rPr>
                <w:rFonts w:hint="default" w:ascii="Times New Roman" w:hAnsi="Times New Roman" w:eastAsia="宋体" w:cs="Times New Roman"/>
                <w:b/>
                <w:bCs w:val="0"/>
                <w:iCs/>
                <w:color w:val="auto"/>
                <w:sz w:val="24"/>
                <w:szCs w:val="24"/>
                <w:lang w:val="en-US" w:eastAsia="zh-CN"/>
              </w:rPr>
              <w:t>8</w:t>
            </w:r>
            <w:r>
              <w:rPr>
                <w:rFonts w:hint="default" w:ascii="Times New Roman" w:hAnsi="Times New Roman" w:eastAsia="宋体" w:cs="Times New Roman"/>
                <w:b/>
                <w:bCs w:val="0"/>
                <w:iCs/>
                <w:color w:val="auto"/>
                <w:sz w:val="24"/>
                <w:szCs w:val="24"/>
              </w:rPr>
              <w:t>、主体工程施工</w:t>
            </w:r>
          </w:p>
          <w:p>
            <w:pPr>
              <w:adjustRightInd w:val="0"/>
              <w:spacing w:line="360" w:lineRule="auto"/>
              <w:ind w:firstLine="480"/>
              <w:jc w:val="left"/>
              <w:rPr>
                <w:rFonts w:ascii="Times New Roman" w:hAnsi="Times New Roman" w:eastAsia="宋体" w:cs="Times New Roman"/>
                <w:sz w:val="24"/>
                <w:szCs w:val="22"/>
              </w:rPr>
            </w:pPr>
            <w:r>
              <w:rPr>
                <w:rFonts w:hint="eastAsia" w:cs="Times New Roman"/>
                <w:color w:val="auto"/>
                <w:sz w:val="24"/>
                <w:szCs w:val="24"/>
                <w:lang w:eastAsia="zh-CN"/>
              </w:rPr>
              <w:t>（</w:t>
            </w:r>
            <w:r>
              <w:rPr>
                <w:rFonts w:hint="eastAsia" w:cs="Times New Roman"/>
                <w:color w:val="auto"/>
                <w:sz w:val="24"/>
                <w:szCs w:val="24"/>
                <w:lang w:val="en-US" w:eastAsia="zh-CN"/>
              </w:rPr>
              <w:t>1</w:t>
            </w:r>
            <w:r>
              <w:rPr>
                <w:rFonts w:hint="eastAsia" w:cs="Times New Roman"/>
                <w:color w:val="auto"/>
                <w:sz w:val="24"/>
                <w:szCs w:val="24"/>
                <w:lang w:eastAsia="zh-CN"/>
              </w:rPr>
              <w:t>）</w:t>
            </w:r>
            <w:r>
              <w:rPr>
                <w:rFonts w:ascii="Times New Roman" w:hAnsi="Times New Roman" w:eastAsia="宋体" w:cs="Times New Roman"/>
                <w:sz w:val="24"/>
                <w:szCs w:val="22"/>
              </w:rPr>
              <w:t>表土及覆盖层开挖</w:t>
            </w:r>
          </w:p>
          <w:p>
            <w:pPr>
              <w:adjustRightInd w:val="0"/>
              <w:spacing w:line="360" w:lineRule="auto"/>
              <w:ind w:firstLine="480"/>
              <w:jc w:val="left"/>
              <w:rPr>
                <w:rFonts w:hint="eastAsia" w:ascii="Times New Roman" w:hAnsi="Times New Roman" w:eastAsia="宋体" w:cs="Times New Roman"/>
                <w:color w:val="auto"/>
                <w:sz w:val="24"/>
                <w:szCs w:val="24"/>
                <w:lang w:eastAsia="zh-CN"/>
              </w:rPr>
            </w:pPr>
            <w:r>
              <w:rPr>
                <w:rFonts w:ascii="Times New Roman" w:hAnsi="Times New Roman" w:eastAsia="宋体" w:cs="Times New Roman"/>
                <w:sz w:val="24"/>
                <w:szCs w:val="22"/>
              </w:rPr>
              <w:t>表土及覆盖层开挖</w:t>
            </w:r>
            <w:r>
              <w:rPr>
                <w:rFonts w:hint="eastAsia" w:ascii="Times New Roman" w:hAnsi="Times New Roman" w:eastAsia="宋体" w:cs="Times New Roman"/>
                <w:sz w:val="24"/>
                <w:szCs w:val="22"/>
              </w:rPr>
              <w:t>主要清除表层5</w:t>
            </w:r>
            <w:r>
              <w:rPr>
                <w:rFonts w:ascii="Times New Roman" w:hAnsi="Times New Roman" w:eastAsia="宋体" w:cs="Times New Roman"/>
                <w:sz w:val="24"/>
                <w:szCs w:val="22"/>
              </w:rPr>
              <w:t>0</w:t>
            </w:r>
            <w:r>
              <w:rPr>
                <w:rFonts w:hint="eastAsia" w:ascii="Times New Roman" w:hAnsi="Times New Roman" w:eastAsia="宋体" w:cs="Times New Roman"/>
                <w:sz w:val="24"/>
                <w:szCs w:val="22"/>
              </w:rPr>
              <w:t>~</w:t>
            </w:r>
            <w:r>
              <w:rPr>
                <w:rFonts w:ascii="Times New Roman" w:hAnsi="Times New Roman" w:eastAsia="宋体" w:cs="Times New Roman"/>
                <w:sz w:val="24"/>
                <w:szCs w:val="22"/>
              </w:rPr>
              <w:t>60</w:t>
            </w:r>
            <w:r>
              <w:rPr>
                <w:rFonts w:hint="eastAsia" w:ascii="Times New Roman" w:hAnsi="Times New Roman" w:eastAsia="宋体" w:cs="Times New Roman"/>
                <w:sz w:val="24"/>
                <w:szCs w:val="22"/>
              </w:rPr>
              <w:t>cm的耕植土层，</w:t>
            </w:r>
            <w:r>
              <w:rPr>
                <w:rFonts w:ascii="Times New Roman" w:hAnsi="Times New Roman" w:eastAsia="宋体" w:cs="Times New Roman"/>
                <w:sz w:val="24"/>
                <w:szCs w:val="22"/>
              </w:rPr>
              <w:t>采用功率为120kw推土机集中推料，ZL50C（3m</w:t>
            </w:r>
            <w:r>
              <w:rPr>
                <w:rFonts w:ascii="Times New Roman" w:hAnsi="Times New Roman" w:eastAsia="宋体" w:cs="Times New Roman"/>
                <w:sz w:val="24"/>
                <w:szCs w:val="22"/>
                <w:vertAlign w:val="superscript"/>
              </w:rPr>
              <w:t>3</w:t>
            </w:r>
            <w:r>
              <w:rPr>
                <w:rFonts w:ascii="Times New Roman" w:hAnsi="Times New Roman" w:eastAsia="宋体" w:cs="Times New Roman"/>
                <w:sz w:val="24"/>
                <w:szCs w:val="22"/>
              </w:rPr>
              <w:t>）装载机装12t自卸汽车出渣，对覆盖层较厚处，采用WY160（1.6m</w:t>
            </w:r>
            <w:r>
              <w:rPr>
                <w:rFonts w:ascii="Times New Roman" w:hAnsi="Times New Roman" w:eastAsia="宋体" w:cs="Times New Roman"/>
                <w:sz w:val="24"/>
                <w:szCs w:val="22"/>
                <w:vertAlign w:val="superscript"/>
              </w:rPr>
              <w:t>3</w:t>
            </w:r>
            <w:r>
              <w:rPr>
                <w:rFonts w:ascii="Times New Roman" w:hAnsi="Times New Roman" w:eastAsia="宋体" w:cs="Times New Roman"/>
                <w:sz w:val="24"/>
                <w:szCs w:val="22"/>
              </w:rPr>
              <w:t>）挖掘机挖，装12t自卸汽车出渣，弃渣运至</w:t>
            </w:r>
            <w:r>
              <w:rPr>
                <w:rFonts w:hint="eastAsia" w:ascii="Times New Roman" w:hAnsi="Times New Roman" w:eastAsia="宋体" w:cs="Times New Roman"/>
                <w:sz w:val="24"/>
                <w:szCs w:val="22"/>
              </w:rPr>
              <w:t>1#</w:t>
            </w:r>
            <w:r>
              <w:rPr>
                <w:rFonts w:ascii="Times New Roman" w:hAnsi="Times New Roman" w:eastAsia="宋体" w:cs="Times New Roman"/>
                <w:sz w:val="24"/>
                <w:szCs w:val="22"/>
              </w:rPr>
              <w:t>弃渣料场堆放</w:t>
            </w:r>
            <w:r>
              <w:rPr>
                <w:rFonts w:hint="eastAsia" w:ascii="Times New Roman" w:hAnsi="Times New Roman" w:eastAsia="宋体" w:cs="Times New Roman"/>
                <w:sz w:val="24"/>
                <w:szCs w:val="22"/>
              </w:rPr>
              <w:t>，综合运距0</w:t>
            </w:r>
            <w:r>
              <w:rPr>
                <w:rFonts w:ascii="Times New Roman" w:hAnsi="Times New Roman" w:eastAsia="宋体" w:cs="Times New Roman"/>
                <w:sz w:val="24"/>
                <w:szCs w:val="22"/>
              </w:rPr>
              <w:t>.6</w:t>
            </w:r>
            <w:r>
              <w:rPr>
                <w:rFonts w:hint="eastAsia" w:ascii="Times New Roman" w:hAnsi="Times New Roman" w:eastAsia="宋体" w:cs="Times New Roman"/>
                <w:sz w:val="24"/>
                <w:szCs w:val="22"/>
              </w:rPr>
              <w:t>km</w:t>
            </w:r>
            <w:r>
              <w:rPr>
                <w:rFonts w:ascii="Times New Roman" w:hAnsi="Times New Roman" w:eastAsia="宋体" w:cs="Times New Roman"/>
                <w:sz w:val="24"/>
                <w:szCs w:val="22"/>
              </w:rPr>
              <w:t>。</w:t>
            </w:r>
            <w:r>
              <w:rPr>
                <w:rFonts w:hint="eastAsia" w:ascii="Times New Roman" w:hAnsi="Times New Roman" w:eastAsia="宋体" w:cs="Times New Roman"/>
                <w:sz w:val="24"/>
                <w:szCs w:val="22"/>
              </w:rPr>
              <w:t>表土后期</w:t>
            </w:r>
            <w:r>
              <w:rPr>
                <w:rFonts w:ascii="Times New Roman" w:hAnsi="Times New Roman" w:eastAsia="宋体" w:cs="Times New Roman"/>
                <w:sz w:val="24"/>
                <w:szCs w:val="22"/>
              </w:rPr>
              <w:t>回采填框格梁和用于</w:t>
            </w:r>
            <w:r>
              <w:rPr>
                <w:rFonts w:hint="eastAsia" w:ascii="Times New Roman" w:hAnsi="Times New Roman" w:eastAsia="宋体" w:cs="Times New Roman"/>
                <w:sz w:val="24"/>
                <w:szCs w:val="22"/>
              </w:rPr>
              <w:t>1</w:t>
            </w:r>
            <w:r>
              <w:rPr>
                <w:rFonts w:ascii="Times New Roman" w:hAnsi="Times New Roman" w:eastAsia="宋体" w:cs="Times New Roman"/>
                <w:sz w:val="24"/>
                <w:szCs w:val="22"/>
              </w:rPr>
              <w:t>#</w:t>
            </w:r>
            <w:r>
              <w:rPr>
                <w:rFonts w:hint="eastAsia" w:ascii="Times New Roman" w:hAnsi="Times New Roman" w:eastAsia="宋体" w:cs="Times New Roman"/>
                <w:sz w:val="24"/>
                <w:szCs w:val="22"/>
              </w:rPr>
              <w:t>渣场</w:t>
            </w:r>
            <w:r>
              <w:rPr>
                <w:rFonts w:ascii="Times New Roman" w:hAnsi="Times New Roman" w:eastAsia="宋体" w:cs="Times New Roman"/>
                <w:sz w:val="24"/>
                <w:szCs w:val="22"/>
              </w:rPr>
              <w:t>复耕使用。</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rPr>
              <w:t>）</w:t>
            </w:r>
            <w:r>
              <w:rPr>
                <w:rFonts w:ascii="Times New Roman" w:hAnsi="Times New Roman"/>
                <w:sz w:val="24"/>
              </w:rPr>
              <w:t>砂卵石层</w:t>
            </w:r>
            <w:r>
              <w:rPr>
                <w:rFonts w:hint="eastAsia" w:ascii="Times New Roman" w:hAnsi="Times New Roman"/>
                <w:sz w:val="24"/>
              </w:rPr>
              <w:t>和基岩</w:t>
            </w:r>
            <w:r>
              <w:rPr>
                <w:rFonts w:ascii="Times New Roman" w:hAnsi="Times New Roman"/>
                <w:sz w:val="24"/>
              </w:rPr>
              <w:t>开挖</w:t>
            </w:r>
          </w:p>
          <w:p>
            <w:pPr>
              <w:adjustRightInd w:val="0"/>
              <w:spacing w:line="360" w:lineRule="auto"/>
              <w:ind w:firstLine="480"/>
              <w:jc w:val="left"/>
              <w:rPr>
                <w:rFonts w:ascii="Times New Roman" w:hAnsi="Times New Roman" w:eastAsia="宋体" w:cs="Times New Roman"/>
                <w:sz w:val="24"/>
                <w:szCs w:val="22"/>
              </w:rPr>
            </w:pPr>
            <w:r>
              <w:rPr>
                <w:rFonts w:ascii="Times New Roman" w:hAnsi="Times New Roman" w:eastAsia="宋体" w:cs="Times New Roman"/>
                <w:sz w:val="24"/>
                <w:szCs w:val="22"/>
              </w:rPr>
              <w:t>堤身基础砂卵石层开挖采用WY160（1.6m</w:t>
            </w:r>
            <w:r>
              <w:rPr>
                <w:rFonts w:ascii="Times New Roman" w:hAnsi="Times New Roman" w:eastAsia="宋体" w:cs="Times New Roman"/>
                <w:sz w:val="24"/>
                <w:szCs w:val="22"/>
                <w:vertAlign w:val="superscript"/>
              </w:rPr>
              <w:t>3</w:t>
            </w:r>
            <w:r>
              <w:rPr>
                <w:rFonts w:ascii="Times New Roman" w:hAnsi="Times New Roman" w:eastAsia="宋体" w:cs="Times New Roman"/>
                <w:sz w:val="24"/>
                <w:szCs w:val="22"/>
              </w:rPr>
              <w:t>）挖掘机挖，装12t自卸汽车运输，开挖料运至指定位置用于堤后填筑。</w:t>
            </w:r>
          </w:p>
          <w:p>
            <w:pPr>
              <w:adjustRightInd w:val="0"/>
              <w:spacing w:line="360" w:lineRule="auto"/>
              <w:ind w:firstLine="480"/>
              <w:jc w:val="left"/>
              <w:rPr>
                <w:rFonts w:ascii="Times New Roman" w:hAnsi="Times New Roman" w:eastAsia="宋体" w:cs="Times New Roman"/>
                <w:sz w:val="24"/>
                <w:szCs w:val="22"/>
              </w:rPr>
            </w:pPr>
            <w:r>
              <w:rPr>
                <w:rFonts w:ascii="Times New Roman" w:hAnsi="Times New Roman" w:eastAsia="宋体" w:cs="Times New Roman"/>
                <w:sz w:val="24"/>
                <w:szCs w:val="22"/>
              </w:rPr>
              <w:t>根据本工程实际情况，局部地段拟结合开挖的同时进行围堰的填筑。开挖顺序采用挖掘机倒退施工，一次性形成基坑，减少施工机械操作平台，从而减少开挖量。</w:t>
            </w:r>
          </w:p>
          <w:p>
            <w:pPr>
              <w:adjustRightInd w:val="0"/>
              <w:spacing w:line="360" w:lineRule="auto"/>
              <w:ind w:firstLine="480"/>
              <w:jc w:val="left"/>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基岩开挖根据实际情况，采用挖掘机破碎钻进行破碎，辅以手持风镐开挖，随后按砂卵石层开挖采用的W</w:t>
            </w:r>
            <w:r>
              <w:rPr>
                <w:rFonts w:ascii="Times New Roman" w:hAnsi="Times New Roman" w:eastAsia="宋体" w:cs="Times New Roman"/>
                <w:sz w:val="24"/>
                <w:szCs w:val="22"/>
              </w:rPr>
              <w:t>Y160</w:t>
            </w:r>
            <w:r>
              <w:rPr>
                <w:rFonts w:hint="eastAsia" w:ascii="Times New Roman" w:hAnsi="Times New Roman" w:eastAsia="宋体" w:cs="Times New Roman"/>
                <w:sz w:val="24"/>
                <w:szCs w:val="22"/>
              </w:rPr>
              <w:t>（1</w:t>
            </w:r>
            <w:r>
              <w:rPr>
                <w:rFonts w:ascii="Times New Roman" w:hAnsi="Times New Roman" w:eastAsia="宋体" w:cs="Times New Roman"/>
                <w:sz w:val="24"/>
                <w:szCs w:val="22"/>
              </w:rPr>
              <w:t>.6</w:t>
            </w:r>
            <w:r>
              <w:rPr>
                <w:rFonts w:hint="eastAsia" w:ascii="Times New Roman" w:hAnsi="Times New Roman" w:eastAsia="宋体" w:cs="Times New Roman"/>
                <w:sz w:val="24"/>
                <w:szCs w:val="22"/>
              </w:rPr>
              <w:t>m³）挖掘机挖，装1</w:t>
            </w:r>
            <w:r>
              <w:rPr>
                <w:rFonts w:ascii="Times New Roman" w:hAnsi="Times New Roman" w:eastAsia="宋体" w:cs="Times New Roman"/>
                <w:sz w:val="24"/>
                <w:szCs w:val="22"/>
              </w:rPr>
              <w:t>2</w:t>
            </w:r>
            <w:r>
              <w:rPr>
                <w:rFonts w:hint="eastAsia" w:ascii="Times New Roman" w:hAnsi="Times New Roman" w:eastAsia="宋体" w:cs="Times New Roman"/>
                <w:sz w:val="24"/>
                <w:szCs w:val="22"/>
              </w:rPr>
              <w:t>t自卸汽车运输至指定位置用于堤后填筑。</w:t>
            </w:r>
          </w:p>
          <w:p>
            <w:pPr>
              <w:adjustRightInd w:val="0"/>
              <w:spacing w:line="360" w:lineRule="auto"/>
              <w:ind w:firstLine="480"/>
              <w:jc w:val="left"/>
              <w:rPr>
                <w:rFonts w:ascii="Times New Roman" w:hAnsi="Times New Roman"/>
                <w:sz w:val="24"/>
              </w:rPr>
            </w:pPr>
            <w:r>
              <w:rPr>
                <w:rFonts w:hint="eastAsia" w:ascii="Times New Roman" w:hAnsi="Times New Roman"/>
                <w:sz w:val="24"/>
                <w:lang w:eastAsia="zh-CN"/>
              </w:rPr>
              <w:t>（</w:t>
            </w:r>
            <w:r>
              <w:rPr>
                <w:rFonts w:hint="eastAsia" w:ascii="Times New Roman" w:hAnsi="Times New Roman"/>
                <w:sz w:val="24"/>
                <w:lang w:val="en-US" w:eastAsia="zh-CN"/>
              </w:rPr>
              <w:t>3</w:t>
            </w:r>
            <w:r>
              <w:rPr>
                <w:rFonts w:hint="eastAsia" w:ascii="Times New Roman" w:hAnsi="Times New Roman"/>
                <w:sz w:val="24"/>
                <w:lang w:eastAsia="zh-CN"/>
              </w:rPr>
              <w:t>）</w:t>
            </w:r>
            <w:r>
              <w:rPr>
                <w:rFonts w:ascii="Times New Roman" w:hAnsi="Times New Roman"/>
                <w:sz w:val="24"/>
              </w:rPr>
              <w:t>保护层开挖</w:t>
            </w:r>
          </w:p>
          <w:p>
            <w:pPr>
              <w:adjustRightInd w:val="0"/>
              <w:spacing w:line="360" w:lineRule="auto"/>
              <w:ind w:firstLine="480"/>
              <w:jc w:val="left"/>
              <w:rPr>
                <w:rFonts w:ascii="Times New Roman" w:hAnsi="Times New Roman"/>
                <w:sz w:val="24"/>
              </w:rPr>
            </w:pPr>
            <w:r>
              <w:rPr>
                <w:rFonts w:ascii="Times New Roman" w:hAnsi="Times New Roman"/>
                <w:sz w:val="24"/>
              </w:rPr>
              <w:t>在挖至距建基面50-100cm时，采用人工配合小型机械进行开挖，</w:t>
            </w:r>
            <w:r>
              <w:rPr>
                <w:rFonts w:hint="eastAsia" w:ascii="Times New Roman" w:hAnsi="Times New Roman"/>
                <w:sz w:val="24"/>
              </w:rPr>
              <w:t>倒退</w:t>
            </w:r>
            <w:r>
              <w:rPr>
                <w:rFonts w:ascii="Times New Roman" w:hAnsi="Times New Roman"/>
                <w:sz w:val="24"/>
              </w:rPr>
              <w:t>出场。避免建基面受到扰动。杜绝因超挖而造成的回填现象。</w:t>
            </w:r>
          </w:p>
          <w:p>
            <w:pPr>
              <w:adjustRightInd w:val="0"/>
              <w:spacing w:line="360" w:lineRule="auto"/>
              <w:ind w:firstLine="480"/>
              <w:jc w:val="left"/>
              <w:rPr>
                <w:rFonts w:ascii="Times New Roman" w:hAnsi="Times New Roman" w:eastAsia="宋体" w:cs="Times New Roman"/>
                <w:sz w:val="24"/>
                <w:szCs w:val="22"/>
              </w:rPr>
            </w:pPr>
            <w:r>
              <w:rPr>
                <w:rFonts w:hint="eastAsia" w:ascii="Times New Roman" w:hAnsi="Times New Roman" w:eastAsia="宋体" w:cs="Times New Roman"/>
                <w:sz w:val="24"/>
                <w:szCs w:val="22"/>
                <w:lang w:eastAsia="zh-CN"/>
              </w:rPr>
              <w:t>（</w:t>
            </w:r>
            <w:r>
              <w:rPr>
                <w:rFonts w:hint="eastAsia" w:ascii="Times New Roman" w:hAnsi="Times New Roman" w:eastAsia="宋体" w:cs="Times New Roman"/>
                <w:sz w:val="24"/>
                <w:szCs w:val="22"/>
                <w:lang w:val="en-US" w:eastAsia="zh-CN"/>
              </w:rPr>
              <w:t>4</w:t>
            </w:r>
            <w:r>
              <w:rPr>
                <w:rFonts w:hint="eastAsia" w:ascii="Times New Roman" w:hAnsi="Times New Roman" w:eastAsia="宋体" w:cs="Times New Roman"/>
                <w:sz w:val="24"/>
                <w:szCs w:val="22"/>
                <w:lang w:eastAsia="zh-CN"/>
              </w:rPr>
              <w:t>）</w:t>
            </w:r>
            <w:r>
              <w:rPr>
                <w:rFonts w:ascii="Times New Roman" w:hAnsi="Times New Roman" w:eastAsia="宋体" w:cs="Times New Roman"/>
                <w:sz w:val="24"/>
                <w:szCs w:val="22"/>
              </w:rPr>
              <w:t>临河建筑段开挖</w:t>
            </w:r>
          </w:p>
          <w:p>
            <w:pPr>
              <w:adjustRightInd w:val="0"/>
              <w:spacing w:line="360" w:lineRule="auto"/>
              <w:ind w:firstLine="480"/>
              <w:jc w:val="left"/>
              <w:rPr>
                <w:rFonts w:ascii="Times New Roman" w:hAnsi="Times New Roman" w:eastAsia="宋体" w:cs="Times New Roman"/>
                <w:sz w:val="24"/>
                <w:szCs w:val="22"/>
              </w:rPr>
            </w:pPr>
            <w:r>
              <w:rPr>
                <w:rFonts w:ascii="Times New Roman" w:hAnsi="Times New Roman" w:eastAsia="宋体" w:cs="Times New Roman"/>
                <w:sz w:val="24"/>
                <w:szCs w:val="22"/>
              </w:rPr>
              <w:t>受临河建筑影响段开挖，应确保建筑物及施工安全，采用人工台阶式开挖，在开挖过程中，要设专人随时监控，监控包括原有建筑物情况，建筑物基础土体情况，如开挖位置距离临河建筑过近，采取在建筑物的基础周围施打钢板桩的方式进行支护。施工期间出现附近建筑物明显沉降或位移时，立即停止施工，用钢木结构支撑牢固及采取适当的措施后，才能继续进行施工。</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rPr>
              <w:t>）砂卵石碾压填筑施工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本工程砂卵石</w:t>
            </w:r>
            <w:r>
              <w:rPr>
                <w:rFonts w:hint="eastAsia" w:cs="Times New Roman"/>
                <w:color w:val="auto"/>
                <w:sz w:val="24"/>
                <w:szCs w:val="24"/>
                <w:lang w:val="en-US" w:eastAsia="zh-CN"/>
              </w:rPr>
              <w:t>用于</w:t>
            </w:r>
            <w:r>
              <w:rPr>
                <w:rFonts w:hint="default" w:ascii="Times New Roman" w:hAnsi="Times New Roman" w:eastAsia="宋体" w:cs="Times New Roman"/>
                <w:color w:val="auto"/>
                <w:sz w:val="24"/>
                <w:szCs w:val="24"/>
              </w:rPr>
              <w:t>填筑</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填筑料全部来自工程开挖料。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砂卵石填筑工序为：测量放线→卸料→平场→洒水→碾压→检查。</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砂卵石填筑料全部来自开挖料，采用反铲挖装自卸汽车运输至工作面。填筑铺料层厚0.8～1m，推土机推平、洒水量按5%计，振动碾碾压施工；斜坡采用斜坡振动碾压实，坡</w:t>
            </w:r>
            <w:r>
              <w:rPr>
                <w:rFonts w:hint="eastAsia" w:cs="Times New Roman"/>
                <w:color w:val="auto"/>
                <w:sz w:val="24"/>
                <w:szCs w:val="24"/>
                <w:lang w:val="en-US" w:eastAsia="zh-CN"/>
              </w:rPr>
              <w:t>脚</w:t>
            </w:r>
            <w:r>
              <w:rPr>
                <w:rFonts w:hint="default" w:ascii="Times New Roman" w:hAnsi="Times New Roman" w:eastAsia="宋体" w:cs="Times New Roman"/>
                <w:color w:val="auto"/>
                <w:sz w:val="24"/>
                <w:szCs w:val="24"/>
              </w:rPr>
              <w:t>、结合部位采用振动夯板压实。</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4"/>
              </w:rPr>
            </w:pPr>
            <w:r>
              <w:rPr>
                <w:rFonts w:hint="eastAsia" w:cs="Times New Roman"/>
                <w:color w:val="auto"/>
                <w:sz w:val="24"/>
                <w:szCs w:val="24"/>
                <w:lang w:eastAsia="zh-CN"/>
              </w:rPr>
              <w:t>（</w:t>
            </w:r>
            <w:r>
              <w:rPr>
                <w:rFonts w:hint="eastAsia" w:cs="Times New Roman"/>
                <w:color w:val="auto"/>
                <w:sz w:val="24"/>
                <w:szCs w:val="24"/>
                <w:lang w:val="en-US" w:eastAsia="zh-CN"/>
              </w:rPr>
              <w:t>6</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耕植土回填</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耕植土采用现场开挖耕植土，开挖时采用推土机将表层土推放至堤后堤脚附近，随后沿途采用人工进行回采回填至框格梁内，弃土部分采用挖掘配合12t自卸汽车运输至弃渣场。弃渣场后期进行复耕。</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7</w:t>
            </w:r>
            <w:r>
              <w:rPr>
                <w:rFonts w:hint="default" w:ascii="Times New Roman" w:hAnsi="Times New Roman" w:eastAsia="宋体" w:cs="Times New Roman"/>
                <w:color w:val="auto"/>
                <w:sz w:val="24"/>
                <w:szCs w:val="24"/>
              </w:rPr>
              <w:t>）混凝土工程施工</w:t>
            </w:r>
          </w:p>
          <w:p>
            <w:pPr>
              <w:adjustRightInd w:val="0"/>
              <w:spacing w:line="360" w:lineRule="auto"/>
              <w:ind w:firstLine="480"/>
              <w:jc w:val="left"/>
              <w:rPr>
                <w:rFonts w:ascii="Times New Roman" w:hAnsi="Times New Roman"/>
                <w:sz w:val="24"/>
              </w:rPr>
            </w:pPr>
            <w:r>
              <w:rPr>
                <w:rFonts w:ascii="Times New Roman" w:hAnsi="Times New Roman"/>
                <w:b w:val="0"/>
                <w:bCs w:val="0"/>
                <w:sz w:val="24"/>
              </w:rPr>
              <w:t>砼面板</w:t>
            </w:r>
            <w:r>
              <w:rPr>
                <w:rFonts w:hint="eastAsia" w:ascii="Times New Roman" w:hAnsi="Times New Roman"/>
                <w:b w:val="0"/>
                <w:bCs w:val="0"/>
                <w:sz w:val="24"/>
              </w:rPr>
              <w:t>及</w:t>
            </w:r>
            <w:r>
              <w:rPr>
                <w:rFonts w:ascii="Times New Roman" w:hAnsi="Times New Roman"/>
                <w:b w:val="0"/>
                <w:bCs w:val="0"/>
                <w:sz w:val="24"/>
              </w:rPr>
              <w:t>仰斜式墙身砼</w:t>
            </w:r>
            <w:r>
              <w:rPr>
                <w:rFonts w:hint="eastAsia" w:ascii="Times New Roman" w:hAnsi="Times New Roman"/>
                <w:b w:val="0"/>
                <w:bCs w:val="0"/>
                <w:sz w:val="24"/>
                <w:lang w:eastAsia="zh-CN"/>
              </w:rPr>
              <w:t>：</w:t>
            </w:r>
            <w:r>
              <w:rPr>
                <w:rFonts w:hint="eastAsia" w:ascii="Times New Roman" w:hAnsi="Times New Roman"/>
                <w:sz w:val="24"/>
              </w:rPr>
              <w:t>砼</w:t>
            </w:r>
            <w:r>
              <w:rPr>
                <w:rFonts w:ascii="Times New Roman" w:hAnsi="Times New Roman"/>
                <w:sz w:val="24"/>
              </w:rPr>
              <w:t>面板采用滑模浇筑的方式进行施工</w:t>
            </w:r>
            <w:r>
              <w:rPr>
                <w:rFonts w:hint="eastAsia" w:ascii="Times New Roman" w:hAnsi="Times New Roman"/>
                <w:sz w:val="24"/>
              </w:rPr>
              <w:t>，</w:t>
            </w:r>
            <w:r>
              <w:rPr>
                <w:rFonts w:ascii="Times New Roman" w:hAnsi="Times New Roman"/>
                <w:sz w:val="24"/>
              </w:rPr>
              <w:t>仰斜式墙身和框格梁等其他建筑结构用</w:t>
            </w:r>
            <w:r>
              <w:rPr>
                <w:rFonts w:hint="eastAsia" w:ascii="Times New Roman" w:hAnsi="Times New Roman"/>
                <w:sz w:val="24"/>
              </w:rPr>
              <w:t>组合</w:t>
            </w:r>
            <w:r>
              <w:rPr>
                <w:rFonts w:ascii="Times New Roman" w:hAnsi="Times New Roman"/>
                <w:sz w:val="24"/>
              </w:rPr>
              <w:t>钢模板的方式进行施工，砼用</w:t>
            </w:r>
            <w:r>
              <w:rPr>
                <w:rFonts w:hint="eastAsia" w:ascii="Times New Roman" w:hAnsi="Times New Roman"/>
                <w:sz w:val="24"/>
              </w:rPr>
              <w:t>胶轮车</w:t>
            </w:r>
            <w:r>
              <w:rPr>
                <w:rFonts w:ascii="Times New Roman" w:hAnsi="Times New Roman"/>
                <w:sz w:val="24"/>
              </w:rPr>
              <w:t>和拖拉机运输至现场，</w:t>
            </w:r>
            <w:r>
              <w:rPr>
                <w:rFonts w:hint="eastAsia" w:ascii="Times New Roman" w:hAnsi="Times New Roman"/>
                <w:sz w:val="24"/>
              </w:rPr>
              <w:t>溜槽</w:t>
            </w:r>
            <w:r>
              <w:rPr>
                <w:rFonts w:ascii="Times New Roman" w:hAnsi="Times New Roman"/>
                <w:sz w:val="24"/>
              </w:rPr>
              <w:t>入仓或人力手推车运至浇筑工作面，混凝土入仓后采用人工平仓，2.2kw～4.0kw插入式振捣器振捣密实。</w:t>
            </w:r>
          </w:p>
          <w:p>
            <w:pPr>
              <w:adjustRightInd w:val="0"/>
              <w:spacing w:line="360" w:lineRule="auto"/>
              <w:ind w:firstLine="480"/>
              <w:jc w:val="left"/>
              <w:rPr>
                <w:rFonts w:ascii="Times New Roman" w:hAnsi="Times New Roman"/>
                <w:sz w:val="24"/>
              </w:rPr>
            </w:pPr>
            <w:r>
              <w:rPr>
                <w:rFonts w:ascii="Times New Roman" w:hAnsi="Times New Roman"/>
                <w:sz w:val="24"/>
              </w:rPr>
              <w:t>混凝土养护采用人工洒水养护，</w:t>
            </w:r>
            <w:r>
              <w:rPr>
                <w:rFonts w:hint="eastAsia" w:ascii="Times New Roman" w:hAnsi="Times New Roman"/>
                <w:sz w:val="24"/>
              </w:rPr>
              <w:t>彩条布</w:t>
            </w:r>
            <w:r>
              <w:rPr>
                <w:rFonts w:ascii="Times New Roman" w:hAnsi="Times New Roman"/>
                <w:sz w:val="24"/>
              </w:rPr>
              <w:t>遮盖。</w:t>
            </w:r>
          </w:p>
          <w:p>
            <w:pPr>
              <w:adjustRightInd w:val="0"/>
              <w:spacing w:line="360" w:lineRule="auto"/>
              <w:ind w:firstLine="480"/>
              <w:jc w:val="left"/>
              <w:rPr>
                <w:rFonts w:ascii="Times New Roman" w:hAnsi="Times New Roman"/>
                <w:sz w:val="24"/>
              </w:rPr>
            </w:pPr>
            <w:r>
              <w:rPr>
                <w:rFonts w:ascii="Times New Roman" w:hAnsi="Times New Roman"/>
                <w:sz w:val="24"/>
              </w:rPr>
              <w:t>面板堤混凝土应分层浇筑，在混凝土浇筑24h后，混凝土表面用草袋覆盖，并保持草袋湿润，三天后采用喷水养护。</w:t>
            </w:r>
          </w:p>
          <w:p>
            <w:pPr>
              <w:adjustRightInd w:val="0"/>
              <w:spacing w:line="360" w:lineRule="auto"/>
              <w:ind w:firstLine="480"/>
              <w:jc w:val="left"/>
              <w:rPr>
                <w:rFonts w:ascii="Times New Roman" w:hAnsi="Times New Roman" w:eastAsia="宋体" w:cs="Times New Roman"/>
                <w:sz w:val="24"/>
                <w:szCs w:val="22"/>
              </w:rPr>
            </w:pPr>
            <w:r>
              <w:rPr>
                <w:rFonts w:ascii="Times New Roman" w:hAnsi="Times New Roman" w:eastAsia="宋体" w:cs="Times New Roman"/>
                <w:b w:val="0"/>
                <w:bCs w:val="0"/>
                <w:sz w:val="24"/>
                <w:szCs w:val="22"/>
              </w:rPr>
              <w:t>砼基础</w:t>
            </w:r>
            <w:r>
              <w:rPr>
                <w:rFonts w:hint="eastAsia" w:ascii="Times New Roman" w:hAnsi="Times New Roman" w:eastAsia="宋体" w:cs="Times New Roman"/>
                <w:b w:val="0"/>
                <w:bCs w:val="0"/>
                <w:sz w:val="24"/>
                <w:szCs w:val="22"/>
                <w:lang w:eastAsia="zh-CN"/>
              </w:rPr>
              <w:t>：</w:t>
            </w:r>
            <w:r>
              <w:rPr>
                <w:rFonts w:ascii="Times New Roman" w:hAnsi="Times New Roman" w:eastAsia="宋体" w:cs="Times New Roman"/>
                <w:sz w:val="24"/>
                <w:szCs w:val="22"/>
              </w:rPr>
              <w:t>砼基础采用组合钢模浇筑的方式进行施工，砼用</w:t>
            </w:r>
            <w:r>
              <w:rPr>
                <w:rFonts w:hint="eastAsia" w:ascii="Times New Roman" w:hAnsi="Times New Roman" w:eastAsia="宋体" w:cs="Times New Roman"/>
                <w:sz w:val="24"/>
                <w:szCs w:val="22"/>
              </w:rPr>
              <w:t>胶轮车</w:t>
            </w:r>
            <w:r>
              <w:rPr>
                <w:rFonts w:ascii="Times New Roman" w:hAnsi="Times New Roman" w:eastAsia="宋体" w:cs="Times New Roman"/>
                <w:sz w:val="24"/>
                <w:szCs w:val="22"/>
              </w:rPr>
              <w:t>运输至现场，</w:t>
            </w:r>
            <w:r>
              <w:rPr>
                <w:rFonts w:hint="eastAsia" w:ascii="Times New Roman" w:hAnsi="Times New Roman" w:eastAsia="宋体" w:cs="Times New Roman"/>
                <w:sz w:val="24"/>
                <w:szCs w:val="22"/>
              </w:rPr>
              <w:t>溜槽</w:t>
            </w:r>
            <w:r>
              <w:rPr>
                <w:rFonts w:ascii="Times New Roman" w:hAnsi="Times New Roman" w:eastAsia="宋体" w:cs="Times New Roman"/>
                <w:sz w:val="24"/>
                <w:szCs w:val="22"/>
              </w:rPr>
              <w:t>入仓或人力手推车运至浇筑工作面，混凝土入仓后采用人工平仓，2.2kw～4.0kw插入式振捣器振捣密实。</w:t>
            </w:r>
          </w:p>
          <w:p>
            <w:pPr>
              <w:adjustRightInd w:val="0"/>
              <w:spacing w:line="360" w:lineRule="auto"/>
              <w:ind w:firstLine="480"/>
              <w:jc w:val="left"/>
              <w:rPr>
                <w:rFonts w:ascii="Times New Roman" w:hAnsi="Times New Roman" w:eastAsia="宋体" w:cs="Times New Roman"/>
                <w:sz w:val="24"/>
                <w:szCs w:val="22"/>
              </w:rPr>
            </w:pPr>
            <w:r>
              <w:rPr>
                <w:rFonts w:ascii="Times New Roman" w:hAnsi="Times New Roman" w:eastAsia="宋体" w:cs="Times New Roman"/>
                <w:sz w:val="24"/>
                <w:szCs w:val="22"/>
              </w:rPr>
              <w:t>养护方法与砼面板养护相同。</w:t>
            </w:r>
          </w:p>
          <w:p>
            <w:pPr>
              <w:adjustRightInd w:val="0"/>
              <w:spacing w:line="360" w:lineRule="auto"/>
              <w:ind w:firstLine="480"/>
              <w:jc w:val="left"/>
              <w:rPr>
                <w:rFonts w:hint="eastAsia" w:ascii="Times New Roman" w:hAnsi="Times New Roman" w:eastAsia="宋体" w:cs="Times New Roman"/>
                <w:sz w:val="24"/>
                <w:szCs w:val="22"/>
              </w:rPr>
            </w:pPr>
            <w:r>
              <w:rPr>
                <w:rFonts w:hint="eastAsia" w:ascii="Times New Roman" w:hAnsi="Times New Roman" w:eastAsia="宋体" w:cs="Times New Roman"/>
                <w:b w:val="0"/>
                <w:bCs w:val="0"/>
                <w:sz w:val="24"/>
                <w:szCs w:val="22"/>
              </w:rPr>
              <w:t>彩色砼路面施工</w:t>
            </w:r>
            <w:r>
              <w:rPr>
                <w:rFonts w:hint="eastAsia" w:ascii="Times New Roman" w:hAnsi="Times New Roman" w:eastAsia="宋体" w:cs="Times New Roman"/>
                <w:b w:val="0"/>
                <w:bCs w:val="0"/>
                <w:sz w:val="24"/>
                <w:szCs w:val="22"/>
                <w:lang w:eastAsia="zh-CN"/>
              </w:rPr>
              <w:t>：</w:t>
            </w:r>
            <w:r>
              <w:rPr>
                <w:rFonts w:ascii="Times New Roman" w:hAnsi="Times New Roman" w:eastAsia="宋体" w:cs="Times New Roman"/>
                <w:sz w:val="24"/>
                <w:szCs w:val="22"/>
              </w:rPr>
              <w:t>彩色混凝土</w:t>
            </w:r>
            <w:r>
              <w:rPr>
                <w:rFonts w:hint="eastAsia" w:ascii="Times New Roman" w:hAnsi="Times New Roman" w:eastAsia="宋体" w:cs="Times New Roman"/>
                <w:sz w:val="24"/>
                <w:szCs w:val="22"/>
              </w:rPr>
              <w:t>设计为纸膜压印砼，</w:t>
            </w:r>
            <w:r>
              <w:rPr>
                <w:rFonts w:ascii="Times New Roman" w:hAnsi="Times New Roman" w:eastAsia="宋体" w:cs="Times New Roman"/>
                <w:sz w:val="24"/>
                <w:szCs w:val="22"/>
              </w:rPr>
              <w:t>是以白色水泥、彩色水泥或白色水泥掺入彩色颜料，以及彩</w:t>
            </w:r>
            <w:r>
              <w:rPr>
                <w:rFonts w:hint="eastAsia" w:ascii="Times New Roman" w:hAnsi="Times New Roman" w:eastAsia="宋体" w:cs="Times New Roman"/>
                <w:sz w:val="24"/>
                <w:szCs w:val="22"/>
              </w:rPr>
              <w:t>色骨料和白色或浅色骨料按一定比例配制而成的混凝土。</w:t>
            </w:r>
          </w:p>
          <w:p>
            <w:pPr>
              <w:adjustRightInd w:val="0"/>
              <w:spacing w:line="360" w:lineRule="auto"/>
              <w:ind w:firstLine="480"/>
              <w:jc w:val="left"/>
              <w:rPr>
                <w:rFonts w:hint="eastAsia" w:ascii="Times New Roman" w:hAnsi="Times New Roman" w:eastAsia="宋体" w:cs="Times New Roman"/>
                <w:sz w:val="24"/>
                <w:szCs w:val="22"/>
              </w:rPr>
            </w:pPr>
            <w:r>
              <w:rPr>
                <w:rFonts w:hint="eastAsia" w:cs="Times New Roman"/>
                <w:sz w:val="24"/>
                <w:szCs w:val="22"/>
                <w:lang w:eastAsia="zh-CN"/>
              </w:rPr>
              <w:t>（</w:t>
            </w:r>
            <w:r>
              <w:rPr>
                <w:rFonts w:hint="eastAsia" w:cs="Times New Roman"/>
                <w:sz w:val="24"/>
                <w:szCs w:val="22"/>
                <w:lang w:val="en-US" w:eastAsia="zh-CN"/>
              </w:rPr>
              <w:t>8</w:t>
            </w:r>
            <w:r>
              <w:rPr>
                <w:rFonts w:hint="eastAsia" w:cs="Times New Roman"/>
                <w:sz w:val="24"/>
                <w:szCs w:val="22"/>
                <w:lang w:eastAsia="zh-CN"/>
              </w:rPr>
              <w:t>）</w:t>
            </w:r>
            <w:r>
              <w:rPr>
                <w:rFonts w:hint="eastAsia" w:ascii="Times New Roman" w:hAnsi="Times New Roman" w:eastAsia="宋体" w:cs="Times New Roman"/>
                <w:sz w:val="24"/>
                <w:szCs w:val="22"/>
              </w:rPr>
              <w:t>框格植草护坡施工</w:t>
            </w:r>
          </w:p>
          <w:p>
            <w:pPr>
              <w:adjustRightInd w:val="0"/>
              <w:spacing w:line="360" w:lineRule="auto"/>
              <w:ind w:firstLine="480"/>
              <w:jc w:val="left"/>
              <w:rPr>
                <w:rFonts w:ascii="Times New Roman" w:hAnsi="Times New Roman" w:eastAsia="宋体" w:cs="Times New Roman"/>
                <w:sz w:val="24"/>
                <w:szCs w:val="22"/>
              </w:rPr>
            </w:pPr>
            <w:r>
              <w:rPr>
                <w:rFonts w:hint="eastAsia" w:ascii="Times New Roman" w:hAnsi="Times New Roman" w:eastAsia="宋体" w:cs="Times New Roman"/>
                <w:sz w:val="24"/>
                <w:szCs w:val="22"/>
              </w:rPr>
              <w:t>其施工程序如下：堤身坡面整平</w:t>
            </w:r>
            <w:r>
              <w:rPr>
                <w:rFonts w:ascii="Times New Roman" w:hAnsi="Times New Roman" w:eastAsia="宋体" w:cs="Times New Roman"/>
                <w:sz w:val="24"/>
                <w:szCs w:val="22"/>
              </w:rPr>
              <w:t>→坡面立模→砼框格浇筑→种植土覆盖→种植草皮。</w:t>
            </w:r>
          </w:p>
          <w:p>
            <w:pPr>
              <w:adjustRightInd w:val="0"/>
              <w:spacing w:line="360" w:lineRule="auto"/>
              <w:ind w:firstLine="480"/>
              <w:jc w:val="left"/>
              <w:rPr>
                <w:rFonts w:ascii="Times New Roman" w:hAnsi="Times New Roman" w:eastAsia="宋体" w:cs="Times New Roman"/>
                <w:sz w:val="24"/>
                <w:szCs w:val="22"/>
              </w:rPr>
            </w:pPr>
            <w:r>
              <w:rPr>
                <w:rFonts w:hint="eastAsia" w:ascii="Times New Roman" w:hAnsi="Times New Roman" w:eastAsia="宋体" w:cs="Times New Roman"/>
                <w:sz w:val="24"/>
                <w:szCs w:val="22"/>
              </w:rPr>
              <w:t>耕植</w:t>
            </w:r>
            <w:r>
              <w:rPr>
                <w:rFonts w:ascii="Times New Roman" w:hAnsi="Times New Roman" w:eastAsia="宋体" w:cs="Times New Roman"/>
                <w:sz w:val="24"/>
                <w:szCs w:val="22"/>
              </w:rPr>
              <w:t>土覆盖：</w:t>
            </w:r>
            <w:r>
              <w:rPr>
                <w:rFonts w:hint="eastAsia" w:ascii="Times New Roman" w:hAnsi="Times New Roman" w:eastAsia="宋体" w:cs="Times New Roman"/>
                <w:sz w:val="24"/>
                <w:szCs w:val="22"/>
              </w:rPr>
              <w:t>框格梁浇筑完毕</w:t>
            </w:r>
            <w:r>
              <w:rPr>
                <w:rFonts w:ascii="Times New Roman" w:hAnsi="Times New Roman" w:eastAsia="宋体" w:cs="Times New Roman"/>
                <w:sz w:val="24"/>
                <w:szCs w:val="22"/>
              </w:rPr>
              <w:t>，将种植土均匀覆盖于坡面上，种植土用人工胶轮车从临时堆料场运出，</w:t>
            </w:r>
            <w:r>
              <w:rPr>
                <w:rFonts w:hint="eastAsia" w:ascii="Times New Roman" w:hAnsi="Times New Roman" w:eastAsia="宋体" w:cs="Times New Roman"/>
                <w:sz w:val="24"/>
                <w:szCs w:val="22"/>
              </w:rPr>
              <w:t>综合</w:t>
            </w:r>
            <w:r>
              <w:rPr>
                <w:rFonts w:ascii="Times New Roman" w:hAnsi="Times New Roman" w:eastAsia="宋体" w:cs="Times New Roman"/>
                <w:sz w:val="24"/>
                <w:szCs w:val="22"/>
              </w:rPr>
              <w:t>运距0.6km，厚度为30cm。</w:t>
            </w:r>
          </w:p>
          <w:p>
            <w:pPr>
              <w:adjustRightInd w:val="0"/>
              <w:spacing w:line="360" w:lineRule="auto"/>
              <w:ind w:firstLine="480"/>
              <w:jc w:val="left"/>
              <w:rPr>
                <w:rFonts w:ascii="Times New Roman" w:hAnsi="Times New Roman" w:eastAsia="宋体" w:cs="Times New Roman"/>
                <w:sz w:val="24"/>
                <w:szCs w:val="22"/>
              </w:rPr>
            </w:pPr>
            <w:r>
              <w:rPr>
                <w:rFonts w:ascii="Times New Roman" w:hAnsi="Times New Roman" w:eastAsia="宋体" w:cs="Times New Roman"/>
                <w:sz w:val="24"/>
                <w:szCs w:val="22"/>
              </w:rPr>
              <w:t>种植草皮：</w:t>
            </w:r>
            <w:r>
              <w:rPr>
                <w:rFonts w:hint="eastAsia" w:ascii="Times New Roman" w:hAnsi="Times New Roman" w:eastAsia="宋体" w:cs="Times New Roman"/>
                <w:sz w:val="24"/>
                <w:szCs w:val="22"/>
              </w:rPr>
              <w:t>耕植土</w:t>
            </w:r>
            <w:r>
              <w:rPr>
                <w:rFonts w:ascii="Times New Roman" w:hAnsi="Times New Roman" w:eastAsia="宋体" w:cs="Times New Roman"/>
                <w:sz w:val="24"/>
                <w:szCs w:val="22"/>
              </w:rPr>
              <w:t>土回填完毕，在框格内种植草皮。</w:t>
            </w:r>
          </w:p>
          <w:p>
            <w:pPr>
              <w:adjustRightInd w:val="0"/>
              <w:spacing w:line="360" w:lineRule="auto"/>
              <w:ind w:firstLine="480"/>
              <w:jc w:val="left"/>
              <w:rPr>
                <w:rFonts w:hint="eastAsia" w:ascii="Times New Roman" w:hAnsi="Times New Roman" w:eastAsia="宋体" w:cs="Times New Roman"/>
                <w:sz w:val="24"/>
                <w:szCs w:val="22"/>
              </w:rPr>
            </w:pPr>
            <w:r>
              <w:rPr>
                <w:rFonts w:hint="eastAsia" w:cs="Times New Roman"/>
                <w:sz w:val="24"/>
                <w:szCs w:val="22"/>
                <w:lang w:eastAsia="zh-CN"/>
              </w:rPr>
              <w:t>（</w:t>
            </w:r>
            <w:r>
              <w:rPr>
                <w:rFonts w:hint="eastAsia" w:cs="Times New Roman"/>
                <w:sz w:val="24"/>
                <w:szCs w:val="22"/>
                <w:lang w:val="en-US" w:eastAsia="zh-CN"/>
              </w:rPr>
              <w:t>9</w:t>
            </w:r>
            <w:r>
              <w:rPr>
                <w:rFonts w:hint="eastAsia" w:cs="Times New Roman"/>
                <w:sz w:val="24"/>
                <w:szCs w:val="22"/>
                <w:lang w:eastAsia="zh-CN"/>
              </w:rPr>
              <w:t>）</w:t>
            </w:r>
            <w:r>
              <w:rPr>
                <w:rFonts w:hint="eastAsia" w:ascii="Times New Roman" w:hAnsi="Times New Roman" w:eastAsia="宋体" w:cs="Times New Roman"/>
                <w:sz w:val="24"/>
                <w:szCs w:val="22"/>
              </w:rPr>
              <w:t>堤顶道路施工</w:t>
            </w:r>
          </w:p>
          <w:p>
            <w:pPr>
              <w:spacing w:line="360" w:lineRule="auto"/>
              <w:ind w:firstLine="480"/>
              <w:rPr>
                <w:rFonts w:ascii="Times New Roman" w:hAnsi="Times New Roman" w:eastAsia="宋体" w:cs="Times New Roman"/>
                <w:sz w:val="24"/>
                <w:szCs w:val="22"/>
              </w:rPr>
            </w:pPr>
            <w:r>
              <w:rPr>
                <w:rFonts w:ascii="Times New Roman" w:hAnsi="Times New Roman" w:eastAsia="宋体" w:cs="Times New Roman"/>
                <w:sz w:val="24"/>
                <w:szCs w:val="22"/>
              </w:rPr>
              <w:t>施工工艺：测量放线→基层检验整修→</w:t>
            </w:r>
            <w:r>
              <w:rPr>
                <w:rFonts w:hint="eastAsia" w:ascii="Times New Roman" w:hAnsi="Times New Roman" w:eastAsia="宋体" w:cs="Times New Roman"/>
                <w:sz w:val="24"/>
                <w:szCs w:val="22"/>
              </w:rPr>
              <w:t>填筑碎石垫层</w:t>
            </w:r>
            <w:r>
              <w:rPr>
                <w:rFonts w:ascii="Times New Roman" w:hAnsi="Times New Roman" w:eastAsia="宋体" w:cs="Times New Roman"/>
                <w:sz w:val="24"/>
                <w:szCs w:val="22"/>
              </w:rPr>
              <w:t>→混凝土浇筑。</w:t>
            </w:r>
          </w:p>
          <w:p>
            <w:pPr>
              <w:spacing w:line="360" w:lineRule="auto"/>
              <w:ind w:firstLine="480"/>
              <w:rPr>
                <w:rFonts w:ascii="Times New Roman" w:hAnsi="Times New Roman" w:eastAsia="宋体" w:cs="Times New Roman"/>
                <w:sz w:val="24"/>
                <w:szCs w:val="22"/>
              </w:rPr>
            </w:pPr>
            <w:r>
              <w:rPr>
                <w:rFonts w:ascii="Times New Roman" w:hAnsi="Times New Roman" w:eastAsia="宋体" w:cs="Times New Roman"/>
                <w:sz w:val="24"/>
                <w:szCs w:val="28"/>
              </w:rPr>
              <w:t>路面施工前应修整好堤顶，将基底平整夯</w:t>
            </w:r>
            <w:r>
              <w:rPr>
                <w:rFonts w:ascii="Times New Roman" w:hAnsi="Times New Roman" w:eastAsia="宋体" w:cs="Times New Roman"/>
                <w:sz w:val="24"/>
                <w:szCs w:val="22"/>
              </w:rPr>
              <w:t>实，检查合格后方可浇筑C20砼。</w:t>
            </w:r>
          </w:p>
          <w:p>
            <w:pPr>
              <w:spacing w:line="360" w:lineRule="auto"/>
              <w:ind w:firstLine="480"/>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lang w:val="en-US" w:eastAsia="zh-CN"/>
              </w:rPr>
              <w:t>（</w:t>
            </w:r>
            <w:r>
              <w:rPr>
                <w:rFonts w:hint="eastAsia" w:cs="Times New Roman"/>
                <w:sz w:val="24"/>
                <w:szCs w:val="22"/>
                <w:lang w:val="en-US" w:eastAsia="zh-CN"/>
              </w:rPr>
              <w:t>10</w:t>
            </w:r>
            <w:r>
              <w:rPr>
                <w:rFonts w:hint="default" w:ascii="Times New Roman" w:hAnsi="Times New Roman" w:eastAsia="宋体" w:cs="Times New Roman"/>
                <w:sz w:val="24"/>
                <w:szCs w:val="22"/>
                <w:lang w:val="en-US" w:eastAsia="zh-CN"/>
              </w:rPr>
              <w:t>）钢筋</w:t>
            </w:r>
            <w:r>
              <w:rPr>
                <w:rFonts w:hint="eastAsia" w:ascii="Times New Roman" w:hAnsi="Times New Roman" w:eastAsia="宋体" w:cs="Times New Roman"/>
                <w:sz w:val="24"/>
                <w:szCs w:val="22"/>
                <w:lang w:val="en-US" w:eastAsia="zh-CN"/>
              </w:rPr>
              <w:t>施工</w:t>
            </w:r>
          </w:p>
          <w:p>
            <w:pPr>
              <w:spacing w:line="360" w:lineRule="auto"/>
              <w:ind w:firstLine="480"/>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lang w:val="en-US" w:eastAsia="zh-CN"/>
              </w:rPr>
              <w:t>钢筋在钢筋加工厂由机械加工自卸汽车运输至工作面，人工绑扎安装。</w:t>
            </w:r>
          </w:p>
          <w:p>
            <w:pPr>
              <w:pStyle w:val="6"/>
              <w:pageBreakBefore w:val="0"/>
              <w:widowControl w:val="0"/>
              <w:kinsoku/>
              <w:wordWrap/>
              <w:topLinePunct w:val="0"/>
              <w:autoSpaceDE/>
              <w:autoSpaceDN/>
              <w:bidi w:val="0"/>
              <w:adjustRightInd w:val="0"/>
              <w:snapToGrid w:val="0"/>
              <w:spacing w:before="0" w:after="0" w:line="360" w:lineRule="auto"/>
              <w:ind w:left="0"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9、堤防断面选择</w:t>
            </w:r>
          </w:p>
          <w:p>
            <w:pPr>
              <w:pStyle w:val="6"/>
              <w:pageBreakBefore w:val="0"/>
              <w:widowControl w:val="0"/>
              <w:kinsoku/>
              <w:wordWrap/>
              <w:overflowPunct/>
              <w:topLinePunct w:val="0"/>
              <w:autoSpaceDE/>
              <w:autoSpaceDN/>
              <w:bidi w:val="0"/>
              <w:adjustRightInd w:val="0"/>
              <w:snapToGrid w:val="0"/>
              <w:spacing w:line="360" w:lineRule="auto"/>
              <w:ind w:left="0" w:right="0" w:firstLine="482" w:firstLineChars="200"/>
              <w:textAlignment w:val="auto"/>
              <w:rPr>
                <w:rFonts w:hint="default" w:ascii="Times New Roman" w:hAnsi="Times New Roman" w:eastAsia="宋体" w:cs="Times New Roman"/>
                <w:b/>
                <w:bCs w:val="0"/>
                <w:color w:val="auto"/>
                <w:kern w:val="2"/>
                <w:sz w:val="24"/>
                <w:szCs w:val="24"/>
                <w:highlight w:val="none"/>
                <w:lang w:val="en-US" w:eastAsia="zh-CN" w:bidi="ar-SA"/>
              </w:rPr>
            </w:pPr>
            <w:r>
              <w:rPr>
                <w:rFonts w:hint="default" w:ascii="Times New Roman" w:hAnsi="Times New Roman" w:eastAsia="宋体" w:cs="Times New Roman"/>
                <w:b/>
                <w:bCs w:val="0"/>
                <w:color w:val="auto"/>
                <w:kern w:val="2"/>
                <w:sz w:val="24"/>
                <w:szCs w:val="24"/>
                <w:highlight w:val="none"/>
                <w:lang w:val="en-US" w:eastAsia="zh-CN" w:bidi="ar-SA"/>
              </w:rPr>
              <w:t>新建护岸段布置如下：</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eastAsia" w:ascii="Times New Roman" w:hAnsi="Times New Roman" w:eastAsia="宋体" w:cs="Times New Roman"/>
                <w:b w:val="0"/>
                <w:bCs/>
                <w:color w:val="auto"/>
                <w:kern w:val="2"/>
                <w:sz w:val="24"/>
                <w:szCs w:val="24"/>
                <w:highlight w:val="none"/>
                <w:lang w:val="en-US" w:eastAsia="zh-CN" w:bidi="ar-SA"/>
              </w:rPr>
            </w:pPr>
            <w:r>
              <w:rPr>
                <w:rFonts w:hint="eastAsia" w:cs="Times New Roman"/>
                <w:b w:val="0"/>
                <w:bCs/>
                <w:color w:val="auto"/>
                <w:kern w:val="2"/>
                <w:sz w:val="24"/>
                <w:szCs w:val="24"/>
                <w:highlight w:val="none"/>
                <w:lang w:val="en-US" w:eastAsia="zh-CN" w:bidi="ar-SA"/>
              </w:rPr>
              <w:t>1</w:t>
            </w:r>
            <w:r>
              <w:rPr>
                <w:rFonts w:hint="default" w:ascii="Times New Roman" w:hAnsi="Times New Roman" w:eastAsia="宋体" w:cs="Times New Roman"/>
                <w:b w:val="0"/>
                <w:bCs/>
                <w:color w:val="auto"/>
                <w:kern w:val="2"/>
                <w:sz w:val="24"/>
                <w:szCs w:val="24"/>
                <w:highlight w:val="none"/>
                <w:lang w:val="en-US" w:eastAsia="zh-CN" w:bidi="ar-SA"/>
              </w:rPr>
              <w:t>）新建护岸第一段：右岸游坝村皂角冲段，起点游坝村破屋基，终点周桃枝家，新建堤防长170m；第一段工</w:t>
            </w:r>
            <w:r>
              <w:rPr>
                <w:rFonts w:hint="eastAsia" w:cs="Times New Roman"/>
                <w:b w:val="0"/>
                <w:bCs/>
                <w:color w:val="auto"/>
                <w:kern w:val="2"/>
                <w:sz w:val="24"/>
                <w:szCs w:val="24"/>
                <w:highlight w:val="none"/>
                <w:lang w:val="en-US" w:eastAsia="zh-CN" w:bidi="ar-SA"/>
              </w:rPr>
              <w:t>程</w:t>
            </w:r>
            <w:r>
              <w:rPr>
                <w:rFonts w:hint="default" w:ascii="Times New Roman" w:hAnsi="Times New Roman" w:eastAsia="宋体" w:cs="Times New Roman"/>
                <w:color w:val="auto"/>
                <w:kern w:val="0"/>
                <w:sz w:val="24"/>
                <w:szCs w:val="24"/>
                <w:lang w:bidi="ar"/>
              </w:rPr>
              <w:t>采用仰斜式堤型</w:t>
            </w:r>
            <w:r>
              <w:rPr>
                <w:rFonts w:hint="eastAsia" w:cs="Times New Roman"/>
                <w:color w:val="auto"/>
                <w:kern w:val="0"/>
                <w:sz w:val="24"/>
                <w:szCs w:val="24"/>
                <w:lang w:eastAsia="zh-CN" w:bidi="ar"/>
              </w:rPr>
              <w:t>，堤身采用C20砼仰斜式挡墙，顶宽0.5m，迎水面坡比1:0.75，背坡1:0.5，基础高1.0m，底宽1.92m，墙趾平台宽0.5m。</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color w:val="auto"/>
                <w:kern w:val="0"/>
                <w:sz w:val="24"/>
                <w:szCs w:val="24"/>
                <w:highlight w:val="none"/>
                <w:lang w:bidi="ar"/>
              </w:rPr>
            </w:pPr>
            <w:r>
              <w:rPr>
                <w:rFonts w:hint="eastAsia" w:cs="Times New Roman"/>
                <w:color w:val="auto"/>
                <w:kern w:val="0"/>
                <w:sz w:val="24"/>
                <w:szCs w:val="24"/>
                <w:lang w:val="en-US" w:eastAsia="zh-CN" w:bidi="ar"/>
              </w:rPr>
              <w:t>2）</w:t>
            </w:r>
            <w:r>
              <w:rPr>
                <w:rFonts w:hint="default" w:ascii="Times New Roman" w:hAnsi="Times New Roman" w:eastAsia="宋体" w:cs="Times New Roman"/>
                <w:b w:val="0"/>
                <w:bCs/>
                <w:color w:val="auto"/>
                <w:kern w:val="2"/>
                <w:sz w:val="24"/>
                <w:szCs w:val="24"/>
                <w:highlight w:val="none"/>
                <w:lang w:val="en-US" w:eastAsia="zh-CN" w:bidi="ar-SA"/>
              </w:rPr>
              <w:t>新建护岸第</w:t>
            </w:r>
            <w:r>
              <w:rPr>
                <w:rFonts w:hint="eastAsia" w:cs="Times New Roman"/>
                <w:b w:val="0"/>
                <w:bCs/>
                <w:color w:val="auto"/>
                <w:kern w:val="2"/>
                <w:sz w:val="24"/>
                <w:szCs w:val="24"/>
                <w:highlight w:val="none"/>
                <w:lang w:val="en-US" w:eastAsia="zh-CN" w:bidi="ar-SA"/>
              </w:rPr>
              <w:t>二</w:t>
            </w:r>
            <w:r>
              <w:rPr>
                <w:rFonts w:hint="default" w:ascii="Times New Roman" w:hAnsi="Times New Roman" w:eastAsia="宋体" w:cs="Times New Roman"/>
                <w:b w:val="0"/>
                <w:bCs/>
                <w:color w:val="auto"/>
                <w:kern w:val="2"/>
                <w:sz w:val="24"/>
                <w:szCs w:val="24"/>
                <w:highlight w:val="none"/>
                <w:lang w:val="en-US" w:eastAsia="zh-CN" w:bidi="ar-SA"/>
              </w:rPr>
              <w:t>段：</w:t>
            </w:r>
            <w:r>
              <w:rPr>
                <w:rFonts w:hint="default" w:ascii="Times New Roman" w:hAnsi="Times New Roman" w:eastAsia="宋体" w:cs="Times New Roman"/>
                <w:color w:val="auto"/>
                <w:kern w:val="0"/>
                <w:sz w:val="24"/>
                <w:szCs w:val="24"/>
                <w:highlight w:val="none"/>
                <w:lang w:bidi="ar"/>
              </w:rPr>
              <w:t>右岸游坝村桥段，起点为石材公司对岸，终点为游坝村桥，新建护岸长573m；</w:t>
            </w:r>
            <w:r>
              <w:rPr>
                <w:rFonts w:hint="default" w:ascii="Times New Roman" w:hAnsi="Times New Roman" w:eastAsia="宋体" w:cs="Times New Roman"/>
                <w:b w:val="0"/>
                <w:bCs/>
                <w:color w:val="auto"/>
                <w:kern w:val="2"/>
                <w:sz w:val="24"/>
                <w:szCs w:val="24"/>
                <w:highlight w:val="none"/>
                <w:lang w:val="en-US" w:eastAsia="zh-CN" w:bidi="ar-SA"/>
              </w:rPr>
              <w:t>第</w:t>
            </w:r>
            <w:r>
              <w:rPr>
                <w:rFonts w:hint="eastAsia" w:cs="Times New Roman"/>
                <w:b w:val="0"/>
                <w:bCs/>
                <w:color w:val="auto"/>
                <w:kern w:val="2"/>
                <w:sz w:val="24"/>
                <w:szCs w:val="24"/>
                <w:highlight w:val="none"/>
                <w:lang w:val="en-US" w:eastAsia="zh-CN" w:bidi="ar-SA"/>
              </w:rPr>
              <w:t>二</w:t>
            </w:r>
            <w:r>
              <w:rPr>
                <w:rFonts w:hint="default" w:ascii="Times New Roman" w:hAnsi="Times New Roman" w:eastAsia="宋体" w:cs="Times New Roman"/>
                <w:b w:val="0"/>
                <w:bCs/>
                <w:color w:val="auto"/>
                <w:kern w:val="2"/>
                <w:sz w:val="24"/>
                <w:szCs w:val="24"/>
                <w:highlight w:val="none"/>
                <w:lang w:val="en-US" w:eastAsia="zh-CN" w:bidi="ar-SA"/>
              </w:rPr>
              <w:t>段工</w:t>
            </w:r>
            <w:r>
              <w:rPr>
                <w:rFonts w:hint="eastAsia" w:cs="Times New Roman"/>
                <w:b w:val="0"/>
                <w:bCs/>
                <w:color w:val="auto"/>
                <w:kern w:val="2"/>
                <w:sz w:val="24"/>
                <w:szCs w:val="24"/>
                <w:highlight w:val="none"/>
                <w:lang w:val="en-US" w:eastAsia="zh-CN" w:bidi="ar-SA"/>
              </w:rPr>
              <w:t>程</w:t>
            </w:r>
            <w:r>
              <w:rPr>
                <w:rFonts w:hint="default" w:ascii="Times New Roman" w:hAnsi="Times New Roman" w:eastAsia="宋体" w:cs="Times New Roman"/>
                <w:color w:val="auto"/>
                <w:kern w:val="0"/>
                <w:sz w:val="24"/>
                <w:szCs w:val="24"/>
                <w:highlight w:val="none"/>
                <w:lang w:bidi="ar"/>
              </w:rPr>
              <w:t>采用斜坡式护岸，护岸顶高程与5年一遇水位或岸顶高程齐平，采用砂砾石填筑，堤身为斜坡式护岸，堤顶以下为斜坡式护岸，常年水位以上设12cm厚生态联锁砖，孔内采用耕植土拌合草籽回填，下铺大于400g/m'营养无纺土工布和8cm厚砂石垫层,常年水位以下为25cm厚C20砼面板，迎水面坡比1.5，护坡下部设趾墙，顶宽50cm，墙高50cm。堤后背水坡坡比采用1:1.5，采用断面为25cm×25cm的C20砼框格梁，尺寸2.5m×2.5m，内填耕植土植草护坡，底部设抗滑墙尺寸60cm×60cm，趾墙外侧设20cm厚，高40cm，宽40cm C20砼排水沟。</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color w:val="auto"/>
                <w:kern w:val="0"/>
                <w:sz w:val="24"/>
                <w:szCs w:val="24"/>
                <w:lang w:bidi="ar"/>
              </w:rPr>
            </w:pPr>
            <w:r>
              <w:rPr>
                <w:rFonts w:hint="eastAsia" w:cs="Times New Roman"/>
                <w:color w:val="auto"/>
                <w:kern w:val="0"/>
                <w:sz w:val="24"/>
                <w:szCs w:val="24"/>
                <w:lang w:val="en-US" w:eastAsia="zh-CN" w:bidi="ar"/>
              </w:rPr>
              <w:t>3）</w:t>
            </w:r>
            <w:r>
              <w:rPr>
                <w:rFonts w:hint="default" w:ascii="Times New Roman" w:hAnsi="Times New Roman" w:eastAsia="宋体" w:cs="Times New Roman"/>
                <w:b w:val="0"/>
                <w:bCs/>
                <w:color w:val="auto"/>
                <w:kern w:val="2"/>
                <w:sz w:val="24"/>
                <w:szCs w:val="24"/>
                <w:highlight w:val="none"/>
                <w:lang w:val="en-US" w:eastAsia="zh-CN" w:bidi="ar-SA"/>
              </w:rPr>
              <w:t>新建护岸第</w:t>
            </w:r>
            <w:r>
              <w:rPr>
                <w:rFonts w:hint="eastAsia" w:cs="Times New Roman"/>
                <w:b w:val="0"/>
                <w:bCs/>
                <w:color w:val="auto"/>
                <w:kern w:val="2"/>
                <w:sz w:val="24"/>
                <w:szCs w:val="24"/>
                <w:highlight w:val="none"/>
                <w:lang w:val="en-US" w:eastAsia="zh-CN" w:bidi="ar-SA"/>
              </w:rPr>
              <w:t>三</w:t>
            </w:r>
            <w:r>
              <w:rPr>
                <w:rFonts w:hint="default" w:ascii="Times New Roman" w:hAnsi="Times New Roman" w:eastAsia="宋体" w:cs="Times New Roman"/>
                <w:b w:val="0"/>
                <w:bCs/>
                <w:color w:val="auto"/>
                <w:kern w:val="2"/>
                <w:sz w:val="24"/>
                <w:szCs w:val="24"/>
                <w:highlight w:val="none"/>
                <w:lang w:val="en-US" w:eastAsia="zh-CN" w:bidi="ar-SA"/>
              </w:rPr>
              <w:t>段：</w:t>
            </w:r>
            <w:r>
              <w:rPr>
                <w:rFonts w:hint="default" w:ascii="Times New Roman" w:hAnsi="Times New Roman" w:eastAsia="宋体" w:cs="Times New Roman"/>
                <w:color w:val="auto"/>
                <w:kern w:val="0"/>
                <w:sz w:val="24"/>
                <w:szCs w:val="24"/>
                <w:lang w:bidi="ar"/>
              </w:rPr>
              <w:t>左岸三圣村段，起点为三圣村流滴岩，终点三圣村琵琶沱，新建长1110m。</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eastAsia" w:cs="Times New Roman"/>
                <w:color w:val="auto"/>
                <w:kern w:val="0"/>
                <w:sz w:val="24"/>
                <w:szCs w:val="24"/>
                <w:lang w:eastAsia="zh-CN" w:bidi="ar"/>
              </w:rPr>
            </w:pPr>
            <w:r>
              <w:rPr>
                <w:rFonts w:hint="default" w:ascii="Times New Roman" w:hAnsi="Times New Roman" w:eastAsia="宋体" w:cs="Times New Roman"/>
                <w:color w:val="auto"/>
                <w:kern w:val="0"/>
                <w:sz w:val="24"/>
                <w:szCs w:val="24"/>
                <w:lang w:bidi="ar"/>
              </w:rPr>
              <w:t>三圣村流滴岩~中铁二局钢筋棚和新漫水桥~三圣村琵琶沱左岸</w:t>
            </w:r>
            <w:r>
              <w:rPr>
                <w:rFonts w:hint="eastAsia" w:cs="Times New Roman"/>
                <w:color w:val="auto"/>
                <w:kern w:val="0"/>
                <w:sz w:val="24"/>
                <w:szCs w:val="24"/>
                <w:lang w:eastAsia="zh-CN" w:bidi="ar"/>
              </w:rPr>
              <w:t>采用斜坡式堤型，堤身砂卵石填筑，堤顶以下迎水面坡比1:1.75，常年水位以上设12cm厚生态联锁砖，孔内采用耕植土拌合草籽回填，下铺大于400g/</w:t>
            </w:r>
            <w:r>
              <w:rPr>
                <w:rFonts w:hint="eastAsia" w:cs="Times New Roman"/>
                <w:color w:val="auto"/>
                <w:kern w:val="0"/>
                <w:sz w:val="24"/>
                <w:szCs w:val="24"/>
                <w:lang w:val="en-US" w:eastAsia="zh-CN" w:bidi="ar"/>
              </w:rPr>
              <w:t>m</w:t>
            </w:r>
            <w:r>
              <w:rPr>
                <w:rFonts w:hint="eastAsia" w:cs="Times New Roman"/>
                <w:color w:val="auto"/>
                <w:kern w:val="0"/>
                <w:sz w:val="24"/>
                <w:szCs w:val="24"/>
                <w:vertAlign w:val="superscript"/>
                <w:lang w:val="en-US" w:eastAsia="zh-CN" w:bidi="ar"/>
              </w:rPr>
              <w:t>2</w:t>
            </w:r>
            <w:r>
              <w:rPr>
                <w:rFonts w:hint="eastAsia" w:cs="Times New Roman"/>
                <w:color w:val="auto"/>
                <w:kern w:val="0"/>
                <w:sz w:val="24"/>
                <w:szCs w:val="24"/>
                <w:lang w:eastAsia="zh-CN" w:bidi="ar"/>
              </w:rPr>
              <w:t>营养无纺土工布和8cm厚砂石垫层，常年水位以下设20cm厚C20砼面板，下设5cm厚M10砂浆垫层；面板底部设C20砼趾墙，墙高60cm，墙底宽50cm；趾墙护脚表层50cm 采用大卵石回填，底部原状砂卵石回填护脚，以保护防冲趾墙基础不被冲刷。堤后背水坡坡比采用1:1.5，采用断面为30cm×30cm的C20砼框格梁，尺寸2.5m×2.5m，内填耕植土植草护坡，底部设抗滑墙尺寸60cm×60cm，趾墙外侧设20cm厚，高40cm，宽40cm C20砼排水沟。</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eastAsia" w:ascii="Times New Roman" w:hAnsi="Times New Roman" w:eastAsia="宋体" w:cs="Times New Roman"/>
                <w:color w:val="auto"/>
                <w:kern w:val="0"/>
                <w:sz w:val="24"/>
                <w:szCs w:val="24"/>
                <w:lang w:eastAsia="zh-CN" w:bidi="ar"/>
              </w:rPr>
            </w:pPr>
            <w:r>
              <w:rPr>
                <w:rFonts w:hint="eastAsia" w:ascii="Times New Roman" w:hAnsi="Times New Roman" w:eastAsia="宋体" w:cs="Times New Roman"/>
                <w:color w:val="auto"/>
                <w:kern w:val="0"/>
                <w:sz w:val="24"/>
                <w:szCs w:val="24"/>
                <w:lang w:eastAsia="zh-CN" w:bidi="ar"/>
              </w:rPr>
              <w:t>中铁二局钢筋棚～新漫水桥左岸采用仰斜式+斜坡式复合堤型</w:t>
            </w:r>
            <w:r>
              <w:rPr>
                <w:rFonts w:hint="eastAsia" w:cs="Times New Roman"/>
                <w:color w:val="auto"/>
                <w:kern w:val="0"/>
                <w:sz w:val="24"/>
                <w:szCs w:val="24"/>
                <w:lang w:eastAsia="zh-CN" w:bidi="ar"/>
              </w:rPr>
              <w:t>，</w:t>
            </w:r>
            <w:r>
              <w:rPr>
                <w:rFonts w:hint="eastAsia" w:ascii="Times New Roman" w:hAnsi="Times New Roman" w:eastAsia="宋体" w:cs="Times New Roman"/>
                <w:color w:val="auto"/>
                <w:kern w:val="0"/>
                <w:sz w:val="24"/>
                <w:szCs w:val="24"/>
                <w:lang w:eastAsia="zh-CN" w:bidi="ar"/>
              </w:rPr>
              <w:t>在现状地面高程设置宽15.0～18.</w:t>
            </w:r>
            <w:r>
              <w:rPr>
                <w:rFonts w:hint="eastAsia" w:cs="Times New Roman"/>
                <w:color w:val="auto"/>
                <w:kern w:val="0"/>
                <w:sz w:val="24"/>
                <w:szCs w:val="24"/>
                <w:lang w:val="en-US" w:eastAsia="zh-CN" w:bidi="ar"/>
              </w:rPr>
              <w:t>0</w:t>
            </w:r>
            <w:r>
              <w:rPr>
                <w:rFonts w:hint="eastAsia" w:ascii="Times New Roman" w:hAnsi="Times New Roman" w:eastAsia="宋体" w:cs="Times New Roman"/>
                <w:color w:val="auto"/>
                <w:kern w:val="0"/>
                <w:sz w:val="24"/>
                <w:szCs w:val="24"/>
                <w:lang w:eastAsia="zh-CN" w:bidi="ar"/>
              </w:rPr>
              <w:t>m公路</w:t>
            </w:r>
            <w:r>
              <w:rPr>
                <w:rFonts w:hint="eastAsia" w:cs="Times New Roman"/>
                <w:color w:val="auto"/>
                <w:kern w:val="0"/>
                <w:sz w:val="24"/>
                <w:szCs w:val="24"/>
                <w:lang w:eastAsia="zh-CN" w:bidi="ar"/>
              </w:rPr>
              <w:t>；</w:t>
            </w:r>
            <w:r>
              <w:rPr>
                <w:rFonts w:hint="eastAsia" w:ascii="Times New Roman" w:hAnsi="Times New Roman" w:eastAsia="宋体" w:cs="Times New Roman"/>
                <w:color w:val="auto"/>
                <w:kern w:val="0"/>
                <w:sz w:val="24"/>
                <w:szCs w:val="24"/>
                <w:lang w:eastAsia="zh-CN" w:bidi="ar"/>
              </w:rPr>
              <w:t>公路以上坡比1:1.75，公路和常年水位以上设12cm厚生态联锁砖，孔内采用耕植土拌合草籽回填，下铺大于400g/m</w:t>
            </w:r>
            <w:r>
              <w:rPr>
                <w:rFonts w:hint="eastAsia" w:cs="Times New Roman"/>
                <w:color w:val="auto"/>
                <w:kern w:val="0"/>
                <w:sz w:val="24"/>
                <w:szCs w:val="24"/>
                <w:vertAlign w:val="superscript"/>
                <w:lang w:val="en-US" w:eastAsia="zh-CN" w:bidi="ar"/>
              </w:rPr>
              <w:t>2</w:t>
            </w:r>
            <w:r>
              <w:rPr>
                <w:rFonts w:hint="eastAsia" w:ascii="Times New Roman" w:hAnsi="Times New Roman" w:eastAsia="宋体" w:cs="Times New Roman"/>
                <w:color w:val="auto"/>
                <w:kern w:val="0"/>
                <w:sz w:val="24"/>
                <w:szCs w:val="24"/>
                <w:lang w:eastAsia="zh-CN" w:bidi="ar"/>
              </w:rPr>
              <w:t>营养无纺土工布和8cm厚砂石垫层，临河侧设30cm×60cm安全防护墩</w:t>
            </w:r>
            <w:r>
              <w:rPr>
                <w:rFonts w:hint="eastAsia" w:cs="Times New Roman"/>
                <w:color w:val="auto"/>
                <w:kern w:val="0"/>
                <w:sz w:val="24"/>
                <w:szCs w:val="24"/>
                <w:lang w:eastAsia="zh-CN" w:bidi="ar"/>
              </w:rPr>
              <w:t>；</w:t>
            </w:r>
            <w:r>
              <w:rPr>
                <w:rFonts w:hint="eastAsia" w:ascii="Times New Roman" w:hAnsi="Times New Roman" w:eastAsia="宋体" w:cs="Times New Roman"/>
                <w:color w:val="auto"/>
                <w:kern w:val="0"/>
                <w:sz w:val="24"/>
                <w:szCs w:val="24"/>
                <w:lang w:eastAsia="zh-CN" w:bidi="ar"/>
              </w:rPr>
              <w:t>公路以下为C20砼仰斜式挡墙，顶宽50cm，外侧坡比1:0.5，内侧坡比1:0.3，挡墙基础高1.</w:t>
            </w:r>
            <w:r>
              <w:rPr>
                <w:rFonts w:hint="eastAsia" w:cs="Times New Roman"/>
                <w:color w:val="auto"/>
                <w:kern w:val="0"/>
                <w:sz w:val="24"/>
                <w:szCs w:val="24"/>
                <w:lang w:val="en-US" w:eastAsia="zh-CN" w:bidi="ar"/>
              </w:rPr>
              <w:t>0</w:t>
            </w:r>
            <w:r>
              <w:rPr>
                <w:rFonts w:hint="eastAsia" w:ascii="Times New Roman" w:hAnsi="Times New Roman" w:eastAsia="宋体" w:cs="Times New Roman"/>
                <w:color w:val="auto"/>
                <w:kern w:val="0"/>
                <w:sz w:val="24"/>
                <w:szCs w:val="24"/>
                <w:lang w:eastAsia="zh-CN" w:bidi="ar"/>
              </w:rPr>
              <w:t>m，墙趾平台宽1.</w:t>
            </w:r>
            <w:r>
              <w:rPr>
                <w:rFonts w:hint="eastAsia" w:cs="Times New Roman"/>
                <w:color w:val="auto"/>
                <w:kern w:val="0"/>
                <w:sz w:val="24"/>
                <w:szCs w:val="24"/>
                <w:lang w:val="en-US" w:eastAsia="zh-CN" w:bidi="ar"/>
              </w:rPr>
              <w:t>0</w:t>
            </w:r>
            <w:r>
              <w:rPr>
                <w:rFonts w:hint="eastAsia" w:ascii="Times New Roman" w:hAnsi="Times New Roman" w:eastAsia="宋体" w:cs="Times New Roman"/>
                <w:color w:val="auto"/>
                <w:kern w:val="0"/>
                <w:sz w:val="24"/>
                <w:szCs w:val="24"/>
                <w:lang w:eastAsia="zh-CN" w:bidi="ar"/>
              </w:rPr>
              <w:t>m，墙趾底部设置尺寸为30cm×50cm的凸样，以起到抗滑稳定作用。堤后背水坡坡比采用1:1.5，采用断面为30cm×30cm的C20砼框格梁，尺寸2.5m×2.5m，内填耕植土植草护坡，底部设抗滑墙尺寸60cm×60cm，趾墙外侧设20cm厚，高4Ocm，宽40cmC20砼排水沟。</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加固各段布置如下：</w:t>
            </w:r>
          </w:p>
          <w:p>
            <w:pPr>
              <w:pStyle w:val="2"/>
              <w:keepNext w:val="0"/>
              <w:keepLines w:val="0"/>
              <w:pageBreakBefore w:val="0"/>
              <w:widowControl/>
              <w:numPr>
                <w:ilvl w:val="0"/>
                <w:numId w:val="7"/>
              </w:numPr>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color w:val="auto"/>
                <w:kern w:val="0"/>
                <w:sz w:val="24"/>
                <w:szCs w:val="24"/>
                <w:lang w:bidi="ar"/>
              </w:rPr>
            </w:pPr>
            <w:r>
              <w:rPr>
                <w:rFonts w:hint="eastAsia" w:cs="Times New Roman"/>
                <w:b w:val="0"/>
                <w:bCs/>
                <w:color w:val="auto"/>
                <w:kern w:val="2"/>
                <w:sz w:val="24"/>
                <w:szCs w:val="24"/>
                <w:highlight w:val="none"/>
                <w:lang w:val="en-US" w:eastAsia="zh-CN" w:bidi="ar-SA"/>
              </w:rPr>
              <w:t>加固</w:t>
            </w:r>
            <w:r>
              <w:rPr>
                <w:rFonts w:hint="default" w:ascii="Times New Roman" w:hAnsi="Times New Roman" w:eastAsia="宋体" w:cs="Times New Roman"/>
                <w:b w:val="0"/>
                <w:bCs/>
                <w:color w:val="auto"/>
                <w:kern w:val="2"/>
                <w:sz w:val="24"/>
                <w:szCs w:val="24"/>
                <w:highlight w:val="none"/>
                <w:lang w:val="en-US" w:eastAsia="zh-CN" w:bidi="ar-SA"/>
              </w:rPr>
              <w:t>第一段：</w:t>
            </w:r>
            <w:r>
              <w:rPr>
                <w:rFonts w:hint="default" w:ascii="Times New Roman" w:hAnsi="Times New Roman" w:eastAsia="宋体" w:cs="Times New Roman"/>
                <w:color w:val="auto"/>
                <w:kern w:val="0"/>
                <w:sz w:val="24"/>
                <w:szCs w:val="24"/>
                <w:lang w:bidi="ar"/>
              </w:rPr>
              <w:t>第一段起点周桃枝家，终点为石材公司对岸，加固长度635m；本段堤防护坡完好，堤顶路面破损严重，本段对堤顶路面进行修复，设计路面宽度2.0m，采用20cm厚C20砼彩色路面进行硬化</w:t>
            </w:r>
            <w:r>
              <w:rPr>
                <w:rFonts w:hint="eastAsia" w:cs="Times New Roman"/>
                <w:color w:val="auto"/>
                <w:kern w:val="0"/>
                <w:sz w:val="24"/>
                <w:szCs w:val="24"/>
                <w:lang w:eastAsia="zh-CN" w:bidi="ar"/>
              </w:rPr>
              <w:t>，</w:t>
            </w:r>
            <w:r>
              <w:rPr>
                <w:rFonts w:hint="default" w:ascii="Times New Roman" w:hAnsi="Times New Roman" w:eastAsia="宋体" w:cs="Times New Roman"/>
                <w:color w:val="auto"/>
                <w:kern w:val="0"/>
                <w:sz w:val="24"/>
                <w:szCs w:val="24"/>
                <w:lang w:bidi="ar"/>
              </w:rPr>
              <w:t>堤顶道路外侧设尺寸为20cm×20cm的C20砼路沿石，在临水侧设1.1m预制混凝土仿木栏杆。</w:t>
            </w:r>
          </w:p>
          <w:p>
            <w:pPr>
              <w:pStyle w:val="2"/>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right="0" w:rightChars="0" w:firstLine="480" w:firstLineChars="200"/>
              <w:textAlignment w:val="auto"/>
              <w:rPr>
                <w:rFonts w:hint="default" w:ascii="Times New Roman" w:hAnsi="Times New Roman" w:eastAsia="宋体" w:cs="Times New Roman"/>
                <w:color w:val="auto"/>
                <w:kern w:val="0"/>
                <w:sz w:val="24"/>
                <w:szCs w:val="24"/>
                <w:lang w:bidi="ar"/>
              </w:rPr>
            </w:pPr>
            <w:r>
              <w:rPr>
                <w:rFonts w:hint="eastAsia" w:cs="Times New Roman"/>
                <w:color w:val="auto"/>
                <w:kern w:val="0"/>
                <w:sz w:val="24"/>
                <w:szCs w:val="24"/>
                <w:lang w:val="en-US" w:eastAsia="zh-CN" w:bidi="ar"/>
              </w:rPr>
              <w:t>2）</w:t>
            </w:r>
            <w:r>
              <w:rPr>
                <w:rFonts w:hint="eastAsia" w:cs="Times New Roman"/>
                <w:b w:val="0"/>
                <w:bCs/>
                <w:color w:val="auto"/>
                <w:kern w:val="2"/>
                <w:sz w:val="24"/>
                <w:szCs w:val="24"/>
                <w:highlight w:val="none"/>
                <w:lang w:val="en-US" w:eastAsia="zh-CN" w:bidi="ar-SA"/>
              </w:rPr>
              <w:t>加固</w:t>
            </w:r>
            <w:r>
              <w:rPr>
                <w:rFonts w:hint="default" w:ascii="Times New Roman" w:hAnsi="Times New Roman" w:eastAsia="宋体" w:cs="Times New Roman"/>
                <w:b w:val="0"/>
                <w:bCs/>
                <w:color w:val="auto"/>
                <w:kern w:val="2"/>
                <w:sz w:val="24"/>
                <w:szCs w:val="24"/>
                <w:highlight w:val="none"/>
                <w:lang w:val="en-US" w:eastAsia="zh-CN" w:bidi="ar-SA"/>
              </w:rPr>
              <w:t>第</w:t>
            </w:r>
            <w:r>
              <w:rPr>
                <w:rFonts w:hint="eastAsia" w:cs="Times New Roman"/>
                <w:b w:val="0"/>
                <w:bCs/>
                <w:color w:val="auto"/>
                <w:kern w:val="2"/>
                <w:sz w:val="24"/>
                <w:szCs w:val="24"/>
                <w:highlight w:val="none"/>
                <w:lang w:val="en-US" w:eastAsia="zh-CN" w:bidi="ar-SA"/>
              </w:rPr>
              <w:t>二</w:t>
            </w:r>
            <w:r>
              <w:rPr>
                <w:rFonts w:hint="default" w:ascii="Times New Roman" w:hAnsi="Times New Roman" w:eastAsia="宋体" w:cs="Times New Roman"/>
                <w:b w:val="0"/>
                <w:bCs/>
                <w:color w:val="auto"/>
                <w:kern w:val="2"/>
                <w:sz w:val="24"/>
                <w:szCs w:val="24"/>
                <w:highlight w:val="none"/>
                <w:lang w:val="en-US" w:eastAsia="zh-CN" w:bidi="ar-SA"/>
              </w:rPr>
              <w:t>段</w:t>
            </w:r>
            <w:r>
              <w:rPr>
                <w:rFonts w:hint="eastAsia" w:cs="Times New Roman"/>
                <w:b w:val="0"/>
                <w:bCs/>
                <w:color w:val="auto"/>
                <w:kern w:val="2"/>
                <w:sz w:val="24"/>
                <w:szCs w:val="24"/>
                <w:highlight w:val="none"/>
                <w:lang w:val="en-US" w:eastAsia="zh-CN" w:bidi="ar-SA"/>
              </w:rPr>
              <w:t>：</w:t>
            </w:r>
            <w:r>
              <w:rPr>
                <w:rFonts w:hint="default" w:ascii="Times New Roman" w:hAnsi="Times New Roman" w:eastAsia="宋体" w:cs="Times New Roman"/>
                <w:color w:val="auto"/>
                <w:kern w:val="0"/>
                <w:sz w:val="24"/>
                <w:szCs w:val="24"/>
                <w:lang w:bidi="ar"/>
              </w:rPr>
              <w:t>第二段起点原杜村，终点新漫水桥，长度607m；本段设计为拆除原已损毁混凝土趾墙，清基后采用厚60cm C20砼防冲面板护脚加固</w:t>
            </w:r>
            <w:r>
              <w:rPr>
                <w:rFonts w:hint="eastAsia" w:cs="Times New Roman"/>
                <w:color w:val="auto"/>
                <w:kern w:val="0"/>
                <w:sz w:val="24"/>
                <w:szCs w:val="24"/>
                <w:lang w:eastAsia="zh-CN" w:bidi="ar"/>
              </w:rPr>
              <w:t>，</w:t>
            </w:r>
            <w:r>
              <w:rPr>
                <w:rFonts w:hint="default" w:ascii="Times New Roman" w:hAnsi="Times New Roman" w:eastAsia="宋体" w:cs="Times New Roman"/>
                <w:color w:val="auto"/>
                <w:kern w:val="0"/>
                <w:sz w:val="24"/>
                <w:szCs w:val="24"/>
                <w:lang w:bidi="ar"/>
              </w:rPr>
              <w:t>新建C20砼防冲趾墙</w:t>
            </w:r>
            <w:r>
              <w:rPr>
                <w:rFonts w:hint="eastAsia" w:cs="Times New Roman"/>
                <w:color w:val="auto"/>
                <w:kern w:val="0"/>
                <w:sz w:val="24"/>
                <w:szCs w:val="24"/>
                <w:lang w:eastAsia="zh-CN" w:bidi="ar"/>
              </w:rPr>
              <w:t>，</w:t>
            </w:r>
            <w:r>
              <w:rPr>
                <w:rFonts w:hint="default" w:ascii="Times New Roman" w:hAnsi="Times New Roman" w:eastAsia="宋体" w:cs="Times New Roman"/>
                <w:color w:val="auto"/>
                <w:kern w:val="0"/>
                <w:sz w:val="24"/>
                <w:szCs w:val="24"/>
                <w:lang w:bidi="ar"/>
              </w:rPr>
              <w:t>趾墙顶宽50cm</w:t>
            </w:r>
            <w:r>
              <w:rPr>
                <w:rFonts w:hint="eastAsia" w:cs="Times New Roman"/>
                <w:color w:val="auto"/>
                <w:kern w:val="0"/>
                <w:sz w:val="24"/>
                <w:szCs w:val="24"/>
                <w:lang w:eastAsia="zh-CN" w:bidi="ar"/>
              </w:rPr>
              <w:t>，</w:t>
            </w:r>
            <w:r>
              <w:rPr>
                <w:rFonts w:hint="default" w:ascii="Times New Roman" w:hAnsi="Times New Roman" w:eastAsia="宋体" w:cs="Times New Roman"/>
                <w:color w:val="auto"/>
                <w:kern w:val="0"/>
                <w:sz w:val="24"/>
                <w:szCs w:val="24"/>
                <w:lang w:bidi="ar"/>
              </w:rPr>
              <w:t>墙高60cm。</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color w:val="auto"/>
                <w:kern w:val="0"/>
                <w:sz w:val="24"/>
                <w:szCs w:val="24"/>
                <w:lang w:eastAsia="zh-CN" w:bidi="ar"/>
              </w:rPr>
            </w:pPr>
            <w:r>
              <w:rPr>
                <w:rFonts w:hint="eastAsia" w:cs="Times New Roman"/>
                <w:color w:val="auto"/>
                <w:kern w:val="0"/>
                <w:sz w:val="24"/>
                <w:szCs w:val="24"/>
                <w:lang w:val="en-US" w:eastAsia="zh-CN" w:bidi="ar"/>
              </w:rPr>
              <w:t>3）</w:t>
            </w:r>
            <w:r>
              <w:rPr>
                <w:rFonts w:hint="eastAsia" w:cs="Times New Roman"/>
                <w:b w:val="0"/>
                <w:bCs/>
                <w:color w:val="auto"/>
                <w:kern w:val="2"/>
                <w:sz w:val="24"/>
                <w:szCs w:val="24"/>
                <w:highlight w:val="none"/>
                <w:lang w:val="en-US" w:eastAsia="zh-CN" w:bidi="ar-SA"/>
              </w:rPr>
              <w:t>加固</w:t>
            </w:r>
            <w:r>
              <w:rPr>
                <w:rFonts w:hint="default" w:ascii="Times New Roman" w:hAnsi="Times New Roman" w:eastAsia="宋体" w:cs="Times New Roman"/>
                <w:b w:val="0"/>
                <w:bCs/>
                <w:color w:val="auto"/>
                <w:kern w:val="2"/>
                <w:sz w:val="24"/>
                <w:szCs w:val="24"/>
                <w:highlight w:val="none"/>
                <w:lang w:val="en-US" w:eastAsia="zh-CN" w:bidi="ar-SA"/>
              </w:rPr>
              <w:t>第</w:t>
            </w:r>
            <w:r>
              <w:rPr>
                <w:rFonts w:hint="eastAsia" w:cs="Times New Roman"/>
                <w:b w:val="0"/>
                <w:bCs/>
                <w:color w:val="auto"/>
                <w:kern w:val="2"/>
                <w:sz w:val="24"/>
                <w:szCs w:val="24"/>
                <w:highlight w:val="none"/>
                <w:lang w:val="en-US" w:eastAsia="zh-CN" w:bidi="ar-SA"/>
              </w:rPr>
              <w:t>三</w:t>
            </w:r>
            <w:r>
              <w:rPr>
                <w:rFonts w:hint="default" w:ascii="Times New Roman" w:hAnsi="Times New Roman" w:eastAsia="宋体" w:cs="Times New Roman"/>
                <w:b w:val="0"/>
                <w:bCs/>
                <w:color w:val="auto"/>
                <w:kern w:val="2"/>
                <w:sz w:val="24"/>
                <w:szCs w:val="24"/>
                <w:highlight w:val="none"/>
                <w:lang w:val="en-US" w:eastAsia="zh-CN" w:bidi="ar-SA"/>
              </w:rPr>
              <w:t>段</w:t>
            </w:r>
            <w:r>
              <w:rPr>
                <w:rFonts w:hint="eastAsia" w:cs="Times New Roman"/>
                <w:b w:val="0"/>
                <w:bCs/>
                <w:color w:val="auto"/>
                <w:kern w:val="2"/>
                <w:sz w:val="24"/>
                <w:szCs w:val="24"/>
                <w:highlight w:val="none"/>
                <w:lang w:val="en-US" w:eastAsia="zh-CN" w:bidi="ar-SA"/>
              </w:rPr>
              <w:t>：</w:t>
            </w:r>
            <w:r>
              <w:rPr>
                <w:rFonts w:hint="default" w:ascii="Times New Roman" w:hAnsi="Times New Roman" w:eastAsia="宋体" w:cs="Times New Roman"/>
                <w:color w:val="auto"/>
                <w:kern w:val="0"/>
                <w:sz w:val="24"/>
                <w:szCs w:val="24"/>
                <w:lang w:bidi="ar"/>
              </w:rPr>
              <w:t>第三段起点原夏村，终点为铁二局拌合楼，长度278m。本段设计为拆除原已损毁混凝土趾墙，清基后采用厚60cmC20砼防冲面板护脚加固</w:t>
            </w:r>
            <w:r>
              <w:rPr>
                <w:rFonts w:hint="eastAsia" w:cs="Times New Roman"/>
                <w:color w:val="auto"/>
                <w:kern w:val="0"/>
                <w:sz w:val="24"/>
                <w:szCs w:val="24"/>
                <w:lang w:eastAsia="zh-CN" w:bidi="ar"/>
              </w:rPr>
              <w:t>，</w:t>
            </w:r>
            <w:r>
              <w:rPr>
                <w:rFonts w:hint="default" w:ascii="Times New Roman" w:hAnsi="Times New Roman" w:eastAsia="宋体" w:cs="Times New Roman"/>
                <w:color w:val="auto"/>
                <w:kern w:val="0"/>
                <w:sz w:val="24"/>
                <w:szCs w:val="24"/>
                <w:lang w:bidi="ar"/>
              </w:rPr>
              <w:t>新建C20砼防冲趾墙</w:t>
            </w:r>
            <w:r>
              <w:rPr>
                <w:rFonts w:hint="eastAsia" w:cs="Times New Roman"/>
                <w:color w:val="auto"/>
                <w:kern w:val="0"/>
                <w:sz w:val="24"/>
                <w:szCs w:val="24"/>
                <w:lang w:eastAsia="zh-CN" w:bidi="ar"/>
              </w:rPr>
              <w:t>，</w:t>
            </w:r>
            <w:r>
              <w:rPr>
                <w:rFonts w:hint="default" w:ascii="Times New Roman" w:hAnsi="Times New Roman" w:eastAsia="宋体" w:cs="Times New Roman"/>
                <w:color w:val="auto"/>
                <w:kern w:val="0"/>
                <w:sz w:val="24"/>
                <w:szCs w:val="24"/>
                <w:lang w:bidi="ar"/>
              </w:rPr>
              <w:t>趾墙顶宽50cm</w:t>
            </w:r>
            <w:r>
              <w:rPr>
                <w:rFonts w:hint="eastAsia" w:cs="Times New Roman"/>
                <w:color w:val="auto"/>
                <w:kern w:val="0"/>
                <w:sz w:val="24"/>
                <w:szCs w:val="24"/>
                <w:lang w:eastAsia="zh-CN" w:bidi="ar"/>
              </w:rPr>
              <w:t>，</w:t>
            </w:r>
            <w:r>
              <w:rPr>
                <w:rFonts w:hint="default" w:ascii="Times New Roman" w:hAnsi="Times New Roman" w:eastAsia="宋体" w:cs="Times New Roman"/>
                <w:color w:val="auto"/>
                <w:kern w:val="0"/>
                <w:sz w:val="24"/>
                <w:szCs w:val="24"/>
                <w:lang w:bidi="ar"/>
              </w:rPr>
              <w:t>墙高60cm。</w:t>
            </w:r>
          </w:p>
          <w:p>
            <w:pPr>
              <w:pageBreakBefore w:val="0"/>
              <w:widowControl w:val="0"/>
              <w:kinsoku/>
              <w:wordWrap/>
              <w:overflowPunct/>
              <w:topLinePunct w:val="0"/>
              <w:autoSpaceDE/>
              <w:autoSpaceDN/>
              <w:bidi w:val="0"/>
              <w:adjustRightInd w:val="0"/>
              <w:snapToGrid w:val="0"/>
              <w:spacing w:line="360" w:lineRule="auto"/>
              <w:jc w:val="center"/>
              <w:textAlignment w:val="auto"/>
              <w:rPr>
                <w:rFonts w:hint="default"/>
              </w:rPr>
            </w:pPr>
            <w:r>
              <w:rPr>
                <w:rFonts w:hint="eastAsia" w:cs="Times New Roman"/>
                <w:b/>
                <w:bCs/>
                <w:color w:val="auto"/>
                <w:highlight w:val="none"/>
                <w:lang w:val="en-US" w:eastAsia="zh-CN"/>
              </w:rPr>
              <w:t>表</w:t>
            </w:r>
            <w:r>
              <w:rPr>
                <w:rFonts w:hint="default" w:ascii="Times New Roman" w:hAnsi="Times New Roman" w:eastAsia="宋体" w:cs="Times New Roman"/>
                <w:b/>
                <w:bCs/>
                <w:color w:val="auto"/>
                <w:highlight w:val="none"/>
                <w:lang w:val="en-US" w:eastAsia="zh-CN"/>
              </w:rPr>
              <w:t>2-</w:t>
            </w:r>
            <w:r>
              <w:rPr>
                <w:rFonts w:hint="eastAsia" w:cs="Times New Roman"/>
                <w:b/>
                <w:bCs/>
                <w:color w:val="auto"/>
                <w:highlight w:val="none"/>
                <w:lang w:val="en-US" w:eastAsia="zh-CN"/>
              </w:rPr>
              <w:t>11</w:t>
            </w:r>
            <w:r>
              <w:rPr>
                <w:rFonts w:hint="default" w:ascii="Times New Roman" w:hAnsi="Times New Roman" w:eastAsia="宋体" w:cs="Times New Roman"/>
                <w:b/>
                <w:bCs/>
                <w:color w:val="auto"/>
                <w:highlight w:val="none"/>
                <w:lang w:val="en-US" w:eastAsia="zh-CN"/>
              </w:rPr>
              <w:t xml:space="preserve">  各</w:t>
            </w:r>
            <w:r>
              <w:rPr>
                <w:rFonts w:hint="default" w:ascii="Times New Roman" w:hAnsi="Times New Roman" w:eastAsia="宋体" w:cs="Times New Roman"/>
                <w:b/>
                <w:bCs/>
                <w:color w:val="auto"/>
                <w:highlight w:val="none"/>
              </w:rPr>
              <w:t>段堤</w:t>
            </w:r>
            <w:r>
              <w:rPr>
                <w:rFonts w:hint="default" w:ascii="Times New Roman" w:hAnsi="Times New Roman" w:eastAsia="宋体" w:cs="Times New Roman"/>
                <w:b/>
                <w:bCs/>
                <w:color w:val="auto"/>
                <w:highlight w:val="none"/>
                <w:lang w:val="en-US" w:eastAsia="zh-CN"/>
              </w:rPr>
              <w:t>型选择成果表</w:t>
            </w:r>
          </w:p>
          <w:tbl>
            <w:tblPr>
              <w:tblStyle w:val="41"/>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776"/>
              <w:gridCol w:w="776"/>
              <w:gridCol w:w="776"/>
              <w:gridCol w:w="776"/>
              <w:gridCol w:w="1376"/>
              <w:gridCol w:w="1380"/>
              <w:gridCol w:w="1203"/>
              <w:gridCol w:w="776"/>
              <w:gridCol w:w="120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9" w:hRule="atLeast"/>
                <w:jc w:val="center"/>
              </w:trPr>
              <w:tc>
                <w:tcPr>
                  <w:tcW w:w="429" w:type="pct"/>
                  <w:noWrap w:val="0"/>
                  <w:vAlign w:val="center"/>
                </w:tcPr>
                <w:p>
                  <w:pPr>
                    <w:widowControl/>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序号</w:t>
                  </w:r>
                </w:p>
              </w:tc>
              <w:tc>
                <w:tcPr>
                  <w:tcW w:w="429" w:type="pct"/>
                  <w:noWrap w:val="0"/>
                  <w:vAlign w:val="center"/>
                </w:tcPr>
                <w:p>
                  <w:pPr>
                    <w:widowControl/>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岸别</w:t>
                  </w:r>
                </w:p>
              </w:tc>
              <w:tc>
                <w:tcPr>
                  <w:tcW w:w="429" w:type="pct"/>
                  <w:noWrap w:val="0"/>
                  <w:vAlign w:val="center"/>
                </w:tcPr>
                <w:p>
                  <w:pPr>
                    <w:widowControl/>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起点小地名</w:t>
                  </w:r>
                </w:p>
              </w:tc>
              <w:tc>
                <w:tcPr>
                  <w:tcW w:w="429" w:type="pct"/>
                  <w:noWrap w:val="0"/>
                  <w:vAlign w:val="center"/>
                </w:tcPr>
                <w:p>
                  <w:pPr>
                    <w:widowControl/>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终点小地名</w:t>
                  </w:r>
                </w:p>
              </w:tc>
              <w:tc>
                <w:tcPr>
                  <w:tcW w:w="761" w:type="pct"/>
                  <w:noWrap w:val="0"/>
                  <w:vAlign w:val="center"/>
                </w:tcPr>
                <w:p>
                  <w:pPr>
                    <w:widowControl/>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起点桩号</w:t>
                  </w:r>
                </w:p>
              </w:tc>
              <w:tc>
                <w:tcPr>
                  <w:tcW w:w="761" w:type="pct"/>
                  <w:noWrap w:val="0"/>
                  <w:vAlign w:val="center"/>
                </w:tcPr>
                <w:p>
                  <w:pPr>
                    <w:widowControl/>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终点桩号</w:t>
                  </w:r>
                </w:p>
              </w:tc>
              <w:tc>
                <w:tcPr>
                  <w:tcW w:w="665" w:type="pct"/>
                  <w:noWrap w:val="0"/>
                  <w:vAlign w:val="center"/>
                </w:tcPr>
                <w:p>
                  <w:pPr>
                    <w:widowControl/>
                    <w:jc w:val="center"/>
                    <w:rPr>
                      <w:rFonts w:hint="eastAsia" w:ascii="Times New Roman" w:hAnsi="Times New Roman" w:eastAsia="宋体" w:cs="Times New Roman"/>
                      <w:b/>
                      <w:bCs/>
                      <w:kern w:val="0"/>
                      <w:sz w:val="21"/>
                      <w:szCs w:val="21"/>
                      <w:lang w:eastAsia="zh-CN"/>
                    </w:rPr>
                  </w:pPr>
                  <w:r>
                    <w:rPr>
                      <w:rFonts w:hint="default" w:ascii="Times New Roman" w:hAnsi="Times New Roman" w:cs="Times New Roman"/>
                      <w:b/>
                      <w:bCs/>
                      <w:kern w:val="0"/>
                      <w:sz w:val="21"/>
                      <w:szCs w:val="21"/>
                    </w:rPr>
                    <w:t>新建堤防长度（m</w:t>
                  </w:r>
                  <w:r>
                    <w:rPr>
                      <w:rFonts w:hint="eastAsia" w:cs="Times New Roman"/>
                      <w:b/>
                      <w:bCs/>
                      <w:kern w:val="0"/>
                      <w:sz w:val="21"/>
                      <w:szCs w:val="21"/>
                      <w:lang w:eastAsia="zh-CN"/>
                    </w:rPr>
                    <w:t>）</w:t>
                  </w:r>
                </w:p>
              </w:tc>
              <w:tc>
                <w:tcPr>
                  <w:tcW w:w="429" w:type="pct"/>
                  <w:noWrap w:val="0"/>
                  <w:vAlign w:val="center"/>
                </w:tcPr>
                <w:p>
                  <w:pPr>
                    <w:widowControl/>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拟建堤型</w:t>
                  </w:r>
                </w:p>
              </w:tc>
              <w:tc>
                <w:tcPr>
                  <w:tcW w:w="665" w:type="pct"/>
                  <w:noWrap w:val="0"/>
                  <w:vAlign w:val="center"/>
                </w:tcPr>
                <w:p>
                  <w:pPr>
                    <w:widowControl/>
                    <w:jc w:val="center"/>
                    <w:rPr>
                      <w:rFonts w:hint="eastAsia" w:ascii="Times New Roman" w:hAnsi="Times New Roman" w:eastAsia="宋体" w:cs="Times New Roman"/>
                      <w:b/>
                      <w:bCs/>
                      <w:kern w:val="0"/>
                      <w:sz w:val="21"/>
                      <w:szCs w:val="21"/>
                      <w:lang w:eastAsia="zh-CN"/>
                    </w:rPr>
                  </w:pPr>
                  <w:r>
                    <w:rPr>
                      <w:rFonts w:hint="default" w:ascii="Times New Roman" w:hAnsi="Times New Roman" w:cs="Times New Roman"/>
                      <w:b/>
                      <w:bCs/>
                      <w:kern w:val="0"/>
                      <w:sz w:val="21"/>
                      <w:szCs w:val="21"/>
                    </w:rPr>
                    <w:t>加固堤防长度（m</w:t>
                  </w:r>
                  <w:r>
                    <w:rPr>
                      <w:rFonts w:hint="eastAsia" w:cs="Times New Roman"/>
                      <w:b/>
                      <w:bCs/>
                      <w:kern w:val="0"/>
                      <w:sz w:val="21"/>
                      <w:szCs w:val="21"/>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9" w:hRule="atLeast"/>
                <w:jc w:val="center"/>
              </w:trPr>
              <w:tc>
                <w:tcPr>
                  <w:tcW w:w="429" w:type="pct"/>
                  <w:noWrap w:val="0"/>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w:t>
                  </w:r>
                </w:p>
              </w:tc>
              <w:tc>
                <w:tcPr>
                  <w:tcW w:w="429" w:type="pct"/>
                  <w:vMerge w:val="restart"/>
                  <w:noWrap w:val="0"/>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右岸</w:t>
                  </w:r>
                </w:p>
              </w:tc>
              <w:tc>
                <w:tcPr>
                  <w:tcW w:w="429" w:type="pct"/>
                  <w:noWrap w:val="0"/>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游坝村破屋基</w:t>
                  </w:r>
                </w:p>
              </w:tc>
              <w:tc>
                <w:tcPr>
                  <w:tcW w:w="429" w:type="pct"/>
                  <w:noWrap w:val="0"/>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周桃枝家</w:t>
                  </w:r>
                </w:p>
              </w:tc>
              <w:tc>
                <w:tcPr>
                  <w:tcW w:w="761" w:type="pct"/>
                  <w:noWrap w:val="0"/>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sz w:val="21"/>
                      <w:szCs w:val="21"/>
                    </w:rPr>
                    <w:t>临右0+057</w:t>
                  </w:r>
                </w:p>
              </w:tc>
              <w:tc>
                <w:tcPr>
                  <w:tcW w:w="761" w:type="pct"/>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临右0+</w:t>
                  </w:r>
                  <w:r>
                    <w:rPr>
                      <w:rFonts w:hint="eastAsia" w:cs="Times New Roman"/>
                      <w:sz w:val="21"/>
                      <w:szCs w:val="21"/>
                      <w:lang w:val="en-US" w:eastAsia="zh-CN"/>
                    </w:rPr>
                    <w:t>227</w:t>
                  </w:r>
                </w:p>
              </w:tc>
              <w:tc>
                <w:tcPr>
                  <w:tcW w:w="1200" w:type="dxa"/>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170</w:t>
                  </w:r>
                </w:p>
              </w:tc>
              <w:tc>
                <w:tcPr>
                  <w:tcW w:w="775" w:type="dxa"/>
                  <w:noWrap w:val="0"/>
                  <w:vAlign w:val="center"/>
                </w:tcPr>
                <w:p>
                  <w:pPr>
                    <w:widowControl/>
                    <w:jc w:val="center"/>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1"/>
                      <w:szCs w:val="21"/>
                    </w:rPr>
                    <w:t>仰斜式</w:t>
                  </w:r>
                </w:p>
              </w:tc>
              <w:tc>
                <w:tcPr>
                  <w:tcW w:w="665" w:type="pct"/>
                  <w:noWrap w:val="0"/>
                  <w:vAlign w:val="center"/>
                </w:tcPr>
                <w:p>
                  <w:pPr>
                    <w:widowControl/>
                    <w:jc w:val="center"/>
                    <w:rPr>
                      <w:rFonts w:hint="default" w:ascii="Times New Roman" w:hAnsi="Times New Roman" w:cs="Times New Roman"/>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9" w:hRule="atLeast"/>
                <w:jc w:val="center"/>
              </w:trPr>
              <w:tc>
                <w:tcPr>
                  <w:tcW w:w="429" w:type="pct"/>
                  <w:noWrap w:val="0"/>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w:t>
                  </w:r>
                </w:p>
              </w:tc>
              <w:tc>
                <w:tcPr>
                  <w:tcW w:w="429" w:type="pct"/>
                  <w:vMerge w:val="continue"/>
                  <w:noWrap w:val="0"/>
                  <w:vAlign w:val="center"/>
                </w:tcPr>
                <w:p>
                  <w:pPr>
                    <w:widowControl/>
                    <w:jc w:val="center"/>
                    <w:rPr>
                      <w:rFonts w:hint="default" w:ascii="Times New Roman" w:hAnsi="Times New Roman" w:cs="Times New Roman"/>
                      <w:kern w:val="0"/>
                      <w:sz w:val="21"/>
                      <w:szCs w:val="21"/>
                    </w:rPr>
                  </w:pPr>
                </w:p>
              </w:tc>
              <w:tc>
                <w:tcPr>
                  <w:tcW w:w="429" w:type="pct"/>
                  <w:noWrap w:val="0"/>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原杜村</w:t>
                  </w:r>
                </w:p>
              </w:tc>
              <w:tc>
                <w:tcPr>
                  <w:tcW w:w="429" w:type="pct"/>
                  <w:noWrap w:val="0"/>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新漫水桥</w:t>
                  </w:r>
                </w:p>
              </w:tc>
              <w:tc>
                <w:tcPr>
                  <w:tcW w:w="761" w:type="pct"/>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临右4+972</w:t>
                  </w:r>
                </w:p>
              </w:tc>
              <w:tc>
                <w:tcPr>
                  <w:tcW w:w="761" w:type="pct"/>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临右5+579</w:t>
                  </w:r>
                </w:p>
              </w:tc>
              <w:tc>
                <w:tcPr>
                  <w:tcW w:w="1200" w:type="dxa"/>
                  <w:noWrap w:val="0"/>
                  <w:vAlign w:val="center"/>
                </w:tcPr>
                <w:p>
                  <w:pPr>
                    <w:widowControl/>
                    <w:jc w:val="center"/>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1"/>
                      <w:szCs w:val="21"/>
                    </w:rPr>
                    <w:t>　</w:t>
                  </w:r>
                </w:p>
              </w:tc>
              <w:tc>
                <w:tcPr>
                  <w:tcW w:w="775" w:type="dxa"/>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护脚加固</w:t>
                  </w:r>
                </w:p>
              </w:tc>
              <w:tc>
                <w:tcPr>
                  <w:tcW w:w="665" w:type="pct"/>
                  <w:noWrap w:val="0"/>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607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9" w:hRule="atLeast"/>
                <w:jc w:val="center"/>
              </w:trPr>
              <w:tc>
                <w:tcPr>
                  <w:tcW w:w="429" w:type="pct"/>
                  <w:noWrap w:val="0"/>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3</w:t>
                  </w:r>
                </w:p>
              </w:tc>
              <w:tc>
                <w:tcPr>
                  <w:tcW w:w="429" w:type="pct"/>
                  <w:vMerge w:val="continue"/>
                  <w:noWrap w:val="0"/>
                  <w:vAlign w:val="center"/>
                </w:tcPr>
                <w:p>
                  <w:pPr>
                    <w:widowControl/>
                    <w:jc w:val="center"/>
                    <w:rPr>
                      <w:rFonts w:hint="default" w:ascii="Times New Roman" w:hAnsi="Times New Roman" w:cs="Times New Roman"/>
                      <w:kern w:val="0"/>
                      <w:sz w:val="21"/>
                      <w:szCs w:val="21"/>
                    </w:rPr>
                  </w:pPr>
                </w:p>
              </w:tc>
              <w:tc>
                <w:tcPr>
                  <w:tcW w:w="429" w:type="pct"/>
                  <w:noWrap w:val="0"/>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周桃枝家</w:t>
                  </w:r>
                </w:p>
              </w:tc>
              <w:tc>
                <w:tcPr>
                  <w:tcW w:w="429" w:type="pct"/>
                  <w:noWrap w:val="0"/>
                  <w:vAlign w:val="center"/>
                </w:tcPr>
                <w:p>
                  <w:pPr>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石材公司对岸</w:t>
                  </w:r>
                </w:p>
              </w:tc>
              <w:tc>
                <w:tcPr>
                  <w:tcW w:w="761" w:type="pct"/>
                  <w:noWrap w:val="0"/>
                  <w:vAlign w:val="center"/>
                </w:tcPr>
                <w:p>
                  <w:pPr>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临右0+227</w:t>
                  </w:r>
                </w:p>
              </w:tc>
              <w:tc>
                <w:tcPr>
                  <w:tcW w:w="761" w:type="pct"/>
                  <w:noWrap w:val="0"/>
                  <w:vAlign w:val="center"/>
                </w:tcPr>
                <w:p>
                  <w:pPr>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临右0+862</w:t>
                  </w:r>
                </w:p>
              </w:tc>
              <w:tc>
                <w:tcPr>
                  <w:tcW w:w="1200" w:type="dxa"/>
                  <w:noWrap w:val="0"/>
                  <w:vAlign w:val="center"/>
                </w:tcPr>
                <w:p>
                  <w:pPr>
                    <w:widowControl/>
                    <w:jc w:val="center"/>
                    <w:rPr>
                      <w:rFonts w:hint="default" w:ascii="Times New Roman" w:hAnsi="Times New Roman" w:eastAsia="宋体" w:cs="Times New Roman"/>
                      <w:kern w:val="0"/>
                      <w:sz w:val="21"/>
                      <w:szCs w:val="21"/>
                    </w:rPr>
                  </w:pPr>
                </w:p>
              </w:tc>
              <w:tc>
                <w:tcPr>
                  <w:tcW w:w="775" w:type="dxa"/>
                  <w:noWrap w:val="0"/>
                  <w:vAlign w:val="center"/>
                </w:tcPr>
                <w:p>
                  <w:pPr>
                    <w:widowControl/>
                    <w:jc w:val="center"/>
                    <w:rPr>
                      <w:rFonts w:hint="default" w:ascii="Times New Roman" w:hAnsi="Times New Roman" w:eastAsia="宋体" w:cs="Times New Roman"/>
                      <w:kern w:val="0"/>
                      <w:sz w:val="21"/>
                      <w:szCs w:val="21"/>
                    </w:rPr>
                  </w:pPr>
                </w:p>
              </w:tc>
              <w:tc>
                <w:tcPr>
                  <w:tcW w:w="665" w:type="pct"/>
                  <w:noWrap w:val="0"/>
                  <w:vAlign w:val="center"/>
                </w:tcPr>
                <w:p>
                  <w:pPr>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635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9" w:hRule="atLeast"/>
                <w:jc w:val="center"/>
              </w:trPr>
              <w:tc>
                <w:tcPr>
                  <w:tcW w:w="429" w:type="pct"/>
                  <w:noWrap w:val="0"/>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4</w:t>
                  </w:r>
                </w:p>
              </w:tc>
              <w:tc>
                <w:tcPr>
                  <w:tcW w:w="429" w:type="pct"/>
                  <w:vMerge w:val="continue"/>
                  <w:noWrap w:val="0"/>
                  <w:vAlign w:val="center"/>
                </w:tcPr>
                <w:p>
                  <w:pPr>
                    <w:widowControl/>
                    <w:jc w:val="center"/>
                    <w:rPr>
                      <w:rFonts w:hint="default" w:ascii="Times New Roman" w:hAnsi="Times New Roman" w:cs="Times New Roman"/>
                      <w:kern w:val="0"/>
                      <w:sz w:val="21"/>
                      <w:szCs w:val="21"/>
                    </w:rPr>
                  </w:pPr>
                </w:p>
              </w:tc>
              <w:tc>
                <w:tcPr>
                  <w:tcW w:w="429" w:type="pct"/>
                  <w:noWrap w:val="0"/>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石材公司对岸</w:t>
                  </w:r>
                </w:p>
              </w:tc>
              <w:tc>
                <w:tcPr>
                  <w:tcW w:w="429" w:type="pct"/>
                  <w:noWrap w:val="0"/>
                  <w:vAlign w:val="center"/>
                </w:tcPr>
                <w:p>
                  <w:pPr>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游坝村桥</w:t>
                  </w:r>
                </w:p>
              </w:tc>
              <w:tc>
                <w:tcPr>
                  <w:tcW w:w="761" w:type="pct"/>
                  <w:noWrap w:val="0"/>
                  <w:vAlign w:val="center"/>
                </w:tcPr>
                <w:p>
                  <w:pPr>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临右0+862</w:t>
                  </w:r>
                </w:p>
              </w:tc>
              <w:tc>
                <w:tcPr>
                  <w:tcW w:w="761" w:type="pct"/>
                  <w:noWrap w:val="0"/>
                  <w:vAlign w:val="center"/>
                </w:tcPr>
                <w:p>
                  <w:pPr>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临右1+435</w:t>
                  </w:r>
                </w:p>
              </w:tc>
              <w:tc>
                <w:tcPr>
                  <w:tcW w:w="1200" w:type="dxa"/>
                  <w:noWrap w:val="0"/>
                  <w:vAlign w:val="center"/>
                </w:tcPr>
                <w:p>
                  <w:pPr>
                    <w:widowControl/>
                    <w:jc w:val="center"/>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1"/>
                      <w:szCs w:val="21"/>
                    </w:rPr>
                    <w:t>573</w:t>
                  </w:r>
                </w:p>
              </w:tc>
              <w:tc>
                <w:tcPr>
                  <w:tcW w:w="775" w:type="dxa"/>
                  <w:noWrap w:val="0"/>
                  <w:vAlign w:val="center"/>
                </w:tcPr>
                <w:p>
                  <w:pPr>
                    <w:widowControl/>
                    <w:jc w:val="center"/>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1"/>
                      <w:szCs w:val="21"/>
                    </w:rPr>
                    <w:t>护岸</w:t>
                  </w:r>
                </w:p>
              </w:tc>
              <w:tc>
                <w:tcPr>
                  <w:tcW w:w="665" w:type="pct"/>
                  <w:noWrap w:val="0"/>
                  <w:vAlign w:val="center"/>
                </w:tcPr>
                <w:p>
                  <w:pPr>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9" w:hRule="atLeast"/>
                <w:jc w:val="center"/>
              </w:trPr>
              <w:tc>
                <w:tcPr>
                  <w:tcW w:w="429" w:type="pct"/>
                  <w:noWrap w:val="0"/>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5</w:t>
                  </w:r>
                </w:p>
              </w:tc>
              <w:tc>
                <w:tcPr>
                  <w:tcW w:w="429" w:type="pct"/>
                  <w:vMerge w:val="continue"/>
                  <w:noWrap w:val="0"/>
                  <w:vAlign w:val="center"/>
                </w:tcPr>
                <w:p>
                  <w:pPr>
                    <w:widowControl/>
                    <w:jc w:val="center"/>
                    <w:rPr>
                      <w:rFonts w:hint="default" w:ascii="Times New Roman" w:hAnsi="Times New Roman" w:cs="Times New Roman"/>
                      <w:kern w:val="0"/>
                      <w:sz w:val="21"/>
                      <w:szCs w:val="21"/>
                    </w:rPr>
                  </w:pPr>
                </w:p>
              </w:tc>
              <w:tc>
                <w:tcPr>
                  <w:tcW w:w="429" w:type="pct"/>
                  <w:noWrap w:val="0"/>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原夏村</w:t>
                  </w:r>
                </w:p>
              </w:tc>
              <w:tc>
                <w:tcPr>
                  <w:tcW w:w="429" w:type="pct"/>
                  <w:noWrap w:val="0"/>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铁二局拌合楼</w:t>
                  </w:r>
                </w:p>
              </w:tc>
              <w:tc>
                <w:tcPr>
                  <w:tcW w:w="761" w:type="pct"/>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临右5+800</w:t>
                  </w:r>
                </w:p>
              </w:tc>
              <w:tc>
                <w:tcPr>
                  <w:tcW w:w="761" w:type="pct"/>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临右6+078</w:t>
                  </w:r>
                </w:p>
              </w:tc>
              <w:tc>
                <w:tcPr>
                  <w:tcW w:w="1200" w:type="dxa"/>
                  <w:noWrap w:val="0"/>
                  <w:vAlign w:val="center"/>
                </w:tcPr>
                <w:p>
                  <w:pPr>
                    <w:widowControl/>
                    <w:jc w:val="center"/>
                    <w:rPr>
                      <w:rFonts w:hint="default" w:ascii="Times New Roman" w:hAnsi="Times New Roman" w:eastAsia="宋体" w:cs="Times New Roman"/>
                      <w:kern w:val="0"/>
                      <w:sz w:val="21"/>
                      <w:szCs w:val="21"/>
                    </w:rPr>
                  </w:pPr>
                </w:p>
              </w:tc>
              <w:tc>
                <w:tcPr>
                  <w:tcW w:w="775" w:type="dxa"/>
                  <w:noWrap w:val="0"/>
                  <w:vAlign w:val="center"/>
                </w:tcPr>
                <w:p>
                  <w:pPr>
                    <w:widowControl/>
                    <w:jc w:val="center"/>
                    <w:rPr>
                      <w:rFonts w:hint="default" w:ascii="Times New Roman" w:hAnsi="Times New Roman" w:eastAsia="宋体" w:cs="Times New Roman"/>
                      <w:kern w:val="0"/>
                      <w:sz w:val="21"/>
                      <w:szCs w:val="21"/>
                    </w:rPr>
                  </w:pPr>
                </w:p>
              </w:tc>
              <w:tc>
                <w:tcPr>
                  <w:tcW w:w="665" w:type="pct"/>
                  <w:noWrap w:val="0"/>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278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9" w:hRule="atLeast"/>
                <w:jc w:val="center"/>
              </w:trPr>
              <w:tc>
                <w:tcPr>
                  <w:tcW w:w="3240" w:type="pct"/>
                  <w:gridSpan w:val="6"/>
                  <w:noWrap w:val="0"/>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右岸小计</w:t>
                  </w:r>
                </w:p>
              </w:tc>
              <w:tc>
                <w:tcPr>
                  <w:tcW w:w="1200" w:type="dxa"/>
                  <w:noWrap w:val="0"/>
                  <w:vAlign w:val="center"/>
                </w:tcPr>
                <w:p>
                  <w:pPr>
                    <w:widowControl/>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743</w:t>
                  </w:r>
                </w:p>
              </w:tc>
              <w:tc>
                <w:tcPr>
                  <w:tcW w:w="775" w:type="dxa"/>
                  <w:noWrap w:val="0"/>
                  <w:vAlign w:val="center"/>
                </w:tcPr>
                <w:p>
                  <w:pPr>
                    <w:widowControl/>
                    <w:jc w:val="center"/>
                    <w:rPr>
                      <w:rFonts w:hint="default" w:ascii="Times New Roman" w:hAnsi="Times New Roman" w:eastAsia="宋体" w:cs="Times New Roman"/>
                      <w:kern w:val="0"/>
                      <w:sz w:val="21"/>
                      <w:szCs w:val="21"/>
                    </w:rPr>
                  </w:pPr>
                </w:p>
              </w:tc>
              <w:tc>
                <w:tcPr>
                  <w:tcW w:w="665" w:type="pct"/>
                  <w:noWrap w:val="0"/>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1520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9" w:hRule="atLeast"/>
                <w:jc w:val="center"/>
              </w:trPr>
              <w:tc>
                <w:tcPr>
                  <w:tcW w:w="429" w:type="pct"/>
                  <w:noWrap w:val="0"/>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w:t>
                  </w:r>
                </w:p>
              </w:tc>
              <w:tc>
                <w:tcPr>
                  <w:tcW w:w="429" w:type="pct"/>
                  <w:vMerge w:val="restart"/>
                  <w:noWrap w:val="0"/>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左岸</w:t>
                  </w:r>
                </w:p>
              </w:tc>
              <w:tc>
                <w:tcPr>
                  <w:tcW w:w="429" w:type="pct"/>
                  <w:noWrap w:val="0"/>
                  <w:vAlign w:val="center"/>
                </w:tcPr>
                <w:p>
                  <w:pPr>
                    <w:widowControl/>
                    <w:jc w:val="center"/>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三圣村流滴岩</w:t>
                  </w:r>
                </w:p>
              </w:tc>
              <w:tc>
                <w:tcPr>
                  <w:tcW w:w="429" w:type="pct"/>
                  <w:noWrap w:val="0"/>
                  <w:vAlign w:val="center"/>
                </w:tcPr>
                <w:p>
                  <w:pPr>
                    <w:widowControl/>
                    <w:jc w:val="center"/>
                    <w:rPr>
                      <w:rFonts w:hint="default" w:ascii="Times New Roman" w:hAnsi="Times New Roman" w:cs="Times New Roman"/>
                      <w:kern w:val="0"/>
                      <w:sz w:val="21"/>
                      <w:szCs w:val="21"/>
                      <w:highlight w:val="none"/>
                    </w:rPr>
                  </w:pPr>
                  <w:r>
                    <w:rPr>
                      <w:rFonts w:hint="default" w:ascii="Times New Roman" w:hAnsi="Times New Roman" w:cs="Times New Roman"/>
                      <w:kern w:val="0"/>
                      <w:sz w:val="21"/>
                      <w:szCs w:val="21"/>
                      <w:highlight w:val="none"/>
                    </w:rPr>
                    <w:t>中铁二局钢筋棚</w:t>
                  </w:r>
                </w:p>
              </w:tc>
              <w:tc>
                <w:tcPr>
                  <w:tcW w:w="761" w:type="pct"/>
                  <w:noWrap w:val="0"/>
                  <w:vAlign w:val="center"/>
                </w:tcPr>
                <w:p>
                  <w:pPr>
                    <w:widowControl/>
                    <w:jc w:val="center"/>
                    <w:rPr>
                      <w:rFonts w:hint="default" w:ascii="Times New Roman" w:hAnsi="Times New Roman" w:eastAsia="宋体" w:cs="Times New Roman"/>
                      <w:kern w:val="0"/>
                      <w:sz w:val="21"/>
                      <w:szCs w:val="21"/>
                      <w:highlight w:val="none"/>
                      <w:lang w:val="en-US" w:eastAsia="zh-CN"/>
                    </w:rPr>
                  </w:pPr>
                  <w:r>
                    <w:rPr>
                      <w:rFonts w:hint="default" w:ascii="Times New Roman" w:hAnsi="Times New Roman" w:cs="Times New Roman"/>
                      <w:sz w:val="21"/>
                      <w:szCs w:val="21"/>
                      <w:highlight w:val="none"/>
                    </w:rPr>
                    <w:t>临左5+1</w:t>
                  </w:r>
                  <w:r>
                    <w:rPr>
                      <w:rFonts w:hint="eastAsia" w:cs="Times New Roman"/>
                      <w:sz w:val="21"/>
                      <w:szCs w:val="21"/>
                      <w:highlight w:val="none"/>
                      <w:lang w:val="en-US" w:eastAsia="zh-CN"/>
                    </w:rPr>
                    <w:t>14</w:t>
                  </w:r>
                </w:p>
              </w:tc>
              <w:tc>
                <w:tcPr>
                  <w:tcW w:w="761" w:type="pct"/>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临左5+5</w:t>
                  </w:r>
                  <w:r>
                    <w:rPr>
                      <w:rFonts w:hint="eastAsia" w:cs="Times New Roman"/>
                      <w:sz w:val="21"/>
                      <w:szCs w:val="21"/>
                      <w:lang w:val="en-US" w:eastAsia="zh-CN"/>
                    </w:rPr>
                    <w:t>5</w:t>
                  </w:r>
                  <w:r>
                    <w:rPr>
                      <w:rFonts w:hint="default" w:ascii="Times New Roman" w:hAnsi="Times New Roman" w:cs="Times New Roman"/>
                      <w:sz w:val="21"/>
                      <w:szCs w:val="21"/>
                    </w:rPr>
                    <w:t>0</w:t>
                  </w:r>
                </w:p>
              </w:tc>
              <w:tc>
                <w:tcPr>
                  <w:tcW w:w="1200" w:type="dxa"/>
                  <w:noWrap w:val="0"/>
                  <w:vAlign w:val="center"/>
                </w:tcPr>
                <w:p>
                  <w:pPr>
                    <w:widowControl/>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rPr>
                    <w:t>4</w:t>
                  </w:r>
                  <w:r>
                    <w:rPr>
                      <w:rFonts w:hint="eastAsia" w:cs="Times New Roman"/>
                      <w:kern w:val="0"/>
                      <w:sz w:val="21"/>
                      <w:szCs w:val="21"/>
                      <w:lang w:val="en-US" w:eastAsia="zh-CN"/>
                    </w:rPr>
                    <w:t>36</w:t>
                  </w:r>
                </w:p>
              </w:tc>
              <w:tc>
                <w:tcPr>
                  <w:tcW w:w="775" w:type="dxa"/>
                  <w:noWrap w:val="0"/>
                  <w:vAlign w:val="center"/>
                </w:tcPr>
                <w:p>
                  <w:pPr>
                    <w:widowControl/>
                    <w:jc w:val="center"/>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1"/>
                      <w:szCs w:val="21"/>
                    </w:rPr>
                    <w:t>斜坡式</w:t>
                  </w:r>
                </w:p>
              </w:tc>
              <w:tc>
                <w:tcPr>
                  <w:tcW w:w="665" w:type="pct"/>
                  <w:noWrap w:val="0"/>
                  <w:vAlign w:val="center"/>
                </w:tcPr>
                <w:p>
                  <w:pPr>
                    <w:widowControl/>
                    <w:jc w:val="center"/>
                    <w:rPr>
                      <w:rFonts w:hint="default" w:ascii="Times New Roman" w:hAnsi="Times New Roman" w:cs="Times New Roman"/>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9" w:hRule="atLeast"/>
                <w:jc w:val="center"/>
              </w:trPr>
              <w:tc>
                <w:tcPr>
                  <w:tcW w:w="429" w:type="pct"/>
                  <w:noWrap w:val="0"/>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w:t>
                  </w:r>
                </w:p>
              </w:tc>
              <w:tc>
                <w:tcPr>
                  <w:tcW w:w="429" w:type="pct"/>
                  <w:vMerge w:val="continue"/>
                  <w:noWrap w:val="0"/>
                  <w:vAlign w:val="center"/>
                </w:tcPr>
                <w:p>
                  <w:pPr>
                    <w:widowControl/>
                    <w:jc w:val="center"/>
                    <w:rPr>
                      <w:rFonts w:hint="default" w:ascii="Times New Roman" w:hAnsi="Times New Roman" w:cs="Times New Roman"/>
                      <w:kern w:val="0"/>
                      <w:sz w:val="21"/>
                      <w:szCs w:val="21"/>
                    </w:rPr>
                  </w:pPr>
                </w:p>
              </w:tc>
              <w:tc>
                <w:tcPr>
                  <w:tcW w:w="429" w:type="pct"/>
                  <w:noWrap w:val="0"/>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中铁二局钢筋棚</w:t>
                  </w:r>
                </w:p>
              </w:tc>
              <w:tc>
                <w:tcPr>
                  <w:tcW w:w="429" w:type="pct"/>
                  <w:noWrap w:val="0"/>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三圣村新漫水桥</w:t>
                  </w:r>
                </w:p>
              </w:tc>
              <w:tc>
                <w:tcPr>
                  <w:tcW w:w="761" w:type="pct"/>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临左5+550</w:t>
                  </w:r>
                </w:p>
              </w:tc>
              <w:tc>
                <w:tcPr>
                  <w:tcW w:w="761" w:type="pct"/>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临左5+750</w:t>
                  </w:r>
                </w:p>
              </w:tc>
              <w:tc>
                <w:tcPr>
                  <w:tcW w:w="1200" w:type="dxa"/>
                  <w:noWrap w:val="0"/>
                  <w:vAlign w:val="center"/>
                </w:tcPr>
                <w:p>
                  <w:pPr>
                    <w:widowControl/>
                    <w:jc w:val="center"/>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1"/>
                      <w:szCs w:val="21"/>
                    </w:rPr>
                    <w:t>200</w:t>
                  </w:r>
                </w:p>
              </w:tc>
              <w:tc>
                <w:tcPr>
                  <w:tcW w:w="775" w:type="dxa"/>
                  <w:noWrap w:val="0"/>
                  <w:vAlign w:val="center"/>
                </w:tcPr>
                <w:p>
                  <w:pPr>
                    <w:widowControl/>
                    <w:jc w:val="center"/>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1"/>
                      <w:szCs w:val="21"/>
                      <w:lang w:eastAsia="zh-CN"/>
                    </w:rPr>
                    <w:t>仰斜式+</w:t>
                  </w:r>
                  <w:r>
                    <w:rPr>
                      <w:rFonts w:hint="eastAsia" w:ascii="Times New Roman" w:hAnsi="Times New Roman" w:eastAsia="宋体" w:cs="Times New Roman"/>
                      <w:kern w:val="0"/>
                      <w:sz w:val="21"/>
                      <w:szCs w:val="21"/>
                    </w:rPr>
                    <w:t>斜坡式</w:t>
                  </w:r>
                </w:p>
              </w:tc>
              <w:tc>
                <w:tcPr>
                  <w:tcW w:w="665" w:type="pct"/>
                  <w:noWrap w:val="0"/>
                  <w:vAlign w:val="center"/>
                </w:tcPr>
                <w:p>
                  <w:pPr>
                    <w:widowControl/>
                    <w:jc w:val="center"/>
                    <w:rPr>
                      <w:rFonts w:hint="default" w:ascii="Times New Roman" w:hAnsi="Times New Roman" w:cs="Times New Roman"/>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9" w:hRule="atLeast"/>
                <w:jc w:val="center"/>
              </w:trPr>
              <w:tc>
                <w:tcPr>
                  <w:tcW w:w="429" w:type="pct"/>
                  <w:noWrap w:val="0"/>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3</w:t>
                  </w:r>
                </w:p>
              </w:tc>
              <w:tc>
                <w:tcPr>
                  <w:tcW w:w="429" w:type="pct"/>
                  <w:vMerge w:val="continue"/>
                  <w:noWrap w:val="0"/>
                  <w:vAlign w:val="center"/>
                </w:tcPr>
                <w:p>
                  <w:pPr>
                    <w:widowControl/>
                    <w:jc w:val="center"/>
                    <w:rPr>
                      <w:rFonts w:hint="default" w:ascii="Times New Roman" w:hAnsi="Times New Roman" w:cs="Times New Roman"/>
                      <w:kern w:val="0"/>
                      <w:sz w:val="21"/>
                      <w:szCs w:val="21"/>
                    </w:rPr>
                  </w:pPr>
                </w:p>
              </w:tc>
              <w:tc>
                <w:tcPr>
                  <w:tcW w:w="429" w:type="pct"/>
                  <w:noWrap w:val="0"/>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三圣村新漫水桥</w:t>
                  </w:r>
                </w:p>
              </w:tc>
              <w:tc>
                <w:tcPr>
                  <w:tcW w:w="429" w:type="pct"/>
                  <w:noWrap w:val="0"/>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三圣村琵琶沱</w:t>
                  </w:r>
                </w:p>
              </w:tc>
              <w:tc>
                <w:tcPr>
                  <w:tcW w:w="761" w:type="pct"/>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临左5+750</w:t>
                  </w:r>
                </w:p>
              </w:tc>
              <w:tc>
                <w:tcPr>
                  <w:tcW w:w="761" w:type="pct"/>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临左6+274</w:t>
                  </w:r>
                </w:p>
              </w:tc>
              <w:tc>
                <w:tcPr>
                  <w:tcW w:w="1200" w:type="dxa"/>
                  <w:noWrap w:val="0"/>
                  <w:vAlign w:val="center"/>
                </w:tcPr>
                <w:p>
                  <w:pPr>
                    <w:widowControl/>
                    <w:jc w:val="center"/>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1"/>
                      <w:szCs w:val="21"/>
                    </w:rPr>
                    <w:t>510</w:t>
                  </w:r>
                </w:p>
              </w:tc>
              <w:tc>
                <w:tcPr>
                  <w:tcW w:w="775" w:type="dxa"/>
                  <w:noWrap w:val="0"/>
                  <w:vAlign w:val="center"/>
                </w:tcPr>
                <w:p>
                  <w:pPr>
                    <w:widowControl/>
                    <w:jc w:val="center"/>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1"/>
                      <w:szCs w:val="21"/>
                    </w:rPr>
                    <w:t>斜坡式</w:t>
                  </w:r>
                </w:p>
              </w:tc>
              <w:tc>
                <w:tcPr>
                  <w:tcW w:w="665" w:type="pct"/>
                  <w:noWrap w:val="0"/>
                  <w:vAlign w:val="center"/>
                </w:tcPr>
                <w:p>
                  <w:pPr>
                    <w:widowControl/>
                    <w:jc w:val="center"/>
                    <w:rPr>
                      <w:rFonts w:hint="default" w:ascii="Times New Roman" w:hAnsi="Times New Roman" w:cs="Times New Roman"/>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9" w:hRule="atLeast"/>
                <w:jc w:val="center"/>
              </w:trPr>
              <w:tc>
                <w:tcPr>
                  <w:tcW w:w="3240" w:type="pct"/>
                  <w:gridSpan w:val="6"/>
                  <w:noWrap w:val="0"/>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左岸小计</w:t>
                  </w:r>
                </w:p>
              </w:tc>
              <w:tc>
                <w:tcPr>
                  <w:tcW w:w="1200" w:type="dxa"/>
                  <w:noWrap w:val="0"/>
                  <w:vAlign w:val="center"/>
                </w:tcPr>
                <w:p>
                  <w:pPr>
                    <w:widowControl/>
                    <w:jc w:val="center"/>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1"/>
                      <w:szCs w:val="21"/>
                    </w:rPr>
                    <w:t>1110</w:t>
                  </w:r>
                </w:p>
              </w:tc>
              <w:tc>
                <w:tcPr>
                  <w:tcW w:w="775" w:type="dxa"/>
                  <w:noWrap w:val="0"/>
                  <w:vAlign w:val="center"/>
                </w:tcPr>
                <w:p>
                  <w:pPr>
                    <w:widowControl/>
                    <w:jc w:val="center"/>
                    <w:rPr>
                      <w:rFonts w:hint="default" w:ascii="Times New Roman" w:hAnsi="Times New Roman" w:eastAsia="宋体" w:cs="Times New Roman"/>
                      <w:kern w:val="0"/>
                      <w:sz w:val="21"/>
                      <w:szCs w:val="21"/>
                    </w:rPr>
                  </w:pPr>
                </w:p>
              </w:tc>
              <w:tc>
                <w:tcPr>
                  <w:tcW w:w="665" w:type="pct"/>
                  <w:noWrap w:val="0"/>
                  <w:vAlign w:val="center"/>
                </w:tcPr>
                <w:p>
                  <w:pPr>
                    <w:widowControl/>
                    <w:jc w:val="center"/>
                    <w:rPr>
                      <w:rFonts w:hint="default" w:ascii="Times New Roman" w:hAnsi="Times New Roman" w:cs="Times New Roman"/>
                      <w:kern w:val="0"/>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9" w:hRule="atLeast"/>
                <w:jc w:val="center"/>
              </w:trPr>
              <w:tc>
                <w:tcPr>
                  <w:tcW w:w="3240" w:type="pct"/>
                  <w:gridSpan w:val="6"/>
                  <w:noWrap w:val="0"/>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合计</w:t>
                  </w:r>
                </w:p>
              </w:tc>
              <w:tc>
                <w:tcPr>
                  <w:tcW w:w="1200" w:type="dxa"/>
                  <w:noWrap w:val="0"/>
                  <w:vAlign w:val="center"/>
                </w:tcPr>
                <w:p>
                  <w:pPr>
                    <w:widowControl/>
                    <w:jc w:val="center"/>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1"/>
                      <w:szCs w:val="21"/>
                    </w:rPr>
                    <w:t>1853</w:t>
                  </w:r>
                </w:p>
              </w:tc>
              <w:tc>
                <w:tcPr>
                  <w:tcW w:w="775" w:type="dxa"/>
                  <w:noWrap w:val="0"/>
                  <w:vAlign w:val="center"/>
                </w:tcPr>
                <w:p>
                  <w:pPr>
                    <w:widowControl/>
                    <w:jc w:val="center"/>
                    <w:rPr>
                      <w:rFonts w:hint="default" w:ascii="Times New Roman" w:hAnsi="Times New Roman" w:eastAsia="宋体" w:cs="Times New Roman"/>
                      <w:kern w:val="0"/>
                      <w:sz w:val="21"/>
                      <w:szCs w:val="21"/>
                    </w:rPr>
                  </w:pPr>
                </w:p>
              </w:tc>
              <w:tc>
                <w:tcPr>
                  <w:tcW w:w="665" w:type="pct"/>
                  <w:noWrap w:val="0"/>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1520</w:t>
                  </w:r>
                </w:p>
              </w:tc>
            </w:tr>
          </w:tbl>
          <w:p>
            <w:pPr>
              <w:pStyle w:val="6"/>
              <w:pageBreakBefore w:val="0"/>
              <w:widowControl w:val="0"/>
              <w:kinsoku/>
              <w:wordWrap/>
              <w:topLinePunct w:val="0"/>
              <w:autoSpaceDE/>
              <w:autoSpaceDN/>
              <w:bidi w:val="0"/>
              <w:adjustRightInd w:val="0"/>
              <w:snapToGrid w:val="0"/>
              <w:spacing w:before="0" w:after="0" w:line="360" w:lineRule="auto"/>
              <w:ind w:left="0"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10、排涝</w:t>
            </w:r>
          </w:p>
          <w:p>
            <w:pPr>
              <w:spacing w:line="360" w:lineRule="auto"/>
              <w:ind w:firstLine="480" w:firstLineChars="200"/>
              <w:rPr>
                <w:rFonts w:ascii="Times New Roman" w:hAnsi="Times New Roman" w:eastAsia="宋体" w:cs="Times New Roman"/>
                <w:sz w:val="24"/>
                <w:szCs w:val="22"/>
              </w:rPr>
            </w:pPr>
            <w:r>
              <w:rPr>
                <w:rFonts w:ascii="Times New Roman" w:hAnsi="Times New Roman" w:eastAsia="宋体" w:cs="Times New Roman"/>
                <w:sz w:val="24"/>
                <w:szCs w:val="22"/>
              </w:rPr>
              <w:t>修建防洪堤后，</w:t>
            </w:r>
            <w:r>
              <w:rPr>
                <w:rFonts w:hint="eastAsia" w:ascii="Times New Roman" w:hAnsi="Times New Roman" w:eastAsia="宋体" w:cs="Times New Roman"/>
                <w:sz w:val="24"/>
                <w:szCs w:val="22"/>
              </w:rPr>
              <w:t>堤防背坡及原集水排涝区域来水无法排放，本工程堤后</w:t>
            </w:r>
            <w:r>
              <w:rPr>
                <w:rFonts w:ascii="Times New Roman" w:hAnsi="Times New Roman" w:eastAsia="宋体" w:cs="Times New Roman"/>
                <w:sz w:val="24"/>
                <w:szCs w:val="22"/>
              </w:rPr>
              <w:t>排水</w:t>
            </w:r>
            <w:r>
              <w:rPr>
                <w:rFonts w:hint="eastAsia" w:ascii="Times New Roman" w:hAnsi="Times New Roman" w:eastAsia="宋体" w:cs="Times New Roman"/>
                <w:sz w:val="24"/>
                <w:szCs w:val="22"/>
              </w:rPr>
              <w:t>采用明沟排水，穿堤涵管排放至河道内，</w:t>
            </w:r>
            <w:r>
              <w:rPr>
                <w:rFonts w:ascii="Times New Roman" w:hAnsi="Times New Roman" w:eastAsia="宋体" w:cs="Times New Roman"/>
                <w:sz w:val="24"/>
                <w:szCs w:val="22"/>
              </w:rPr>
              <w:t>根据实际情况，在</w:t>
            </w:r>
            <w:r>
              <w:rPr>
                <w:rFonts w:hint="eastAsia" w:ascii="Times New Roman" w:hAnsi="Times New Roman" w:eastAsia="宋体" w:cs="Times New Roman"/>
                <w:sz w:val="24"/>
                <w:szCs w:val="22"/>
              </w:rPr>
              <w:t>堤防背坡脚设置尺寸为</w:t>
            </w:r>
            <w:r>
              <w:rPr>
                <w:rFonts w:ascii="Times New Roman" w:hAnsi="Times New Roman" w:eastAsia="宋体" w:cs="Times New Roman"/>
                <w:sz w:val="24"/>
                <w:szCs w:val="22"/>
              </w:rPr>
              <w:t>0.4m</w:t>
            </w:r>
            <w:r>
              <w:rPr>
                <w:rFonts w:hint="eastAsia" w:ascii="Times New Roman" w:hAnsi="Times New Roman" w:eastAsia="宋体" w:cs="Times New Roman"/>
                <w:sz w:val="24"/>
                <w:szCs w:val="22"/>
              </w:rPr>
              <w:t>×</w:t>
            </w:r>
            <w:r>
              <w:rPr>
                <w:rFonts w:ascii="Times New Roman" w:hAnsi="Times New Roman" w:eastAsia="宋体" w:cs="Times New Roman"/>
                <w:sz w:val="24"/>
                <w:szCs w:val="22"/>
              </w:rPr>
              <w:t>0.4m</w:t>
            </w:r>
            <w:r>
              <w:rPr>
                <w:rFonts w:hint="eastAsia" w:ascii="Times New Roman" w:hAnsi="Times New Roman" w:eastAsia="宋体" w:cs="Times New Roman"/>
                <w:sz w:val="24"/>
                <w:szCs w:val="22"/>
              </w:rPr>
              <w:t>（净宽×高）的C</w:t>
            </w:r>
            <w:r>
              <w:rPr>
                <w:rFonts w:ascii="Times New Roman" w:hAnsi="Times New Roman" w:eastAsia="宋体" w:cs="Times New Roman"/>
                <w:sz w:val="24"/>
                <w:szCs w:val="22"/>
              </w:rPr>
              <w:t>20</w:t>
            </w:r>
            <w:r>
              <w:rPr>
                <w:rFonts w:hint="eastAsia" w:ascii="Times New Roman" w:hAnsi="Times New Roman" w:eastAsia="宋体" w:cs="Times New Roman"/>
                <w:sz w:val="24"/>
                <w:szCs w:val="22"/>
              </w:rPr>
              <w:t>砼矩形排水沟，排水沟纵坡设计为</w:t>
            </w:r>
            <w:r>
              <w:rPr>
                <w:rFonts w:ascii="Times New Roman" w:hAnsi="Times New Roman" w:eastAsia="宋体" w:cs="Times New Roman"/>
                <w:sz w:val="24"/>
                <w:szCs w:val="22"/>
              </w:rPr>
              <w:t>8</w:t>
            </w:r>
            <w:r>
              <w:rPr>
                <w:rFonts w:hint="eastAsia" w:ascii="Times New Roman" w:hAnsi="Times New Roman" w:eastAsia="宋体" w:cs="Times New Roman"/>
                <w:sz w:val="24"/>
                <w:szCs w:val="22"/>
              </w:rPr>
              <w:t>‰-</w:t>
            </w:r>
            <w:r>
              <w:rPr>
                <w:rFonts w:ascii="Times New Roman" w:hAnsi="Times New Roman" w:eastAsia="宋体" w:cs="Times New Roman"/>
                <w:sz w:val="24"/>
                <w:szCs w:val="22"/>
              </w:rPr>
              <w:t>1%</w:t>
            </w:r>
            <w:r>
              <w:rPr>
                <w:rFonts w:hint="eastAsia" w:ascii="Times New Roman" w:hAnsi="Times New Roman" w:eastAsia="宋体" w:cs="Times New Roman"/>
                <w:sz w:val="24"/>
                <w:szCs w:val="22"/>
              </w:rPr>
              <w:t>，在</w:t>
            </w:r>
            <w:r>
              <w:rPr>
                <w:rFonts w:ascii="Times New Roman" w:hAnsi="Times New Roman" w:eastAsia="宋体" w:cs="Times New Roman"/>
                <w:sz w:val="24"/>
                <w:szCs w:val="22"/>
              </w:rPr>
              <w:t>以下位置新建涵管:</w:t>
            </w:r>
            <w:r>
              <w:rPr>
                <w:rFonts w:hint="eastAsia" w:ascii="仿宋" w:hAnsi="仿宋" w:eastAsia="仿宋" w:cs="Times New Roman"/>
                <w:sz w:val="24"/>
                <w:szCs w:val="22"/>
              </w:rPr>
              <w:t xml:space="preserve"> </w:t>
            </w:r>
            <w:r>
              <w:rPr>
                <w:rFonts w:hint="eastAsia" w:ascii="Times New Roman" w:hAnsi="Times New Roman" w:eastAsia="宋体" w:cs="Times New Roman"/>
                <w:sz w:val="24"/>
                <w:szCs w:val="22"/>
              </w:rPr>
              <w:t>临</w:t>
            </w:r>
            <w:r>
              <w:rPr>
                <w:rFonts w:ascii="Times New Roman" w:hAnsi="Times New Roman" w:eastAsia="宋体" w:cs="Times New Roman"/>
                <w:sz w:val="24"/>
                <w:szCs w:val="22"/>
              </w:rPr>
              <w:t>左5+350、</w:t>
            </w:r>
            <w:r>
              <w:rPr>
                <w:rFonts w:hint="eastAsia" w:ascii="Times New Roman" w:hAnsi="Times New Roman" w:eastAsia="宋体" w:cs="Times New Roman"/>
                <w:sz w:val="24"/>
                <w:szCs w:val="22"/>
              </w:rPr>
              <w:t>临</w:t>
            </w:r>
            <w:r>
              <w:rPr>
                <w:rFonts w:ascii="Times New Roman" w:hAnsi="Times New Roman" w:eastAsia="宋体" w:cs="Times New Roman"/>
                <w:sz w:val="24"/>
                <w:szCs w:val="22"/>
              </w:rPr>
              <w:t>左5+550、</w:t>
            </w:r>
            <w:r>
              <w:rPr>
                <w:rFonts w:hint="eastAsia" w:ascii="Times New Roman" w:hAnsi="Times New Roman" w:eastAsia="宋体" w:cs="Times New Roman"/>
                <w:sz w:val="24"/>
                <w:szCs w:val="22"/>
              </w:rPr>
              <w:t>临</w:t>
            </w:r>
            <w:r>
              <w:rPr>
                <w:rFonts w:ascii="Times New Roman" w:hAnsi="Times New Roman" w:eastAsia="宋体" w:cs="Times New Roman"/>
                <w:sz w:val="24"/>
                <w:szCs w:val="22"/>
              </w:rPr>
              <w:t>左5+650、</w:t>
            </w:r>
            <w:r>
              <w:rPr>
                <w:rFonts w:hint="eastAsia" w:ascii="Times New Roman" w:hAnsi="Times New Roman" w:eastAsia="宋体" w:cs="Times New Roman"/>
                <w:sz w:val="24"/>
                <w:szCs w:val="22"/>
              </w:rPr>
              <w:t>临</w:t>
            </w:r>
            <w:r>
              <w:rPr>
                <w:rFonts w:ascii="Times New Roman" w:hAnsi="Times New Roman" w:eastAsia="宋体" w:cs="Times New Roman"/>
                <w:sz w:val="24"/>
                <w:szCs w:val="22"/>
              </w:rPr>
              <w:t>左5+725、</w:t>
            </w:r>
            <w:r>
              <w:rPr>
                <w:rFonts w:hint="eastAsia" w:ascii="Times New Roman" w:hAnsi="Times New Roman" w:eastAsia="宋体" w:cs="Times New Roman"/>
                <w:sz w:val="24"/>
                <w:szCs w:val="22"/>
              </w:rPr>
              <w:t>临</w:t>
            </w:r>
            <w:r>
              <w:rPr>
                <w:rFonts w:ascii="Times New Roman" w:hAnsi="Times New Roman" w:eastAsia="宋体" w:cs="Times New Roman"/>
                <w:sz w:val="24"/>
                <w:szCs w:val="22"/>
              </w:rPr>
              <w:t>左</w:t>
            </w:r>
            <w:r>
              <w:rPr>
                <w:rFonts w:hint="eastAsia" w:ascii="Times New Roman" w:hAnsi="Times New Roman" w:eastAsia="宋体" w:cs="Times New Roman"/>
                <w:sz w:val="24"/>
                <w:szCs w:val="22"/>
              </w:rPr>
              <w:t>5</w:t>
            </w:r>
            <w:r>
              <w:rPr>
                <w:rFonts w:ascii="Times New Roman" w:hAnsi="Times New Roman" w:eastAsia="宋体" w:cs="Times New Roman"/>
                <w:sz w:val="24"/>
                <w:szCs w:val="22"/>
              </w:rPr>
              <w:t>+950</w:t>
            </w:r>
            <w:r>
              <w:rPr>
                <w:rFonts w:hint="eastAsia" w:ascii="Times New Roman" w:hAnsi="Times New Roman" w:eastAsia="宋体" w:cs="Times New Roman"/>
                <w:sz w:val="24"/>
                <w:szCs w:val="22"/>
              </w:rPr>
              <w:t>、临右1+</w:t>
            </w:r>
            <w:r>
              <w:rPr>
                <w:rFonts w:ascii="Times New Roman" w:hAnsi="Times New Roman" w:eastAsia="宋体" w:cs="Times New Roman"/>
                <w:sz w:val="24"/>
                <w:szCs w:val="22"/>
              </w:rPr>
              <w:t>000</w:t>
            </w:r>
            <w:r>
              <w:rPr>
                <w:rFonts w:hint="eastAsia" w:ascii="Times New Roman" w:hAnsi="Times New Roman" w:eastAsia="宋体" w:cs="Times New Roman"/>
                <w:sz w:val="24"/>
                <w:szCs w:val="22"/>
              </w:rPr>
              <w:t>、临右1+</w:t>
            </w:r>
            <w:r>
              <w:rPr>
                <w:rFonts w:ascii="Times New Roman" w:hAnsi="Times New Roman" w:eastAsia="宋体" w:cs="Times New Roman"/>
                <w:sz w:val="24"/>
                <w:szCs w:val="22"/>
              </w:rPr>
              <w:t>200</w:t>
            </w:r>
            <w:r>
              <w:rPr>
                <w:rFonts w:hint="eastAsia" w:ascii="Times New Roman" w:hAnsi="Times New Roman" w:eastAsia="宋体" w:cs="Times New Roman"/>
                <w:sz w:val="24"/>
                <w:szCs w:val="22"/>
              </w:rPr>
              <w:t>、临右1+</w:t>
            </w:r>
            <w:r>
              <w:rPr>
                <w:rFonts w:ascii="Times New Roman" w:hAnsi="Times New Roman" w:eastAsia="宋体" w:cs="Times New Roman"/>
                <w:sz w:val="24"/>
                <w:szCs w:val="22"/>
              </w:rPr>
              <w:t>400</w:t>
            </w:r>
            <w:r>
              <w:rPr>
                <w:rFonts w:hint="eastAsia" w:ascii="Times New Roman" w:hAnsi="Times New Roman" w:eastAsia="宋体" w:cs="Times New Roman"/>
                <w:sz w:val="24"/>
                <w:szCs w:val="22"/>
              </w:rPr>
              <w:t>，上堤公路下部。涵管采用I</w:t>
            </w:r>
            <w:r>
              <w:rPr>
                <w:rFonts w:ascii="Times New Roman" w:hAnsi="Times New Roman" w:eastAsia="宋体" w:cs="Times New Roman"/>
                <w:sz w:val="24"/>
                <w:szCs w:val="22"/>
              </w:rPr>
              <w:t>I</w:t>
            </w:r>
            <w:r>
              <w:rPr>
                <w:rFonts w:hint="eastAsia" w:ascii="Times New Roman" w:hAnsi="Times New Roman" w:eastAsia="宋体" w:cs="Times New Roman"/>
                <w:sz w:val="24"/>
                <w:szCs w:val="22"/>
              </w:rPr>
              <w:t>级钢筋砼预制管，管径0</w:t>
            </w:r>
            <w:r>
              <w:rPr>
                <w:rFonts w:ascii="Times New Roman" w:hAnsi="Times New Roman" w:eastAsia="宋体" w:cs="Times New Roman"/>
                <w:sz w:val="24"/>
                <w:szCs w:val="22"/>
              </w:rPr>
              <w:t>.6m</w:t>
            </w:r>
            <w:r>
              <w:rPr>
                <w:rFonts w:hint="eastAsia" w:ascii="Times New Roman" w:hAnsi="Times New Roman" w:eastAsia="宋体" w:cs="Times New Roman"/>
                <w:sz w:val="24"/>
                <w:szCs w:val="22"/>
              </w:rPr>
              <w:t>，涵管首部设置</w:t>
            </w:r>
            <w:r>
              <w:rPr>
                <w:rFonts w:ascii="Times New Roman" w:hAnsi="Times New Roman" w:eastAsia="宋体" w:cs="Times New Roman"/>
                <w:sz w:val="24"/>
                <w:szCs w:val="22"/>
              </w:rPr>
              <w:t>1.2</w:t>
            </w:r>
            <w:r>
              <w:rPr>
                <w:rFonts w:hint="eastAsia" w:ascii="Times New Roman" w:hAnsi="Times New Roman" w:eastAsia="宋体" w:cs="Times New Roman"/>
                <w:sz w:val="24"/>
                <w:szCs w:val="22"/>
              </w:rPr>
              <w:t>m×</w:t>
            </w:r>
            <w:r>
              <w:rPr>
                <w:rFonts w:ascii="Times New Roman" w:hAnsi="Times New Roman" w:eastAsia="宋体" w:cs="Times New Roman"/>
                <w:sz w:val="24"/>
                <w:szCs w:val="22"/>
              </w:rPr>
              <w:t>2m</w:t>
            </w:r>
            <w:r>
              <w:rPr>
                <w:rFonts w:hint="eastAsia" w:ascii="Times New Roman" w:hAnsi="Times New Roman" w:eastAsia="宋体" w:cs="Times New Roman"/>
                <w:sz w:val="24"/>
                <w:szCs w:val="22"/>
              </w:rPr>
              <w:t>集水沉砂池后接涵管排放至河道中，在涵管出口设置铸铁拍门，防止洪水倒灌，堤后排涝洪水通过排水沟连通至引水渠下泄。</w:t>
            </w:r>
          </w:p>
          <w:p>
            <w:pPr>
              <w:spacing w:line="360" w:lineRule="auto"/>
              <w:ind w:firstLine="480" w:firstLineChars="200"/>
              <w:rPr>
                <w:rFonts w:hint="eastAsia" w:ascii="Times New Roman" w:hAnsi="Times New Roman" w:eastAsia="宋体" w:cs="Times New Roman"/>
                <w:sz w:val="24"/>
                <w:szCs w:val="22"/>
              </w:rPr>
            </w:pPr>
            <w:r>
              <w:rPr>
                <w:rFonts w:hint="eastAsia" w:ascii="Times New Roman" w:hAnsi="Times New Roman" w:eastAsia="宋体" w:cs="Times New Roman"/>
                <w:sz w:val="24"/>
                <w:szCs w:val="22"/>
              </w:rPr>
              <w:t>在临</w:t>
            </w:r>
            <w:r>
              <w:rPr>
                <w:rFonts w:ascii="Times New Roman" w:hAnsi="Times New Roman" w:eastAsia="宋体" w:cs="Times New Roman"/>
                <w:sz w:val="24"/>
                <w:szCs w:val="22"/>
              </w:rPr>
              <w:t>左</w:t>
            </w:r>
            <w:r>
              <w:rPr>
                <w:rFonts w:hint="eastAsia" w:ascii="Times New Roman" w:hAnsi="Times New Roman" w:eastAsia="宋体" w:cs="Times New Roman"/>
                <w:sz w:val="24"/>
                <w:szCs w:val="22"/>
              </w:rPr>
              <w:t>6</w:t>
            </w:r>
            <w:r>
              <w:rPr>
                <w:rFonts w:ascii="Times New Roman" w:hAnsi="Times New Roman" w:eastAsia="宋体" w:cs="Times New Roman"/>
                <w:sz w:val="24"/>
                <w:szCs w:val="22"/>
              </w:rPr>
              <w:t>+260</w:t>
            </w:r>
            <w:r>
              <w:rPr>
                <w:rFonts w:hint="eastAsia" w:ascii="Times New Roman" w:hAnsi="Times New Roman" w:eastAsia="宋体" w:cs="Times New Roman"/>
                <w:sz w:val="24"/>
                <w:szCs w:val="22"/>
              </w:rPr>
              <w:t>部位由于现状存在一天然小水沟，常年有水流，该水沟深2</w:t>
            </w:r>
            <w:r>
              <w:rPr>
                <w:rFonts w:ascii="Times New Roman" w:hAnsi="Times New Roman" w:eastAsia="宋体" w:cs="Times New Roman"/>
                <w:sz w:val="24"/>
                <w:szCs w:val="22"/>
              </w:rPr>
              <w:t>m</w:t>
            </w:r>
            <w:r>
              <w:rPr>
                <w:rFonts w:hint="eastAsia" w:ascii="Times New Roman" w:hAnsi="Times New Roman" w:eastAsia="宋体" w:cs="Times New Roman"/>
                <w:sz w:val="24"/>
                <w:szCs w:val="22"/>
              </w:rPr>
              <w:t>，宽3</w:t>
            </w:r>
            <w:r>
              <w:rPr>
                <w:rFonts w:ascii="Times New Roman" w:hAnsi="Times New Roman" w:eastAsia="宋体" w:cs="Times New Roman"/>
                <w:sz w:val="24"/>
                <w:szCs w:val="22"/>
              </w:rPr>
              <w:t>m</w:t>
            </w:r>
            <w:r>
              <w:rPr>
                <w:rFonts w:hint="eastAsia" w:ascii="Times New Roman" w:hAnsi="Times New Roman" w:eastAsia="宋体" w:cs="Times New Roman"/>
                <w:sz w:val="24"/>
                <w:szCs w:val="22"/>
              </w:rPr>
              <w:t>。本次根据工程布置，将原水沟改顺直后引入堤防末端，在末端设置排洪沟进行延伸封闭，用于宣泄沟内来水，避免内涝。</w:t>
            </w:r>
          </w:p>
          <w:p>
            <w:pPr>
              <w:spacing w:line="360" w:lineRule="auto"/>
              <w:ind w:firstLine="482" w:firstLineChars="200"/>
              <w:rPr>
                <w:rFonts w:hint="eastAsia" w:cs="Times New Roman"/>
                <w:b/>
                <w:bCs/>
                <w:color w:val="auto"/>
                <w:kern w:val="0"/>
                <w:sz w:val="24"/>
                <w:szCs w:val="24"/>
                <w:lang w:val="en-US" w:eastAsia="zh-CN" w:bidi="ar"/>
              </w:rPr>
            </w:pPr>
            <w:r>
              <w:rPr>
                <w:rFonts w:hint="default" w:ascii="Times New Roman" w:hAnsi="Times New Roman" w:eastAsia="宋体" w:cs="Times New Roman"/>
                <w:b/>
                <w:bCs/>
                <w:color w:val="auto"/>
                <w:sz w:val="24"/>
                <w:szCs w:val="24"/>
                <w:lang w:val="en-US" w:eastAsia="zh-CN"/>
              </w:rPr>
              <w:t>11、下河梯步</w:t>
            </w:r>
          </w:p>
          <w:p>
            <w:pPr>
              <w:spacing w:line="360" w:lineRule="auto"/>
              <w:ind w:firstLine="480" w:firstLineChars="200"/>
              <w:rPr>
                <w:rFonts w:hint="eastAsia" w:ascii="Times New Roman" w:hAnsi="Times New Roman" w:eastAsia="宋体" w:cs="Times New Roman"/>
                <w:sz w:val="24"/>
                <w:szCs w:val="22"/>
                <w:lang w:val="en-US" w:eastAsia="zh-CN"/>
              </w:rPr>
            </w:pPr>
            <w:r>
              <w:rPr>
                <w:rFonts w:hint="eastAsia" w:ascii="Times New Roman" w:hAnsi="Times New Roman" w:eastAsia="宋体" w:cs="Times New Roman"/>
                <w:sz w:val="24"/>
                <w:szCs w:val="22"/>
                <w:lang w:val="en-US" w:eastAsia="zh-CN"/>
              </w:rPr>
              <w:t>河堤建成和绿化后，美化了人民的生活环境，为群众创造了一个优美的休闲场所，为满足群众交通和生产生活便利，在迎水坡有下河需求堤段，布置下河梯道。本工程平均每隔200m设一处下河梯步，共设置9处梯步，共156m。下河梯步宽3m，梯步面向河心，坡比同堤防外坡面，为C20砼浇筑，踏步宽30cm。实际工程施工中，可根据两岸居民生产生活方式调整梯步布置位置。下河梯步布置部位见下表。</w:t>
            </w:r>
          </w:p>
          <w:p>
            <w:pPr>
              <w:jc w:val="center"/>
              <w:rPr>
                <w:rFonts w:hint="eastAsia" w:ascii="Times New Roman" w:hAnsi="Times New Roman" w:eastAsia="宋体" w:cs="Times New Roman"/>
                <w:b/>
                <w:bCs/>
                <w:color w:val="auto"/>
                <w:highlight w:val="none"/>
                <w:lang w:val="en-US" w:eastAsia="zh-CN"/>
              </w:rPr>
            </w:pPr>
          </w:p>
          <w:p>
            <w:pPr>
              <w:jc w:val="center"/>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表</w:t>
            </w:r>
            <w:r>
              <w:rPr>
                <w:rFonts w:hint="default" w:ascii="Times New Roman" w:hAnsi="Times New Roman" w:eastAsia="宋体" w:cs="Times New Roman"/>
                <w:b/>
                <w:bCs/>
                <w:color w:val="auto"/>
                <w:highlight w:val="none"/>
                <w:lang w:val="en-US" w:eastAsia="zh-CN"/>
              </w:rPr>
              <w:t>2-</w:t>
            </w:r>
            <w:r>
              <w:rPr>
                <w:rFonts w:hint="eastAsia" w:ascii="Times New Roman" w:hAnsi="Times New Roman" w:eastAsia="宋体" w:cs="Times New Roman"/>
                <w:b/>
                <w:bCs/>
                <w:color w:val="auto"/>
                <w:highlight w:val="none"/>
                <w:lang w:val="en-US" w:eastAsia="zh-CN"/>
              </w:rPr>
              <w:t>1</w:t>
            </w:r>
            <w:r>
              <w:rPr>
                <w:rFonts w:hint="eastAsia" w:cs="Times New Roman"/>
                <w:b/>
                <w:bCs/>
                <w:color w:val="auto"/>
                <w:highlight w:val="none"/>
                <w:lang w:val="en-US" w:eastAsia="zh-CN"/>
              </w:rPr>
              <w:t>2</w:t>
            </w:r>
            <w:r>
              <w:rPr>
                <w:rFonts w:hint="eastAsia" w:ascii="Times New Roman" w:hAnsi="Times New Roman" w:eastAsia="宋体" w:cs="Times New Roman"/>
                <w:b/>
                <w:bCs/>
                <w:color w:val="auto"/>
                <w:highlight w:val="none"/>
                <w:lang w:val="en-US" w:eastAsia="zh-CN"/>
              </w:rPr>
              <w:t xml:space="preserve">  下河梯步工程特性表</w:t>
            </w:r>
          </w:p>
          <w:tbl>
            <w:tblPr>
              <w:tblStyle w:val="4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2955"/>
              <w:gridCol w:w="2792"/>
              <w:gridCol w:w="2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shd w:val="clear" w:color="auto" w:fill="auto"/>
                  <w:noWrap w:val="0"/>
                  <w:vAlign w:val="center"/>
                </w:tcPr>
                <w:p>
                  <w:pPr>
                    <w:widowControl/>
                    <w:jc w:val="center"/>
                    <w:rPr>
                      <w:rFonts w:hint="default" w:ascii="Times New Roman" w:hAnsi="Times New Roman" w:cs="Times New Roman"/>
                      <w:b/>
                      <w:bCs/>
                      <w:kern w:val="0"/>
                      <w:sz w:val="21"/>
                      <w:szCs w:val="21"/>
                    </w:rPr>
                  </w:pPr>
                  <w:r>
                    <w:rPr>
                      <w:rFonts w:hint="eastAsia" w:ascii="Times New Roman" w:hAnsi="Times New Roman" w:cs="Times New Roman"/>
                      <w:b/>
                      <w:bCs/>
                      <w:kern w:val="0"/>
                      <w:sz w:val="21"/>
                      <w:szCs w:val="21"/>
                    </w:rPr>
                    <w:t>序号</w:t>
                  </w:r>
                </w:p>
              </w:tc>
              <w:tc>
                <w:tcPr>
                  <w:tcW w:w="1634" w:type="pct"/>
                  <w:shd w:val="clear" w:color="auto" w:fill="auto"/>
                  <w:noWrap w:val="0"/>
                  <w:vAlign w:val="center"/>
                </w:tcPr>
                <w:p>
                  <w:pPr>
                    <w:widowControl/>
                    <w:jc w:val="center"/>
                    <w:rPr>
                      <w:rFonts w:hint="default" w:ascii="Times New Roman" w:hAnsi="Times New Roman" w:cs="Times New Roman"/>
                      <w:b/>
                      <w:bCs/>
                      <w:kern w:val="0"/>
                      <w:sz w:val="21"/>
                      <w:szCs w:val="21"/>
                    </w:rPr>
                  </w:pPr>
                  <w:r>
                    <w:rPr>
                      <w:rFonts w:hint="eastAsia" w:ascii="Times New Roman" w:hAnsi="Times New Roman" w:cs="Times New Roman"/>
                      <w:b/>
                      <w:bCs/>
                      <w:kern w:val="0"/>
                      <w:sz w:val="21"/>
                      <w:szCs w:val="21"/>
                    </w:rPr>
                    <w:t>桩号（k</w:t>
                  </w:r>
                  <w:r>
                    <w:rPr>
                      <w:rFonts w:hint="default" w:ascii="Times New Roman" w:hAnsi="Times New Roman" w:cs="Times New Roman"/>
                      <w:b/>
                      <w:bCs/>
                      <w:kern w:val="0"/>
                      <w:sz w:val="21"/>
                      <w:szCs w:val="21"/>
                    </w:rPr>
                    <w:t>m+m</w:t>
                  </w:r>
                  <w:r>
                    <w:rPr>
                      <w:rFonts w:hint="eastAsia" w:ascii="Times New Roman" w:hAnsi="Times New Roman" w:cs="Times New Roman"/>
                      <w:b/>
                      <w:bCs/>
                      <w:kern w:val="0"/>
                      <w:sz w:val="21"/>
                      <w:szCs w:val="21"/>
                    </w:rPr>
                    <w:t>）</w:t>
                  </w:r>
                </w:p>
              </w:tc>
              <w:tc>
                <w:tcPr>
                  <w:tcW w:w="1544" w:type="pct"/>
                  <w:shd w:val="clear" w:color="auto" w:fill="auto"/>
                  <w:noWrap w:val="0"/>
                  <w:vAlign w:val="center"/>
                </w:tcPr>
                <w:p>
                  <w:pPr>
                    <w:widowControl/>
                    <w:jc w:val="center"/>
                    <w:rPr>
                      <w:rFonts w:hint="default" w:ascii="Times New Roman" w:hAnsi="Times New Roman" w:cs="Times New Roman"/>
                      <w:b/>
                      <w:bCs/>
                      <w:kern w:val="0"/>
                      <w:sz w:val="21"/>
                      <w:szCs w:val="21"/>
                    </w:rPr>
                  </w:pPr>
                  <w:r>
                    <w:rPr>
                      <w:rFonts w:hint="eastAsia" w:ascii="Times New Roman" w:hAnsi="Times New Roman" w:cs="Times New Roman"/>
                      <w:b/>
                      <w:bCs/>
                      <w:kern w:val="0"/>
                      <w:sz w:val="21"/>
                      <w:szCs w:val="21"/>
                    </w:rPr>
                    <w:t>长度（m）</w:t>
                  </w:r>
                </w:p>
              </w:tc>
              <w:tc>
                <w:tcPr>
                  <w:tcW w:w="1302" w:type="pct"/>
                  <w:shd w:val="clear" w:color="auto" w:fill="auto"/>
                  <w:noWrap w:val="0"/>
                  <w:vAlign w:val="center"/>
                </w:tcPr>
                <w:p>
                  <w:pPr>
                    <w:widowControl/>
                    <w:jc w:val="center"/>
                    <w:rPr>
                      <w:rFonts w:hint="default" w:ascii="Times New Roman" w:hAnsi="Times New Roman" w:cs="Times New Roman"/>
                      <w:b/>
                      <w:bCs/>
                      <w:kern w:val="0"/>
                      <w:sz w:val="21"/>
                      <w:szCs w:val="21"/>
                    </w:rPr>
                  </w:pPr>
                  <w:r>
                    <w:rPr>
                      <w:rFonts w:hint="eastAsia" w:ascii="Times New Roman" w:hAnsi="Times New Roman" w:cs="Times New Roman"/>
                      <w:b/>
                      <w:bCs/>
                      <w:kern w:val="0"/>
                      <w:sz w:val="21"/>
                      <w:szCs w:val="21"/>
                    </w:rPr>
                    <w:t>宽度(</w:t>
                  </w:r>
                  <w:r>
                    <w:rPr>
                      <w:rFonts w:hint="default" w:ascii="Times New Roman" w:hAnsi="Times New Roman" w:cs="Times New Roman"/>
                      <w:b/>
                      <w:bCs/>
                      <w:kern w:val="0"/>
                      <w:sz w:val="21"/>
                      <w:szCs w:val="21"/>
                    </w:rPr>
                    <w:t>m</w:t>
                  </w:r>
                  <w:r>
                    <w:rPr>
                      <w:rFonts w:hint="eastAsia" w:ascii="Times New Roman" w:hAnsi="Times New Roman" w:cs="Times New Roman"/>
                      <w:b/>
                      <w:bCs/>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shd w:val="clear" w:color="auto" w:fill="auto"/>
                  <w:noWrap w:val="0"/>
                  <w:vAlign w:val="center"/>
                </w:tcPr>
                <w:p>
                  <w:pPr>
                    <w:widowControl/>
                    <w:jc w:val="center"/>
                    <w:rPr>
                      <w:rFonts w:hint="default" w:ascii="Times New Roman" w:hAnsi="Times New Roman" w:cs="Times New Roman"/>
                      <w:kern w:val="0"/>
                      <w:sz w:val="21"/>
                      <w:szCs w:val="21"/>
                    </w:rPr>
                  </w:pPr>
                  <w:r>
                    <w:rPr>
                      <w:rFonts w:hint="eastAsia" w:ascii="Times New Roman" w:hAnsi="Times New Roman" w:cs="Times New Roman"/>
                      <w:kern w:val="0"/>
                      <w:sz w:val="21"/>
                      <w:szCs w:val="21"/>
                    </w:rPr>
                    <w:t>1</w:t>
                  </w:r>
                </w:p>
              </w:tc>
              <w:tc>
                <w:tcPr>
                  <w:tcW w:w="1634" w:type="pct"/>
                  <w:shd w:val="clear" w:color="auto" w:fill="auto"/>
                  <w:noWrap w:val="0"/>
                  <w:vAlign w:val="center"/>
                </w:tcPr>
                <w:p>
                  <w:pPr>
                    <w:widowControl/>
                    <w:jc w:val="center"/>
                    <w:rPr>
                      <w:rFonts w:hint="default" w:ascii="Times New Roman" w:hAnsi="Times New Roman" w:cs="Times New Roman"/>
                      <w:kern w:val="0"/>
                      <w:sz w:val="21"/>
                      <w:szCs w:val="21"/>
                    </w:rPr>
                  </w:pPr>
                  <w:r>
                    <w:rPr>
                      <w:rFonts w:hint="eastAsia" w:ascii="Times New Roman" w:hAnsi="Times New Roman" w:cs="Times New Roman"/>
                      <w:kern w:val="0"/>
                      <w:sz w:val="21"/>
                      <w:szCs w:val="21"/>
                    </w:rPr>
                    <w:t>临右</w:t>
                  </w:r>
                  <w:r>
                    <w:rPr>
                      <w:rFonts w:hint="default" w:ascii="Times New Roman" w:hAnsi="Times New Roman" w:cs="Times New Roman"/>
                      <w:kern w:val="0"/>
                      <w:sz w:val="21"/>
                      <w:szCs w:val="21"/>
                    </w:rPr>
                    <w:t>0+227</w:t>
                  </w:r>
                </w:p>
              </w:tc>
              <w:tc>
                <w:tcPr>
                  <w:tcW w:w="1544" w:type="pct"/>
                  <w:shd w:val="clear" w:color="auto" w:fill="auto"/>
                  <w:noWrap w:val="0"/>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8</w:t>
                  </w:r>
                </w:p>
              </w:tc>
              <w:tc>
                <w:tcPr>
                  <w:tcW w:w="1302" w:type="pct"/>
                  <w:shd w:val="clear" w:color="auto" w:fill="auto"/>
                  <w:noWrap w:val="0"/>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shd w:val="clear" w:color="auto" w:fill="auto"/>
                  <w:noWrap w:val="0"/>
                  <w:vAlign w:val="center"/>
                </w:tcPr>
                <w:p>
                  <w:pPr>
                    <w:widowControl/>
                    <w:jc w:val="center"/>
                    <w:rPr>
                      <w:rFonts w:hint="default" w:ascii="Times New Roman" w:hAnsi="Times New Roman" w:cs="Times New Roman"/>
                      <w:kern w:val="0"/>
                      <w:sz w:val="21"/>
                      <w:szCs w:val="21"/>
                    </w:rPr>
                  </w:pPr>
                  <w:r>
                    <w:rPr>
                      <w:rFonts w:hint="eastAsia" w:ascii="Times New Roman" w:hAnsi="Times New Roman" w:cs="Times New Roman"/>
                      <w:kern w:val="0"/>
                      <w:sz w:val="21"/>
                      <w:szCs w:val="21"/>
                    </w:rPr>
                    <w:t>2</w:t>
                  </w:r>
                </w:p>
              </w:tc>
              <w:tc>
                <w:tcPr>
                  <w:tcW w:w="1634" w:type="pct"/>
                  <w:shd w:val="clear" w:color="auto" w:fill="auto"/>
                  <w:noWrap w:val="0"/>
                  <w:vAlign w:val="center"/>
                </w:tcPr>
                <w:p>
                  <w:pPr>
                    <w:widowControl/>
                    <w:jc w:val="center"/>
                    <w:rPr>
                      <w:rFonts w:hint="default" w:ascii="Times New Roman" w:hAnsi="Times New Roman" w:cs="Times New Roman"/>
                      <w:kern w:val="0"/>
                      <w:sz w:val="21"/>
                      <w:szCs w:val="21"/>
                    </w:rPr>
                  </w:pPr>
                  <w:r>
                    <w:rPr>
                      <w:rFonts w:hint="eastAsia" w:ascii="Times New Roman" w:hAnsi="Times New Roman" w:cs="Times New Roman"/>
                      <w:kern w:val="0"/>
                      <w:sz w:val="21"/>
                      <w:szCs w:val="21"/>
                    </w:rPr>
                    <w:t>临右</w:t>
                  </w:r>
                  <w:r>
                    <w:rPr>
                      <w:rFonts w:hint="default" w:ascii="Times New Roman" w:hAnsi="Times New Roman" w:cs="Times New Roman"/>
                      <w:kern w:val="0"/>
                      <w:sz w:val="21"/>
                      <w:szCs w:val="21"/>
                    </w:rPr>
                    <w:t>0+862</w:t>
                  </w:r>
                </w:p>
              </w:tc>
              <w:tc>
                <w:tcPr>
                  <w:tcW w:w="1544" w:type="pct"/>
                  <w:shd w:val="clear" w:color="auto" w:fill="auto"/>
                  <w:noWrap w:val="0"/>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8</w:t>
                  </w:r>
                </w:p>
              </w:tc>
              <w:tc>
                <w:tcPr>
                  <w:tcW w:w="1302" w:type="pct"/>
                  <w:shd w:val="clear" w:color="auto" w:fill="auto"/>
                  <w:noWrap w:val="0"/>
                  <w:vAlign w:val="top"/>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18" w:type="pct"/>
                  <w:shd w:val="clear" w:color="auto" w:fill="auto"/>
                  <w:noWrap w:val="0"/>
                  <w:vAlign w:val="center"/>
                </w:tcPr>
                <w:p>
                  <w:pPr>
                    <w:widowControl/>
                    <w:jc w:val="center"/>
                    <w:rPr>
                      <w:rFonts w:hint="default" w:ascii="Times New Roman" w:hAnsi="Times New Roman" w:cs="Times New Roman"/>
                      <w:kern w:val="0"/>
                      <w:sz w:val="21"/>
                      <w:szCs w:val="21"/>
                    </w:rPr>
                  </w:pPr>
                  <w:r>
                    <w:rPr>
                      <w:rFonts w:hint="eastAsia" w:ascii="Times New Roman" w:hAnsi="Times New Roman" w:cs="Times New Roman"/>
                      <w:kern w:val="0"/>
                      <w:sz w:val="21"/>
                      <w:szCs w:val="21"/>
                    </w:rPr>
                    <w:t>3</w:t>
                  </w:r>
                </w:p>
              </w:tc>
              <w:tc>
                <w:tcPr>
                  <w:tcW w:w="1634" w:type="pct"/>
                  <w:shd w:val="clear" w:color="auto" w:fill="auto"/>
                  <w:noWrap w:val="0"/>
                  <w:vAlign w:val="center"/>
                </w:tcPr>
                <w:p>
                  <w:pPr>
                    <w:widowControl/>
                    <w:jc w:val="center"/>
                    <w:rPr>
                      <w:rFonts w:hint="default" w:ascii="Times New Roman" w:hAnsi="Times New Roman" w:cs="Times New Roman"/>
                      <w:kern w:val="0"/>
                      <w:sz w:val="21"/>
                      <w:szCs w:val="21"/>
                    </w:rPr>
                  </w:pPr>
                  <w:r>
                    <w:rPr>
                      <w:rFonts w:hint="eastAsia" w:ascii="Times New Roman" w:hAnsi="Times New Roman" w:cs="Times New Roman"/>
                      <w:kern w:val="0"/>
                      <w:sz w:val="21"/>
                      <w:szCs w:val="21"/>
                    </w:rPr>
                    <w:t>临右</w:t>
                  </w:r>
                  <w:r>
                    <w:rPr>
                      <w:rFonts w:hint="default" w:ascii="Times New Roman" w:hAnsi="Times New Roman" w:cs="Times New Roman"/>
                      <w:kern w:val="0"/>
                      <w:sz w:val="21"/>
                      <w:szCs w:val="21"/>
                    </w:rPr>
                    <w:t>1+400</w:t>
                  </w:r>
                </w:p>
              </w:tc>
              <w:tc>
                <w:tcPr>
                  <w:tcW w:w="1544" w:type="pct"/>
                  <w:shd w:val="clear" w:color="auto" w:fill="auto"/>
                  <w:noWrap w:val="0"/>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8</w:t>
                  </w:r>
                </w:p>
              </w:tc>
              <w:tc>
                <w:tcPr>
                  <w:tcW w:w="1302" w:type="pct"/>
                  <w:shd w:val="clear" w:color="auto" w:fill="auto"/>
                  <w:noWrap w:val="0"/>
                  <w:vAlign w:val="top"/>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shd w:val="clear" w:color="auto" w:fill="auto"/>
                  <w:noWrap w:val="0"/>
                  <w:vAlign w:val="center"/>
                </w:tcPr>
                <w:p>
                  <w:pPr>
                    <w:widowControl/>
                    <w:jc w:val="center"/>
                    <w:rPr>
                      <w:rFonts w:hint="default" w:ascii="Times New Roman" w:hAnsi="Times New Roman" w:cs="Times New Roman"/>
                      <w:kern w:val="0"/>
                      <w:sz w:val="21"/>
                      <w:szCs w:val="21"/>
                    </w:rPr>
                  </w:pPr>
                  <w:r>
                    <w:rPr>
                      <w:rFonts w:hint="eastAsia" w:ascii="Times New Roman" w:hAnsi="Times New Roman" w:cs="Times New Roman"/>
                      <w:kern w:val="0"/>
                      <w:sz w:val="21"/>
                      <w:szCs w:val="21"/>
                    </w:rPr>
                    <w:t>4</w:t>
                  </w:r>
                </w:p>
              </w:tc>
              <w:tc>
                <w:tcPr>
                  <w:tcW w:w="1634" w:type="pct"/>
                  <w:shd w:val="clear" w:color="auto" w:fill="auto"/>
                  <w:noWrap w:val="0"/>
                  <w:vAlign w:val="center"/>
                </w:tcPr>
                <w:p>
                  <w:pPr>
                    <w:widowControl/>
                    <w:jc w:val="center"/>
                    <w:rPr>
                      <w:rFonts w:hint="default" w:ascii="Times New Roman" w:hAnsi="Times New Roman" w:cs="Times New Roman"/>
                      <w:kern w:val="0"/>
                      <w:sz w:val="21"/>
                      <w:szCs w:val="21"/>
                    </w:rPr>
                  </w:pPr>
                  <w:r>
                    <w:rPr>
                      <w:rFonts w:hint="eastAsia" w:ascii="Times New Roman" w:hAnsi="Times New Roman" w:cs="Times New Roman"/>
                      <w:kern w:val="0"/>
                      <w:sz w:val="21"/>
                      <w:szCs w:val="21"/>
                    </w:rPr>
                    <w:t>临左5</w:t>
                  </w:r>
                  <w:r>
                    <w:rPr>
                      <w:rFonts w:hint="default" w:ascii="Times New Roman" w:hAnsi="Times New Roman" w:cs="Times New Roman"/>
                      <w:kern w:val="0"/>
                      <w:sz w:val="21"/>
                      <w:szCs w:val="21"/>
                    </w:rPr>
                    <w:t>+150</w:t>
                  </w:r>
                </w:p>
              </w:tc>
              <w:tc>
                <w:tcPr>
                  <w:tcW w:w="1544" w:type="pct"/>
                  <w:shd w:val="clear" w:color="auto" w:fill="auto"/>
                  <w:noWrap w:val="0"/>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35</w:t>
                  </w:r>
                </w:p>
              </w:tc>
              <w:tc>
                <w:tcPr>
                  <w:tcW w:w="1302" w:type="pct"/>
                  <w:shd w:val="clear" w:color="auto" w:fill="auto"/>
                  <w:noWrap w:val="0"/>
                  <w:vAlign w:val="top"/>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shd w:val="clear" w:color="auto" w:fill="auto"/>
                  <w:noWrap w:val="0"/>
                  <w:vAlign w:val="center"/>
                </w:tcPr>
                <w:p>
                  <w:pPr>
                    <w:widowControl/>
                    <w:jc w:val="center"/>
                    <w:rPr>
                      <w:rFonts w:hint="default" w:ascii="Times New Roman" w:hAnsi="Times New Roman" w:cs="Times New Roman"/>
                      <w:kern w:val="0"/>
                      <w:sz w:val="21"/>
                      <w:szCs w:val="21"/>
                    </w:rPr>
                  </w:pPr>
                  <w:r>
                    <w:rPr>
                      <w:rFonts w:hint="eastAsia" w:ascii="Times New Roman" w:hAnsi="Times New Roman" w:cs="Times New Roman"/>
                      <w:kern w:val="0"/>
                      <w:sz w:val="21"/>
                      <w:szCs w:val="21"/>
                    </w:rPr>
                    <w:t>5</w:t>
                  </w:r>
                </w:p>
              </w:tc>
              <w:tc>
                <w:tcPr>
                  <w:tcW w:w="1634" w:type="pct"/>
                  <w:shd w:val="clear" w:color="auto" w:fill="auto"/>
                  <w:noWrap w:val="0"/>
                  <w:vAlign w:val="center"/>
                </w:tcPr>
                <w:p>
                  <w:pPr>
                    <w:widowControl/>
                    <w:jc w:val="center"/>
                    <w:rPr>
                      <w:rFonts w:hint="default" w:ascii="Times New Roman" w:hAnsi="Times New Roman" w:cs="Times New Roman"/>
                      <w:kern w:val="0"/>
                      <w:sz w:val="21"/>
                      <w:szCs w:val="21"/>
                    </w:rPr>
                  </w:pPr>
                  <w:r>
                    <w:rPr>
                      <w:rFonts w:hint="eastAsia" w:ascii="Times New Roman" w:hAnsi="Times New Roman" w:cs="Times New Roman"/>
                      <w:kern w:val="0"/>
                      <w:sz w:val="21"/>
                      <w:szCs w:val="21"/>
                    </w:rPr>
                    <w:t>临左5</w:t>
                  </w:r>
                  <w:r>
                    <w:rPr>
                      <w:rFonts w:hint="default" w:ascii="Times New Roman" w:hAnsi="Times New Roman" w:cs="Times New Roman"/>
                      <w:kern w:val="0"/>
                      <w:sz w:val="21"/>
                      <w:szCs w:val="21"/>
                    </w:rPr>
                    <w:t>+300</w:t>
                  </w:r>
                </w:p>
              </w:tc>
              <w:tc>
                <w:tcPr>
                  <w:tcW w:w="1544" w:type="pct"/>
                  <w:shd w:val="clear" w:color="auto" w:fill="auto"/>
                  <w:noWrap w:val="0"/>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21</w:t>
                  </w:r>
                </w:p>
              </w:tc>
              <w:tc>
                <w:tcPr>
                  <w:tcW w:w="1302" w:type="pct"/>
                  <w:shd w:val="clear" w:color="auto" w:fill="auto"/>
                  <w:noWrap w:val="0"/>
                  <w:vAlign w:val="top"/>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shd w:val="clear" w:color="auto" w:fill="auto"/>
                  <w:noWrap w:val="0"/>
                  <w:vAlign w:val="center"/>
                </w:tcPr>
                <w:p>
                  <w:pPr>
                    <w:widowControl/>
                    <w:jc w:val="center"/>
                    <w:rPr>
                      <w:rFonts w:hint="default" w:ascii="Times New Roman" w:hAnsi="Times New Roman" w:cs="Times New Roman"/>
                      <w:kern w:val="0"/>
                      <w:sz w:val="21"/>
                      <w:szCs w:val="21"/>
                    </w:rPr>
                  </w:pPr>
                  <w:r>
                    <w:rPr>
                      <w:rFonts w:hint="eastAsia" w:ascii="Times New Roman" w:hAnsi="Times New Roman" w:cs="Times New Roman"/>
                      <w:kern w:val="0"/>
                      <w:sz w:val="21"/>
                      <w:szCs w:val="21"/>
                    </w:rPr>
                    <w:t>6</w:t>
                  </w:r>
                </w:p>
              </w:tc>
              <w:tc>
                <w:tcPr>
                  <w:tcW w:w="1634" w:type="pct"/>
                  <w:shd w:val="clear" w:color="auto" w:fill="auto"/>
                  <w:noWrap w:val="0"/>
                  <w:vAlign w:val="center"/>
                </w:tcPr>
                <w:p>
                  <w:pPr>
                    <w:widowControl/>
                    <w:jc w:val="center"/>
                    <w:rPr>
                      <w:rFonts w:hint="default" w:ascii="Times New Roman" w:hAnsi="Times New Roman" w:cs="Times New Roman"/>
                      <w:kern w:val="0"/>
                      <w:sz w:val="21"/>
                      <w:szCs w:val="21"/>
                    </w:rPr>
                  </w:pPr>
                  <w:r>
                    <w:rPr>
                      <w:rFonts w:hint="eastAsia" w:ascii="Times New Roman" w:hAnsi="Times New Roman" w:cs="Times New Roman"/>
                      <w:kern w:val="0"/>
                      <w:sz w:val="21"/>
                      <w:szCs w:val="21"/>
                    </w:rPr>
                    <w:t>临左5</w:t>
                  </w:r>
                  <w:r>
                    <w:rPr>
                      <w:rFonts w:hint="default" w:ascii="Times New Roman" w:hAnsi="Times New Roman" w:cs="Times New Roman"/>
                      <w:kern w:val="0"/>
                      <w:sz w:val="21"/>
                      <w:szCs w:val="21"/>
                    </w:rPr>
                    <w:t>+500</w:t>
                  </w:r>
                </w:p>
              </w:tc>
              <w:tc>
                <w:tcPr>
                  <w:tcW w:w="1544" w:type="pct"/>
                  <w:shd w:val="clear" w:color="auto" w:fill="auto"/>
                  <w:noWrap w:val="0"/>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21</w:t>
                  </w:r>
                </w:p>
              </w:tc>
              <w:tc>
                <w:tcPr>
                  <w:tcW w:w="1302" w:type="pct"/>
                  <w:shd w:val="clear" w:color="auto" w:fill="auto"/>
                  <w:noWrap w:val="0"/>
                  <w:vAlign w:val="top"/>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18" w:type="pct"/>
                  <w:shd w:val="clear" w:color="auto" w:fill="auto"/>
                  <w:noWrap w:val="0"/>
                  <w:vAlign w:val="center"/>
                </w:tcPr>
                <w:p>
                  <w:pPr>
                    <w:widowControl/>
                    <w:jc w:val="center"/>
                    <w:rPr>
                      <w:rFonts w:hint="default" w:ascii="Times New Roman" w:hAnsi="Times New Roman" w:cs="Times New Roman"/>
                      <w:kern w:val="0"/>
                      <w:sz w:val="21"/>
                      <w:szCs w:val="21"/>
                    </w:rPr>
                  </w:pPr>
                  <w:r>
                    <w:rPr>
                      <w:rFonts w:hint="eastAsia" w:ascii="Times New Roman" w:hAnsi="Times New Roman" w:cs="Times New Roman"/>
                      <w:kern w:val="0"/>
                      <w:sz w:val="21"/>
                      <w:szCs w:val="21"/>
                    </w:rPr>
                    <w:t>7</w:t>
                  </w:r>
                </w:p>
              </w:tc>
              <w:tc>
                <w:tcPr>
                  <w:tcW w:w="1634" w:type="pct"/>
                  <w:shd w:val="clear" w:color="auto" w:fill="auto"/>
                  <w:noWrap w:val="0"/>
                  <w:vAlign w:val="center"/>
                </w:tcPr>
                <w:p>
                  <w:pPr>
                    <w:widowControl/>
                    <w:jc w:val="center"/>
                    <w:rPr>
                      <w:rFonts w:hint="default" w:ascii="Times New Roman" w:hAnsi="Times New Roman" w:cs="Times New Roman"/>
                      <w:kern w:val="0"/>
                      <w:sz w:val="21"/>
                      <w:szCs w:val="21"/>
                    </w:rPr>
                  </w:pPr>
                  <w:r>
                    <w:rPr>
                      <w:rFonts w:hint="eastAsia" w:ascii="Times New Roman" w:hAnsi="Times New Roman" w:cs="Times New Roman"/>
                      <w:kern w:val="0"/>
                      <w:sz w:val="21"/>
                      <w:szCs w:val="21"/>
                    </w:rPr>
                    <w:t>临左5</w:t>
                  </w:r>
                  <w:r>
                    <w:rPr>
                      <w:rFonts w:hint="default" w:ascii="Times New Roman" w:hAnsi="Times New Roman" w:cs="Times New Roman"/>
                      <w:kern w:val="0"/>
                      <w:sz w:val="21"/>
                      <w:szCs w:val="21"/>
                    </w:rPr>
                    <w:t>+700</w:t>
                  </w:r>
                </w:p>
              </w:tc>
              <w:tc>
                <w:tcPr>
                  <w:tcW w:w="1544" w:type="pct"/>
                  <w:shd w:val="clear" w:color="auto" w:fill="auto"/>
                  <w:noWrap w:val="0"/>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13</w:t>
                  </w:r>
                </w:p>
              </w:tc>
              <w:tc>
                <w:tcPr>
                  <w:tcW w:w="1302" w:type="pct"/>
                  <w:shd w:val="clear" w:color="auto" w:fill="auto"/>
                  <w:noWrap w:val="0"/>
                  <w:vAlign w:val="top"/>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shd w:val="clear" w:color="auto" w:fill="auto"/>
                  <w:noWrap w:val="0"/>
                  <w:vAlign w:val="center"/>
                </w:tcPr>
                <w:p>
                  <w:pPr>
                    <w:widowControl/>
                    <w:jc w:val="center"/>
                    <w:rPr>
                      <w:rFonts w:hint="default" w:ascii="Times New Roman" w:hAnsi="Times New Roman" w:cs="Times New Roman"/>
                      <w:kern w:val="0"/>
                      <w:sz w:val="21"/>
                      <w:szCs w:val="21"/>
                    </w:rPr>
                  </w:pPr>
                  <w:r>
                    <w:rPr>
                      <w:rFonts w:hint="eastAsia" w:ascii="Times New Roman" w:hAnsi="Times New Roman" w:cs="Times New Roman"/>
                      <w:kern w:val="0"/>
                      <w:sz w:val="21"/>
                      <w:szCs w:val="21"/>
                    </w:rPr>
                    <w:t>8</w:t>
                  </w:r>
                </w:p>
              </w:tc>
              <w:tc>
                <w:tcPr>
                  <w:tcW w:w="1634" w:type="pct"/>
                  <w:shd w:val="clear" w:color="auto" w:fill="auto"/>
                  <w:noWrap w:val="0"/>
                  <w:vAlign w:val="center"/>
                </w:tcPr>
                <w:p>
                  <w:pPr>
                    <w:widowControl/>
                    <w:jc w:val="center"/>
                    <w:rPr>
                      <w:rFonts w:hint="default" w:ascii="Times New Roman" w:hAnsi="Times New Roman" w:cs="Times New Roman"/>
                      <w:kern w:val="0"/>
                      <w:sz w:val="21"/>
                      <w:szCs w:val="21"/>
                    </w:rPr>
                  </w:pPr>
                  <w:r>
                    <w:rPr>
                      <w:rFonts w:hint="eastAsia" w:ascii="Times New Roman" w:hAnsi="Times New Roman" w:cs="Times New Roman"/>
                      <w:kern w:val="0"/>
                      <w:sz w:val="21"/>
                      <w:szCs w:val="21"/>
                    </w:rPr>
                    <w:t>临左5</w:t>
                  </w:r>
                  <w:r>
                    <w:rPr>
                      <w:rFonts w:hint="default" w:ascii="Times New Roman" w:hAnsi="Times New Roman" w:cs="Times New Roman"/>
                      <w:kern w:val="0"/>
                      <w:sz w:val="21"/>
                      <w:szCs w:val="21"/>
                    </w:rPr>
                    <w:t>+900</w:t>
                  </w:r>
                </w:p>
              </w:tc>
              <w:tc>
                <w:tcPr>
                  <w:tcW w:w="1544" w:type="pct"/>
                  <w:shd w:val="clear" w:color="auto" w:fill="auto"/>
                  <w:noWrap w:val="0"/>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21</w:t>
                  </w:r>
                </w:p>
              </w:tc>
              <w:tc>
                <w:tcPr>
                  <w:tcW w:w="1302" w:type="pct"/>
                  <w:shd w:val="clear" w:color="auto" w:fill="auto"/>
                  <w:noWrap w:val="0"/>
                  <w:vAlign w:val="top"/>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pct"/>
                  <w:shd w:val="clear" w:color="auto" w:fill="auto"/>
                  <w:noWrap w:val="0"/>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9</w:t>
                  </w:r>
                </w:p>
              </w:tc>
              <w:tc>
                <w:tcPr>
                  <w:tcW w:w="1634" w:type="pct"/>
                  <w:shd w:val="clear" w:color="auto" w:fill="auto"/>
                  <w:noWrap w:val="0"/>
                  <w:vAlign w:val="center"/>
                </w:tcPr>
                <w:p>
                  <w:pPr>
                    <w:widowControl/>
                    <w:jc w:val="center"/>
                    <w:rPr>
                      <w:rFonts w:hint="default" w:ascii="Times New Roman" w:hAnsi="Times New Roman" w:cs="Times New Roman"/>
                      <w:kern w:val="0"/>
                      <w:sz w:val="21"/>
                      <w:szCs w:val="21"/>
                    </w:rPr>
                  </w:pPr>
                  <w:r>
                    <w:rPr>
                      <w:rFonts w:hint="eastAsia" w:ascii="Times New Roman" w:hAnsi="Times New Roman" w:cs="Times New Roman"/>
                      <w:kern w:val="0"/>
                      <w:sz w:val="21"/>
                      <w:szCs w:val="21"/>
                    </w:rPr>
                    <w:t>临左</w:t>
                  </w:r>
                  <w:r>
                    <w:rPr>
                      <w:rFonts w:hint="default" w:ascii="Times New Roman" w:hAnsi="Times New Roman" w:cs="Times New Roman"/>
                      <w:kern w:val="0"/>
                      <w:sz w:val="21"/>
                      <w:szCs w:val="21"/>
                    </w:rPr>
                    <w:t>6+025</w:t>
                  </w:r>
                </w:p>
              </w:tc>
              <w:tc>
                <w:tcPr>
                  <w:tcW w:w="1544" w:type="pct"/>
                  <w:shd w:val="clear" w:color="auto" w:fill="auto"/>
                  <w:noWrap w:val="0"/>
                  <w:vAlign w:val="center"/>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21</w:t>
                  </w:r>
                </w:p>
              </w:tc>
              <w:tc>
                <w:tcPr>
                  <w:tcW w:w="1302" w:type="pct"/>
                  <w:shd w:val="clear" w:color="auto" w:fill="auto"/>
                  <w:noWrap w:val="0"/>
                  <w:vAlign w:val="top"/>
                </w:tcPr>
                <w:p>
                  <w:pPr>
                    <w:widowControl/>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3</w:t>
                  </w:r>
                </w:p>
              </w:tc>
            </w:tr>
          </w:tbl>
          <w:p>
            <w:pPr>
              <w:pStyle w:val="6"/>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12、</w:t>
            </w:r>
            <w:r>
              <w:rPr>
                <w:rFonts w:hint="eastAsia" w:cs="Times New Roman"/>
                <w:color w:val="auto"/>
                <w:sz w:val="24"/>
                <w:szCs w:val="24"/>
                <w:highlight w:val="none"/>
                <w:lang w:val="en-US" w:eastAsia="zh-CN"/>
              </w:rPr>
              <w:t>马道</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eastAsia" w:cs="Times New Roman"/>
                <w:b/>
                <w:bCs/>
                <w:color w:val="auto"/>
                <w:kern w:val="0"/>
                <w:sz w:val="24"/>
                <w:szCs w:val="24"/>
                <w:lang w:val="en-US" w:eastAsia="zh-CN" w:bidi="ar"/>
              </w:rPr>
            </w:pPr>
            <w:r>
              <w:rPr>
                <w:rFonts w:hint="eastAsia" w:cs="Times New Roman"/>
                <w:b w:val="0"/>
                <w:bCs w:val="0"/>
                <w:color w:val="auto"/>
                <w:kern w:val="0"/>
                <w:sz w:val="24"/>
                <w:szCs w:val="24"/>
                <w:lang w:val="en-US" w:eastAsia="zh-CN" w:bidi="ar"/>
              </w:rPr>
              <w:t>本次设计的复合式堤型，在现状路面高程设置公路平台，自上而下为20cm厚C20砼路面，5cm厚M10砂浆垫层。由于三圣村居民交通需要，公路内侧采用30cm×40cm抗滑墙进行隔档，临河侧设30cm×60cm安全防护墩。</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b/>
                <w:bCs/>
                <w:color w:val="auto"/>
                <w:kern w:val="0"/>
                <w:sz w:val="24"/>
                <w:szCs w:val="24"/>
                <w:lang w:val="en-US" w:eastAsia="zh-CN" w:bidi="ar"/>
              </w:rPr>
            </w:pPr>
            <w:r>
              <w:rPr>
                <w:rFonts w:hint="eastAsia" w:cs="Times New Roman"/>
                <w:b/>
                <w:bCs/>
                <w:color w:val="auto"/>
                <w:kern w:val="0"/>
                <w:sz w:val="24"/>
                <w:szCs w:val="24"/>
                <w:lang w:val="en-US" w:eastAsia="zh-CN" w:bidi="ar"/>
              </w:rPr>
              <w:t>13、疏浚设计</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eastAsia="zh-CN" w:bidi="ar"/>
              </w:rPr>
              <w:t>本工程疏浚工程分布于沿线治理河段两侧河滩地，</w:t>
            </w:r>
            <w:r>
              <w:rPr>
                <w:rFonts w:hint="default" w:ascii="Times New Roman" w:hAnsi="Times New Roman" w:eastAsia="宋体" w:cs="Times New Roman"/>
                <w:color w:val="auto"/>
                <w:kern w:val="0"/>
                <w:sz w:val="24"/>
                <w:szCs w:val="24"/>
                <w:lang w:val="en-US" w:eastAsia="zh-CN" w:bidi="ar"/>
              </w:rPr>
              <w:t>起于游坝村皂角冲，止于三圣村琵琶沱，河道疏浚长度3</w:t>
            </w:r>
            <w:r>
              <w:rPr>
                <w:rFonts w:hint="eastAsia" w:cs="Times New Roman"/>
                <w:color w:val="auto"/>
                <w:kern w:val="0"/>
                <w:sz w:val="24"/>
                <w:szCs w:val="24"/>
                <w:lang w:val="en-US" w:eastAsia="zh-CN" w:bidi="ar"/>
              </w:rPr>
              <w:t>000</w:t>
            </w:r>
            <w:r>
              <w:rPr>
                <w:rFonts w:hint="default" w:ascii="Times New Roman" w:hAnsi="Times New Roman" w:eastAsia="宋体" w:cs="Times New Roman"/>
                <w:color w:val="auto"/>
                <w:kern w:val="0"/>
                <w:sz w:val="24"/>
                <w:szCs w:val="24"/>
                <w:lang w:val="en-US" w:eastAsia="zh-CN" w:bidi="ar"/>
              </w:rPr>
              <w:t>m。</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b/>
                <w:bCs/>
                <w:color w:val="auto"/>
                <w:kern w:val="0"/>
                <w:sz w:val="24"/>
                <w:szCs w:val="24"/>
                <w:lang w:eastAsia="zh-CN" w:bidi="ar"/>
              </w:rPr>
            </w:pPr>
            <w:r>
              <w:rPr>
                <w:rFonts w:hint="default" w:ascii="Times New Roman" w:hAnsi="Times New Roman" w:eastAsia="宋体" w:cs="Times New Roman"/>
                <w:b/>
                <w:bCs/>
                <w:color w:val="auto"/>
                <w:kern w:val="0"/>
                <w:sz w:val="24"/>
                <w:szCs w:val="24"/>
                <w:lang w:eastAsia="zh-CN" w:bidi="ar"/>
              </w:rPr>
              <w:t>（1）疏浚第一段：</w:t>
            </w:r>
            <w:r>
              <w:rPr>
                <w:rFonts w:hint="default" w:ascii="Times New Roman" w:hAnsi="Times New Roman" w:eastAsia="宋体" w:cs="Times New Roman"/>
                <w:b/>
                <w:bCs/>
                <w:color w:val="auto"/>
                <w:kern w:val="0"/>
                <w:sz w:val="24"/>
                <w:szCs w:val="24"/>
                <w:lang w:val="en-US" w:eastAsia="zh-CN" w:bidi="ar"/>
              </w:rPr>
              <w:t>跃进村游坎</w:t>
            </w:r>
            <w:r>
              <w:rPr>
                <w:rFonts w:hint="eastAsia" w:cs="Times New Roman"/>
                <w:b/>
                <w:bCs/>
                <w:color w:val="auto"/>
                <w:kern w:val="0"/>
                <w:sz w:val="24"/>
                <w:szCs w:val="24"/>
                <w:lang w:val="en-US" w:eastAsia="zh-CN" w:bidi="ar"/>
              </w:rPr>
              <w:t>~</w:t>
            </w:r>
            <w:r>
              <w:rPr>
                <w:rFonts w:hint="default" w:ascii="Times New Roman" w:hAnsi="Times New Roman" w:eastAsia="宋体" w:cs="Times New Roman"/>
                <w:b/>
                <w:bCs/>
                <w:color w:val="auto"/>
                <w:kern w:val="0"/>
                <w:sz w:val="24"/>
                <w:szCs w:val="24"/>
                <w:lang w:val="en-US" w:eastAsia="zh-CN" w:bidi="ar"/>
              </w:rPr>
              <w:t>终点石材公司</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color w:val="auto"/>
                <w:kern w:val="0"/>
                <w:sz w:val="24"/>
                <w:szCs w:val="24"/>
                <w:lang w:eastAsia="zh-CN" w:bidi="ar"/>
              </w:rPr>
            </w:pPr>
            <w:r>
              <w:rPr>
                <w:rFonts w:hint="default" w:ascii="Times New Roman" w:hAnsi="Times New Roman" w:eastAsia="宋体" w:cs="Times New Roman"/>
                <w:color w:val="auto"/>
                <w:kern w:val="0"/>
                <w:sz w:val="24"/>
                <w:szCs w:val="24"/>
                <w:lang w:eastAsia="zh-CN" w:bidi="ar"/>
              </w:rPr>
              <w:t>本段起于跃进村游坎</w:t>
            </w:r>
            <w:r>
              <w:rPr>
                <w:rFonts w:hint="default" w:ascii="Times New Roman" w:hAnsi="Times New Roman" w:eastAsia="宋体" w:cs="Times New Roman"/>
                <w:color w:val="auto"/>
                <w:kern w:val="0"/>
                <w:sz w:val="24"/>
                <w:szCs w:val="24"/>
                <w:lang w:bidi="ar"/>
              </w:rPr>
              <w:t>（桩号0+000），</w:t>
            </w:r>
            <w:r>
              <w:rPr>
                <w:rFonts w:hint="default" w:ascii="Times New Roman" w:hAnsi="Times New Roman" w:eastAsia="宋体" w:cs="Times New Roman"/>
                <w:color w:val="auto"/>
                <w:kern w:val="0"/>
                <w:sz w:val="24"/>
                <w:szCs w:val="24"/>
                <w:lang w:eastAsia="zh-CN" w:bidi="ar"/>
              </w:rPr>
              <w:t>止于石材公司对岸（桩号</w:t>
            </w:r>
            <w:r>
              <w:rPr>
                <w:rFonts w:hint="eastAsia" w:cs="Times New Roman"/>
                <w:color w:val="auto"/>
                <w:kern w:val="0"/>
                <w:sz w:val="24"/>
                <w:szCs w:val="24"/>
                <w:lang w:val="en-US" w:eastAsia="zh-CN" w:bidi="ar"/>
              </w:rPr>
              <w:t>1+100</w:t>
            </w:r>
            <w:r>
              <w:rPr>
                <w:rFonts w:hint="default" w:ascii="Times New Roman" w:hAnsi="Times New Roman" w:eastAsia="宋体" w:cs="Times New Roman"/>
                <w:color w:val="auto"/>
                <w:kern w:val="0"/>
                <w:sz w:val="24"/>
                <w:szCs w:val="24"/>
                <w:lang w:eastAsia="zh-CN" w:bidi="ar"/>
              </w:rPr>
              <w:t>），疏浚河道</w:t>
            </w:r>
            <w:r>
              <w:rPr>
                <w:rFonts w:hint="default" w:ascii="Times New Roman" w:hAnsi="Times New Roman" w:eastAsia="宋体" w:cs="Times New Roman"/>
                <w:color w:val="auto"/>
                <w:kern w:val="0"/>
                <w:sz w:val="24"/>
                <w:szCs w:val="24"/>
                <w:lang w:bidi="ar"/>
              </w:rPr>
              <w:t>长</w:t>
            </w:r>
            <w:r>
              <w:rPr>
                <w:rFonts w:hint="eastAsia" w:cs="Times New Roman"/>
                <w:color w:val="auto"/>
                <w:kern w:val="0"/>
                <w:sz w:val="24"/>
                <w:szCs w:val="24"/>
                <w:lang w:val="en-US" w:eastAsia="zh-CN" w:bidi="ar"/>
              </w:rPr>
              <w:t>1024</w:t>
            </w:r>
            <w:r>
              <w:rPr>
                <w:rFonts w:hint="default" w:ascii="Times New Roman" w:hAnsi="Times New Roman" w:eastAsia="宋体" w:cs="Times New Roman"/>
                <w:color w:val="auto"/>
                <w:kern w:val="0"/>
                <w:sz w:val="24"/>
                <w:szCs w:val="24"/>
                <w:lang w:bidi="ar"/>
              </w:rPr>
              <w:t>m</w:t>
            </w:r>
            <w:r>
              <w:rPr>
                <w:rFonts w:hint="default" w:ascii="Times New Roman" w:hAnsi="Times New Roman" w:eastAsia="宋体" w:cs="Times New Roman"/>
                <w:color w:val="auto"/>
                <w:kern w:val="0"/>
                <w:sz w:val="24"/>
                <w:szCs w:val="24"/>
                <w:lang w:eastAsia="zh-CN" w:bidi="ar"/>
              </w:rPr>
              <w:t>，疏浚面积4</w:t>
            </w:r>
            <w:r>
              <w:rPr>
                <w:rFonts w:hint="eastAsia" w:cs="Times New Roman"/>
                <w:color w:val="auto"/>
                <w:kern w:val="0"/>
                <w:sz w:val="24"/>
                <w:szCs w:val="24"/>
                <w:lang w:val="en-US" w:eastAsia="zh-CN" w:bidi="ar"/>
              </w:rPr>
              <w:t>4</w:t>
            </w:r>
            <w:r>
              <w:rPr>
                <w:rFonts w:hint="default" w:ascii="Times New Roman" w:hAnsi="Times New Roman" w:eastAsia="宋体" w:cs="Times New Roman"/>
                <w:color w:val="auto"/>
                <w:kern w:val="0"/>
                <w:sz w:val="24"/>
                <w:szCs w:val="24"/>
                <w:lang w:eastAsia="zh-CN" w:bidi="ar"/>
              </w:rPr>
              <w:t>000</w:t>
            </w:r>
            <w:r>
              <w:rPr>
                <w:rFonts w:hint="eastAsia" w:cs="Times New Roman"/>
                <w:color w:val="auto"/>
                <w:kern w:val="0"/>
                <w:sz w:val="24"/>
                <w:szCs w:val="24"/>
                <w:lang w:val="en-US" w:eastAsia="zh-CN" w:bidi="ar"/>
              </w:rPr>
              <w:t>m</w:t>
            </w:r>
            <w:r>
              <w:rPr>
                <w:rFonts w:hint="eastAsia" w:cs="Times New Roman"/>
                <w:color w:val="auto"/>
                <w:kern w:val="0"/>
                <w:sz w:val="24"/>
                <w:szCs w:val="24"/>
                <w:vertAlign w:val="superscript"/>
                <w:lang w:val="en-US" w:eastAsia="zh-CN" w:bidi="ar"/>
              </w:rPr>
              <w:t>2</w:t>
            </w:r>
            <w:r>
              <w:rPr>
                <w:rFonts w:hint="default" w:ascii="Times New Roman" w:hAnsi="Times New Roman" w:eastAsia="宋体" w:cs="Times New Roman"/>
                <w:color w:val="auto"/>
                <w:kern w:val="0"/>
                <w:sz w:val="24"/>
                <w:szCs w:val="24"/>
                <w:lang w:eastAsia="zh-CN" w:bidi="ar"/>
              </w:rPr>
              <w:t>。为确保安全和避免河道水质遭到破坏，疏浚范围以岸脚以外10m范围为起点，疏浚至中泓线范围，设计开挖坡比1:3，平均疏浚深度1m。疏浚料质量合格部分运输至堤身回填部位作为填筑料使用，表层粉土、杂草和超径石料作为弃渣料运输至弃渣场堆放平整。</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b/>
                <w:bCs/>
                <w:color w:val="auto"/>
                <w:kern w:val="0"/>
                <w:sz w:val="24"/>
                <w:szCs w:val="24"/>
                <w:lang w:eastAsia="zh-CN" w:bidi="ar"/>
              </w:rPr>
            </w:pPr>
            <w:r>
              <w:rPr>
                <w:rFonts w:hint="default" w:ascii="Times New Roman" w:hAnsi="Times New Roman" w:eastAsia="宋体" w:cs="Times New Roman"/>
                <w:b/>
                <w:bCs/>
                <w:color w:val="auto"/>
                <w:kern w:val="0"/>
                <w:sz w:val="24"/>
                <w:szCs w:val="24"/>
                <w:lang w:eastAsia="zh-CN" w:bidi="ar"/>
              </w:rPr>
              <w:t>（2）疏浚第二段：游坝村桥~冯堰碥段</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color w:val="auto"/>
                <w:kern w:val="0"/>
                <w:sz w:val="24"/>
                <w:szCs w:val="24"/>
                <w:lang w:eastAsia="zh-CN" w:bidi="ar"/>
              </w:rPr>
            </w:pPr>
            <w:r>
              <w:rPr>
                <w:rFonts w:hint="default" w:ascii="Times New Roman" w:hAnsi="Times New Roman" w:eastAsia="宋体" w:cs="Times New Roman"/>
                <w:color w:val="auto"/>
                <w:kern w:val="0"/>
                <w:sz w:val="24"/>
                <w:szCs w:val="24"/>
                <w:lang w:eastAsia="zh-CN" w:bidi="ar"/>
              </w:rPr>
              <w:t>本段起于游坝村桥（桩号1+</w:t>
            </w:r>
            <w:r>
              <w:rPr>
                <w:rFonts w:hint="eastAsia" w:cs="Times New Roman"/>
                <w:color w:val="auto"/>
                <w:kern w:val="0"/>
                <w:sz w:val="24"/>
                <w:szCs w:val="24"/>
                <w:lang w:val="en-US" w:eastAsia="zh-CN" w:bidi="ar"/>
              </w:rPr>
              <w:t>600</w:t>
            </w:r>
            <w:r>
              <w:rPr>
                <w:rFonts w:hint="default" w:ascii="Times New Roman" w:hAnsi="Times New Roman" w:eastAsia="宋体" w:cs="Times New Roman"/>
                <w:color w:val="auto"/>
                <w:kern w:val="0"/>
                <w:sz w:val="24"/>
                <w:szCs w:val="24"/>
                <w:lang w:eastAsia="zh-CN" w:bidi="ar"/>
              </w:rPr>
              <w:t>）</w:t>
            </w:r>
            <w:r>
              <w:rPr>
                <w:rFonts w:hint="default" w:ascii="Times New Roman" w:hAnsi="Times New Roman" w:eastAsia="宋体" w:cs="Times New Roman"/>
                <w:color w:val="auto"/>
                <w:kern w:val="0"/>
                <w:sz w:val="24"/>
                <w:szCs w:val="24"/>
                <w:lang w:bidi="ar"/>
              </w:rPr>
              <w:t>，</w:t>
            </w:r>
            <w:r>
              <w:rPr>
                <w:rFonts w:hint="default" w:ascii="Times New Roman" w:hAnsi="Times New Roman" w:eastAsia="宋体" w:cs="Times New Roman"/>
                <w:color w:val="auto"/>
                <w:kern w:val="0"/>
                <w:sz w:val="24"/>
                <w:szCs w:val="24"/>
                <w:lang w:eastAsia="zh-CN" w:bidi="ar"/>
              </w:rPr>
              <w:t>止于冯堰碥（桩号</w:t>
            </w:r>
            <w:r>
              <w:rPr>
                <w:rFonts w:hint="eastAsia" w:cs="Times New Roman"/>
                <w:color w:val="auto"/>
                <w:kern w:val="0"/>
                <w:sz w:val="24"/>
                <w:szCs w:val="24"/>
                <w:lang w:val="en-US" w:eastAsia="zh-CN" w:bidi="ar"/>
              </w:rPr>
              <w:t>2</w:t>
            </w:r>
            <w:r>
              <w:rPr>
                <w:rFonts w:hint="default" w:ascii="Times New Roman" w:hAnsi="Times New Roman" w:eastAsia="宋体" w:cs="Times New Roman"/>
                <w:color w:val="auto"/>
                <w:kern w:val="0"/>
                <w:sz w:val="24"/>
                <w:szCs w:val="24"/>
                <w:lang w:eastAsia="zh-CN" w:bidi="ar"/>
              </w:rPr>
              <w:t>+</w:t>
            </w:r>
            <w:r>
              <w:rPr>
                <w:rFonts w:hint="eastAsia" w:cs="Times New Roman"/>
                <w:color w:val="auto"/>
                <w:kern w:val="0"/>
                <w:sz w:val="24"/>
                <w:szCs w:val="24"/>
                <w:lang w:val="en-US" w:eastAsia="zh-CN" w:bidi="ar"/>
              </w:rPr>
              <w:t>9</w:t>
            </w:r>
            <w:r>
              <w:rPr>
                <w:rFonts w:hint="default" w:ascii="Times New Roman" w:hAnsi="Times New Roman" w:eastAsia="宋体" w:cs="Times New Roman"/>
                <w:color w:val="auto"/>
                <w:kern w:val="0"/>
                <w:sz w:val="24"/>
                <w:szCs w:val="24"/>
                <w:lang w:eastAsia="zh-CN" w:bidi="ar"/>
              </w:rPr>
              <w:t>00），疏浚河道</w:t>
            </w:r>
            <w:r>
              <w:rPr>
                <w:rFonts w:hint="default" w:ascii="Times New Roman" w:hAnsi="Times New Roman" w:eastAsia="宋体" w:cs="Times New Roman"/>
                <w:color w:val="auto"/>
                <w:kern w:val="0"/>
                <w:sz w:val="24"/>
                <w:szCs w:val="24"/>
                <w:lang w:bidi="ar"/>
              </w:rPr>
              <w:t>长1159m</w:t>
            </w:r>
            <w:r>
              <w:rPr>
                <w:rFonts w:hint="default" w:ascii="Times New Roman" w:hAnsi="Times New Roman" w:eastAsia="宋体" w:cs="Times New Roman"/>
                <w:color w:val="auto"/>
                <w:kern w:val="0"/>
                <w:sz w:val="24"/>
                <w:szCs w:val="24"/>
                <w:lang w:eastAsia="zh-CN" w:bidi="ar"/>
              </w:rPr>
              <w:t>，疏浚面积2400</w:t>
            </w:r>
            <w:r>
              <w:rPr>
                <w:rFonts w:hint="eastAsia" w:cs="Times New Roman"/>
                <w:color w:val="auto"/>
                <w:kern w:val="0"/>
                <w:sz w:val="24"/>
                <w:szCs w:val="24"/>
                <w:lang w:val="en-US" w:eastAsia="zh-CN" w:bidi="ar"/>
              </w:rPr>
              <w:t>m</w:t>
            </w:r>
            <w:r>
              <w:rPr>
                <w:rFonts w:hint="eastAsia" w:cs="Times New Roman"/>
                <w:color w:val="auto"/>
                <w:kern w:val="0"/>
                <w:sz w:val="24"/>
                <w:szCs w:val="24"/>
                <w:vertAlign w:val="superscript"/>
                <w:lang w:val="en-US" w:eastAsia="zh-CN" w:bidi="ar"/>
              </w:rPr>
              <w:t>2</w:t>
            </w:r>
            <w:r>
              <w:rPr>
                <w:rFonts w:hint="default" w:ascii="Times New Roman" w:hAnsi="Times New Roman" w:eastAsia="宋体" w:cs="Times New Roman"/>
                <w:color w:val="auto"/>
                <w:kern w:val="0"/>
                <w:sz w:val="24"/>
                <w:szCs w:val="24"/>
                <w:lang w:eastAsia="zh-CN" w:bidi="ar"/>
              </w:rPr>
              <w:t>。为确保安全和避免河道水质遭到破坏，疏浚范围以岸脚以外10m范围为起点，疏浚至中泓线范围，设计开挖坡比1:3，平均疏浚深度0.5m。疏浚料质量合格部分运输至堤身回填部位作为填筑料使用，表层粉土、杂草和超径石料作为弃渣料运输至弃渣场堆放平整。</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color w:val="auto"/>
                <w:kern w:val="0"/>
                <w:sz w:val="24"/>
                <w:szCs w:val="24"/>
                <w:lang w:eastAsia="zh-CN" w:bidi="ar"/>
              </w:rPr>
            </w:pPr>
            <w:r>
              <w:rPr>
                <w:rFonts w:hint="default" w:ascii="Times New Roman" w:hAnsi="Times New Roman" w:eastAsia="宋体" w:cs="Times New Roman"/>
                <w:color w:val="auto"/>
                <w:kern w:val="0"/>
                <w:sz w:val="24"/>
                <w:szCs w:val="24"/>
                <w:lang w:eastAsia="zh-CN" w:bidi="ar"/>
              </w:rPr>
              <w:t>右岸自冯堰碥（桩号3+000）下游，无相应河滩地可实施疏浚工程，下游堤防加固段结合加固设计进行疏浚。</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eastAsia="zh-CN" w:bidi="ar"/>
              </w:rPr>
              <w:t>（</w:t>
            </w:r>
            <w:r>
              <w:rPr>
                <w:rFonts w:hint="eastAsia" w:cs="Times New Roman"/>
                <w:b/>
                <w:bCs/>
                <w:color w:val="auto"/>
                <w:kern w:val="0"/>
                <w:sz w:val="24"/>
                <w:szCs w:val="24"/>
                <w:lang w:val="en-US" w:eastAsia="zh-CN" w:bidi="ar"/>
              </w:rPr>
              <w:t>3</w:t>
            </w:r>
            <w:r>
              <w:rPr>
                <w:rFonts w:hint="default" w:ascii="Times New Roman" w:hAnsi="Times New Roman" w:eastAsia="宋体" w:cs="Times New Roman"/>
                <w:b/>
                <w:bCs/>
                <w:color w:val="auto"/>
                <w:kern w:val="0"/>
                <w:sz w:val="24"/>
                <w:szCs w:val="24"/>
                <w:lang w:eastAsia="zh-CN" w:bidi="ar"/>
              </w:rPr>
              <w:t>）疏浚</w:t>
            </w:r>
            <w:r>
              <w:rPr>
                <w:rFonts w:hint="eastAsia" w:cs="Times New Roman"/>
                <w:b/>
                <w:bCs/>
                <w:color w:val="auto"/>
                <w:kern w:val="0"/>
                <w:sz w:val="24"/>
                <w:szCs w:val="24"/>
                <w:lang w:val="en-US" w:eastAsia="zh-CN" w:bidi="ar"/>
              </w:rPr>
              <w:t>三</w:t>
            </w:r>
            <w:r>
              <w:rPr>
                <w:rFonts w:hint="default" w:ascii="Times New Roman" w:hAnsi="Times New Roman" w:eastAsia="宋体" w:cs="Times New Roman"/>
                <w:b/>
                <w:bCs/>
                <w:color w:val="auto"/>
                <w:kern w:val="0"/>
                <w:sz w:val="24"/>
                <w:szCs w:val="24"/>
                <w:lang w:eastAsia="zh-CN" w:bidi="ar"/>
              </w:rPr>
              <w:t>第段：朱岗漫水桥段</w:t>
            </w:r>
            <w:r>
              <w:rPr>
                <w:rFonts w:hint="eastAsia" w:cs="Times New Roman"/>
                <w:b/>
                <w:bCs/>
                <w:color w:val="auto"/>
                <w:kern w:val="0"/>
                <w:sz w:val="24"/>
                <w:szCs w:val="24"/>
                <w:lang w:val="en-US" w:eastAsia="zh-CN" w:bidi="ar"/>
              </w:rPr>
              <w:t>~苏九路1#桥</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color w:val="auto"/>
                <w:kern w:val="0"/>
                <w:sz w:val="24"/>
                <w:szCs w:val="24"/>
                <w:lang w:eastAsia="zh-CN" w:bidi="ar"/>
              </w:rPr>
            </w:pPr>
            <w:r>
              <w:rPr>
                <w:rFonts w:hint="default" w:ascii="Times New Roman" w:hAnsi="Times New Roman" w:eastAsia="宋体" w:cs="Times New Roman"/>
                <w:color w:val="auto"/>
                <w:kern w:val="0"/>
                <w:sz w:val="24"/>
                <w:szCs w:val="24"/>
                <w:lang w:eastAsia="zh-CN" w:bidi="ar"/>
              </w:rPr>
              <w:t>本段起于</w:t>
            </w:r>
            <w:r>
              <w:rPr>
                <w:rFonts w:hint="default" w:ascii="Times New Roman" w:hAnsi="Times New Roman" w:eastAsia="宋体" w:cs="Times New Roman"/>
                <w:color w:val="auto"/>
                <w:kern w:val="0"/>
                <w:sz w:val="24"/>
                <w:szCs w:val="24"/>
                <w:lang w:val="en-US" w:eastAsia="zh-CN" w:bidi="ar"/>
              </w:rPr>
              <w:t>朱岗漫水桥</w:t>
            </w:r>
            <w:r>
              <w:rPr>
                <w:rFonts w:hint="default" w:ascii="Times New Roman" w:hAnsi="Times New Roman" w:eastAsia="宋体" w:cs="Times New Roman"/>
                <w:color w:val="auto"/>
                <w:kern w:val="0"/>
                <w:sz w:val="24"/>
                <w:szCs w:val="24"/>
                <w:lang w:eastAsia="zh-CN" w:bidi="ar"/>
              </w:rPr>
              <w:t>（桩号2+900）</w:t>
            </w:r>
            <w:r>
              <w:rPr>
                <w:rFonts w:hint="default" w:ascii="Times New Roman" w:hAnsi="Times New Roman" w:eastAsia="宋体" w:cs="Times New Roman"/>
                <w:color w:val="auto"/>
                <w:kern w:val="0"/>
                <w:sz w:val="24"/>
                <w:szCs w:val="24"/>
                <w:lang w:bidi="ar"/>
              </w:rPr>
              <w:t>，</w:t>
            </w:r>
            <w:r>
              <w:rPr>
                <w:rFonts w:hint="default" w:ascii="Times New Roman" w:hAnsi="Times New Roman" w:eastAsia="宋体" w:cs="Times New Roman"/>
                <w:color w:val="auto"/>
                <w:kern w:val="0"/>
                <w:sz w:val="24"/>
                <w:szCs w:val="24"/>
                <w:lang w:eastAsia="zh-CN" w:bidi="ar"/>
              </w:rPr>
              <w:t>止于</w:t>
            </w:r>
            <w:r>
              <w:rPr>
                <w:rFonts w:hint="default" w:ascii="Times New Roman" w:hAnsi="Times New Roman" w:eastAsia="宋体" w:cs="Times New Roman"/>
                <w:color w:val="auto"/>
                <w:kern w:val="0"/>
                <w:sz w:val="24"/>
                <w:szCs w:val="24"/>
                <w:lang w:val="en-US" w:eastAsia="zh-CN" w:bidi="ar"/>
              </w:rPr>
              <w:t>苏九路</w:t>
            </w:r>
            <w:r>
              <w:rPr>
                <w:rFonts w:hint="default" w:ascii="Times New Roman" w:hAnsi="Times New Roman" w:eastAsia="宋体" w:cs="Times New Roman"/>
                <w:color w:val="auto"/>
                <w:kern w:val="0"/>
                <w:sz w:val="24"/>
                <w:szCs w:val="24"/>
                <w:lang w:eastAsia="zh-CN" w:bidi="ar"/>
              </w:rPr>
              <w:t>1#桥</w:t>
            </w:r>
            <w:r>
              <w:rPr>
                <w:rFonts w:hint="eastAsia" w:cs="Times New Roman"/>
                <w:color w:val="auto"/>
                <w:kern w:val="0"/>
                <w:sz w:val="24"/>
                <w:szCs w:val="24"/>
                <w:lang w:eastAsia="zh-CN" w:bidi="ar"/>
              </w:rPr>
              <w:t>（</w:t>
            </w:r>
            <w:r>
              <w:rPr>
                <w:rFonts w:hint="default" w:ascii="Times New Roman" w:hAnsi="Times New Roman" w:eastAsia="宋体" w:cs="Times New Roman"/>
                <w:color w:val="auto"/>
                <w:kern w:val="0"/>
                <w:sz w:val="24"/>
                <w:szCs w:val="24"/>
                <w:lang w:eastAsia="zh-CN" w:bidi="ar"/>
              </w:rPr>
              <w:t>桩号</w:t>
            </w:r>
            <w:r>
              <w:rPr>
                <w:rFonts w:hint="eastAsia" w:cs="Times New Roman"/>
                <w:color w:val="auto"/>
                <w:kern w:val="0"/>
                <w:sz w:val="24"/>
                <w:szCs w:val="24"/>
                <w:lang w:val="en-US" w:eastAsia="zh-CN" w:bidi="ar"/>
              </w:rPr>
              <w:t>3</w:t>
            </w:r>
            <w:r>
              <w:rPr>
                <w:rFonts w:hint="default" w:ascii="Times New Roman" w:hAnsi="Times New Roman" w:eastAsia="宋体" w:cs="Times New Roman"/>
                <w:color w:val="auto"/>
                <w:kern w:val="0"/>
                <w:sz w:val="24"/>
                <w:szCs w:val="24"/>
                <w:lang w:eastAsia="zh-CN" w:bidi="ar"/>
              </w:rPr>
              <w:t>+</w:t>
            </w:r>
            <w:r>
              <w:rPr>
                <w:rFonts w:hint="eastAsia" w:cs="Times New Roman"/>
                <w:color w:val="auto"/>
                <w:kern w:val="0"/>
                <w:sz w:val="24"/>
                <w:szCs w:val="24"/>
                <w:lang w:val="en-US" w:eastAsia="zh-CN" w:bidi="ar"/>
              </w:rPr>
              <w:t>8</w:t>
            </w:r>
            <w:r>
              <w:rPr>
                <w:rFonts w:hint="default" w:ascii="Times New Roman" w:hAnsi="Times New Roman" w:eastAsia="宋体" w:cs="Times New Roman"/>
                <w:color w:val="auto"/>
                <w:kern w:val="0"/>
                <w:sz w:val="24"/>
                <w:szCs w:val="24"/>
                <w:lang w:eastAsia="zh-CN" w:bidi="ar"/>
              </w:rPr>
              <w:t>00</w:t>
            </w:r>
            <w:r>
              <w:rPr>
                <w:rFonts w:hint="eastAsia" w:cs="Times New Roman"/>
                <w:color w:val="auto"/>
                <w:kern w:val="0"/>
                <w:sz w:val="24"/>
                <w:szCs w:val="24"/>
                <w:lang w:eastAsia="zh-CN" w:bidi="ar"/>
              </w:rPr>
              <w:t>）</w:t>
            </w:r>
            <w:r>
              <w:rPr>
                <w:rFonts w:hint="default" w:ascii="Times New Roman" w:hAnsi="Times New Roman" w:eastAsia="宋体" w:cs="Times New Roman"/>
                <w:color w:val="auto"/>
                <w:kern w:val="0"/>
                <w:sz w:val="24"/>
                <w:szCs w:val="24"/>
                <w:lang w:eastAsia="zh-CN" w:bidi="ar"/>
              </w:rPr>
              <w:t>，疏浚河道</w:t>
            </w:r>
            <w:r>
              <w:rPr>
                <w:rFonts w:hint="default" w:ascii="Times New Roman" w:hAnsi="Times New Roman" w:eastAsia="宋体" w:cs="Times New Roman"/>
                <w:color w:val="auto"/>
                <w:kern w:val="0"/>
                <w:sz w:val="24"/>
                <w:szCs w:val="24"/>
                <w:lang w:bidi="ar"/>
              </w:rPr>
              <w:t>长357m</w:t>
            </w:r>
            <w:r>
              <w:rPr>
                <w:rFonts w:hint="default" w:ascii="Times New Roman" w:hAnsi="Times New Roman" w:eastAsia="宋体" w:cs="Times New Roman"/>
                <w:color w:val="auto"/>
                <w:kern w:val="0"/>
                <w:sz w:val="24"/>
                <w:szCs w:val="24"/>
                <w:lang w:eastAsia="zh-CN" w:bidi="ar"/>
              </w:rPr>
              <w:t>，疏浚面积4000</w:t>
            </w:r>
            <w:r>
              <w:rPr>
                <w:rFonts w:hint="eastAsia" w:cs="Times New Roman"/>
                <w:color w:val="auto"/>
                <w:kern w:val="0"/>
                <w:sz w:val="24"/>
                <w:szCs w:val="24"/>
                <w:lang w:val="en-US" w:eastAsia="zh-CN" w:bidi="ar"/>
              </w:rPr>
              <w:t>m</w:t>
            </w:r>
            <w:r>
              <w:rPr>
                <w:rFonts w:hint="eastAsia" w:cs="Times New Roman"/>
                <w:color w:val="auto"/>
                <w:kern w:val="0"/>
                <w:sz w:val="24"/>
                <w:szCs w:val="24"/>
                <w:vertAlign w:val="superscript"/>
                <w:lang w:val="en-US" w:eastAsia="zh-CN" w:bidi="ar"/>
              </w:rPr>
              <w:t>2</w:t>
            </w:r>
            <w:r>
              <w:rPr>
                <w:rFonts w:hint="default" w:ascii="Times New Roman" w:hAnsi="Times New Roman" w:eastAsia="宋体" w:cs="Times New Roman"/>
                <w:color w:val="auto"/>
                <w:kern w:val="0"/>
                <w:sz w:val="24"/>
                <w:szCs w:val="24"/>
                <w:lang w:eastAsia="zh-CN" w:bidi="ar"/>
              </w:rPr>
              <w:t>。为确保安全和避免河道水质遭到破坏，疏浚范围以岸脚以外10m范围为起点，疏浚至中泓线范围，设计开挖坡比1:3，平均疏浚深度0.5m。疏浚料质量合格部分运输至堤身回填部位作为填筑料使用，表层粉土、杂草和超径石料作为弃渣料运输至弃渣场堆放平整。</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b/>
                <w:bCs/>
                <w:color w:val="auto"/>
                <w:kern w:val="0"/>
                <w:sz w:val="24"/>
                <w:szCs w:val="24"/>
                <w:lang w:eastAsia="zh-CN" w:bidi="ar"/>
              </w:rPr>
            </w:pPr>
            <w:r>
              <w:rPr>
                <w:rFonts w:hint="default" w:ascii="Times New Roman" w:hAnsi="Times New Roman" w:eastAsia="宋体" w:cs="Times New Roman"/>
                <w:b/>
                <w:bCs/>
                <w:color w:val="auto"/>
                <w:kern w:val="0"/>
                <w:sz w:val="24"/>
                <w:szCs w:val="24"/>
                <w:lang w:eastAsia="zh-CN" w:bidi="ar"/>
              </w:rPr>
              <w:t>（</w:t>
            </w:r>
            <w:r>
              <w:rPr>
                <w:rFonts w:hint="eastAsia" w:cs="Times New Roman"/>
                <w:b/>
                <w:bCs/>
                <w:color w:val="auto"/>
                <w:kern w:val="0"/>
                <w:sz w:val="24"/>
                <w:szCs w:val="24"/>
                <w:lang w:val="en-US" w:eastAsia="zh-CN" w:bidi="ar"/>
              </w:rPr>
              <w:t>4</w:t>
            </w:r>
            <w:r>
              <w:rPr>
                <w:rFonts w:hint="default" w:ascii="Times New Roman" w:hAnsi="Times New Roman" w:eastAsia="宋体" w:cs="Times New Roman"/>
                <w:b/>
                <w:bCs/>
                <w:color w:val="auto"/>
                <w:kern w:val="0"/>
                <w:sz w:val="24"/>
                <w:szCs w:val="24"/>
                <w:lang w:eastAsia="zh-CN" w:bidi="ar"/>
              </w:rPr>
              <w:t>）疏浚第</w:t>
            </w:r>
            <w:r>
              <w:rPr>
                <w:rFonts w:hint="eastAsia" w:cs="Times New Roman"/>
                <w:b/>
                <w:bCs/>
                <w:color w:val="auto"/>
                <w:kern w:val="0"/>
                <w:sz w:val="24"/>
                <w:szCs w:val="24"/>
                <w:lang w:val="en-US" w:eastAsia="zh-CN" w:bidi="ar"/>
              </w:rPr>
              <w:t>四</w:t>
            </w:r>
            <w:r>
              <w:rPr>
                <w:rFonts w:hint="default" w:ascii="Times New Roman" w:hAnsi="Times New Roman" w:eastAsia="宋体" w:cs="Times New Roman"/>
                <w:b/>
                <w:bCs/>
                <w:color w:val="auto"/>
                <w:kern w:val="0"/>
                <w:sz w:val="24"/>
                <w:szCs w:val="24"/>
                <w:lang w:eastAsia="zh-CN" w:bidi="ar"/>
              </w:rPr>
              <w:t>段：三圣村流滴岩~中铁二局钢筋棚段</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color w:val="auto"/>
                <w:kern w:val="0"/>
                <w:sz w:val="24"/>
                <w:szCs w:val="24"/>
                <w:lang w:eastAsia="zh-CN" w:bidi="ar"/>
              </w:rPr>
            </w:pPr>
            <w:r>
              <w:rPr>
                <w:rFonts w:hint="default" w:ascii="Times New Roman" w:hAnsi="Times New Roman" w:eastAsia="宋体" w:cs="Times New Roman"/>
                <w:color w:val="auto"/>
                <w:kern w:val="0"/>
                <w:sz w:val="24"/>
                <w:szCs w:val="24"/>
                <w:lang w:eastAsia="zh-CN" w:bidi="ar"/>
              </w:rPr>
              <w:t>本段起于三圣村流滴岩</w:t>
            </w:r>
            <w:r>
              <w:rPr>
                <w:rFonts w:hint="default" w:ascii="Times New Roman" w:hAnsi="Times New Roman" w:eastAsia="宋体" w:cs="Times New Roman"/>
                <w:color w:val="auto"/>
                <w:kern w:val="0"/>
                <w:sz w:val="24"/>
                <w:szCs w:val="24"/>
                <w:lang w:bidi="ar"/>
              </w:rPr>
              <w:t>（桩号5+11</w:t>
            </w:r>
            <w:r>
              <w:rPr>
                <w:rFonts w:hint="eastAsia" w:cs="Times New Roman"/>
                <w:color w:val="auto"/>
                <w:kern w:val="0"/>
                <w:sz w:val="24"/>
                <w:szCs w:val="24"/>
                <w:lang w:val="en-US" w:eastAsia="zh-CN" w:bidi="ar"/>
              </w:rPr>
              <w:t>0</w:t>
            </w:r>
            <w:r>
              <w:rPr>
                <w:rFonts w:hint="default" w:ascii="Times New Roman" w:hAnsi="Times New Roman" w:eastAsia="宋体" w:cs="Times New Roman"/>
                <w:color w:val="auto"/>
                <w:kern w:val="0"/>
                <w:sz w:val="24"/>
                <w:szCs w:val="24"/>
                <w:lang w:bidi="ar"/>
              </w:rPr>
              <w:t>），</w:t>
            </w:r>
            <w:r>
              <w:rPr>
                <w:rFonts w:hint="default" w:ascii="Times New Roman" w:hAnsi="Times New Roman" w:eastAsia="宋体" w:cs="Times New Roman"/>
                <w:color w:val="auto"/>
                <w:kern w:val="0"/>
                <w:sz w:val="24"/>
                <w:szCs w:val="24"/>
                <w:lang w:eastAsia="zh-CN" w:bidi="ar"/>
              </w:rPr>
              <w:t>止于中铁二局钢筋棚（桩号5+5</w:t>
            </w:r>
            <w:r>
              <w:rPr>
                <w:rFonts w:hint="eastAsia" w:cs="Times New Roman"/>
                <w:color w:val="auto"/>
                <w:kern w:val="0"/>
                <w:sz w:val="24"/>
                <w:szCs w:val="24"/>
                <w:lang w:val="en-US" w:eastAsia="zh-CN" w:bidi="ar"/>
              </w:rPr>
              <w:t>0</w:t>
            </w:r>
            <w:r>
              <w:rPr>
                <w:rFonts w:hint="default" w:ascii="Times New Roman" w:hAnsi="Times New Roman" w:eastAsia="宋体" w:cs="Times New Roman"/>
                <w:color w:val="auto"/>
                <w:kern w:val="0"/>
                <w:sz w:val="24"/>
                <w:szCs w:val="24"/>
                <w:lang w:eastAsia="zh-CN" w:bidi="ar"/>
              </w:rPr>
              <w:t>0），疏浚河道</w:t>
            </w:r>
            <w:r>
              <w:rPr>
                <w:rFonts w:hint="default" w:ascii="Times New Roman" w:hAnsi="Times New Roman" w:eastAsia="宋体" w:cs="Times New Roman"/>
                <w:color w:val="auto"/>
                <w:kern w:val="0"/>
                <w:sz w:val="24"/>
                <w:szCs w:val="24"/>
                <w:lang w:bidi="ar"/>
              </w:rPr>
              <w:t>长436m</w:t>
            </w:r>
            <w:r>
              <w:rPr>
                <w:rFonts w:hint="default" w:ascii="Times New Roman" w:hAnsi="Times New Roman" w:eastAsia="宋体" w:cs="Times New Roman"/>
                <w:color w:val="auto"/>
                <w:kern w:val="0"/>
                <w:sz w:val="24"/>
                <w:szCs w:val="24"/>
                <w:lang w:eastAsia="zh-CN" w:bidi="ar"/>
              </w:rPr>
              <w:t>，疏浚面积5290</w:t>
            </w:r>
            <w:r>
              <w:rPr>
                <w:rFonts w:hint="eastAsia" w:cs="Times New Roman"/>
                <w:color w:val="auto"/>
                <w:kern w:val="0"/>
                <w:sz w:val="24"/>
                <w:szCs w:val="24"/>
                <w:lang w:val="en-US" w:eastAsia="zh-CN" w:bidi="ar"/>
              </w:rPr>
              <w:t>m</w:t>
            </w:r>
            <w:r>
              <w:rPr>
                <w:rFonts w:hint="eastAsia" w:cs="Times New Roman"/>
                <w:color w:val="auto"/>
                <w:kern w:val="0"/>
                <w:sz w:val="24"/>
                <w:szCs w:val="24"/>
                <w:vertAlign w:val="superscript"/>
                <w:lang w:val="en-US" w:eastAsia="zh-CN" w:bidi="ar"/>
              </w:rPr>
              <w:t>2</w:t>
            </w:r>
            <w:r>
              <w:rPr>
                <w:rFonts w:hint="default" w:ascii="Times New Roman" w:hAnsi="Times New Roman" w:eastAsia="宋体" w:cs="Times New Roman"/>
                <w:color w:val="auto"/>
                <w:kern w:val="0"/>
                <w:sz w:val="24"/>
                <w:szCs w:val="24"/>
                <w:lang w:eastAsia="zh-CN" w:bidi="ar"/>
              </w:rPr>
              <w:t>。为确保安全和避免河道水质遭到破坏，疏浚范围以岸脚以外10m范围为起点，疏浚至中泓线范围，设计开挖坡比1:3，平均疏浚深度0.5m。疏浚料质量合格部分运输至堤身回填部位作为填筑料使用，表层粉土、杂草和超径石料作为弃渣料运输至弃渣场堆放平整。</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b/>
                <w:bCs/>
                <w:color w:val="auto"/>
                <w:kern w:val="0"/>
                <w:sz w:val="24"/>
                <w:szCs w:val="24"/>
                <w:lang w:eastAsia="zh-CN" w:bidi="ar"/>
              </w:rPr>
            </w:pPr>
            <w:r>
              <w:rPr>
                <w:rFonts w:hint="default" w:ascii="Times New Roman" w:hAnsi="Times New Roman" w:eastAsia="宋体" w:cs="Times New Roman"/>
                <w:b/>
                <w:bCs/>
                <w:color w:val="auto"/>
                <w:kern w:val="0"/>
                <w:sz w:val="24"/>
                <w:szCs w:val="24"/>
                <w:lang w:eastAsia="zh-CN" w:bidi="ar"/>
              </w:rPr>
              <w:t>（</w:t>
            </w:r>
            <w:r>
              <w:rPr>
                <w:rFonts w:hint="eastAsia" w:cs="Times New Roman"/>
                <w:b/>
                <w:bCs/>
                <w:color w:val="auto"/>
                <w:kern w:val="0"/>
                <w:sz w:val="24"/>
                <w:szCs w:val="24"/>
                <w:lang w:val="en-US" w:eastAsia="zh-CN" w:bidi="ar"/>
              </w:rPr>
              <w:t>5</w:t>
            </w:r>
            <w:r>
              <w:rPr>
                <w:rFonts w:hint="default" w:ascii="Times New Roman" w:hAnsi="Times New Roman" w:eastAsia="宋体" w:cs="Times New Roman"/>
                <w:b/>
                <w:bCs/>
                <w:color w:val="auto"/>
                <w:kern w:val="0"/>
                <w:sz w:val="24"/>
                <w:szCs w:val="24"/>
                <w:lang w:eastAsia="zh-CN" w:bidi="ar"/>
              </w:rPr>
              <w:t>）疏浚第</w:t>
            </w:r>
            <w:r>
              <w:rPr>
                <w:rFonts w:hint="eastAsia" w:cs="Times New Roman"/>
                <w:b/>
                <w:bCs/>
                <w:color w:val="auto"/>
                <w:kern w:val="0"/>
                <w:sz w:val="24"/>
                <w:szCs w:val="24"/>
                <w:lang w:val="en-US" w:eastAsia="zh-CN" w:bidi="ar"/>
              </w:rPr>
              <w:t>五</w:t>
            </w:r>
            <w:r>
              <w:rPr>
                <w:rFonts w:hint="default" w:ascii="Times New Roman" w:hAnsi="Times New Roman" w:eastAsia="宋体" w:cs="Times New Roman"/>
                <w:b/>
                <w:bCs/>
                <w:color w:val="auto"/>
                <w:kern w:val="0"/>
                <w:sz w:val="24"/>
                <w:szCs w:val="24"/>
                <w:lang w:eastAsia="zh-CN" w:bidi="ar"/>
              </w:rPr>
              <w:t>段：三圣村琵琶沱~末端</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color w:val="auto"/>
                <w:kern w:val="0"/>
                <w:sz w:val="24"/>
                <w:szCs w:val="24"/>
                <w:lang w:eastAsia="zh-CN" w:bidi="ar"/>
              </w:rPr>
            </w:pPr>
            <w:r>
              <w:rPr>
                <w:rFonts w:hint="default" w:ascii="Times New Roman" w:hAnsi="Times New Roman" w:eastAsia="宋体" w:cs="Times New Roman"/>
                <w:color w:val="auto"/>
                <w:kern w:val="0"/>
                <w:sz w:val="24"/>
                <w:szCs w:val="24"/>
                <w:lang w:eastAsia="zh-CN" w:bidi="ar"/>
              </w:rPr>
              <w:t>本段起于三圣村琵琶沱</w:t>
            </w:r>
            <w:r>
              <w:rPr>
                <w:rFonts w:hint="default" w:ascii="Times New Roman" w:hAnsi="Times New Roman" w:eastAsia="宋体" w:cs="Times New Roman"/>
                <w:color w:val="auto"/>
                <w:kern w:val="0"/>
                <w:sz w:val="24"/>
                <w:szCs w:val="24"/>
                <w:lang w:bidi="ar"/>
              </w:rPr>
              <w:t>（桩号6+2</w:t>
            </w:r>
            <w:r>
              <w:rPr>
                <w:rFonts w:hint="eastAsia" w:cs="Times New Roman"/>
                <w:color w:val="auto"/>
                <w:kern w:val="0"/>
                <w:sz w:val="24"/>
                <w:szCs w:val="24"/>
                <w:lang w:val="en-US" w:eastAsia="zh-CN" w:bidi="ar"/>
              </w:rPr>
              <w:t>0</w:t>
            </w:r>
            <w:r>
              <w:rPr>
                <w:rFonts w:hint="default" w:ascii="Times New Roman" w:hAnsi="Times New Roman" w:eastAsia="宋体" w:cs="Times New Roman"/>
                <w:color w:val="auto"/>
                <w:kern w:val="0"/>
                <w:sz w:val="24"/>
                <w:szCs w:val="24"/>
                <w:lang w:bidi="ar"/>
              </w:rPr>
              <w:t>0），</w:t>
            </w:r>
            <w:r>
              <w:rPr>
                <w:rFonts w:hint="default" w:ascii="Times New Roman" w:hAnsi="Times New Roman" w:eastAsia="宋体" w:cs="Times New Roman"/>
                <w:color w:val="auto"/>
                <w:kern w:val="0"/>
                <w:sz w:val="24"/>
                <w:szCs w:val="24"/>
                <w:lang w:eastAsia="zh-CN" w:bidi="ar"/>
              </w:rPr>
              <w:t>止于治理末端（桩号6+274），疏浚河道</w:t>
            </w:r>
            <w:r>
              <w:rPr>
                <w:rFonts w:hint="default" w:ascii="Times New Roman" w:hAnsi="Times New Roman" w:eastAsia="宋体" w:cs="Times New Roman"/>
                <w:color w:val="auto"/>
                <w:kern w:val="0"/>
                <w:sz w:val="24"/>
                <w:szCs w:val="24"/>
                <w:lang w:bidi="ar"/>
              </w:rPr>
              <w:t>长24m</w:t>
            </w:r>
            <w:r>
              <w:rPr>
                <w:rFonts w:hint="default" w:ascii="Times New Roman" w:hAnsi="Times New Roman" w:eastAsia="宋体" w:cs="Times New Roman"/>
                <w:color w:val="auto"/>
                <w:kern w:val="0"/>
                <w:sz w:val="24"/>
                <w:szCs w:val="24"/>
                <w:lang w:eastAsia="zh-CN" w:bidi="ar"/>
              </w:rPr>
              <w:t>，疏浚面积988</w:t>
            </w:r>
            <w:r>
              <w:rPr>
                <w:rFonts w:hint="eastAsia" w:cs="Times New Roman"/>
                <w:color w:val="auto"/>
                <w:kern w:val="0"/>
                <w:sz w:val="24"/>
                <w:szCs w:val="24"/>
                <w:lang w:val="en-US" w:eastAsia="zh-CN" w:bidi="ar"/>
              </w:rPr>
              <w:t>m</w:t>
            </w:r>
            <w:r>
              <w:rPr>
                <w:rFonts w:hint="eastAsia" w:cs="Times New Roman"/>
                <w:color w:val="auto"/>
                <w:kern w:val="0"/>
                <w:sz w:val="24"/>
                <w:szCs w:val="24"/>
                <w:vertAlign w:val="superscript"/>
                <w:lang w:val="en-US" w:eastAsia="zh-CN" w:bidi="ar"/>
              </w:rPr>
              <w:t>2</w:t>
            </w:r>
            <w:r>
              <w:rPr>
                <w:rFonts w:hint="default" w:ascii="Times New Roman" w:hAnsi="Times New Roman" w:eastAsia="宋体" w:cs="Times New Roman"/>
                <w:color w:val="auto"/>
                <w:kern w:val="0"/>
                <w:sz w:val="24"/>
                <w:szCs w:val="24"/>
                <w:lang w:eastAsia="zh-CN" w:bidi="ar"/>
              </w:rPr>
              <w:t>。为确保安全和避免河道水质遭到破坏，疏浚范围以岸脚以外10m范围为起点，疏浚至中泓线范围，设计开挖坡比1:3，平均疏浚深度0.5m。疏浚料质量合格部分运输至堤身回填部位作为填筑料使用，表层粉土、杂草和超径石料作为弃渣料运输至弃渣场堆放平整。</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color w:val="auto"/>
                <w:kern w:val="0"/>
                <w:sz w:val="24"/>
                <w:szCs w:val="24"/>
                <w:lang w:val="en-US" w:bidi="ar"/>
              </w:rPr>
            </w:pPr>
            <w:r>
              <w:rPr>
                <w:rFonts w:hint="default" w:ascii="Times New Roman" w:hAnsi="Times New Roman" w:eastAsia="宋体" w:cs="Times New Roman"/>
                <w:color w:val="auto"/>
                <w:kern w:val="0"/>
                <w:sz w:val="24"/>
                <w:szCs w:val="24"/>
                <w:lang w:eastAsia="zh-CN" w:bidi="ar"/>
              </w:rPr>
              <w:t>本次新建堤防段结合堤基开挖进行疏浚，河道疏浚总面积56678</w:t>
            </w:r>
            <w:r>
              <w:rPr>
                <w:rFonts w:hint="eastAsia" w:cs="Times New Roman"/>
                <w:color w:val="auto"/>
                <w:kern w:val="0"/>
                <w:sz w:val="24"/>
                <w:szCs w:val="24"/>
                <w:lang w:val="en-US" w:eastAsia="zh-CN" w:bidi="ar"/>
              </w:rPr>
              <w:t>m</w:t>
            </w:r>
            <w:r>
              <w:rPr>
                <w:rFonts w:hint="eastAsia" w:cs="Times New Roman"/>
                <w:color w:val="auto"/>
                <w:kern w:val="0"/>
                <w:sz w:val="24"/>
                <w:szCs w:val="24"/>
                <w:vertAlign w:val="superscript"/>
                <w:lang w:val="en-US" w:eastAsia="zh-CN" w:bidi="ar"/>
              </w:rPr>
              <w:t>2</w:t>
            </w:r>
            <w:r>
              <w:rPr>
                <w:rFonts w:hint="default" w:ascii="Times New Roman" w:hAnsi="Times New Roman" w:eastAsia="宋体" w:cs="Times New Roman"/>
                <w:color w:val="auto"/>
                <w:kern w:val="0"/>
                <w:sz w:val="24"/>
                <w:szCs w:val="24"/>
                <w:lang w:eastAsia="zh-CN" w:bidi="ar"/>
              </w:rPr>
              <w:t>，疏浚工程量43505m</w:t>
            </w:r>
            <w:r>
              <w:rPr>
                <w:rFonts w:hint="eastAsia"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eastAsia="zh-CN" w:bidi="ar"/>
              </w:rPr>
              <w:t>。</w:t>
            </w:r>
          </w:p>
          <w:p>
            <w:pPr>
              <w:widowControl/>
              <w:adjustRightInd w:val="0"/>
              <w:snapToGrid w:val="0"/>
              <w:spacing w:line="360" w:lineRule="auto"/>
              <w:ind w:firstLine="482" w:firstLineChars="200"/>
              <w:jc w:val="left"/>
              <w:rPr>
                <w:rFonts w:hint="default" w:ascii="Times New Roman" w:hAnsi="Times New Roman" w:eastAsia="宋体" w:cs="Times New Roman"/>
                <w:bCs/>
                <w:color w:val="auto"/>
                <w:sz w:val="24"/>
                <w:szCs w:val="24"/>
              </w:rPr>
            </w:pPr>
            <w:r>
              <w:rPr>
                <w:rFonts w:hint="default" w:ascii="Times New Roman" w:hAnsi="Times New Roman" w:eastAsia="宋体" w:cs="Times New Roman"/>
                <w:b/>
                <w:bCs/>
                <w:color w:val="auto"/>
                <w:sz w:val="24"/>
                <w:szCs w:val="24"/>
                <w:lang w:val="en-US" w:eastAsia="zh-CN"/>
              </w:rPr>
              <w:t>14、施工时序与建设周期</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根据施工总进度安排，施工总工期为7个月，其中准备工期1个月，主体工程工期5个月，完建期1个月，</w:t>
            </w:r>
            <w:r>
              <w:rPr>
                <w:rFonts w:ascii="Times New Roman" w:hAnsi="Times New Roman"/>
                <w:color w:val="auto"/>
                <w:sz w:val="24"/>
              </w:rPr>
              <w:t>每段护岸工程和疏峻均采用分段施工的方法。以此为依据，分析施工条件，确定合理工期</w:t>
            </w:r>
            <w:r>
              <w:rPr>
                <w:rFonts w:hint="eastAsia" w:ascii="Times New Roman" w:hAnsi="Times New Roman"/>
                <w:color w:val="auto"/>
                <w:sz w:val="24"/>
                <w:lang w:eastAsia="zh-CN"/>
              </w:rPr>
              <w:t>。</w:t>
            </w:r>
            <w:r>
              <w:rPr>
                <w:rFonts w:hint="default" w:ascii="Times New Roman" w:hAnsi="Times New Roman" w:eastAsia="宋体" w:cs="Times New Roman"/>
                <w:color w:val="auto"/>
                <w:kern w:val="0"/>
                <w:sz w:val="24"/>
                <w:szCs w:val="24"/>
                <w:lang w:bidi="ar"/>
              </w:rPr>
              <w:t>具体安排如下：</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（1）施工准备期</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本工程的施工准备期主要完成的项目为：工程的招标签约、征地移民、风水电及通讯系统的设置、施工生产生活设施的修建、场地平整、施工公路修建等，安排时间为第一年10月。</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围堰填筑堰体采用工程区开挖料，安排在11月开始分段施工。</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（2）主体工程施工</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本工程的主体工程为防洪堤，主体施工时间为第一年11月至次年3月底。</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第一年11月至次年1月中旬完成防洪堤的基础开挖，次年1月中旬至2月底完成堤身砼和面板砼施工，第二年1月中旬至第二年2月底完成堤身砂卵石填筑，河道清障安排在第一年12月完成，第二年3月完成堤顶路面、堤顶栏杆施工。其他工程穿插进行。</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（3）施工完建期</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cs="Times New Roman"/>
                <w:color w:val="0000FF"/>
                <w:kern w:val="0"/>
                <w:sz w:val="24"/>
                <w:szCs w:val="24"/>
              </w:rPr>
            </w:pPr>
            <w:r>
              <w:rPr>
                <w:rFonts w:hint="default" w:ascii="Times New Roman" w:hAnsi="Times New Roman" w:eastAsia="宋体" w:cs="Times New Roman"/>
                <w:color w:val="auto"/>
                <w:kern w:val="0"/>
                <w:sz w:val="24"/>
                <w:szCs w:val="24"/>
                <w:lang w:bidi="ar"/>
              </w:rPr>
              <w:t>本工程的施工完建期为第二年4月，主要完成工程局部修烂补缺、局部未完工程、工程竣工资料的整理、施工现场的清理以及施工队伍的撤离工作。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kern w:val="0"/>
                <w:sz w:val="24"/>
                <w:szCs w:val="24"/>
              </w:rPr>
            </w:pPr>
            <w:r>
              <w:rPr>
                <w:rFonts w:hint="default" w:ascii="Times New Roman" w:hAnsi="Times New Roman" w:cs="Times New Roman"/>
                <w:kern w:val="0"/>
                <w:sz w:val="24"/>
                <w:szCs w:val="24"/>
              </w:rPr>
              <w:t>其他</w:t>
            </w:r>
          </w:p>
        </w:tc>
        <w:tc>
          <w:tcPr>
            <w:tcW w:w="4796" w:type="pct"/>
            <w:noWrap w:val="0"/>
            <w:vAlign w:val="bottom"/>
          </w:tcPr>
          <w:p>
            <w:pPr>
              <w:keepNext w:val="0"/>
              <w:keepLines w:val="0"/>
              <w:pageBreakBefore w:val="0"/>
              <w:widowControl w:val="0"/>
              <w:kinsoku/>
              <w:wordWrap/>
              <w:overflowPunct/>
              <w:topLinePunct w:val="0"/>
              <w:autoSpaceDE/>
              <w:autoSpaceDN/>
              <w:bidi w:val="0"/>
              <w:adjustRightInd w:val="0"/>
              <w:snapToGrid w:val="0"/>
              <w:spacing w:line="360" w:lineRule="auto"/>
              <w:ind w:left="0" w:firstLine="482" w:firstLineChars="200"/>
              <w:jc w:val="both"/>
              <w:textAlignment w:val="auto"/>
              <w:rPr>
                <w:rFonts w:hint="default" w:ascii="Times New Roman" w:hAnsi="Times New Roman" w:eastAsia="宋体" w:cs="Times New Roman"/>
                <w:b/>
                <w:bCs/>
                <w:color w:val="auto"/>
                <w:kern w:val="0"/>
                <w:sz w:val="24"/>
                <w:szCs w:val="24"/>
                <w:lang w:val="en-US" w:eastAsia="zh-CN"/>
              </w:rPr>
            </w:pPr>
            <w:r>
              <w:rPr>
                <w:rFonts w:hint="default" w:ascii="Times New Roman" w:hAnsi="Times New Roman" w:eastAsia="宋体" w:cs="Times New Roman"/>
                <w:b/>
                <w:bCs/>
                <w:color w:val="auto"/>
                <w:kern w:val="0"/>
                <w:sz w:val="24"/>
                <w:szCs w:val="24"/>
                <w:lang w:val="en-US" w:eastAsia="zh-CN"/>
              </w:rPr>
              <w:t>1、堤型</w:t>
            </w:r>
            <w:r>
              <w:rPr>
                <w:rFonts w:hint="eastAsia" w:cs="Times New Roman"/>
                <w:b/>
                <w:bCs/>
                <w:color w:val="auto"/>
                <w:kern w:val="0"/>
                <w:sz w:val="24"/>
                <w:szCs w:val="24"/>
                <w:lang w:val="en-US" w:eastAsia="zh-CN"/>
              </w:rPr>
              <w:t>初</w:t>
            </w:r>
            <w:r>
              <w:rPr>
                <w:rFonts w:hint="default" w:ascii="Times New Roman" w:hAnsi="Times New Roman" w:eastAsia="宋体" w:cs="Times New Roman"/>
                <w:b/>
                <w:bCs/>
                <w:color w:val="auto"/>
                <w:kern w:val="0"/>
                <w:sz w:val="24"/>
                <w:szCs w:val="24"/>
                <w:lang w:val="en-US" w:eastAsia="zh-CN"/>
              </w:rPr>
              <w:t>选</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textAlignment w:val="auto"/>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堤型是堤线布置的主要影响因素，总体布置和结构形式既要满足城市防洪和规划建设等功能需要，尽可能适应工程区的地形、地质、材料及施工水平等条件，又要达到安全可靠、便于施工、节省投资、生态环保的目的。</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sz w:val="24"/>
                <w:szCs w:val="24"/>
                <w:highlight w:val="none"/>
              </w:rPr>
              <w:t>本次设计过程中，共选取</w:t>
            </w:r>
            <w:r>
              <w:rPr>
                <w:rFonts w:hint="default" w:ascii="Times New Roman" w:hAnsi="Times New Roman" w:eastAsia="宋体" w:cs="Times New Roman"/>
                <w:color w:val="auto"/>
                <w:kern w:val="0"/>
                <w:sz w:val="24"/>
                <w:szCs w:val="24"/>
                <w:lang w:bidi="ar"/>
              </w:rPr>
              <w:t>全斜坡</w:t>
            </w:r>
            <w:r>
              <w:rPr>
                <w:rFonts w:hint="eastAsia" w:cs="Times New Roman"/>
                <w:color w:val="auto"/>
                <w:kern w:val="0"/>
                <w:sz w:val="24"/>
                <w:szCs w:val="24"/>
                <w:lang w:eastAsia="zh-CN" w:bidi="ar"/>
              </w:rPr>
              <w:t>、直斜复合式、直墙式</w:t>
            </w:r>
            <w:r>
              <w:rPr>
                <w:rFonts w:hint="eastAsia" w:cs="Times New Roman"/>
                <w:color w:val="auto"/>
                <w:sz w:val="24"/>
                <w:szCs w:val="24"/>
                <w:highlight w:val="none"/>
                <w:lang w:val="en-US" w:eastAsia="zh-CN"/>
              </w:rPr>
              <w:t>三</w:t>
            </w:r>
            <w:r>
              <w:rPr>
                <w:rFonts w:hint="default" w:ascii="Times New Roman" w:hAnsi="Times New Roman" w:eastAsia="宋体" w:cs="Times New Roman"/>
                <w:color w:val="auto"/>
                <w:sz w:val="24"/>
                <w:szCs w:val="24"/>
                <w:highlight w:val="none"/>
              </w:rPr>
              <w:t>种堤防结构型式进行方案比较</w:t>
            </w:r>
            <w:r>
              <w:rPr>
                <w:rFonts w:hint="eastAsia" w:cs="Times New Roman"/>
                <w:color w:val="auto"/>
                <w:sz w:val="24"/>
                <w:szCs w:val="24"/>
                <w:highlight w:val="none"/>
                <w:lang w:eastAsia="zh-CN"/>
              </w:rPr>
              <w:t>，</w:t>
            </w:r>
            <w:r>
              <w:rPr>
                <w:rFonts w:hint="default" w:ascii="Times New Roman" w:hAnsi="Times New Roman" w:eastAsia="宋体" w:cs="Times New Roman"/>
                <w:color w:val="auto"/>
                <w:kern w:val="0"/>
                <w:sz w:val="24"/>
                <w:szCs w:val="24"/>
                <w:lang w:bidi="ar"/>
              </w:rPr>
              <w:t>比较成果见下表。</w:t>
            </w:r>
          </w:p>
          <w:p>
            <w:pPr>
              <w:pStyle w:val="2"/>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jc w:val="center"/>
              <w:textAlignment w:val="auto"/>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b/>
                <w:bCs/>
                <w:color w:val="auto"/>
                <w:sz w:val="21"/>
                <w:szCs w:val="21"/>
                <w:highlight w:val="none"/>
                <w:lang w:val="en-US" w:eastAsia="zh-CN"/>
              </w:rPr>
              <w:t>表2-</w:t>
            </w:r>
            <w:r>
              <w:rPr>
                <w:rFonts w:hint="eastAsia" w:ascii="Times New Roman" w:hAnsi="Times New Roman" w:cs="Times New Roman"/>
                <w:b/>
                <w:bCs/>
                <w:color w:val="auto"/>
                <w:sz w:val="21"/>
                <w:szCs w:val="21"/>
                <w:highlight w:val="none"/>
                <w:lang w:val="en-US" w:eastAsia="zh-CN"/>
              </w:rPr>
              <w:t>1</w:t>
            </w:r>
            <w:r>
              <w:rPr>
                <w:rFonts w:hint="eastAsia"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lang w:val="en-US" w:eastAsia="zh-CN"/>
              </w:rPr>
              <w:t xml:space="preserve">  经济技术比较</w:t>
            </w:r>
            <w:r>
              <w:rPr>
                <w:rFonts w:hint="default" w:ascii="Times New Roman" w:hAnsi="Times New Roman" w:eastAsia="宋体" w:cs="Times New Roman"/>
                <w:b/>
                <w:bCs/>
                <w:color w:val="auto"/>
                <w:sz w:val="21"/>
                <w:szCs w:val="21"/>
                <w:highlight w:val="none"/>
              </w:rPr>
              <w:t>表</w:t>
            </w:r>
          </w:p>
          <w:tbl>
            <w:tblPr>
              <w:tblStyle w:val="41"/>
              <w:tblW w:w="4996"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272"/>
              <w:gridCol w:w="650"/>
              <w:gridCol w:w="988"/>
              <w:gridCol w:w="847"/>
              <w:gridCol w:w="1516"/>
              <w:gridCol w:w="657"/>
              <w:gridCol w:w="847"/>
              <w:gridCol w:w="988"/>
              <w:gridCol w:w="127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0" w:hRule="atLeast"/>
                <w:jc w:val="center"/>
              </w:trPr>
              <w:tc>
                <w:tcPr>
                  <w:tcW w:w="703" w:type="pct"/>
                  <w:vMerge w:val="restart"/>
                  <w:noWrap w:val="0"/>
                  <w:vAlign w:val="center"/>
                </w:tcPr>
                <w:p>
                  <w:pPr>
                    <w:widowControl/>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项目</w:t>
                  </w:r>
                </w:p>
              </w:tc>
              <w:tc>
                <w:tcPr>
                  <w:tcW w:w="359" w:type="pct"/>
                  <w:vMerge w:val="restart"/>
                  <w:noWrap w:val="0"/>
                  <w:vAlign w:val="center"/>
                </w:tcPr>
                <w:p>
                  <w:pPr>
                    <w:widowControl/>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单位</w:t>
                  </w:r>
                </w:p>
              </w:tc>
              <w:tc>
                <w:tcPr>
                  <w:tcW w:w="546" w:type="pct"/>
                  <w:noWrap w:val="0"/>
                  <w:vAlign w:val="center"/>
                </w:tcPr>
                <w:p>
                  <w:pPr>
                    <w:widowControl/>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1</w:t>
                  </w:r>
                </w:p>
              </w:tc>
              <w:tc>
                <w:tcPr>
                  <w:tcW w:w="468" w:type="pct"/>
                  <w:noWrap w:val="0"/>
                  <w:vAlign w:val="center"/>
                </w:tcPr>
                <w:p>
                  <w:pPr>
                    <w:widowControl/>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2</w:t>
                  </w:r>
                </w:p>
              </w:tc>
              <w:tc>
                <w:tcPr>
                  <w:tcW w:w="838" w:type="pct"/>
                  <w:noWrap w:val="0"/>
                  <w:vAlign w:val="center"/>
                </w:tcPr>
                <w:p>
                  <w:pPr>
                    <w:widowControl/>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3</w:t>
                  </w:r>
                </w:p>
              </w:tc>
              <w:tc>
                <w:tcPr>
                  <w:tcW w:w="363" w:type="pct"/>
                  <w:vMerge w:val="restart"/>
                  <w:noWrap w:val="0"/>
                  <w:vAlign w:val="center"/>
                </w:tcPr>
                <w:p>
                  <w:pPr>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单价</w:t>
                  </w:r>
                </w:p>
              </w:tc>
              <w:tc>
                <w:tcPr>
                  <w:tcW w:w="1718" w:type="pct"/>
                  <w:gridSpan w:val="3"/>
                  <w:noWrap w:val="0"/>
                  <w:vAlign w:val="center"/>
                </w:tcPr>
                <w:p>
                  <w:pPr>
                    <w:widowControl/>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单米投资（元）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25" w:hRule="atLeast"/>
                <w:jc w:val="center"/>
              </w:trPr>
              <w:tc>
                <w:tcPr>
                  <w:tcW w:w="703" w:type="pct"/>
                  <w:vMerge w:val="continue"/>
                  <w:noWrap w:val="0"/>
                  <w:vAlign w:val="center"/>
                </w:tcPr>
                <w:p>
                  <w:pPr>
                    <w:widowControl/>
                    <w:jc w:val="left"/>
                    <w:rPr>
                      <w:rFonts w:hint="default" w:ascii="Times New Roman" w:hAnsi="Times New Roman" w:cs="Times New Roman"/>
                      <w:b/>
                      <w:bCs/>
                      <w:kern w:val="0"/>
                      <w:szCs w:val="21"/>
                    </w:rPr>
                  </w:pPr>
                </w:p>
              </w:tc>
              <w:tc>
                <w:tcPr>
                  <w:tcW w:w="359" w:type="pct"/>
                  <w:vMerge w:val="continue"/>
                  <w:noWrap w:val="0"/>
                  <w:vAlign w:val="center"/>
                </w:tcPr>
                <w:p>
                  <w:pPr>
                    <w:widowControl/>
                    <w:jc w:val="left"/>
                    <w:rPr>
                      <w:rFonts w:hint="default" w:ascii="Times New Roman" w:hAnsi="Times New Roman" w:cs="Times New Roman"/>
                      <w:b/>
                      <w:bCs/>
                      <w:kern w:val="0"/>
                      <w:szCs w:val="21"/>
                    </w:rPr>
                  </w:pPr>
                </w:p>
              </w:tc>
              <w:tc>
                <w:tcPr>
                  <w:tcW w:w="546" w:type="pct"/>
                  <w:noWrap w:val="0"/>
                  <w:vAlign w:val="center"/>
                </w:tcPr>
                <w:p>
                  <w:pPr>
                    <w:widowControl/>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斜坡式</w:t>
                  </w:r>
                </w:p>
              </w:tc>
              <w:tc>
                <w:tcPr>
                  <w:tcW w:w="468" w:type="pct"/>
                  <w:noWrap w:val="0"/>
                  <w:vAlign w:val="center"/>
                </w:tcPr>
                <w:p>
                  <w:pPr>
                    <w:widowControl/>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直墙式</w:t>
                  </w:r>
                </w:p>
              </w:tc>
              <w:tc>
                <w:tcPr>
                  <w:tcW w:w="838" w:type="pct"/>
                  <w:noWrap w:val="0"/>
                  <w:vAlign w:val="center"/>
                </w:tcPr>
                <w:p>
                  <w:pPr>
                    <w:widowControl/>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直斜复合式</w:t>
                  </w:r>
                </w:p>
              </w:tc>
              <w:tc>
                <w:tcPr>
                  <w:tcW w:w="363" w:type="pct"/>
                  <w:vMerge w:val="continue"/>
                  <w:noWrap w:val="0"/>
                  <w:vAlign w:val="center"/>
                </w:tcPr>
                <w:p>
                  <w:pPr>
                    <w:widowControl/>
                    <w:jc w:val="center"/>
                    <w:rPr>
                      <w:rFonts w:hint="default" w:ascii="Times New Roman" w:hAnsi="Times New Roman" w:cs="Times New Roman"/>
                      <w:b/>
                      <w:bCs/>
                      <w:kern w:val="0"/>
                      <w:szCs w:val="21"/>
                    </w:rPr>
                  </w:pPr>
                </w:p>
              </w:tc>
              <w:tc>
                <w:tcPr>
                  <w:tcW w:w="468" w:type="pct"/>
                  <w:noWrap w:val="0"/>
                  <w:vAlign w:val="center"/>
                </w:tcPr>
                <w:p>
                  <w:pPr>
                    <w:widowControl/>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斜坡式</w:t>
                  </w:r>
                </w:p>
              </w:tc>
              <w:tc>
                <w:tcPr>
                  <w:tcW w:w="546" w:type="pct"/>
                  <w:noWrap w:val="0"/>
                  <w:vAlign w:val="center"/>
                </w:tcPr>
                <w:p>
                  <w:pPr>
                    <w:widowControl/>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直墙式</w:t>
                  </w:r>
                </w:p>
              </w:tc>
              <w:tc>
                <w:tcPr>
                  <w:tcW w:w="703" w:type="pct"/>
                  <w:noWrap w:val="0"/>
                  <w:vAlign w:val="center"/>
                </w:tcPr>
                <w:p>
                  <w:pPr>
                    <w:widowControl/>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直斜复合式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0" w:hRule="atLeast"/>
                <w:jc w:val="center"/>
              </w:trPr>
              <w:tc>
                <w:tcPr>
                  <w:tcW w:w="703"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堤身高度</w:t>
                  </w:r>
                </w:p>
              </w:tc>
              <w:tc>
                <w:tcPr>
                  <w:tcW w:w="359"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m</w:t>
                  </w:r>
                </w:p>
              </w:tc>
              <w:tc>
                <w:tcPr>
                  <w:tcW w:w="546"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9</w:t>
                  </w:r>
                </w:p>
              </w:tc>
              <w:tc>
                <w:tcPr>
                  <w:tcW w:w="468"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9</w:t>
                  </w:r>
                </w:p>
              </w:tc>
              <w:tc>
                <w:tcPr>
                  <w:tcW w:w="838"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9</w:t>
                  </w:r>
                </w:p>
              </w:tc>
              <w:tc>
                <w:tcPr>
                  <w:tcW w:w="363"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元/</w:t>
                  </w:r>
                </w:p>
              </w:tc>
              <w:tc>
                <w:tcPr>
                  <w:tcW w:w="468"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元/</w:t>
                  </w:r>
                </w:p>
              </w:tc>
              <w:tc>
                <w:tcPr>
                  <w:tcW w:w="546"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元/</w:t>
                  </w:r>
                </w:p>
              </w:tc>
              <w:tc>
                <w:tcPr>
                  <w:tcW w:w="703"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0" w:hRule="atLeast"/>
                <w:jc w:val="center"/>
              </w:trPr>
              <w:tc>
                <w:tcPr>
                  <w:tcW w:w="703"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占地宽度</w:t>
                  </w:r>
                </w:p>
              </w:tc>
              <w:tc>
                <w:tcPr>
                  <w:tcW w:w="359"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m</w:t>
                  </w:r>
                </w:p>
              </w:tc>
              <w:tc>
                <w:tcPr>
                  <w:tcW w:w="546"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29</w:t>
                  </w:r>
                </w:p>
              </w:tc>
              <w:tc>
                <w:tcPr>
                  <w:tcW w:w="468"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15.5</w:t>
                  </w:r>
                </w:p>
              </w:tc>
              <w:tc>
                <w:tcPr>
                  <w:tcW w:w="838"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24</w:t>
                  </w:r>
                </w:p>
              </w:tc>
              <w:tc>
                <w:tcPr>
                  <w:tcW w:w="363"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73</w:t>
                  </w:r>
                </w:p>
              </w:tc>
              <w:tc>
                <w:tcPr>
                  <w:tcW w:w="468"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 xml:space="preserve">2117 </w:t>
                  </w:r>
                </w:p>
              </w:tc>
              <w:tc>
                <w:tcPr>
                  <w:tcW w:w="546"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 xml:space="preserve">1132 </w:t>
                  </w:r>
                </w:p>
              </w:tc>
              <w:tc>
                <w:tcPr>
                  <w:tcW w:w="703"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 xml:space="preserve">1752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0" w:hRule="atLeast"/>
                <w:jc w:val="center"/>
              </w:trPr>
              <w:tc>
                <w:tcPr>
                  <w:tcW w:w="703"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土石开挖</w:t>
                  </w:r>
                </w:p>
              </w:tc>
              <w:tc>
                <w:tcPr>
                  <w:tcW w:w="359"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546"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24.3</w:t>
                  </w:r>
                </w:p>
              </w:tc>
              <w:tc>
                <w:tcPr>
                  <w:tcW w:w="468"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8</w:t>
                  </w:r>
                </w:p>
              </w:tc>
              <w:tc>
                <w:tcPr>
                  <w:tcW w:w="838"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25.5</w:t>
                  </w:r>
                </w:p>
              </w:tc>
              <w:tc>
                <w:tcPr>
                  <w:tcW w:w="363"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25</w:t>
                  </w:r>
                </w:p>
              </w:tc>
              <w:tc>
                <w:tcPr>
                  <w:tcW w:w="468"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 xml:space="preserve">608 </w:t>
                  </w:r>
                </w:p>
              </w:tc>
              <w:tc>
                <w:tcPr>
                  <w:tcW w:w="546"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 xml:space="preserve">200 </w:t>
                  </w:r>
                </w:p>
              </w:tc>
              <w:tc>
                <w:tcPr>
                  <w:tcW w:w="703"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 xml:space="preserve">638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0" w:hRule="atLeast"/>
                <w:jc w:val="center"/>
              </w:trPr>
              <w:tc>
                <w:tcPr>
                  <w:tcW w:w="703"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土石填筑</w:t>
                  </w:r>
                </w:p>
              </w:tc>
              <w:tc>
                <w:tcPr>
                  <w:tcW w:w="359"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546"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75</w:t>
                  </w:r>
                </w:p>
              </w:tc>
              <w:tc>
                <w:tcPr>
                  <w:tcW w:w="468"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27</w:t>
                  </w:r>
                </w:p>
              </w:tc>
              <w:tc>
                <w:tcPr>
                  <w:tcW w:w="838"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66.5</w:t>
                  </w:r>
                </w:p>
              </w:tc>
              <w:tc>
                <w:tcPr>
                  <w:tcW w:w="363"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55</w:t>
                  </w:r>
                </w:p>
              </w:tc>
              <w:tc>
                <w:tcPr>
                  <w:tcW w:w="468"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 xml:space="preserve">4125 </w:t>
                  </w:r>
                </w:p>
              </w:tc>
              <w:tc>
                <w:tcPr>
                  <w:tcW w:w="546"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 xml:space="preserve">1485 </w:t>
                  </w:r>
                </w:p>
              </w:tc>
              <w:tc>
                <w:tcPr>
                  <w:tcW w:w="703"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 xml:space="preserve">3658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0" w:hRule="atLeast"/>
                <w:jc w:val="center"/>
              </w:trPr>
              <w:tc>
                <w:tcPr>
                  <w:tcW w:w="703"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C20砼</w:t>
                  </w:r>
                </w:p>
              </w:tc>
              <w:tc>
                <w:tcPr>
                  <w:tcW w:w="359"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3</w:t>
                  </w:r>
                </w:p>
              </w:tc>
              <w:tc>
                <w:tcPr>
                  <w:tcW w:w="546"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6</w:t>
                  </w:r>
                </w:p>
              </w:tc>
              <w:tc>
                <w:tcPr>
                  <w:tcW w:w="468"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24.5</w:t>
                  </w:r>
                </w:p>
              </w:tc>
              <w:tc>
                <w:tcPr>
                  <w:tcW w:w="838"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11</w:t>
                  </w:r>
                </w:p>
              </w:tc>
              <w:tc>
                <w:tcPr>
                  <w:tcW w:w="363"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650</w:t>
                  </w:r>
                </w:p>
              </w:tc>
              <w:tc>
                <w:tcPr>
                  <w:tcW w:w="468"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 xml:space="preserve">3900 </w:t>
                  </w:r>
                </w:p>
              </w:tc>
              <w:tc>
                <w:tcPr>
                  <w:tcW w:w="546"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 xml:space="preserve">15925 </w:t>
                  </w:r>
                </w:p>
              </w:tc>
              <w:tc>
                <w:tcPr>
                  <w:tcW w:w="703"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 xml:space="preserve">7150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25" w:hRule="atLeast"/>
                <w:jc w:val="center"/>
              </w:trPr>
              <w:tc>
                <w:tcPr>
                  <w:tcW w:w="703"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扣除移民每米投资</w:t>
                  </w:r>
                </w:p>
              </w:tc>
              <w:tc>
                <w:tcPr>
                  <w:tcW w:w="359"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元/m</w:t>
                  </w:r>
                </w:p>
              </w:tc>
              <w:tc>
                <w:tcPr>
                  <w:tcW w:w="546"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　</w:t>
                  </w:r>
                </w:p>
              </w:tc>
              <w:tc>
                <w:tcPr>
                  <w:tcW w:w="468"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　</w:t>
                  </w:r>
                </w:p>
              </w:tc>
              <w:tc>
                <w:tcPr>
                  <w:tcW w:w="838"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　</w:t>
                  </w:r>
                </w:p>
              </w:tc>
              <w:tc>
                <w:tcPr>
                  <w:tcW w:w="363"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　</w:t>
                  </w:r>
                </w:p>
              </w:tc>
              <w:tc>
                <w:tcPr>
                  <w:tcW w:w="468"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 xml:space="preserve">8633 </w:t>
                  </w:r>
                </w:p>
              </w:tc>
              <w:tc>
                <w:tcPr>
                  <w:tcW w:w="546"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 xml:space="preserve">17610 </w:t>
                  </w:r>
                </w:p>
              </w:tc>
              <w:tc>
                <w:tcPr>
                  <w:tcW w:w="703"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 xml:space="preserve">11445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0" w:hRule="atLeast"/>
                <w:jc w:val="center"/>
              </w:trPr>
              <w:tc>
                <w:tcPr>
                  <w:tcW w:w="703"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每米总投资</w:t>
                  </w:r>
                </w:p>
              </w:tc>
              <w:tc>
                <w:tcPr>
                  <w:tcW w:w="359"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元/m</w:t>
                  </w:r>
                </w:p>
              </w:tc>
              <w:tc>
                <w:tcPr>
                  <w:tcW w:w="546"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　</w:t>
                  </w:r>
                </w:p>
              </w:tc>
              <w:tc>
                <w:tcPr>
                  <w:tcW w:w="468"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　</w:t>
                  </w:r>
                </w:p>
              </w:tc>
              <w:tc>
                <w:tcPr>
                  <w:tcW w:w="838"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　</w:t>
                  </w:r>
                </w:p>
              </w:tc>
              <w:tc>
                <w:tcPr>
                  <w:tcW w:w="363"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　</w:t>
                  </w:r>
                </w:p>
              </w:tc>
              <w:tc>
                <w:tcPr>
                  <w:tcW w:w="468"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 xml:space="preserve">10750 </w:t>
                  </w:r>
                </w:p>
              </w:tc>
              <w:tc>
                <w:tcPr>
                  <w:tcW w:w="546"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 xml:space="preserve">18742 </w:t>
                  </w:r>
                </w:p>
              </w:tc>
              <w:tc>
                <w:tcPr>
                  <w:tcW w:w="703"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 xml:space="preserve">13197 </w:t>
                  </w:r>
                </w:p>
              </w:tc>
            </w:tr>
          </w:tbl>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b w:val="0"/>
                <w:bCs w:val="0"/>
                <w:color w:val="auto"/>
                <w:kern w:val="0"/>
                <w:sz w:val="24"/>
                <w:szCs w:val="24"/>
                <w:lang w:val="en-US" w:eastAsia="zh-CN" w:bidi="ar"/>
              </w:rPr>
            </w:pPr>
            <w:r>
              <w:rPr>
                <w:rFonts w:hint="default" w:ascii="Times New Roman" w:hAnsi="Times New Roman" w:cs="Times New Roman"/>
                <w:b w:val="0"/>
                <w:bCs w:val="0"/>
                <w:color w:val="auto"/>
                <w:kern w:val="0"/>
                <w:sz w:val="24"/>
                <w:szCs w:val="24"/>
                <w:lang w:val="en-US" w:eastAsia="zh-CN" w:bidi="ar"/>
              </w:rPr>
              <w:t>根据上述比较，本工程采用3种堤型投资分别为10750、18742、13917元/m，斜坡式堤优势明显。</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b w:val="0"/>
                <w:bCs w:val="0"/>
                <w:color w:val="auto"/>
                <w:kern w:val="0"/>
                <w:sz w:val="24"/>
                <w:szCs w:val="24"/>
                <w:lang w:val="en-US" w:eastAsia="zh-CN" w:bidi="ar"/>
              </w:rPr>
            </w:pPr>
            <w:r>
              <w:rPr>
                <w:rFonts w:hint="default" w:ascii="Times New Roman" w:hAnsi="Times New Roman" w:cs="Times New Roman"/>
                <w:b w:val="0"/>
                <w:bCs w:val="0"/>
                <w:color w:val="auto"/>
                <w:kern w:val="0"/>
                <w:sz w:val="24"/>
                <w:szCs w:val="24"/>
                <w:lang w:val="en-US" w:eastAsia="zh-CN" w:bidi="ar"/>
              </w:rPr>
              <w:t>本次将全斜坡式作为基本堤型，针对局部无法避开建筑物段采用直斜复合式堤型。</w:t>
            </w:r>
          </w:p>
          <w:p>
            <w:pPr>
              <w:keepNext w:val="0"/>
              <w:keepLines w:val="0"/>
              <w:pageBreakBefore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sz w:val="24"/>
                <w:szCs w:val="22"/>
              </w:rPr>
            </w:pPr>
            <w:r>
              <w:rPr>
                <w:rFonts w:hint="default" w:ascii="Times New Roman" w:hAnsi="Times New Roman" w:cs="Times New Roman"/>
                <w:b/>
                <w:bCs/>
                <w:color w:val="auto"/>
                <w:kern w:val="0"/>
                <w:sz w:val="24"/>
                <w:szCs w:val="24"/>
                <w:lang w:val="en-US" w:eastAsia="zh-CN" w:bidi="ar"/>
              </w:rPr>
              <w:t>2</w:t>
            </w:r>
            <w:r>
              <w:rPr>
                <w:rFonts w:hint="default" w:ascii="Times New Roman" w:hAnsi="Times New Roman" w:eastAsia="宋体" w:cs="Times New Roman"/>
                <w:b/>
                <w:bCs/>
                <w:color w:val="auto"/>
                <w:kern w:val="0"/>
                <w:sz w:val="24"/>
                <w:szCs w:val="24"/>
                <w:lang w:bidi="ar"/>
              </w:rPr>
              <w:t>、</w:t>
            </w:r>
            <w:r>
              <w:rPr>
                <w:rFonts w:hint="default" w:ascii="Times New Roman" w:hAnsi="Times New Roman" w:eastAsia="宋体" w:cs="Times New Roman"/>
                <w:b/>
                <w:bCs/>
                <w:sz w:val="24"/>
                <w:szCs w:val="22"/>
              </w:rPr>
              <w:t>堤型拟定</w:t>
            </w:r>
          </w:p>
          <w:p>
            <w:pPr>
              <w:keepNext w:val="0"/>
              <w:keepLines w:val="0"/>
              <w:pageBreakBefore w:val="0"/>
              <w:kinsoku/>
              <w:wordWrap/>
              <w:overflowPunct/>
              <w:topLinePunct w:val="0"/>
              <w:autoSpaceDE/>
              <w:autoSpaceDN/>
              <w:bidi w:val="0"/>
              <w:spacing w:line="360" w:lineRule="auto"/>
              <w:ind w:firstLine="448"/>
              <w:textAlignment w:val="auto"/>
              <w:rPr>
                <w:rFonts w:hint="default" w:ascii="Times New Roman" w:hAnsi="Times New Roman" w:eastAsia="宋体" w:cs="Times New Roman"/>
                <w:b w:val="0"/>
                <w:bCs/>
                <w:sz w:val="24"/>
                <w:szCs w:val="22"/>
              </w:rPr>
            </w:pPr>
            <w:r>
              <w:rPr>
                <w:rFonts w:hint="default" w:ascii="Times New Roman" w:hAnsi="Times New Roman" w:eastAsia="宋体" w:cs="Times New Roman"/>
                <w:b w:val="0"/>
                <w:bCs/>
                <w:sz w:val="24"/>
                <w:szCs w:val="22"/>
              </w:rPr>
              <w:t>针对基本堤型拟定2种堤型进行方案比选。</w:t>
            </w:r>
          </w:p>
          <w:p>
            <w:pPr>
              <w:keepNext w:val="0"/>
              <w:keepLines w:val="0"/>
              <w:pageBreakBefore w:val="0"/>
              <w:kinsoku/>
              <w:wordWrap/>
              <w:overflowPunct/>
              <w:topLinePunct w:val="0"/>
              <w:autoSpaceDE/>
              <w:autoSpaceDN/>
              <w:bidi w:val="0"/>
              <w:spacing w:line="360" w:lineRule="auto"/>
              <w:ind w:firstLine="448"/>
              <w:textAlignment w:val="auto"/>
              <w:rPr>
                <w:rFonts w:hint="default" w:ascii="Times New Roman" w:hAnsi="Times New Roman" w:eastAsia="宋体" w:cs="Times New Roman"/>
                <w:b/>
                <w:sz w:val="24"/>
                <w:szCs w:val="22"/>
              </w:rPr>
            </w:pPr>
            <w:r>
              <w:rPr>
                <w:rFonts w:hint="default" w:ascii="Times New Roman" w:hAnsi="Times New Roman" w:eastAsia="宋体" w:cs="Times New Roman"/>
                <w:b/>
                <w:sz w:val="24"/>
                <w:szCs w:val="22"/>
              </w:rPr>
              <w:t>方案一：格宾石笼护岸</w:t>
            </w:r>
          </w:p>
          <w:p>
            <w:pPr>
              <w:keepNext w:val="0"/>
              <w:keepLines w:val="0"/>
              <w:pageBreakBefore w:val="0"/>
              <w:kinsoku/>
              <w:wordWrap/>
              <w:overflowPunct/>
              <w:topLinePunct w:val="0"/>
              <w:autoSpaceDE/>
              <w:autoSpaceDN/>
              <w:bidi w:val="0"/>
              <w:spacing w:line="360" w:lineRule="auto"/>
              <w:ind w:firstLine="448"/>
              <w:textAlignment w:val="auto"/>
              <w:rPr>
                <w:rFonts w:hint="default" w:ascii="Times New Roman" w:hAnsi="Times New Roman" w:eastAsia="宋体" w:cs="Times New Roman"/>
                <w:sz w:val="24"/>
                <w:szCs w:val="22"/>
              </w:rPr>
            </w:pPr>
            <w:r>
              <w:rPr>
                <w:rFonts w:hint="default" w:ascii="Times New Roman" w:hAnsi="Times New Roman" w:eastAsia="宋体" w:cs="Times New Roman"/>
                <w:sz w:val="24"/>
                <w:szCs w:val="22"/>
              </w:rPr>
              <w:t>格宾石笼护岸采用格宾石笼护岸型式，格宾石笼堤顶水平宽度为3.0m，在常年水位以上0.5m设置2.0m宽马道，背坡和马道以上采用框格植草护坡，马道至河床堤基采用30cm厚格宾护垫护坡（镀高尔凡雷诺护垫），底层铺聚酯长纤无纺布，边坡坡比1：1.75，格宾石笼与土体间设置土工布反滤，堤基部位由下至上分别采用聚酯长纤无纺布</w:t>
            </w:r>
            <w:r>
              <w:rPr>
                <w:rFonts w:hint="eastAsia" w:cs="Times New Roman"/>
                <w:sz w:val="24"/>
                <w:szCs w:val="22"/>
                <w:lang w:eastAsia="zh-CN"/>
              </w:rPr>
              <w:t>、</w:t>
            </w:r>
            <w:r>
              <w:rPr>
                <w:rFonts w:hint="default" w:ascii="Times New Roman" w:hAnsi="Times New Roman" w:eastAsia="宋体" w:cs="Times New Roman"/>
                <w:sz w:val="24"/>
                <w:szCs w:val="22"/>
              </w:rPr>
              <w:t>1.5m厚镀高尔凡雷诺护垫和50cm厚双层生态植生袋。堤身填筑之前做清基处理，需挖除表面松散层。</w:t>
            </w:r>
          </w:p>
          <w:p>
            <w:pPr>
              <w:jc w:val="center"/>
              <w:rPr>
                <w:rFonts w:hint="default" w:ascii="Times New Roman" w:hAnsi="Times New Roman" w:eastAsia="宋体" w:cs="Times New Roman"/>
                <w:szCs w:val="22"/>
              </w:rPr>
            </w:pPr>
            <w:r>
              <w:rPr>
                <w:rFonts w:hint="default" w:ascii="Times New Roman" w:hAnsi="Times New Roman" w:eastAsia="宋体" w:cs="Times New Roman"/>
                <w:szCs w:val="22"/>
              </w:rPr>
              <w:drawing>
                <wp:inline distT="0" distB="0" distL="114300" distR="114300">
                  <wp:extent cx="4949825" cy="2700020"/>
                  <wp:effectExtent l="0" t="0" r="3175" b="5080"/>
                  <wp:docPr id="19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3"/>
                          <pic:cNvPicPr>
                            <a:picLocks noChangeAspect="1"/>
                          </pic:cNvPicPr>
                        </pic:nvPicPr>
                        <pic:blipFill>
                          <a:blip r:embed="rId24"/>
                          <a:stretch>
                            <a:fillRect/>
                          </a:stretch>
                        </pic:blipFill>
                        <pic:spPr>
                          <a:xfrm>
                            <a:off x="0" y="0"/>
                            <a:ext cx="4949825" cy="2700020"/>
                          </a:xfrm>
                          <a:prstGeom prst="rect">
                            <a:avLst/>
                          </a:prstGeom>
                          <a:noFill/>
                          <a:ln>
                            <a:noFill/>
                          </a:ln>
                        </pic:spPr>
                      </pic:pic>
                    </a:graphicData>
                  </a:graphic>
                </wp:inline>
              </w:drawing>
            </w:r>
          </w:p>
          <w:p>
            <w:pPr>
              <w:widowControl/>
              <w:adjustRightInd w:val="0"/>
              <w:snapToGrid w:val="0"/>
              <w:spacing w:line="360" w:lineRule="auto"/>
              <w:jc w:val="center"/>
              <w:rPr>
                <w:rFonts w:hint="default" w:ascii="Times New Roman" w:hAnsi="Times New Roman" w:eastAsia="宋体" w:cs="Times New Roman"/>
                <w:b/>
                <w:sz w:val="24"/>
                <w:szCs w:val="22"/>
              </w:rPr>
            </w:pPr>
            <w:r>
              <w:rPr>
                <w:rFonts w:hint="default" w:ascii="Times New Roman" w:hAnsi="Times New Roman" w:cs="Times New Roman"/>
                <w:b/>
                <w:color w:val="auto"/>
                <w:kern w:val="0"/>
                <w:szCs w:val="21"/>
                <w:lang w:bidi="ar"/>
              </w:rPr>
              <w:t>图2-</w:t>
            </w:r>
            <w:r>
              <w:rPr>
                <w:rFonts w:hint="eastAsia" w:cs="Times New Roman"/>
                <w:b/>
                <w:color w:val="auto"/>
                <w:kern w:val="0"/>
                <w:szCs w:val="21"/>
                <w:lang w:val="en-US" w:eastAsia="zh-CN" w:bidi="ar"/>
              </w:rPr>
              <w:t>4</w:t>
            </w:r>
            <w:r>
              <w:rPr>
                <w:rFonts w:hint="default" w:ascii="Times New Roman" w:hAnsi="Times New Roman" w:cs="Times New Roman"/>
                <w:b/>
                <w:color w:val="auto"/>
                <w:kern w:val="0"/>
                <w:szCs w:val="21"/>
                <w:lang w:bidi="ar"/>
              </w:rPr>
              <w:t xml:space="preserve">  格宾石笼护岸</w:t>
            </w:r>
            <w:r>
              <w:rPr>
                <w:rFonts w:hint="eastAsia" w:cs="Times New Roman"/>
                <w:b/>
                <w:color w:val="auto"/>
                <w:kern w:val="0"/>
                <w:szCs w:val="21"/>
                <w:lang w:val="en-US" w:eastAsia="zh-CN" w:bidi="ar"/>
              </w:rPr>
              <w:t>方案</w:t>
            </w:r>
            <w:r>
              <w:rPr>
                <w:rFonts w:hint="default" w:ascii="Times New Roman" w:hAnsi="Times New Roman" w:cs="Times New Roman"/>
                <w:b/>
                <w:color w:val="auto"/>
                <w:kern w:val="0"/>
                <w:szCs w:val="21"/>
                <w:lang w:bidi="ar"/>
              </w:rPr>
              <w:t>图</w:t>
            </w:r>
          </w:p>
          <w:p>
            <w:pPr>
              <w:spacing w:line="360" w:lineRule="auto"/>
              <w:ind w:firstLine="448"/>
              <w:rPr>
                <w:rFonts w:hint="default" w:ascii="Times New Roman" w:hAnsi="Times New Roman" w:eastAsia="宋体" w:cs="Times New Roman"/>
                <w:b/>
                <w:sz w:val="24"/>
                <w:szCs w:val="22"/>
              </w:rPr>
            </w:pPr>
            <w:r>
              <w:rPr>
                <w:rFonts w:hint="default" w:ascii="Times New Roman" w:hAnsi="Times New Roman" w:eastAsia="宋体" w:cs="Times New Roman"/>
                <w:b/>
                <w:sz w:val="24"/>
                <w:szCs w:val="22"/>
              </w:rPr>
              <w:t>方案二：砼面板斜坡堤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2"/>
              </w:rPr>
            </w:pPr>
            <w:r>
              <w:rPr>
                <w:rFonts w:hint="default" w:ascii="Times New Roman" w:hAnsi="Times New Roman" w:eastAsia="宋体" w:cs="Times New Roman"/>
                <w:sz w:val="24"/>
                <w:szCs w:val="22"/>
              </w:rPr>
              <w:t>堤防顶宽3.0m，在常年水位以上铺设生态联锁砖护坡，常年水位至河床堤基采用20cm厚C20砼面板护坡，下设5cmM10砂浆垫层，迎水面坡比1:1.75，堤基采用1.3m~1.45m×0.6m防冲趾墙，背坡采用框格植草护坡。面板设置PVC管排水管，排水管直径为50mm，排水孔间距3m，排距2m，梅花型布置。排水孔横坡向河，坡度为5％，内侧采用土工布包裹。堤身填筑之前做清基处理，需挖除表面松散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eastAsia="宋体" w:cs="Times New Roman"/>
                <w:szCs w:val="22"/>
              </w:rPr>
            </w:pPr>
            <w:r>
              <w:rPr>
                <w:rFonts w:hint="default" w:ascii="Times New Roman" w:hAnsi="Times New Roman" w:eastAsia="宋体" w:cs="Times New Roman"/>
                <w:szCs w:val="22"/>
              </w:rPr>
              <w:drawing>
                <wp:inline distT="0" distB="0" distL="114300" distR="114300">
                  <wp:extent cx="4697730" cy="2555875"/>
                  <wp:effectExtent l="0" t="0" r="7620" b="15875"/>
                  <wp:docPr id="19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4"/>
                          <pic:cNvPicPr>
                            <a:picLocks noChangeAspect="1"/>
                          </pic:cNvPicPr>
                        </pic:nvPicPr>
                        <pic:blipFill>
                          <a:blip r:embed="rId25"/>
                          <a:stretch>
                            <a:fillRect/>
                          </a:stretch>
                        </pic:blipFill>
                        <pic:spPr>
                          <a:xfrm>
                            <a:off x="0" y="0"/>
                            <a:ext cx="4697730" cy="2555875"/>
                          </a:xfrm>
                          <a:prstGeom prst="rect">
                            <a:avLst/>
                          </a:prstGeom>
                          <a:noFill/>
                          <a:ln>
                            <a:noFill/>
                          </a:ln>
                        </pic:spPr>
                      </pic:pic>
                    </a:graphicData>
                  </a:graphic>
                </wp:inline>
              </w:drawing>
            </w:r>
          </w:p>
          <w:p>
            <w:pPr>
              <w:widowControl/>
              <w:adjustRightInd w:val="0"/>
              <w:snapToGrid w:val="0"/>
              <w:spacing w:line="360" w:lineRule="auto"/>
              <w:jc w:val="center"/>
              <w:rPr>
                <w:rFonts w:hint="default" w:ascii="Times New Roman" w:hAnsi="Times New Roman" w:eastAsia="宋体" w:cs="Times New Roman"/>
                <w:b/>
                <w:sz w:val="24"/>
                <w:szCs w:val="22"/>
              </w:rPr>
            </w:pPr>
            <w:r>
              <w:rPr>
                <w:rFonts w:hint="default" w:ascii="Times New Roman" w:hAnsi="Times New Roman" w:cs="Times New Roman"/>
                <w:b/>
                <w:color w:val="auto"/>
                <w:kern w:val="0"/>
                <w:szCs w:val="21"/>
                <w:lang w:bidi="ar"/>
              </w:rPr>
              <w:t>图2-</w:t>
            </w:r>
            <w:r>
              <w:rPr>
                <w:rFonts w:hint="eastAsia" w:cs="Times New Roman"/>
                <w:b/>
                <w:color w:val="auto"/>
                <w:kern w:val="0"/>
                <w:szCs w:val="21"/>
                <w:lang w:val="en-US" w:eastAsia="zh-CN" w:bidi="ar"/>
              </w:rPr>
              <w:t>5</w:t>
            </w:r>
            <w:r>
              <w:rPr>
                <w:rFonts w:hint="default" w:ascii="Times New Roman" w:hAnsi="Times New Roman" w:cs="Times New Roman"/>
                <w:b/>
                <w:color w:val="auto"/>
                <w:kern w:val="0"/>
                <w:szCs w:val="21"/>
                <w:lang w:bidi="ar"/>
              </w:rPr>
              <w:t xml:space="preserve">  砼面板护岸</w:t>
            </w:r>
            <w:r>
              <w:rPr>
                <w:rFonts w:hint="eastAsia" w:cs="Times New Roman"/>
                <w:b/>
                <w:color w:val="auto"/>
                <w:kern w:val="0"/>
                <w:szCs w:val="21"/>
                <w:lang w:val="en-US" w:eastAsia="zh-CN" w:bidi="ar"/>
              </w:rPr>
              <w:t>方案</w:t>
            </w:r>
            <w:r>
              <w:rPr>
                <w:rFonts w:hint="default" w:ascii="Times New Roman" w:hAnsi="Times New Roman" w:cs="Times New Roman"/>
                <w:b/>
                <w:color w:val="auto"/>
                <w:kern w:val="0"/>
                <w:szCs w:val="21"/>
                <w:lang w:bidi="ar"/>
              </w:rPr>
              <w:t>图</w:t>
            </w:r>
          </w:p>
          <w:p>
            <w:pPr>
              <w:spacing w:line="360" w:lineRule="auto"/>
              <w:ind w:firstLine="448"/>
              <w:rPr>
                <w:rFonts w:hint="default" w:ascii="Times New Roman" w:hAnsi="Times New Roman" w:eastAsia="宋体" w:cs="Times New Roman"/>
                <w:sz w:val="24"/>
                <w:szCs w:val="22"/>
              </w:rPr>
            </w:pPr>
            <w:r>
              <w:rPr>
                <w:rFonts w:hint="default" w:ascii="Times New Roman" w:hAnsi="Times New Roman" w:eastAsia="宋体" w:cs="Times New Roman"/>
                <w:sz w:val="24"/>
                <w:szCs w:val="22"/>
              </w:rPr>
              <w:t>上述2种堤型方案主要技术经济对比成果见下表。</w:t>
            </w:r>
          </w:p>
          <w:p>
            <w:pPr>
              <w:widowControl/>
              <w:adjustRightInd w:val="0"/>
              <w:snapToGrid w:val="0"/>
              <w:spacing w:line="360" w:lineRule="auto"/>
              <w:jc w:val="center"/>
              <w:rPr>
                <w:rFonts w:hint="default" w:ascii="Times New Roman" w:hAnsi="Times New Roman" w:cs="Times New Roman"/>
                <w:b/>
                <w:color w:val="auto"/>
                <w:kern w:val="0"/>
                <w:szCs w:val="21"/>
                <w:lang w:bidi="ar"/>
              </w:rPr>
            </w:pPr>
            <w:r>
              <w:rPr>
                <w:rFonts w:hint="default" w:ascii="Times New Roman" w:hAnsi="Times New Roman" w:cs="Times New Roman"/>
                <w:b/>
                <w:color w:val="auto"/>
                <w:kern w:val="0"/>
                <w:szCs w:val="21"/>
                <w:lang w:bidi="ar"/>
              </w:rPr>
              <w:t>表</w:t>
            </w:r>
            <w:r>
              <w:rPr>
                <w:rFonts w:hint="eastAsia" w:cs="Times New Roman"/>
                <w:b/>
                <w:color w:val="auto"/>
                <w:kern w:val="0"/>
                <w:szCs w:val="21"/>
                <w:lang w:val="en-US" w:eastAsia="zh-CN" w:bidi="ar"/>
              </w:rPr>
              <w:t>2-14</w:t>
            </w:r>
            <w:r>
              <w:rPr>
                <w:rFonts w:hint="default" w:ascii="Times New Roman" w:hAnsi="Times New Roman" w:cs="Times New Roman"/>
                <w:b/>
                <w:color w:val="auto"/>
                <w:kern w:val="0"/>
                <w:szCs w:val="21"/>
                <w:lang w:bidi="ar"/>
              </w:rPr>
              <w:t xml:space="preserve">  堤型方案主要技术经济指标比较表</w:t>
            </w:r>
          </w:p>
          <w:tbl>
            <w:tblPr>
              <w:tblStyle w:val="41"/>
              <w:tblW w:w="4987"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114"/>
              <w:gridCol w:w="816"/>
              <w:gridCol w:w="1628"/>
              <w:gridCol w:w="1588"/>
              <w:gridCol w:w="1151"/>
              <w:gridCol w:w="1368"/>
              <w:gridCol w:w="135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0" w:hRule="atLeast"/>
              </w:trPr>
              <w:tc>
                <w:tcPr>
                  <w:tcW w:w="617" w:type="pct"/>
                  <w:vMerge w:val="restart"/>
                  <w:noWrap w:val="0"/>
                  <w:vAlign w:val="center"/>
                </w:tcPr>
                <w:p>
                  <w:pPr>
                    <w:widowControl/>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项目</w:t>
                  </w:r>
                </w:p>
              </w:tc>
              <w:tc>
                <w:tcPr>
                  <w:tcW w:w="452" w:type="pct"/>
                  <w:vMerge w:val="restart"/>
                  <w:noWrap w:val="0"/>
                  <w:vAlign w:val="center"/>
                </w:tcPr>
                <w:p>
                  <w:pPr>
                    <w:widowControl/>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单位</w:t>
                  </w:r>
                </w:p>
              </w:tc>
              <w:tc>
                <w:tcPr>
                  <w:tcW w:w="902" w:type="pct"/>
                  <w:noWrap w:val="0"/>
                  <w:vAlign w:val="center"/>
                </w:tcPr>
                <w:p>
                  <w:pPr>
                    <w:widowControl/>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方案一</w:t>
                  </w:r>
                </w:p>
              </w:tc>
              <w:tc>
                <w:tcPr>
                  <w:tcW w:w="880" w:type="pct"/>
                  <w:noWrap w:val="0"/>
                  <w:vAlign w:val="center"/>
                </w:tcPr>
                <w:p>
                  <w:pPr>
                    <w:widowControl/>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方案二</w:t>
                  </w:r>
                </w:p>
              </w:tc>
              <w:tc>
                <w:tcPr>
                  <w:tcW w:w="636" w:type="pct"/>
                  <w:vMerge w:val="restart"/>
                  <w:noWrap w:val="0"/>
                  <w:vAlign w:val="center"/>
                </w:tcPr>
                <w:p>
                  <w:pPr>
                    <w:widowControl/>
                    <w:jc w:val="center"/>
                    <w:rPr>
                      <w:rFonts w:hint="default" w:ascii="Times New Roman" w:hAnsi="Times New Roman" w:eastAsia="宋体" w:cs="Times New Roman"/>
                      <w:b/>
                      <w:bCs/>
                      <w:kern w:val="0"/>
                      <w:sz w:val="20"/>
                      <w:szCs w:val="20"/>
                    </w:rPr>
                  </w:pPr>
                  <w:r>
                    <w:rPr>
                      <w:rFonts w:hint="default" w:ascii="Times New Roman" w:hAnsi="Times New Roman" w:eastAsia="宋体" w:cs="Times New Roman"/>
                      <w:b/>
                      <w:bCs/>
                      <w:kern w:val="0"/>
                      <w:sz w:val="20"/>
                      <w:szCs w:val="20"/>
                    </w:rPr>
                    <w:t>单价元/</w:t>
                  </w:r>
                </w:p>
              </w:tc>
              <w:tc>
                <w:tcPr>
                  <w:tcW w:w="1510" w:type="pct"/>
                  <w:gridSpan w:val="2"/>
                  <w:noWrap w:val="0"/>
                  <w:vAlign w:val="center"/>
                </w:tcPr>
                <w:p>
                  <w:pPr>
                    <w:widowControl/>
                    <w:jc w:val="center"/>
                    <w:rPr>
                      <w:rFonts w:hint="default" w:ascii="Times New Roman" w:hAnsi="Times New Roman" w:eastAsia="宋体" w:cs="Times New Roman"/>
                      <w:b/>
                      <w:bCs/>
                      <w:kern w:val="0"/>
                      <w:sz w:val="20"/>
                      <w:szCs w:val="20"/>
                    </w:rPr>
                  </w:pPr>
                  <w:r>
                    <w:rPr>
                      <w:rFonts w:hint="default" w:ascii="Times New Roman" w:hAnsi="Times New Roman" w:eastAsia="宋体" w:cs="Times New Roman"/>
                      <w:b/>
                      <w:bCs/>
                      <w:kern w:val="0"/>
                      <w:sz w:val="20"/>
                      <w:szCs w:val="20"/>
                    </w:rPr>
                    <w:t>单米投资（元）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25" w:hRule="atLeast"/>
              </w:trPr>
              <w:tc>
                <w:tcPr>
                  <w:tcW w:w="617" w:type="pct"/>
                  <w:vMerge w:val="continue"/>
                  <w:noWrap w:val="0"/>
                  <w:vAlign w:val="center"/>
                </w:tcPr>
                <w:p>
                  <w:pPr>
                    <w:widowControl/>
                    <w:jc w:val="left"/>
                    <w:rPr>
                      <w:rFonts w:hint="default" w:ascii="Times New Roman" w:hAnsi="Times New Roman" w:eastAsia="宋体" w:cs="Times New Roman"/>
                      <w:b/>
                      <w:bCs/>
                      <w:kern w:val="0"/>
                      <w:szCs w:val="21"/>
                    </w:rPr>
                  </w:pPr>
                </w:p>
              </w:tc>
              <w:tc>
                <w:tcPr>
                  <w:tcW w:w="452" w:type="pct"/>
                  <w:vMerge w:val="continue"/>
                  <w:noWrap w:val="0"/>
                  <w:vAlign w:val="center"/>
                </w:tcPr>
                <w:p>
                  <w:pPr>
                    <w:widowControl/>
                    <w:jc w:val="left"/>
                    <w:rPr>
                      <w:rFonts w:hint="default" w:ascii="Times New Roman" w:hAnsi="Times New Roman" w:eastAsia="宋体" w:cs="Times New Roman"/>
                      <w:b/>
                      <w:bCs/>
                      <w:kern w:val="0"/>
                      <w:szCs w:val="21"/>
                    </w:rPr>
                  </w:pPr>
                </w:p>
              </w:tc>
              <w:tc>
                <w:tcPr>
                  <w:tcW w:w="902" w:type="pct"/>
                  <w:noWrap w:val="0"/>
                  <w:vAlign w:val="center"/>
                </w:tcPr>
                <w:p>
                  <w:pPr>
                    <w:widowControl/>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格宾石笼护岸</w:t>
                  </w:r>
                </w:p>
              </w:tc>
              <w:tc>
                <w:tcPr>
                  <w:tcW w:w="880" w:type="pct"/>
                  <w:noWrap w:val="0"/>
                  <w:vAlign w:val="center"/>
                </w:tcPr>
                <w:p>
                  <w:pPr>
                    <w:widowControl/>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C20砼面板护岸</w:t>
                  </w:r>
                </w:p>
              </w:tc>
              <w:tc>
                <w:tcPr>
                  <w:tcW w:w="636" w:type="pct"/>
                  <w:vMerge w:val="continue"/>
                  <w:noWrap w:val="0"/>
                  <w:vAlign w:val="center"/>
                </w:tcPr>
                <w:p>
                  <w:pPr>
                    <w:widowControl/>
                    <w:jc w:val="left"/>
                    <w:rPr>
                      <w:rFonts w:hint="default" w:ascii="Times New Roman" w:hAnsi="Times New Roman" w:eastAsia="宋体" w:cs="Times New Roman"/>
                      <w:b/>
                      <w:bCs/>
                      <w:kern w:val="0"/>
                      <w:sz w:val="20"/>
                      <w:szCs w:val="20"/>
                    </w:rPr>
                  </w:pPr>
                </w:p>
              </w:tc>
              <w:tc>
                <w:tcPr>
                  <w:tcW w:w="758" w:type="pct"/>
                  <w:noWrap w:val="0"/>
                  <w:vAlign w:val="center"/>
                </w:tcPr>
                <w:p>
                  <w:pPr>
                    <w:widowControl/>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格宾石笼护岸</w:t>
                  </w:r>
                </w:p>
              </w:tc>
              <w:tc>
                <w:tcPr>
                  <w:tcW w:w="752" w:type="pct"/>
                  <w:noWrap w:val="0"/>
                  <w:vAlign w:val="center"/>
                </w:tcPr>
                <w:p>
                  <w:pPr>
                    <w:widowControl/>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C20砼面板护岸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0" w:hRule="atLeast"/>
              </w:trPr>
              <w:tc>
                <w:tcPr>
                  <w:tcW w:w="617" w:type="pct"/>
                  <w:noWrap w:val="0"/>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堤身高度</w:t>
                  </w:r>
                </w:p>
              </w:tc>
              <w:tc>
                <w:tcPr>
                  <w:tcW w:w="452" w:type="pct"/>
                  <w:noWrap w:val="0"/>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w:t>
                  </w:r>
                </w:p>
              </w:tc>
              <w:tc>
                <w:tcPr>
                  <w:tcW w:w="902" w:type="pct"/>
                  <w:noWrap w:val="0"/>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9</w:t>
                  </w:r>
                </w:p>
              </w:tc>
              <w:tc>
                <w:tcPr>
                  <w:tcW w:w="880" w:type="pct"/>
                  <w:noWrap w:val="0"/>
                  <w:vAlign w:val="center"/>
                </w:tcPr>
                <w:p>
                  <w:pPr>
                    <w:widowControl/>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9</w:t>
                  </w:r>
                </w:p>
              </w:tc>
              <w:tc>
                <w:tcPr>
                  <w:tcW w:w="636" w:type="pct"/>
                  <w:noWrap w:val="0"/>
                  <w:vAlign w:val="center"/>
                </w:tcPr>
                <w:p>
                  <w:pPr>
                    <w:widowControl/>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　</w:t>
                  </w:r>
                </w:p>
              </w:tc>
              <w:tc>
                <w:tcPr>
                  <w:tcW w:w="758" w:type="pct"/>
                  <w:noWrap w:val="0"/>
                  <w:vAlign w:val="center"/>
                </w:tcPr>
                <w:p>
                  <w:pPr>
                    <w:widowControl/>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　</w:t>
                  </w:r>
                </w:p>
              </w:tc>
              <w:tc>
                <w:tcPr>
                  <w:tcW w:w="752" w:type="pct"/>
                  <w:noWrap w:val="0"/>
                  <w:vAlign w:val="center"/>
                </w:tcPr>
                <w:p>
                  <w:pPr>
                    <w:widowControl/>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0" w:hRule="atLeast"/>
              </w:trPr>
              <w:tc>
                <w:tcPr>
                  <w:tcW w:w="617" w:type="pct"/>
                  <w:noWrap w:val="0"/>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占地宽度</w:t>
                  </w:r>
                </w:p>
              </w:tc>
              <w:tc>
                <w:tcPr>
                  <w:tcW w:w="452" w:type="pct"/>
                  <w:noWrap w:val="0"/>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w:t>
                  </w:r>
                </w:p>
              </w:tc>
              <w:tc>
                <w:tcPr>
                  <w:tcW w:w="902" w:type="pct"/>
                  <w:noWrap w:val="0"/>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25.67</w:t>
                  </w:r>
                </w:p>
              </w:tc>
              <w:tc>
                <w:tcPr>
                  <w:tcW w:w="880" w:type="pct"/>
                  <w:noWrap w:val="0"/>
                  <w:vAlign w:val="center"/>
                </w:tcPr>
                <w:p>
                  <w:pPr>
                    <w:widowControl/>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25.67</w:t>
                  </w:r>
                </w:p>
              </w:tc>
              <w:tc>
                <w:tcPr>
                  <w:tcW w:w="636" w:type="pct"/>
                  <w:noWrap w:val="0"/>
                  <w:vAlign w:val="center"/>
                </w:tcPr>
                <w:p>
                  <w:pPr>
                    <w:widowControl/>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73</w:t>
                  </w:r>
                </w:p>
              </w:tc>
              <w:tc>
                <w:tcPr>
                  <w:tcW w:w="758" w:type="pct"/>
                  <w:noWrap w:val="0"/>
                  <w:vAlign w:val="center"/>
                </w:tcPr>
                <w:p>
                  <w:pPr>
                    <w:widowControl/>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 xml:space="preserve">1874 </w:t>
                  </w:r>
                </w:p>
              </w:tc>
              <w:tc>
                <w:tcPr>
                  <w:tcW w:w="752" w:type="pct"/>
                  <w:noWrap w:val="0"/>
                  <w:vAlign w:val="center"/>
                </w:tcPr>
                <w:p>
                  <w:pPr>
                    <w:widowControl/>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 xml:space="preserve">1874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0" w:hRule="atLeast"/>
              </w:trPr>
              <w:tc>
                <w:tcPr>
                  <w:tcW w:w="617" w:type="pct"/>
                  <w:noWrap w:val="0"/>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土石开挖</w:t>
                  </w:r>
                </w:p>
              </w:tc>
              <w:tc>
                <w:tcPr>
                  <w:tcW w:w="452" w:type="pct"/>
                  <w:noWrap w:val="0"/>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w:t>
                  </w:r>
                  <w:r>
                    <w:rPr>
                      <w:rFonts w:hint="default" w:ascii="Times New Roman" w:hAnsi="Times New Roman" w:eastAsia="宋体" w:cs="Times New Roman"/>
                      <w:kern w:val="0"/>
                      <w:szCs w:val="21"/>
                      <w:vertAlign w:val="superscript"/>
                    </w:rPr>
                    <w:t>3</w:t>
                  </w:r>
                </w:p>
              </w:tc>
              <w:tc>
                <w:tcPr>
                  <w:tcW w:w="902" w:type="pct"/>
                  <w:noWrap w:val="0"/>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23</w:t>
                  </w:r>
                </w:p>
              </w:tc>
              <w:tc>
                <w:tcPr>
                  <w:tcW w:w="880" w:type="pct"/>
                  <w:noWrap w:val="0"/>
                  <w:vAlign w:val="center"/>
                </w:tcPr>
                <w:p>
                  <w:pPr>
                    <w:widowControl/>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24.3</w:t>
                  </w:r>
                </w:p>
              </w:tc>
              <w:tc>
                <w:tcPr>
                  <w:tcW w:w="636" w:type="pct"/>
                  <w:noWrap w:val="0"/>
                  <w:vAlign w:val="center"/>
                </w:tcPr>
                <w:p>
                  <w:pPr>
                    <w:widowControl/>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25</w:t>
                  </w:r>
                </w:p>
              </w:tc>
              <w:tc>
                <w:tcPr>
                  <w:tcW w:w="758" w:type="pct"/>
                  <w:noWrap w:val="0"/>
                  <w:vAlign w:val="center"/>
                </w:tcPr>
                <w:p>
                  <w:pPr>
                    <w:widowControl/>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 xml:space="preserve">1679 </w:t>
                  </w:r>
                </w:p>
              </w:tc>
              <w:tc>
                <w:tcPr>
                  <w:tcW w:w="752" w:type="pct"/>
                  <w:noWrap w:val="0"/>
                  <w:vAlign w:val="center"/>
                </w:tcPr>
                <w:p>
                  <w:pPr>
                    <w:widowControl/>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 xml:space="preserve">608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0" w:hRule="atLeast"/>
              </w:trPr>
              <w:tc>
                <w:tcPr>
                  <w:tcW w:w="617" w:type="pct"/>
                  <w:noWrap w:val="0"/>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土石填筑</w:t>
                  </w:r>
                </w:p>
              </w:tc>
              <w:tc>
                <w:tcPr>
                  <w:tcW w:w="452" w:type="pct"/>
                  <w:noWrap w:val="0"/>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w:t>
                  </w:r>
                  <w:r>
                    <w:rPr>
                      <w:rFonts w:hint="default" w:ascii="Times New Roman" w:hAnsi="Times New Roman" w:eastAsia="宋体" w:cs="Times New Roman"/>
                      <w:kern w:val="0"/>
                      <w:szCs w:val="21"/>
                      <w:vertAlign w:val="superscript"/>
                    </w:rPr>
                    <w:t>3</w:t>
                  </w:r>
                </w:p>
              </w:tc>
              <w:tc>
                <w:tcPr>
                  <w:tcW w:w="902" w:type="pct"/>
                  <w:noWrap w:val="0"/>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75</w:t>
                  </w:r>
                </w:p>
              </w:tc>
              <w:tc>
                <w:tcPr>
                  <w:tcW w:w="880" w:type="pct"/>
                  <w:noWrap w:val="0"/>
                  <w:vAlign w:val="center"/>
                </w:tcPr>
                <w:p>
                  <w:pPr>
                    <w:widowControl/>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56</w:t>
                  </w:r>
                </w:p>
              </w:tc>
              <w:tc>
                <w:tcPr>
                  <w:tcW w:w="636" w:type="pct"/>
                  <w:noWrap w:val="0"/>
                  <w:vAlign w:val="center"/>
                </w:tcPr>
                <w:p>
                  <w:pPr>
                    <w:widowControl/>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55</w:t>
                  </w:r>
                </w:p>
              </w:tc>
              <w:tc>
                <w:tcPr>
                  <w:tcW w:w="758" w:type="pct"/>
                  <w:noWrap w:val="0"/>
                  <w:vAlign w:val="center"/>
                </w:tcPr>
                <w:p>
                  <w:pPr>
                    <w:widowControl/>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 xml:space="preserve">5475 </w:t>
                  </w:r>
                </w:p>
              </w:tc>
              <w:tc>
                <w:tcPr>
                  <w:tcW w:w="752" w:type="pct"/>
                  <w:noWrap w:val="0"/>
                  <w:vAlign w:val="center"/>
                </w:tcPr>
                <w:p>
                  <w:pPr>
                    <w:widowControl/>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 xml:space="preserve">3080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0" w:hRule="atLeast"/>
              </w:trPr>
              <w:tc>
                <w:tcPr>
                  <w:tcW w:w="617" w:type="pct"/>
                  <w:noWrap w:val="0"/>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C20砼</w:t>
                  </w:r>
                </w:p>
              </w:tc>
              <w:tc>
                <w:tcPr>
                  <w:tcW w:w="452" w:type="pct"/>
                  <w:noWrap w:val="0"/>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w:t>
                  </w:r>
                  <w:r>
                    <w:rPr>
                      <w:rFonts w:hint="default" w:ascii="Times New Roman" w:hAnsi="Times New Roman" w:eastAsia="宋体" w:cs="Times New Roman"/>
                      <w:kern w:val="0"/>
                      <w:szCs w:val="21"/>
                      <w:vertAlign w:val="superscript"/>
                    </w:rPr>
                    <w:t>3</w:t>
                  </w:r>
                </w:p>
              </w:tc>
              <w:tc>
                <w:tcPr>
                  <w:tcW w:w="902" w:type="pct"/>
                  <w:noWrap w:val="0"/>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880" w:type="pct"/>
                  <w:noWrap w:val="0"/>
                  <w:vAlign w:val="center"/>
                </w:tcPr>
                <w:p>
                  <w:pPr>
                    <w:widowControl/>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4.84</w:t>
                  </w:r>
                </w:p>
              </w:tc>
              <w:tc>
                <w:tcPr>
                  <w:tcW w:w="636" w:type="pct"/>
                  <w:noWrap w:val="0"/>
                  <w:vAlign w:val="center"/>
                </w:tcPr>
                <w:p>
                  <w:pPr>
                    <w:widowControl/>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650</w:t>
                  </w:r>
                </w:p>
              </w:tc>
              <w:tc>
                <w:tcPr>
                  <w:tcW w:w="758" w:type="pct"/>
                  <w:noWrap w:val="0"/>
                  <w:vAlign w:val="center"/>
                </w:tcPr>
                <w:p>
                  <w:pPr>
                    <w:widowControl/>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　</w:t>
                  </w:r>
                </w:p>
              </w:tc>
              <w:tc>
                <w:tcPr>
                  <w:tcW w:w="752" w:type="pct"/>
                  <w:noWrap w:val="0"/>
                  <w:vAlign w:val="center"/>
                </w:tcPr>
                <w:p>
                  <w:pPr>
                    <w:widowControl/>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 xml:space="preserve">3146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25" w:hRule="atLeast"/>
              </w:trPr>
              <w:tc>
                <w:tcPr>
                  <w:tcW w:w="617" w:type="pct"/>
                  <w:noWrap w:val="0"/>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格宾石笼</w:t>
                  </w:r>
                </w:p>
              </w:tc>
              <w:tc>
                <w:tcPr>
                  <w:tcW w:w="452" w:type="pct"/>
                  <w:noWrap w:val="0"/>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m</w:t>
                  </w:r>
                  <w:r>
                    <w:rPr>
                      <w:rFonts w:hint="default" w:ascii="Times New Roman" w:hAnsi="Times New Roman" w:eastAsia="宋体" w:cs="Times New Roman"/>
                      <w:kern w:val="0"/>
                      <w:szCs w:val="21"/>
                      <w:vertAlign w:val="superscript"/>
                    </w:rPr>
                    <w:t>3</w:t>
                  </w:r>
                </w:p>
              </w:tc>
              <w:tc>
                <w:tcPr>
                  <w:tcW w:w="902" w:type="pct"/>
                  <w:noWrap w:val="0"/>
                  <w:vAlign w:val="center"/>
                </w:tcPr>
                <w:p>
                  <w:pPr>
                    <w:widowControl/>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8.6</w:t>
                  </w:r>
                </w:p>
              </w:tc>
              <w:tc>
                <w:tcPr>
                  <w:tcW w:w="880" w:type="pct"/>
                  <w:noWrap w:val="0"/>
                  <w:vAlign w:val="center"/>
                </w:tcPr>
                <w:p>
                  <w:pPr>
                    <w:widowControl/>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w:t>
                  </w:r>
                </w:p>
              </w:tc>
              <w:tc>
                <w:tcPr>
                  <w:tcW w:w="636" w:type="pct"/>
                  <w:noWrap w:val="0"/>
                  <w:vAlign w:val="center"/>
                </w:tcPr>
                <w:p>
                  <w:pPr>
                    <w:widowControl/>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400</w:t>
                  </w:r>
                </w:p>
              </w:tc>
              <w:tc>
                <w:tcPr>
                  <w:tcW w:w="758" w:type="pct"/>
                  <w:noWrap w:val="0"/>
                  <w:vAlign w:val="center"/>
                </w:tcPr>
                <w:p>
                  <w:pPr>
                    <w:widowControl/>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 xml:space="preserve">628 </w:t>
                  </w:r>
                </w:p>
              </w:tc>
              <w:tc>
                <w:tcPr>
                  <w:tcW w:w="752" w:type="pct"/>
                  <w:noWrap w:val="0"/>
                  <w:vAlign w:val="center"/>
                </w:tcPr>
                <w:p>
                  <w:pPr>
                    <w:widowControl/>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0" w:hRule="atLeast"/>
              </w:trPr>
              <w:tc>
                <w:tcPr>
                  <w:tcW w:w="3489" w:type="pct"/>
                  <w:gridSpan w:val="5"/>
                  <w:noWrap w:val="0"/>
                  <w:vAlign w:val="center"/>
                </w:tcPr>
                <w:p>
                  <w:pPr>
                    <w:widowControl/>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Cs w:val="21"/>
                    </w:rPr>
                    <w:t>　合计</w:t>
                  </w:r>
                </w:p>
              </w:tc>
              <w:tc>
                <w:tcPr>
                  <w:tcW w:w="758" w:type="pct"/>
                  <w:noWrap w:val="0"/>
                  <w:vAlign w:val="center"/>
                </w:tcPr>
                <w:p>
                  <w:pPr>
                    <w:widowControl/>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 xml:space="preserve">9656 </w:t>
                  </w:r>
                </w:p>
              </w:tc>
              <w:tc>
                <w:tcPr>
                  <w:tcW w:w="752" w:type="pct"/>
                  <w:noWrap w:val="0"/>
                  <w:vAlign w:val="center"/>
                </w:tcPr>
                <w:p>
                  <w:pPr>
                    <w:widowControl/>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 xml:space="preserve">8707 </w:t>
                  </w:r>
                </w:p>
              </w:tc>
            </w:tr>
          </w:tbl>
          <w:p>
            <w:pPr>
              <w:spacing w:line="360" w:lineRule="auto"/>
              <w:ind w:firstLine="448"/>
              <w:rPr>
                <w:rFonts w:hint="default" w:ascii="Times New Roman" w:hAnsi="Times New Roman" w:cs="Times New Roman"/>
                <w:color w:val="0000FF"/>
                <w:kern w:val="0"/>
                <w:sz w:val="24"/>
                <w:szCs w:val="24"/>
              </w:rPr>
            </w:pPr>
            <w:r>
              <w:rPr>
                <w:rFonts w:hint="default" w:ascii="Times New Roman" w:hAnsi="Times New Roman" w:eastAsia="宋体" w:cs="Times New Roman"/>
                <w:sz w:val="24"/>
                <w:szCs w:val="22"/>
              </w:rPr>
              <w:t>结合本工程实际情况，河床淤积严重，确定方案二作为推荐堤型（即混凝土面板斜坡式堤），本工程游坝村皂角冲~周桃枝家段右岸堤防段地形空间受限，向河道内布置堤线</w:t>
            </w:r>
            <w:r>
              <w:rPr>
                <w:rFonts w:hint="eastAsia" w:cs="Times New Roman"/>
                <w:sz w:val="24"/>
                <w:szCs w:val="22"/>
                <w:lang w:val="en-US" w:eastAsia="zh-CN"/>
              </w:rPr>
              <w:t>既</w:t>
            </w:r>
            <w:r>
              <w:rPr>
                <w:rFonts w:hint="default" w:ascii="Times New Roman" w:hAnsi="Times New Roman" w:eastAsia="宋体" w:cs="Times New Roman"/>
                <w:sz w:val="24"/>
                <w:szCs w:val="22"/>
              </w:rPr>
              <w:t>不能满足上下游已建堤防衔接，又会形成阻水断面，影响河道行洪，且堤防长度仅99m，游坝村段采用仰斜式堤型。三圣村乐西高速~漫水桥段左岸堤防由于中铁二局钢筋棚无法拆除，该段河床为缩窄段，堤线空间受限，该段采用复合式堤型。</w:t>
            </w:r>
          </w:p>
        </w:tc>
      </w:tr>
    </w:tbl>
    <w:p>
      <w:pPr>
        <w:pStyle w:val="2"/>
        <w:sectPr>
          <w:pgSz w:w="11906" w:h="16838"/>
          <w:pgMar w:top="1440" w:right="1242" w:bottom="1440" w:left="1242"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kinsoku/>
        <w:wordWrap/>
        <w:overflowPunct/>
        <w:topLinePunct w:val="0"/>
        <w:bidi w:val="0"/>
        <w:adjustRightInd w:val="0"/>
        <w:snapToGrid w:val="0"/>
        <w:spacing w:before="100" w:beforeAutospacing="1" w:after="100" w:afterAutospacing="1"/>
        <w:jc w:val="center"/>
        <w:textAlignment w:val="auto"/>
        <w:outlineLvl w:val="0"/>
        <w:rPr>
          <w:rFonts w:ascii="黑体" w:hAnsi="黑体" w:eastAsia="黑体" w:cs="Times New Roman"/>
          <w:snapToGrid w:val="0"/>
          <w:kern w:val="0"/>
          <w:sz w:val="30"/>
          <w:szCs w:val="30"/>
          <w:lang w:val="en-US" w:eastAsia="zh-CN" w:bidi="ar-SA"/>
        </w:rPr>
      </w:pPr>
      <w:r>
        <w:rPr>
          <w:rFonts w:hint="eastAsia" w:ascii="黑体" w:hAnsi="黑体" w:eastAsia="黑体" w:cs="Times New Roman"/>
          <w:snapToGrid w:val="0"/>
          <w:kern w:val="0"/>
          <w:sz w:val="30"/>
          <w:szCs w:val="30"/>
          <w:lang w:val="en-US" w:eastAsia="zh-CN" w:bidi="ar-SA"/>
        </w:rPr>
        <w:t>三、生态环境现状、保护目标及评价标准</w:t>
      </w:r>
    </w:p>
    <w:tbl>
      <w:tblPr>
        <w:tblStyle w:val="41"/>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87"/>
        <w:gridCol w:w="864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2"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生态环境现状</w:t>
            </w:r>
          </w:p>
        </w:tc>
        <w:tc>
          <w:tcPr>
            <w:tcW w:w="4487" w:type="pct"/>
            <w:noWrap w:val="0"/>
            <w:vAlign w:val="center"/>
          </w:tcPr>
          <w:p>
            <w:pPr>
              <w:spacing w:line="360" w:lineRule="auto"/>
              <w:ind w:firstLine="448"/>
              <w:rPr>
                <w:rFonts w:hint="default" w:ascii="Times New Roman" w:hAnsi="Times New Roman" w:eastAsia="宋体" w:cs="Times New Roman"/>
                <w:b/>
                <w:bCs/>
                <w:sz w:val="24"/>
                <w:szCs w:val="22"/>
              </w:rPr>
            </w:pPr>
            <w:r>
              <w:rPr>
                <w:rFonts w:hint="default" w:ascii="Times New Roman" w:hAnsi="Times New Roman" w:eastAsia="宋体" w:cs="Times New Roman"/>
                <w:b/>
                <w:bCs/>
                <w:sz w:val="24"/>
                <w:szCs w:val="22"/>
                <w:lang w:val="en-US" w:eastAsia="zh-CN"/>
              </w:rPr>
              <w:t>1</w:t>
            </w:r>
            <w:r>
              <w:rPr>
                <w:rFonts w:hint="default" w:ascii="Times New Roman" w:hAnsi="Times New Roman" w:eastAsia="宋体" w:cs="Times New Roman"/>
                <w:b/>
                <w:bCs/>
                <w:sz w:val="24"/>
                <w:szCs w:val="22"/>
              </w:rPr>
              <w:t>、生态环境质量</w:t>
            </w:r>
          </w:p>
          <w:p>
            <w:pPr>
              <w:spacing w:line="360" w:lineRule="auto"/>
              <w:ind w:firstLine="448"/>
              <w:rPr>
                <w:rFonts w:hint="default" w:ascii="Times New Roman" w:hAnsi="Times New Roman" w:eastAsia="宋体" w:cs="Times New Roman"/>
                <w:sz w:val="24"/>
                <w:szCs w:val="22"/>
              </w:rPr>
            </w:pPr>
            <w:r>
              <w:rPr>
                <w:rFonts w:hint="default" w:ascii="Times New Roman" w:hAnsi="Times New Roman" w:eastAsia="宋体" w:cs="Times New Roman"/>
                <w:sz w:val="24"/>
                <w:szCs w:val="22"/>
                <w:lang w:eastAsia="zh-CN"/>
              </w:rPr>
              <w:t>（</w:t>
            </w:r>
            <w:r>
              <w:rPr>
                <w:rFonts w:hint="default" w:ascii="Times New Roman" w:hAnsi="Times New Roman" w:eastAsia="宋体" w:cs="Times New Roman"/>
                <w:sz w:val="24"/>
                <w:szCs w:val="22"/>
                <w:lang w:val="en-US" w:eastAsia="zh-CN"/>
              </w:rPr>
              <w:t>1</w:t>
            </w:r>
            <w:r>
              <w:rPr>
                <w:rFonts w:hint="default" w:ascii="Times New Roman" w:hAnsi="Times New Roman" w:eastAsia="宋体" w:cs="Times New Roman"/>
                <w:sz w:val="24"/>
                <w:szCs w:val="22"/>
                <w:lang w:eastAsia="zh-CN"/>
              </w:rPr>
              <w:t>）</w:t>
            </w:r>
            <w:r>
              <w:rPr>
                <w:rFonts w:hint="default" w:ascii="Times New Roman" w:hAnsi="Times New Roman" w:eastAsia="宋体" w:cs="Times New Roman"/>
                <w:sz w:val="24"/>
                <w:szCs w:val="22"/>
              </w:rPr>
              <w:t>区域概况</w:t>
            </w:r>
          </w:p>
          <w:p>
            <w:pPr>
              <w:spacing w:line="360" w:lineRule="auto"/>
              <w:ind w:firstLine="448"/>
              <w:rPr>
                <w:rFonts w:hint="default" w:ascii="Times New Roman" w:hAnsi="Times New Roman" w:eastAsia="宋体" w:cs="Times New Roman"/>
                <w:sz w:val="24"/>
                <w:szCs w:val="22"/>
              </w:rPr>
            </w:pPr>
            <w:r>
              <w:rPr>
                <w:rFonts w:hint="default" w:ascii="Times New Roman" w:hAnsi="Times New Roman" w:eastAsia="宋体" w:cs="Times New Roman"/>
                <w:sz w:val="24"/>
                <w:szCs w:val="22"/>
              </w:rPr>
              <w:t>1）主体功能区规划情况</w:t>
            </w:r>
          </w:p>
          <w:p>
            <w:pPr>
              <w:spacing w:line="360" w:lineRule="auto"/>
              <w:ind w:firstLine="448"/>
              <w:rPr>
                <w:rFonts w:hint="default" w:ascii="Times New Roman" w:hAnsi="Times New Roman" w:eastAsia="宋体" w:cs="Times New Roman"/>
                <w:sz w:val="24"/>
                <w:szCs w:val="22"/>
              </w:rPr>
            </w:pPr>
            <w:r>
              <w:rPr>
                <w:rFonts w:hint="default" w:ascii="Times New Roman" w:hAnsi="Times New Roman" w:eastAsia="宋体" w:cs="Times New Roman"/>
                <w:sz w:val="24"/>
                <w:szCs w:val="22"/>
              </w:rPr>
              <w:t>根据《四川省主体功能区划》，</w:t>
            </w:r>
            <w:r>
              <w:rPr>
                <w:rFonts w:hint="default" w:ascii="Times New Roman" w:hAnsi="Times New Roman" w:eastAsia="宋体" w:cs="Times New Roman"/>
                <w:sz w:val="24"/>
                <w:szCs w:val="22"/>
                <w:lang w:val="en-US" w:eastAsia="zh-CN"/>
              </w:rPr>
              <w:t>乐山市</w:t>
            </w:r>
            <w:r>
              <w:rPr>
                <w:rFonts w:hint="eastAsia" w:ascii="Times New Roman" w:hAnsi="Times New Roman" w:eastAsia="宋体" w:cs="Times New Roman"/>
                <w:sz w:val="24"/>
                <w:szCs w:val="22"/>
                <w:lang w:val="en-US" w:eastAsia="zh-CN"/>
              </w:rPr>
              <w:t>市中</w:t>
            </w:r>
            <w:r>
              <w:rPr>
                <w:rFonts w:hint="default" w:ascii="Times New Roman" w:hAnsi="Times New Roman" w:eastAsia="宋体" w:cs="Times New Roman"/>
                <w:sz w:val="24"/>
                <w:szCs w:val="22"/>
                <w:lang w:val="en-US" w:eastAsia="zh-CN"/>
              </w:rPr>
              <w:t>区</w:t>
            </w:r>
            <w:r>
              <w:rPr>
                <w:rFonts w:hint="default" w:ascii="Times New Roman" w:hAnsi="Times New Roman" w:eastAsia="宋体" w:cs="Times New Roman"/>
                <w:sz w:val="24"/>
                <w:szCs w:val="22"/>
              </w:rPr>
              <w:t>属于成都平原地区。该区域主体功能定位：坚持开发与保护并重，构建区域“生态走廊”。加强水资源开发利用与节约保护，加快大中型水利工程建设和防洪工程建设。加强长江、沱江等主要流域水土流失防治和水污染治理，保护地表水和地下水源水质，构建功能完备的防护林体系，保障长江、沱江等主要流域水生态安全，增强区域防洪和水资源的调蓄能力，加强向家坝电站库区生态建设及重要采煤区生态修复和环境治理，加强城市、交通干线及江河沿线的生态建设。</w:t>
            </w:r>
          </w:p>
          <w:p>
            <w:pPr>
              <w:spacing w:line="360" w:lineRule="auto"/>
              <w:ind w:firstLine="448"/>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lang w:val="en-US" w:eastAsia="zh-CN"/>
              </w:rPr>
              <w:t>本项目为防洪除涝项目，符合项目所在地主体功能区划要求。</w:t>
            </w:r>
          </w:p>
          <w:p>
            <w:pPr>
              <w:spacing w:line="360" w:lineRule="auto"/>
              <w:ind w:firstLine="448"/>
              <w:rPr>
                <w:rFonts w:hint="default" w:ascii="Times New Roman" w:hAnsi="Times New Roman" w:eastAsia="宋体" w:cs="Times New Roman"/>
                <w:b w:val="0"/>
                <w:bCs w:val="0"/>
                <w:sz w:val="24"/>
                <w:szCs w:val="22"/>
                <w:lang w:val="en-US" w:eastAsia="zh-CN"/>
              </w:rPr>
            </w:pPr>
            <w:r>
              <w:rPr>
                <w:rFonts w:hint="default" w:ascii="Times New Roman" w:hAnsi="Times New Roman" w:eastAsia="宋体" w:cs="Times New Roman"/>
                <w:b w:val="0"/>
                <w:bCs w:val="0"/>
                <w:sz w:val="24"/>
                <w:szCs w:val="22"/>
                <w:lang w:val="en-US" w:eastAsia="zh-CN"/>
              </w:rPr>
              <w:t>2）生态功能区划</w:t>
            </w:r>
          </w:p>
          <w:p>
            <w:pPr>
              <w:spacing w:line="360" w:lineRule="auto"/>
              <w:ind w:firstLine="448"/>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lang w:val="en-US" w:eastAsia="zh-CN"/>
              </w:rPr>
              <w:t>根据《四川省生态功能区划》，项目所在地属于“Ⅰ 1.3 平原南部城市-农业与水污染控制生态功能区”。区域主要的生态问题体现在人口密度大，耕地垦殖过度；森林覆盖率低、结构不合理；农村面源污染；地表径流水质污染严重；洪涝灾害频繁。因此通过发挥中心城市辐射作用，改善人居环境和投资环境。保护耕地，促进农业生态系统良性循环；开发景观资源，发展旅游观光业及相关产业链。防治农村面源污染和地表径流水质污染。</w:t>
            </w:r>
          </w:p>
          <w:p>
            <w:pPr>
              <w:spacing w:line="360" w:lineRule="auto"/>
              <w:ind w:firstLine="448"/>
              <w:rPr>
                <w:rFonts w:hint="default" w:ascii="Times New Roman" w:hAnsi="Times New Roman" w:eastAsia="宋体" w:cs="Times New Roman"/>
                <w:sz w:val="24"/>
                <w:szCs w:val="22"/>
                <w:lang w:val="en-US" w:eastAsia="zh-CN"/>
              </w:rPr>
            </w:pPr>
            <w:r>
              <w:rPr>
                <w:rFonts w:hint="default" w:ascii="Times New Roman" w:hAnsi="Times New Roman" w:eastAsia="宋体" w:cs="Times New Roman"/>
                <w:sz w:val="24"/>
                <w:szCs w:val="22"/>
                <w:lang w:val="en-US" w:eastAsia="zh-CN"/>
              </w:rPr>
              <w:t>本项目不在禁止开发区，不在重点保护区内，符合《四川省生态功能区规划》要求。</w:t>
            </w:r>
          </w:p>
          <w:p>
            <w:pPr>
              <w:adjustRightInd w:val="0"/>
              <w:snapToGrid w:val="0"/>
              <w:spacing w:line="360" w:lineRule="auto"/>
              <w:ind w:firstLine="480" w:firstLineChars="200"/>
              <w:jc w:val="left"/>
              <w:rPr>
                <w:rFonts w:hint="default" w:ascii="Times New Roman" w:hAnsi="Times New Roman" w:cs="Times New Roman"/>
                <w:b w:val="0"/>
                <w:bCs/>
                <w:color w:val="auto"/>
                <w:kern w:val="0"/>
                <w:sz w:val="24"/>
              </w:rPr>
            </w:pPr>
            <w:r>
              <w:rPr>
                <w:rFonts w:hint="default" w:ascii="Times New Roman" w:hAnsi="Times New Roman" w:cs="Times New Roman"/>
                <w:b w:val="0"/>
                <w:bCs/>
                <w:color w:val="auto"/>
                <w:kern w:val="0"/>
                <w:sz w:val="24"/>
              </w:rPr>
              <w:t>3）土地利用现状</w:t>
            </w:r>
          </w:p>
          <w:p>
            <w:pPr>
              <w:pStyle w:val="133"/>
              <w:widowControl/>
              <w:snapToGrid w:val="0"/>
              <w:spacing w:line="360" w:lineRule="auto"/>
              <w:ind w:firstLine="480" w:firstLineChars="200"/>
              <w:jc w:val="both"/>
              <w:rPr>
                <w:rFonts w:hint="default" w:ascii="Times New Roman" w:hAnsi="Times New Roman" w:cs="Times New Roman"/>
                <w:b/>
                <w:bCs/>
                <w:color w:val="auto"/>
                <w:sz w:val="21"/>
                <w:szCs w:val="21"/>
                <w:highlight w:val="none"/>
              </w:rPr>
            </w:pPr>
            <w:r>
              <w:rPr>
                <w:rFonts w:hint="default" w:ascii="Times New Roman" w:hAnsi="Times New Roman" w:cs="Times New Roman"/>
                <w:color w:val="auto"/>
              </w:rPr>
              <w:t>依据全国土地利用现状调查技术规程、《土地利用现状分类》（GB/T 2010-2017），结合四川省土地利用资料，将调查区域土地利用情况划分为</w:t>
            </w:r>
            <w:r>
              <w:rPr>
                <w:rFonts w:hint="default" w:ascii="Times New Roman" w:hAnsi="Times New Roman" w:cs="Times New Roman"/>
                <w:color w:val="auto"/>
                <w:lang w:val="en-US" w:eastAsia="zh-CN"/>
              </w:rPr>
              <w:t>耕地、</w:t>
            </w:r>
            <w:r>
              <w:rPr>
                <w:rFonts w:hint="eastAsia" w:ascii="Times New Roman" w:cs="Times New Roman"/>
                <w:color w:val="auto"/>
                <w:lang w:val="en-US" w:eastAsia="zh-CN"/>
              </w:rPr>
              <w:t>林地、果园</w:t>
            </w:r>
            <w:r>
              <w:rPr>
                <w:rFonts w:hint="default" w:ascii="Times New Roman" w:hAnsi="Times New Roman" w:cs="Times New Roman"/>
                <w:color w:val="auto"/>
              </w:rPr>
              <w:t>、</w:t>
            </w:r>
            <w:r>
              <w:rPr>
                <w:rFonts w:hint="default" w:ascii="Times New Roman" w:hAnsi="Times New Roman" w:cs="Times New Roman"/>
                <w:color w:val="auto"/>
                <w:lang w:val="en-US" w:eastAsia="zh-CN"/>
              </w:rPr>
              <w:t>水域及</w:t>
            </w:r>
            <w:r>
              <w:rPr>
                <w:rFonts w:hint="default" w:ascii="Times New Roman" w:hAnsi="Times New Roman" w:cs="Times New Roman"/>
                <w:color w:val="auto"/>
                <w:highlight w:val="none"/>
                <w:lang w:val="en-US" w:eastAsia="zh-CN"/>
              </w:rPr>
              <w:t>水利设施用地4</w:t>
            </w:r>
            <w:r>
              <w:rPr>
                <w:rFonts w:hint="default" w:ascii="Times New Roman" w:hAnsi="Times New Roman" w:cs="Times New Roman"/>
                <w:color w:val="auto"/>
                <w:highlight w:val="none"/>
              </w:rPr>
              <w:t>种类型（见</w:t>
            </w:r>
            <w:r>
              <w:rPr>
                <w:rFonts w:hint="default" w:ascii="Times New Roman" w:hAnsi="Times New Roman" w:cs="Times New Roman"/>
                <w:bCs/>
                <w:color w:val="auto"/>
                <w:highlight w:val="none"/>
              </w:rPr>
              <w:t>表3-</w:t>
            </w:r>
            <w:r>
              <w:rPr>
                <w:rFonts w:hint="default" w:ascii="Times New Roman" w:hAnsi="Times New Roman" w:cs="Times New Roman"/>
                <w:bCs/>
                <w:color w:val="auto"/>
                <w:highlight w:val="none"/>
                <w:lang w:val="en-US" w:eastAsia="zh-CN"/>
              </w:rPr>
              <w:t>1</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w:t>
            </w:r>
          </w:p>
          <w:p>
            <w:pPr>
              <w:pStyle w:val="133"/>
              <w:widowControl/>
              <w:snapToGrid w:val="0"/>
              <w:spacing w:line="36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表3-</w:t>
            </w:r>
            <w:r>
              <w:rPr>
                <w:rFonts w:hint="default" w:ascii="Times New Roman" w:hAnsi="Times New Roman" w:cs="Times New Roman"/>
                <w:b/>
                <w:bCs/>
                <w:color w:val="auto"/>
                <w:sz w:val="21"/>
                <w:szCs w:val="21"/>
                <w:highlight w:val="none"/>
                <w:lang w:val="en-US" w:eastAsia="zh-CN"/>
              </w:rPr>
              <w:t xml:space="preserve">1 </w:t>
            </w:r>
            <w:r>
              <w:rPr>
                <w:rFonts w:hint="default" w:ascii="Times New Roman" w:hAnsi="Times New Roman" w:cs="Times New Roman"/>
                <w:b/>
                <w:bCs/>
                <w:color w:val="auto"/>
                <w:sz w:val="21"/>
                <w:szCs w:val="21"/>
                <w:highlight w:val="none"/>
              </w:rPr>
              <w:t xml:space="preserve"> 项目调查评价区土地利用类型统计</w:t>
            </w:r>
          </w:p>
          <w:tbl>
            <w:tblPr>
              <w:tblStyle w:val="41"/>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78"/>
              <w:gridCol w:w="1205"/>
              <w:gridCol w:w="1204"/>
              <w:gridCol w:w="1681"/>
              <w:gridCol w:w="1681"/>
              <w:gridCol w:w="1204"/>
              <w:gridCol w:w="97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tblHeader/>
                <w:jc w:val="center"/>
              </w:trPr>
              <w:tc>
                <w:tcPr>
                  <w:tcW w:w="999" w:type="pct"/>
                  <w:gridSpan w:val="2"/>
                  <w:vMerge w:val="restart"/>
                  <w:tcBorders>
                    <w:tl2br w:val="nil"/>
                    <w:tr2bl w:val="nil"/>
                  </w:tcBorders>
                  <w:noWrap w:val="0"/>
                  <w:vAlign w:val="center"/>
                </w:tcPr>
                <w:p>
                  <w:pPr>
                    <w:widowControl/>
                    <w:jc w:val="center"/>
                    <w:rPr>
                      <w:rFonts w:ascii="Times New Roman" w:hAnsi="Times New Roman"/>
                      <w:b/>
                      <w:kern w:val="0"/>
                      <w:szCs w:val="21"/>
                    </w:rPr>
                  </w:pPr>
                  <w:r>
                    <w:rPr>
                      <w:rFonts w:ascii="Times New Roman" w:hAnsi="Times New Roman"/>
                      <w:b/>
                      <w:kern w:val="0"/>
                      <w:szCs w:val="21"/>
                    </w:rPr>
                    <w:t>项目</w:t>
                  </w:r>
                </w:p>
              </w:tc>
              <w:tc>
                <w:tcPr>
                  <w:tcW w:w="4000" w:type="pct"/>
                  <w:gridSpan w:val="5"/>
                  <w:tcBorders>
                    <w:tl2br w:val="nil"/>
                    <w:tr2bl w:val="nil"/>
                  </w:tcBorders>
                  <w:noWrap w:val="0"/>
                  <w:vAlign w:val="top"/>
                </w:tcPr>
                <w:p>
                  <w:pPr>
                    <w:widowControl/>
                    <w:jc w:val="center"/>
                    <w:rPr>
                      <w:rFonts w:ascii="Times New Roman" w:hAnsi="Times New Roman"/>
                      <w:b/>
                      <w:kern w:val="0"/>
                      <w:szCs w:val="21"/>
                    </w:rPr>
                  </w:pPr>
                  <w:r>
                    <w:rPr>
                      <w:rFonts w:ascii="Times New Roman" w:hAnsi="Times New Roman"/>
                      <w:b/>
                      <w:kern w:val="0"/>
                      <w:szCs w:val="21"/>
                    </w:rPr>
                    <w:t>推荐方案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tblHeader/>
                <w:jc w:val="center"/>
              </w:trPr>
              <w:tc>
                <w:tcPr>
                  <w:tcW w:w="999" w:type="pct"/>
                  <w:gridSpan w:val="2"/>
                  <w:vMerge w:val="continue"/>
                  <w:tcBorders>
                    <w:tl2br w:val="nil"/>
                    <w:tr2bl w:val="nil"/>
                  </w:tcBorders>
                  <w:noWrap w:val="0"/>
                  <w:vAlign w:val="center"/>
                </w:tcPr>
                <w:p>
                  <w:pPr>
                    <w:widowControl/>
                    <w:jc w:val="center"/>
                    <w:rPr>
                      <w:rFonts w:ascii="Times New Roman" w:hAnsi="Times New Roman"/>
                      <w:b/>
                      <w:kern w:val="0"/>
                      <w:szCs w:val="21"/>
                    </w:rPr>
                  </w:pPr>
                </w:p>
              </w:tc>
              <w:tc>
                <w:tcPr>
                  <w:tcW w:w="714" w:type="pct"/>
                  <w:tcBorders>
                    <w:tl2br w:val="nil"/>
                    <w:tr2bl w:val="nil"/>
                  </w:tcBorders>
                  <w:noWrap w:val="0"/>
                  <w:vAlign w:val="center"/>
                </w:tcPr>
                <w:p>
                  <w:pPr>
                    <w:widowControl/>
                    <w:jc w:val="center"/>
                    <w:rPr>
                      <w:rFonts w:ascii="Times New Roman" w:hAnsi="Times New Roman"/>
                      <w:b/>
                      <w:kern w:val="0"/>
                      <w:szCs w:val="21"/>
                    </w:rPr>
                  </w:pPr>
                  <w:r>
                    <w:rPr>
                      <w:rFonts w:ascii="Times New Roman" w:hAnsi="Times New Roman"/>
                      <w:b/>
                      <w:kern w:val="0"/>
                      <w:szCs w:val="21"/>
                    </w:rPr>
                    <w:t>永久占地</w:t>
                  </w:r>
                </w:p>
              </w:tc>
              <w:tc>
                <w:tcPr>
                  <w:tcW w:w="997" w:type="pct"/>
                  <w:tcBorders>
                    <w:tl2br w:val="nil"/>
                    <w:tr2bl w:val="nil"/>
                  </w:tcBorders>
                  <w:noWrap w:val="0"/>
                  <w:vAlign w:val="top"/>
                </w:tcPr>
                <w:p>
                  <w:pPr>
                    <w:widowControl/>
                    <w:jc w:val="center"/>
                    <w:rPr>
                      <w:rFonts w:ascii="Times New Roman" w:hAnsi="Times New Roman"/>
                      <w:b/>
                      <w:kern w:val="0"/>
                      <w:szCs w:val="21"/>
                    </w:rPr>
                  </w:pPr>
                  <w:r>
                    <w:rPr>
                      <w:rFonts w:hint="eastAsia" w:ascii="Times New Roman" w:hAnsi="Times New Roman"/>
                      <w:b/>
                      <w:kern w:val="0"/>
                      <w:szCs w:val="21"/>
                    </w:rPr>
                    <w:t>临时道路</w:t>
                  </w:r>
                </w:p>
              </w:tc>
              <w:tc>
                <w:tcPr>
                  <w:tcW w:w="997" w:type="pct"/>
                  <w:tcBorders>
                    <w:tl2br w:val="nil"/>
                    <w:tr2bl w:val="nil"/>
                  </w:tcBorders>
                  <w:noWrap w:val="0"/>
                  <w:vAlign w:val="center"/>
                </w:tcPr>
                <w:p>
                  <w:pPr>
                    <w:widowControl/>
                    <w:jc w:val="center"/>
                    <w:rPr>
                      <w:rFonts w:ascii="Times New Roman" w:hAnsi="Times New Roman"/>
                      <w:b/>
                      <w:kern w:val="0"/>
                      <w:szCs w:val="21"/>
                    </w:rPr>
                  </w:pPr>
                  <w:r>
                    <w:rPr>
                      <w:rFonts w:ascii="Times New Roman" w:hAnsi="Times New Roman"/>
                      <w:b/>
                      <w:kern w:val="0"/>
                      <w:szCs w:val="21"/>
                    </w:rPr>
                    <w:t>临时</w:t>
                  </w:r>
                  <w:r>
                    <w:rPr>
                      <w:rFonts w:hint="eastAsia" w:ascii="Times New Roman" w:hAnsi="Times New Roman"/>
                      <w:b/>
                      <w:kern w:val="0"/>
                      <w:szCs w:val="21"/>
                    </w:rPr>
                    <w:t>施工区</w:t>
                  </w:r>
                </w:p>
              </w:tc>
              <w:tc>
                <w:tcPr>
                  <w:tcW w:w="714" w:type="pct"/>
                  <w:tcBorders>
                    <w:tl2br w:val="nil"/>
                    <w:tr2bl w:val="nil"/>
                  </w:tcBorders>
                  <w:noWrap w:val="0"/>
                  <w:vAlign w:val="center"/>
                </w:tcPr>
                <w:p>
                  <w:pPr>
                    <w:widowControl/>
                    <w:jc w:val="center"/>
                    <w:rPr>
                      <w:rFonts w:ascii="Times New Roman" w:hAnsi="Times New Roman"/>
                      <w:b/>
                      <w:kern w:val="0"/>
                      <w:szCs w:val="21"/>
                    </w:rPr>
                  </w:pPr>
                  <w:r>
                    <w:rPr>
                      <w:rFonts w:ascii="Times New Roman" w:hAnsi="Times New Roman"/>
                      <w:b/>
                      <w:kern w:val="0"/>
                      <w:szCs w:val="21"/>
                    </w:rPr>
                    <w:t>渣场占地</w:t>
                  </w:r>
                </w:p>
              </w:tc>
              <w:tc>
                <w:tcPr>
                  <w:tcW w:w="576" w:type="pct"/>
                  <w:tcBorders>
                    <w:tl2br w:val="nil"/>
                    <w:tr2bl w:val="nil"/>
                  </w:tcBorders>
                  <w:noWrap w:val="0"/>
                  <w:vAlign w:val="center"/>
                </w:tcPr>
                <w:p>
                  <w:pPr>
                    <w:widowControl/>
                    <w:jc w:val="center"/>
                    <w:rPr>
                      <w:rFonts w:ascii="Times New Roman" w:hAnsi="Times New Roman"/>
                      <w:b/>
                      <w:kern w:val="0"/>
                      <w:szCs w:val="21"/>
                    </w:rPr>
                  </w:pPr>
                  <w:r>
                    <w:rPr>
                      <w:rFonts w:ascii="Times New Roman" w:hAnsi="Times New Roman"/>
                      <w:b/>
                      <w:kern w:val="0"/>
                      <w:szCs w:val="21"/>
                    </w:rPr>
                    <w:t>总计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284" w:type="pct"/>
                  <w:tcBorders>
                    <w:tl2br w:val="nil"/>
                    <w:tr2bl w:val="nil"/>
                  </w:tcBorders>
                  <w:noWrap w:val="0"/>
                  <w:vAlign w:val="center"/>
                </w:tcPr>
                <w:p>
                  <w:pPr>
                    <w:widowControl/>
                    <w:jc w:val="center"/>
                    <w:rPr>
                      <w:rFonts w:ascii="Times New Roman" w:hAnsi="Times New Roman"/>
                      <w:kern w:val="0"/>
                      <w:szCs w:val="21"/>
                    </w:rPr>
                  </w:pPr>
                  <w:r>
                    <w:rPr>
                      <w:rFonts w:ascii="Times New Roman" w:hAnsi="Times New Roman"/>
                      <w:kern w:val="0"/>
                      <w:szCs w:val="21"/>
                    </w:rPr>
                    <w:t>一</w:t>
                  </w:r>
                </w:p>
              </w:tc>
              <w:tc>
                <w:tcPr>
                  <w:tcW w:w="714" w:type="pct"/>
                  <w:tcBorders>
                    <w:tl2br w:val="nil"/>
                    <w:tr2bl w:val="nil"/>
                  </w:tcBorders>
                  <w:noWrap w:val="0"/>
                  <w:vAlign w:val="center"/>
                </w:tcPr>
                <w:p>
                  <w:pPr>
                    <w:widowControl/>
                    <w:jc w:val="center"/>
                    <w:rPr>
                      <w:rFonts w:hint="eastAsia" w:ascii="Times New Roman" w:hAnsi="Times New Roman" w:eastAsia="宋体"/>
                      <w:kern w:val="0"/>
                      <w:szCs w:val="21"/>
                      <w:lang w:eastAsia="zh-CN"/>
                    </w:rPr>
                  </w:pPr>
                  <w:r>
                    <w:rPr>
                      <w:rFonts w:ascii="Times New Roman" w:hAnsi="Times New Roman"/>
                      <w:kern w:val="0"/>
                      <w:szCs w:val="21"/>
                    </w:rPr>
                    <w:t>土地</w:t>
                  </w:r>
                  <w:r>
                    <w:rPr>
                      <w:rFonts w:hint="eastAsia"/>
                      <w:kern w:val="0"/>
                      <w:szCs w:val="21"/>
                      <w:lang w:eastAsia="zh-CN"/>
                    </w:rPr>
                    <w:t>（</w:t>
                  </w:r>
                  <w:r>
                    <w:rPr>
                      <w:rFonts w:ascii="Times New Roman" w:hAnsi="Times New Roman"/>
                      <w:kern w:val="0"/>
                      <w:szCs w:val="21"/>
                    </w:rPr>
                    <w:t>亩</w:t>
                  </w:r>
                  <w:r>
                    <w:rPr>
                      <w:rFonts w:hint="eastAsia"/>
                      <w:kern w:val="0"/>
                      <w:szCs w:val="21"/>
                      <w:lang w:eastAsia="zh-CN"/>
                    </w:rPr>
                    <w:t>）</w:t>
                  </w:r>
                </w:p>
              </w:tc>
              <w:tc>
                <w:tcPr>
                  <w:tcW w:w="714" w:type="pct"/>
                  <w:tcBorders>
                    <w:tl2br w:val="nil"/>
                    <w:tr2bl w:val="nil"/>
                  </w:tcBorders>
                  <w:noWrap w:val="0"/>
                  <w:vAlign w:val="center"/>
                </w:tcPr>
                <w:p>
                  <w:pPr>
                    <w:jc w:val="center"/>
                    <w:rPr>
                      <w:rFonts w:ascii="Times New Roman" w:hAnsi="Times New Roman"/>
                    </w:rPr>
                  </w:pPr>
                </w:p>
              </w:tc>
              <w:tc>
                <w:tcPr>
                  <w:tcW w:w="997" w:type="pct"/>
                  <w:tcBorders>
                    <w:tl2br w:val="nil"/>
                    <w:tr2bl w:val="nil"/>
                  </w:tcBorders>
                  <w:noWrap w:val="0"/>
                  <w:vAlign w:val="top"/>
                </w:tcPr>
                <w:p>
                  <w:pPr>
                    <w:jc w:val="center"/>
                    <w:rPr>
                      <w:rFonts w:ascii="Times New Roman" w:hAnsi="Times New Roman"/>
                    </w:rPr>
                  </w:pPr>
                </w:p>
              </w:tc>
              <w:tc>
                <w:tcPr>
                  <w:tcW w:w="997" w:type="pct"/>
                  <w:tcBorders>
                    <w:tl2br w:val="nil"/>
                    <w:tr2bl w:val="nil"/>
                  </w:tcBorders>
                  <w:noWrap w:val="0"/>
                  <w:vAlign w:val="center"/>
                </w:tcPr>
                <w:p>
                  <w:pPr>
                    <w:jc w:val="center"/>
                    <w:rPr>
                      <w:rFonts w:ascii="Times New Roman" w:hAnsi="Times New Roman"/>
                    </w:rPr>
                  </w:pPr>
                </w:p>
              </w:tc>
              <w:tc>
                <w:tcPr>
                  <w:tcW w:w="714" w:type="pct"/>
                  <w:tcBorders>
                    <w:tl2br w:val="nil"/>
                    <w:tr2bl w:val="nil"/>
                  </w:tcBorders>
                  <w:noWrap w:val="0"/>
                  <w:vAlign w:val="center"/>
                </w:tcPr>
                <w:p>
                  <w:pPr>
                    <w:jc w:val="center"/>
                    <w:rPr>
                      <w:rFonts w:ascii="Times New Roman" w:hAnsi="Times New Roman"/>
                    </w:rPr>
                  </w:pPr>
                </w:p>
              </w:tc>
              <w:tc>
                <w:tcPr>
                  <w:tcW w:w="576" w:type="pct"/>
                  <w:tcBorders>
                    <w:tl2br w:val="nil"/>
                    <w:tr2bl w:val="nil"/>
                  </w:tcBorders>
                  <w:noWrap w:val="0"/>
                  <w:vAlign w:val="center"/>
                </w:tcPr>
                <w:p>
                  <w:pPr>
                    <w:jc w:val="center"/>
                    <w:rPr>
                      <w:rFonts w:ascii="Times New Roman" w:hAnsi="Times New Roma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284" w:type="pct"/>
                  <w:tcBorders>
                    <w:tl2br w:val="nil"/>
                    <w:tr2bl w:val="nil"/>
                  </w:tcBorders>
                  <w:noWrap w:val="0"/>
                  <w:vAlign w:val="center"/>
                </w:tcPr>
                <w:p>
                  <w:pPr>
                    <w:widowControl/>
                    <w:jc w:val="center"/>
                    <w:rPr>
                      <w:rFonts w:ascii="Times New Roman" w:hAnsi="Times New Roman"/>
                      <w:kern w:val="0"/>
                      <w:szCs w:val="21"/>
                    </w:rPr>
                  </w:pPr>
                  <w:r>
                    <w:rPr>
                      <w:rFonts w:ascii="Times New Roman" w:hAnsi="Times New Roman"/>
                      <w:kern w:val="0"/>
                      <w:szCs w:val="21"/>
                    </w:rPr>
                    <w:t>1</w:t>
                  </w:r>
                </w:p>
              </w:tc>
              <w:tc>
                <w:tcPr>
                  <w:tcW w:w="714" w:type="pct"/>
                  <w:tcBorders>
                    <w:tl2br w:val="nil"/>
                    <w:tr2bl w:val="nil"/>
                  </w:tcBorders>
                  <w:noWrap w:val="0"/>
                  <w:vAlign w:val="center"/>
                </w:tcPr>
                <w:p>
                  <w:pPr>
                    <w:widowControl/>
                    <w:jc w:val="center"/>
                    <w:rPr>
                      <w:rFonts w:ascii="Times New Roman" w:hAnsi="Times New Roman"/>
                      <w:kern w:val="0"/>
                      <w:szCs w:val="21"/>
                    </w:rPr>
                  </w:pPr>
                  <w:r>
                    <w:rPr>
                      <w:rFonts w:ascii="Times New Roman" w:hAnsi="Times New Roman"/>
                      <w:kern w:val="0"/>
                      <w:szCs w:val="21"/>
                    </w:rPr>
                    <w:t>耕地</w:t>
                  </w:r>
                </w:p>
              </w:tc>
              <w:tc>
                <w:tcPr>
                  <w:tcW w:w="714" w:type="pct"/>
                  <w:tcBorders>
                    <w:tl2br w:val="nil"/>
                    <w:tr2bl w:val="nil"/>
                  </w:tcBorders>
                  <w:noWrap w:val="0"/>
                  <w:vAlign w:val="center"/>
                </w:tcPr>
                <w:p>
                  <w:pPr>
                    <w:jc w:val="center"/>
                    <w:rPr>
                      <w:rFonts w:ascii="Times New Roman" w:hAnsi="Times New Roman"/>
                    </w:rPr>
                  </w:pPr>
                  <w:r>
                    <w:rPr>
                      <w:rFonts w:ascii="Times New Roman" w:hAnsi="Times New Roman"/>
                    </w:rPr>
                    <w:t>39.04</w:t>
                  </w:r>
                </w:p>
              </w:tc>
              <w:tc>
                <w:tcPr>
                  <w:tcW w:w="997" w:type="pct"/>
                  <w:tcBorders>
                    <w:tl2br w:val="nil"/>
                    <w:tr2bl w:val="nil"/>
                  </w:tcBorders>
                  <w:noWrap w:val="0"/>
                  <w:vAlign w:val="top"/>
                </w:tcPr>
                <w:p>
                  <w:pPr>
                    <w:jc w:val="center"/>
                    <w:rPr>
                      <w:rFonts w:ascii="Times New Roman" w:hAnsi="Times New Roman"/>
                    </w:rPr>
                  </w:pPr>
                  <w:r>
                    <w:rPr>
                      <w:rFonts w:hint="eastAsia" w:ascii="Times New Roman" w:hAnsi="Times New Roman"/>
                    </w:rPr>
                    <w:t>3</w:t>
                  </w:r>
                  <w:r>
                    <w:rPr>
                      <w:rFonts w:ascii="Times New Roman" w:hAnsi="Times New Roman"/>
                    </w:rPr>
                    <w:t>.65</w:t>
                  </w:r>
                </w:p>
              </w:tc>
              <w:tc>
                <w:tcPr>
                  <w:tcW w:w="997" w:type="pct"/>
                  <w:tcBorders>
                    <w:tl2br w:val="nil"/>
                    <w:tr2bl w:val="nil"/>
                  </w:tcBorders>
                  <w:noWrap w:val="0"/>
                  <w:vAlign w:val="center"/>
                </w:tcPr>
                <w:p>
                  <w:pPr>
                    <w:jc w:val="center"/>
                    <w:rPr>
                      <w:rFonts w:ascii="Times New Roman" w:hAnsi="Times New Roman"/>
                    </w:rPr>
                  </w:pPr>
                  <w:r>
                    <w:rPr>
                      <w:rFonts w:ascii="Times New Roman" w:hAnsi="Times New Roman"/>
                    </w:rPr>
                    <w:t>0.00</w:t>
                  </w:r>
                </w:p>
              </w:tc>
              <w:tc>
                <w:tcPr>
                  <w:tcW w:w="714" w:type="pct"/>
                  <w:tcBorders>
                    <w:tl2br w:val="nil"/>
                    <w:tr2bl w:val="nil"/>
                  </w:tcBorders>
                  <w:noWrap w:val="0"/>
                  <w:vAlign w:val="center"/>
                </w:tcPr>
                <w:p>
                  <w:pPr>
                    <w:jc w:val="center"/>
                    <w:rPr>
                      <w:rFonts w:ascii="Times New Roman" w:hAnsi="Times New Roman"/>
                    </w:rPr>
                  </w:pPr>
                  <w:r>
                    <w:rPr>
                      <w:rFonts w:ascii="Times New Roman" w:hAnsi="Times New Roman"/>
                    </w:rPr>
                    <w:t>4.92</w:t>
                  </w:r>
                </w:p>
              </w:tc>
              <w:tc>
                <w:tcPr>
                  <w:tcW w:w="576" w:type="pct"/>
                  <w:tcBorders>
                    <w:tl2br w:val="nil"/>
                    <w:tr2bl w:val="nil"/>
                  </w:tcBorders>
                  <w:noWrap w:val="0"/>
                  <w:vAlign w:val="center"/>
                </w:tcPr>
                <w:p>
                  <w:pPr>
                    <w:jc w:val="center"/>
                    <w:rPr>
                      <w:rFonts w:ascii="Times New Roman" w:hAnsi="Times New Roman" w:eastAsia="宋体"/>
                    </w:rPr>
                  </w:pPr>
                  <w:r>
                    <w:rPr>
                      <w:rFonts w:hint="eastAsia" w:ascii="Times New Roman" w:hAnsi="Times New Roman" w:eastAsia="宋体"/>
                      <w:lang w:val="en-US" w:eastAsia="zh-CN"/>
                    </w:rPr>
                    <w:t>47.61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284" w:type="pct"/>
                  <w:tcBorders>
                    <w:tl2br w:val="nil"/>
                    <w:tr2bl w:val="nil"/>
                  </w:tcBorders>
                  <w:noWrap w:val="0"/>
                  <w:vAlign w:val="center"/>
                </w:tcPr>
                <w:p>
                  <w:pPr>
                    <w:widowControl/>
                    <w:jc w:val="center"/>
                    <w:rPr>
                      <w:rFonts w:ascii="Times New Roman" w:hAnsi="Times New Roman"/>
                      <w:kern w:val="0"/>
                      <w:szCs w:val="21"/>
                    </w:rPr>
                  </w:pPr>
                  <w:r>
                    <w:rPr>
                      <w:rFonts w:ascii="Times New Roman" w:hAnsi="Times New Roman"/>
                      <w:kern w:val="0"/>
                      <w:szCs w:val="21"/>
                    </w:rPr>
                    <w:t>2</w:t>
                  </w:r>
                </w:p>
              </w:tc>
              <w:tc>
                <w:tcPr>
                  <w:tcW w:w="714" w:type="pct"/>
                  <w:tcBorders>
                    <w:tl2br w:val="nil"/>
                    <w:tr2bl w:val="nil"/>
                  </w:tcBorders>
                  <w:noWrap w:val="0"/>
                  <w:vAlign w:val="center"/>
                </w:tcPr>
                <w:p>
                  <w:pPr>
                    <w:widowControl/>
                    <w:jc w:val="center"/>
                    <w:rPr>
                      <w:rFonts w:ascii="Times New Roman" w:hAnsi="Times New Roman"/>
                      <w:kern w:val="0"/>
                      <w:szCs w:val="21"/>
                    </w:rPr>
                  </w:pPr>
                  <w:r>
                    <w:rPr>
                      <w:rFonts w:ascii="Times New Roman" w:hAnsi="Times New Roman"/>
                      <w:kern w:val="0"/>
                      <w:szCs w:val="21"/>
                    </w:rPr>
                    <w:t>林地</w:t>
                  </w:r>
                </w:p>
              </w:tc>
              <w:tc>
                <w:tcPr>
                  <w:tcW w:w="714" w:type="pct"/>
                  <w:tcBorders>
                    <w:tl2br w:val="nil"/>
                    <w:tr2bl w:val="nil"/>
                  </w:tcBorders>
                  <w:noWrap w:val="0"/>
                  <w:vAlign w:val="center"/>
                </w:tcPr>
                <w:p>
                  <w:pPr>
                    <w:jc w:val="center"/>
                    <w:rPr>
                      <w:rFonts w:ascii="Times New Roman" w:hAnsi="Times New Roman"/>
                    </w:rPr>
                  </w:pPr>
                  <w:r>
                    <w:rPr>
                      <w:rFonts w:ascii="Times New Roman" w:hAnsi="Times New Roman"/>
                    </w:rPr>
                    <w:t>19.41</w:t>
                  </w:r>
                </w:p>
              </w:tc>
              <w:tc>
                <w:tcPr>
                  <w:tcW w:w="997" w:type="pct"/>
                  <w:tcBorders>
                    <w:tl2br w:val="nil"/>
                    <w:tr2bl w:val="nil"/>
                  </w:tcBorders>
                  <w:noWrap w:val="0"/>
                  <w:vAlign w:val="top"/>
                </w:tcPr>
                <w:p>
                  <w:pPr>
                    <w:jc w:val="center"/>
                    <w:rPr>
                      <w:rFonts w:ascii="Times New Roman" w:hAnsi="Times New Roman"/>
                    </w:rPr>
                  </w:pPr>
                  <w:r>
                    <w:rPr>
                      <w:rFonts w:hint="eastAsia" w:ascii="Times New Roman" w:hAnsi="Times New Roman"/>
                    </w:rPr>
                    <w:t>0</w:t>
                  </w:r>
                  <w:r>
                    <w:rPr>
                      <w:rFonts w:ascii="Times New Roman" w:hAnsi="Times New Roman"/>
                    </w:rPr>
                    <w:t>.28</w:t>
                  </w:r>
                </w:p>
              </w:tc>
              <w:tc>
                <w:tcPr>
                  <w:tcW w:w="997" w:type="pct"/>
                  <w:tcBorders>
                    <w:tl2br w:val="nil"/>
                    <w:tr2bl w:val="nil"/>
                  </w:tcBorders>
                  <w:noWrap w:val="0"/>
                  <w:vAlign w:val="center"/>
                </w:tcPr>
                <w:p>
                  <w:pPr>
                    <w:jc w:val="center"/>
                    <w:rPr>
                      <w:rFonts w:ascii="Times New Roman" w:hAnsi="Times New Roman"/>
                    </w:rPr>
                  </w:pPr>
                  <w:r>
                    <w:rPr>
                      <w:rFonts w:ascii="Times New Roman" w:hAnsi="Times New Roman"/>
                    </w:rPr>
                    <w:t>0.00</w:t>
                  </w:r>
                </w:p>
              </w:tc>
              <w:tc>
                <w:tcPr>
                  <w:tcW w:w="714" w:type="pct"/>
                  <w:tcBorders>
                    <w:tl2br w:val="nil"/>
                    <w:tr2bl w:val="nil"/>
                  </w:tcBorders>
                  <w:noWrap w:val="0"/>
                  <w:vAlign w:val="center"/>
                </w:tcPr>
                <w:p>
                  <w:pPr>
                    <w:jc w:val="center"/>
                    <w:rPr>
                      <w:rFonts w:ascii="Times New Roman" w:hAnsi="Times New Roman"/>
                    </w:rPr>
                  </w:pPr>
                  <w:r>
                    <w:rPr>
                      <w:rFonts w:ascii="Times New Roman" w:hAnsi="Times New Roman"/>
                    </w:rPr>
                    <w:t>0.00</w:t>
                  </w:r>
                </w:p>
              </w:tc>
              <w:tc>
                <w:tcPr>
                  <w:tcW w:w="576" w:type="pct"/>
                  <w:tcBorders>
                    <w:tl2br w:val="nil"/>
                    <w:tr2bl w:val="nil"/>
                  </w:tcBorders>
                  <w:noWrap w:val="0"/>
                  <w:vAlign w:val="center"/>
                </w:tcPr>
                <w:p>
                  <w:pPr>
                    <w:jc w:val="center"/>
                    <w:rPr>
                      <w:rFonts w:ascii="Times New Roman" w:hAnsi="Times New Roman" w:eastAsia="宋体"/>
                    </w:rPr>
                  </w:pPr>
                  <w:r>
                    <w:rPr>
                      <w:rFonts w:hint="eastAsia" w:ascii="Times New Roman" w:hAnsi="Times New Roman" w:eastAsia="宋体"/>
                      <w:lang w:val="en-US" w:eastAsia="zh-CN"/>
                    </w:rPr>
                    <w:t>19.69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284" w:type="pct"/>
                  <w:tcBorders>
                    <w:tl2br w:val="nil"/>
                    <w:tr2bl w:val="nil"/>
                  </w:tcBorders>
                  <w:noWrap w:val="0"/>
                  <w:vAlign w:val="center"/>
                </w:tcPr>
                <w:p>
                  <w:pPr>
                    <w:widowControl/>
                    <w:jc w:val="center"/>
                    <w:rPr>
                      <w:rFonts w:ascii="Times New Roman" w:hAnsi="Times New Roman"/>
                      <w:kern w:val="0"/>
                      <w:szCs w:val="21"/>
                    </w:rPr>
                  </w:pPr>
                  <w:r>
                    <w:rPr>
                      <w:rFonts w:ascii="Times New Roman" w:hAnsi="Times New Roman"/>
                      <w:kern w:val="0"/>
                      <w:szCs w:val="21"/>
                    </w:rPr>
                    <w:t>3</w:t>
                  </w:r>
                </w:p>
              </w:tc>
              <w:tc>
                <w:tcPr>
                  <w:tcW w:w="714" w:type="pct"/>
                  <w:tcBorders>
                    <w:tl2br w:val="nil"/>
                    <w:tr2bl w:val="nil"/>
                  </w:tcBorders>
                  <w:noWrap w:val="0"/>
                  <w:vAlign w:val="center"/>
                </w:tcPr>
                <w:p>
                  <w:pPr>
                    <w:widowControl/>
                    <w:jc w:val="center"/>
                    <w:rPr>
                      <w:rFonts w:ascii="Times New Roman" w:hAnsi="Times New Roman"/>
                      <w:kern w:val="0"/>
                      <w:szCs w:val="21"/>
                    </w:rPr>
                  </w:pPr>
                  <w:r>
                    <w:rPr>
                      <w:rFonts w:ascii="Times New Roman" w:hAnsi="Times New Roman"/>
                      <w:kern w:val="0"/>
                      <w:szCs w:val="21"/>
                    </w:rPr>
                    <w:t>果园</w:t>
                  </w:r>
                </w:p>
              </w:tc>
              <w:tc>
                <w:tcPr>
                  <w:tcW w:w="714" w:type="pct"/>
                  <w:tcBorders>
                    <w:tl2br w:val="nil"/>
                    <w:tr2bl w:val="nil"/>
                  </w:tcBorders>
                  <w:noWrap w:val="0"/>
                  <w:vAlign w:val="center"/>
                </w:tcPr>
                <w:p>
                  <w:pPr>
                    <w:jc w:val="center"/>
                    <w:rPr>
                      <w:rFonts w:ascii="Times New Roman" w:hAnsi="Times New Roman"/>
                    </w:rPr>
                  </w:pPr>
                  <w:r>
                    <w:rPr>
                      <w:rFonts w:ascii="Times New Roman" w:hAnsi="Times New Roman"/>
                    </w:rPr>
                    <w:t>1.51</w:t>
                  </w:r>
                </w:p>
              </w:tc>
              <w:tc>
                <w:tcPr>
                  <w:tcW w:w="997" w:type="pct"/>
                  <w:tcBorders>
                    <w:tl2br w:val="nil"/>
                    <w:tr2bl w:val="nil"/>
                  </w:tcBorders>
                  <w:noWrap w:val="0"/>
                  <w:vAlign w:val="top"/>
                </w:tcPr>
                <w:p>
                  <w:pPr>
                    <w:jc w:val="center"/>
                    <w:rPr>
                      <w:rFonts w:ascii="Times New Roman" w:hAnsi="Times New Roman"/>
                    </w:rPr>
                  </w:pPr>
                  <w:r>
                    <w:rPr>
                      <w:rFonts w:hint="eastAsia" w:ascii="Times New Roman" w:hAnsi="Times New Roman"/>
                    </w:rPr>
                    <w:t>0</w:t>
                  </w:r>
                  <w:r>
                    <w:rPr>
                      <w:rFonts w:ascii="Times New Roman" w:hAnsi="Times New Roman"/>
                    </w:rPr>
                    <w:t>.00</w:t>
                  </w:r>
                </w:p>
              </w:tc>
              <w:tc>
                <w:tcPr>
                  <w:tcW w:w="997" w:type="pct"/>
                  <w:tcBorders>
                    <w:tl2br w:val="nil"/>
                    <w:tr2bl w:val="nil"/>
                  </w:tcBorders>
                  <w:noWrap w:val="0"/>
                  <w:vAlign w:val="center"/>
                </w:tcPr>
                <w:p>
                  <w:pPr>
                    <w:jc w:val="center"/>
                    <w:rPr>
                      <w:rFonts w:ascii="Times New Roman" w:hAnsi="Times New Roman"/>
                    </w:rPr>
                  </w:pPr>
                  <w:r>
                    <w:rPr>
                      <w:rFonts w:ascii="Times New Roman" w:hAnsi="Times New Roman"/>
                    </w:rPr>
                    <w:t>0.00</w:t>
                  </w:r>
                </w:p>
              </w:tc>
              <w:tc>
                <w:tcPr>
                  <w:tcW w:w="714" w:type="pct"/>
                  <w:tcBorders>
                    <w:tl2br w:val="nil"/>
                    <w:tr2bl w:val="nil"/>
                  </w:tcBorders>
                  <w:noWrap w:val="0"/>
                  <w:vAlign w:val="center"/>
                </w:tcPr>
                <w:p>
                  <w:pPr>
                    <w:jc w:val="center"/>
                    <w:rPr>
                      <w:rFonts w:ascii="Times New Roman" w:hAnsi="Times New Roman"/>
                    </w:rPr>
                  </w:pPr>
                  <w:r>
                    <w:rPr>
                      <w:rFonts w:ascii="Times New Roman" w:hAnsi="Times New Roman"/>
                    </w:rPr>
                    <w:t>0.48</w:t>
                  </w:r>
                </w:p>
              </w:tc>
              <w:tc>
                <w:tcPr>
                  <w:tcW w:w="576" w:type="pct"/>
                  <w:tcBorders>
                    <w:tl2br w:val="nil"/>
                    <w:tr2bl w:val="nil"/>
                  </w:tcBorders>
                  <w:noWrap w:val="0"/>
                  <w:vAlign w:val="center"/>
                </w:tcPr>
                <w:p>
                  <w:pPr>
                    <w:jc w:val="center"/>
                    <w:rPr>
                      <w:rFonts w:ascii="Times New Roman" w:hAnsi="Times New Roman" w:eastAsia="宋体"/>
                    </w:rPr>
                  </w:pPr>
                  <w:r>
                    <w:rPr>
                      <w:rFonts w:hint="eastAsia" w:ascii="Times New Roman" w:hAnsi="Times New Roman" w:eastAsia="宋体"/>
                      <w:lang w:val="en-US" w:eastAsia="zh-CN"/>
                    </w:rPr>
                    <w:t>1.99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284" w:type="pct"/>
                  <w:tcBorders>
                    <w:tl2br w:val="nil"/>
                    <w:tr2bl w:val="nil"/>
                  </w:tcBorders>
                  <w:noWrap w:val="0"/>
                  <w:vAlign w:val="center"/>
                </w:tcPr>
                <w:p>
                  <w:pPr>
                    <w:widowControl/>
                    <w:jc w:val="center"/>
                    <w:rPr>
                      <w:rFonts w:ascii="Times New Roman" w:hAnsi="Times New Roman"/>
                      <w:kern w:val="0"/>
                      <w:szCs w:val="21"/>
                    </w:rPr>
                  </w:pPr>
                  <w:r>
                    <w:rPr>
                      <w:rFonts w:ascii="Times New Roman" w:hAnsi="Times New Roman"/>
                      <w:kern w:val="0"/>
                      <w:szCs w:val="21"/>
                    </w:rPr>
                    <w:t>4</w:t>
                  </w:r>
                </w:p>
              </w:tc>
              <w:tc>
                <w:tcPr>
                  <w:tcW w:w="714" w:type="pct"/>
                  <w:tcBorders>
                    <w:tl2br w:val="nil"/>
                    <w:tr2bl w:val="nil"/>
                  </w:tcBorders>
                  <w:noWrap w:val="0"/>
                  <w:vAlign w:val="center"/>
                </w:tcPr>
                <w:p>
                  <w:pPr>
                    <w:widowControl/>
                    <w:jc w:val="center"/>
                    <w:rPr>
                      <w:rFonts w:ascii="Times New Roman" w:hAnsi="Times New Roman"/>
                      <w:kern w:val="0"/>
                      <w:szCs w:val="21"/>
                    </w:rPr>
                  </w:pPr>
                  <w:r>
                    <w:rPr>
                      <w:rFonts w:ascii="Times New Roman" w:hAnsi="Times New Roman"/>
                      <w:kern w:val="0"/>
                      <w:szCs w:val="21"/>
                    </w:rPr>
                    <w:t>河滩地</w:t>
                  </w:r>
                </w:p>
              </w:tc>
              <w:tc>
                <w:tcPr>
                  <w:tcW w:w="714" w:type="pct"/>
                  <w:tcBorders>
                    <w:tl2br w:val="nil"/>
                    <w:tr2bl w:val="nil"/>
                  </w:tcBorders>
                  <w:noWrap w:val="0"/>
                  <w:vAlign w:val="center"/>
                </w:tcPr>
                <w:p>
                  <w:pPr>
                    <w:jc w:val="center"/>
                    <w:rPr>
                      <w:rFonts w:ascii="Times New Roman" w:hAnsi="Times New Roman"/>
                    </w:rPr>
                  </w:pPr>
                  <w:r>
                    <w:rPr>
                      <w:rFonts w:ascii="Times New Roman" w:hAnsi="Times New Roman"/>
                    </w:rPr>
                    <w:t>22.75</w:t>
                  </w:r>
                </w:p>
              </w:tc>
              <w:tc>
                <w:tcPr>
                  <w:tcW w:w="997" w:type="pct"/>
                  <w:tcBorders>
                    <w:tl2br w:val="nil"/>
                    <w:tr2bl w:val="nil"/>
                  </w:tcBorders>
                  <w:noWrap w:val="0"/>
                  <w:vAlign w:val="top"/>
                </w:tcPr>
                <w:p>
                  <w:pPr>
                    <w:jc w:val="center"/>
                    <w:rPr>
                      <w:rFonts w:ascii="Times New Roman" w:hAnsi="Times New Roman"/>
                    </w:rPr>
                  </w:pPr>
                  <w:r>
                    <w:rPr>
                      <w:rFonts w:ascii="Times New Roman" w:hAnsi="Times New Roman"/>
                    </w:rPr>
                    <w:t>5.47</w:t>
                  </w:r>
                </w:p>
              </w:tc>
              <w:tc>
                <w:tcPr>
                  <w:tcW w:w="997" w:type="pct"/>
                  <w:tcBorders>
                    <w:tl2br w:val="nil"/>
                    <w:tr2bl w:val="nil"/>
                  </w:tcBorders>
                  <w:noWrap w:val="0"/>
                  <w:vAlign w:val="center"/>
                </w:tcPr>
                <w:p>
                  <w:pPr>
                    <w:jc w:val="center"/>
                    <w:rPr>
                      <w:rFonts w:ascii="Times New Roman" w:hAnsi="Times New Roman"/>
                    </w:rPr>
                  </w:pPr>
                  <w:r>
                    <w:rPr>
                      <w:rFonts w:ascii="Times New Roman" w:hAnsi="Times New Roman"/>
                    </w:rPr>
                    <w:t>0.3</w:t>
                  </w:r>
                </w:p>
              </w:tc>
              <w:tc>
                <w:tcPr>
                  <w:tcW w:w="714" w:type="pct"/>
                  <w:tcBorders>
                    <w:tl2br w:val="nil"/>
                    <w:tr2bl w:val="nil"/>
                  </w:tcBorders>
                  <w:noWrap w:val="0"/>
                  <w:vAlign w:val="center"/>
                </w:tcPr>
                <w:p>
                  <w:pPr>
                    <w:jc w:val="center"/>
                    <w:rPr>
                      <w:rFonts w:ascii="Times New Roman" w:hAnsi="Times New Roman"/>
                    </w:rPr>
                  </w:pPr>
                  <w:r>
                    <w:rPr>
                      <w:rFonts w:ascii="Times New Roman" w:hAnsi="Times New Roman"/>
                    </w:rPr>
                    <w:t>0</w:t>
                  </w:r>
                </w:p>
              </w:tc>
              <w:tc>
                <w:tcPr>
                  <w:tcW w:w="576" w:type="pct"/>
                  <w:tcBorders>
                    <w:tl2br w:val="nil"/>
                    <w:tr2bl w:val="nil"/>
                  </w:tcBorders>
                  <w:noWrap w:val="0"/>
                  <w:vAlign w:val="center"/>
                </w:tcPr>
                <w:p>
                  <w:pPr>
                    <w:jc w:val="center"/>
                    <w:rPr>
                      <w:rFonts w:ascii="Times New Roman" w:hAnsi="Times New Roman" w:eastAsia="宋体"/>
                    </w:rPr>
                  </w:pPr>
                  <w:r>
                    <w:rPr>
                      <w:rFonts w:hint="eastAsia" w:ascii="Times New Roman" w:hAnsi="Times New Roman" w:eastAsia="宋体"/>
                      <w:lang w:val="en-US" w:eastAsia="zh-CN"/>
                    </w:rPr>
                    <w:t>28.52</w:t>
                  </w:r>
                </w:p>
              </w:tc>
            </w:tr>
          </w:tbl>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val="0"/>
                <w:bCs/>
                <w:color w:val="auto"/>
                <w:kern w:val="0"/>
                <w:sz w:val="24"/>
              </w:rPr>
            </w:pPr>
            <w:r>
              <w:rPr>
                <w:rFonts w:hint="default" w:ascii="Times New Roman" w:hAnsi="Times New Roman" w:cs="Times New Roman"/>
                <w:b w:val="0"/>
                <w:bCs/>
                <w:color w:val="auto"/>
                <w:kern w:val="0"/>
                <w:sz w:val="24"/>
              </w:rPr>
              <w:t>4）主要生态保护目标</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cs="Times New Roman"/>
                <w:color w:val="auto"/>
                <w:kern w:val="0"/>
                <w:sz w:val="24"/>
              </w:rPr>
              <w:t>本项目主要生态保护目标是对</w:t>
            </w:r>
            <w:r>
              <w:rPr>
                <w:rFonts w:hint="default" w:ascii="Times New Roman" w:hAnsi="Times New Roman" w:cs="Times New Roman"/>
                <w:color w:val="auto"/>
                <w:kern w:val="0"/>
                <w:sz w:val="24"/>
                <w:lang w:val="en-US" w:eastAsia="zh-CN"/>
              </w:rPr>
              <w:t>项目占地</w:t>
            </w:r>
            <w:r>
              <w:rPr>
                <w:rFonts w:hint="default" w:ascii="Times New Roman" w:hAnsi="Times New Roman" w:cs="Times New Roman"/>
                <w:color w:val="auto"/>
                <w:kern w:val="0"/>
                <w:sz w:val="24"/>
              </w:rPr>
              <w:t>范围内陆生生物多样性的保护，以及在施工建设对水土流失的控制和治理。尽可能减少项目建设对陆生植物生境的破坏和动物的活动范围的影响，确保项目区域生态系统的完整性和稳定性不受影响；减少水土流失量，控制水土流失量；增加陆生生物保护措施，在保护生态环境不受影响的同时，减少土壤的流失和地表植被的破坏，并通过一定的工程措施加以改善，确保工程区域</w:t>
            </w:r>
            <w:r>
              <w:rPr>
                <w:rFonts w:hint="default" w:ascii="Times New Roman" w:hAnsi="Times New Roman" w:eastAsia="宋体" w:cs="Times New Roman"/>
                <w:color w:val="auto"/>
                <w:kern w:val="0"/>
                <w:sz w:val="24"/>
              </w:rPr>
              <w:t>内陆生动植物的生存环境的破坏最小化。</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5）生态外环境关系与环境敏感对象</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项目占地主要为</w:t>
            </w:r>
            <w:r>
              <w:rPr>
                <w:rFonts w:hint="default" w:ascii="Times New Roman" w:hAnsi="Times New Roman" w:eastAsia="宋体" w:cs="Times New Roman"/>
                <w:color w:val="auto"/>
                <w:kern w:val="0"/>
                <w:sz w:val="24"/>
                <w:lang w:val="en-US" w:eastAsia="zh-CN"/>
              </w:rPr>
              <w:t>耕地、</w:t>
            </w:r>
            <w:r>
              <w:rPr>
                <w:rFonts w:hint="eastAsia" w:ascii="Times New Roman" w:hAnsi="Times New Roman" w:eastAsia="宋体" w:cs="Times New Roman"/>
                <w:color w:val="auto"/>
                <w:kern w:val="0"/>
                <w:sz w:val="24"/>
                <w:lang w:val="en-US" w:eastAsia="zh-CN"/>
              </w:rPr>
              <w:t>林地、果园</w:t>
            </w:r>
            <w:r>
              <w:rPr>
                <w:rFonts w:hint="default" w:ascii="Times New Roman" w:hAnsi="Times New Roman" w:eastAsia="宋体" w:cs="Times New Roman"/>
                <w:color w:val="auto"/>
                <w:kern w:val="0"/>
                <w:sz w:val="24"/>
              </w:rPr>
              <w:t>、</w:t>
            </w:r>
            <w:r>
              <w:rPr>
                <w:rFonts w:hint="default" w:ascii="Times New Roman" w:hAnsi="Times New Roman" w:eastAsia="宋体" w:cs="Times New Roman"/>
                <w:color w:val="auto"/>
                <w:kern w:val="0"/>
                <w:sz w:val="24"/>
                <w:lang w:val="en-US" w:eastAsia="zh-CN"/>
              </w:rPr>
              <w:t>水域及水利设施用地等</w:t>
            </w:r>
            <w:r>
              <w:rPr>
                <w:rFonts w:hint="default" w:ascii="Times New Roman" w:hAnsi="Times New Roman" w:eastAsia="宋体" w:cs="Times New Roman"/>
                <w:color w:val="auto"/>
                <w:kern w:val="0"/>
                <w:sz w:val="24"/>
              </w:rPr>
              <w:t>，区域内由于长期受人类活动的影响，当地无名木古树，无国家（省）级保护植物；野生动物（物种、数量）分布较少，主要分布一些当地常见的爬行类、鸟类和兽类等，区域内未见珍稀保护野生动物分布。另外，根据对区域资料收集分析可知，项目拟建工程范围内不涉及自然保护区、风景名胜区等敏感目标。生态环境保护目标为以不破坏区域内生态系统完整性为目标，水土流失以不增加土壤侵蚀强度为准。</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rPr>
              <w:t>项目生态环境影响评价范围为本项目的</w:t>
            </w:r>
            <w:r>
              <w:rPr>
                <w:rFonts w:hint="default" w:ascii="Times New Roman" w:hAnsi="Times New Roman" w:eastAsia="宋体" w:cs="Times New Roman"/>
                <w:color w:val="auto"/>
                <w:kern w:val="0"/>
                <w:sz w:val="24"/>
                <w:lang w:val="en-US" w:eastAsia="zh-CN"/>
              </w:rPr>
              <w:t>占地</w:t>
            </w:r>
            <w:r>
              <w:rPr>
                <w:rFonts w:hint="default" w:ascii="Times New Roman" w:hAnsi="Times New Roman" w:eastAsia="宋体" w:cs="Times New Roman"/>
                <w:color w:val="auto"/>
                <w:kern w:val="0"/>
                <w:sz w:val="24"/>
              </w:rPr>
              <w:t>范围边界外延约500m的范围，主要保护目标为评价范围内的植被、景观、水土流失、生态系统结构与功能。</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（2）水生生态环境质量现状</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kern w:val="0"/>
                <w:sz w:val="24"/>
                <w:lang w:val="en-US" w:eastAsia="zh-CN"/>
              </w:rPr>
              <w:t>项目位于</w:t>
            </w:r>
            <w:r>
              <w:rPr>
                <w:rFonts w:hint="eastAsia" w:ascii="Times New Roman" w:hAnsi="Times New Roman" w:eastAsia="宋体" w:cs="Times New Roman"/>
                <w:color w:val="auto"/>
                <w:kern w:val="0"/>
                <w:sz w:val="24"/>
                <w:lang w:val="en-US" w:eastAsia="zh-CN"/>
              </w:rPr>
              <w:t>临江</w:t>
            </w:r>
            <w:r>
              <w:rPr>
                <w:rFonts w:hint="eastAsia" w:ascii="Times New Roman" w:hAnsi="Times New Roman" w:cs="Times New Roman"/>
                <w:color w:val="auto"/>
                <w:sz w:val="24"/>
                <w:lang w:val="en-US" w:eastAsia="zh-CN"/>
              </w:rPr>
              <w:t>河，</w:t>
            </w:r>
            <w:r>
              <w:rPr>
                <w:rFonts w:hint="eastAsia" w:cs="Times New Roman"/>
                <w:color w:val="auto"/>
                <w:sz w:val="24"/>
                <w:lang w:val="en-US" w:eastAsia="zh-CN"/>
              </w:rPr>
              <w:t>最终汇入</w:t>
            </w:r>
            <w:r>
              <w:rPr>
                <w:rFonts w:hint="eastAsia" w:ascii="Times New Roman" w:hAnsi="Times New Roman" w:cs="Times New Roman"/>
                <w:color w:val="auto"/>
                <w:sz w:val="24"/>
                <w:lang w:val="en-US" w:eastAsia="zh-CN"/>
              </w:rPr>
              <w:t>大</w:t>
            </w:r>
            <w:r>
              <w:rPr>
                <w:rFonts w:hint="eastAsia" w:ascii="Times New Roman" w:hAnsi="Times New Roman" w:eastAsia="宋体" w:cs="Times New Roman"/>
                <w:color w:val="auto"/>
                <w:sz w:val="24"/>
                <w:lang w:val="en-US" w:eastAsia="zh-CN"/>
              </w:rPr>
              <w:t>渡河</w:t>
            </w:r>
            <w:r>
              <w:rPr>
                <w:rFonts w:hint="default" w:ascii="Times New Roman" w:hAnsi="Times New Roman" w:cs="Times New Roman"/>
                <w:color w:val="auto"/>
                <w:sz w:val="24"/>
                <w:lang w:val="en-US" w:eastAsia="zh-CN"/>
              </w:rPr>
              <w:t>，本次现状调查引用《四川沙湾大渡河国家湿地公园建设项目桥梁工程对水生生物影响评价预测及补救措施报告》</w:t>
            </w:r>
            <w:r>
              <w:rPr>
                <w:rFonts w:hint="eastAsia" w:cs="Times New Roman"/>
                <w:color w:val="auto"/>
                <w:sz w:val="24"/>
                <w:lang w:val="en-US" w:eastAsia="zh-CN"/>
              </w:rPr>
              <w:t>中</w:t>
            </w:r>
            <w:r>
              <w:rPr>
                <w:rFonts w:hint="default" w:ascii="Times New Roman" w:hAnsi="Times New Roman" w:cs="Times New Roman"/>
                <w:color w:val="auto"/>
                <w:sz w:val="24"/>
                <w:lang w:val="en-US" w:eastAsia="zh-CN"/>
              </w:rPr>
              <w:t>水生相关内容</w:t>
            </w:r>
            <w:r>
              <w:rPr>
                <w:rFonts w:hint="eastAsia" w:cs="Times New Roman"/>
                <w:color w:val="auto"/>
                <w:sz w:val="24"/>
                <w:lang w:val="en-US" w:eastAsia="zh-CN"/>
              </w:rPr>
              <w:t>，项目水生生态环境质量现状调查引用的河流为大渡河，本项目临江河最终汇入</w:t>
            </w:r>
            <w:r>
              <w:rPr>
                <w:rFonts w:hint="eastAsia" w:ascii="Times New Roman" w:hAnsi="Times New Roman" w:cs="Times New Roman"/>
                <w:color w:val="auto"/>
                <w:sz w:val="24"/>
                <w:lang w:val="en-US" w:eastAsia="zh-CN"/>
              </w:rPr>
              <w:t>大</w:t>
            </w:r>
            <w:r>
              <w:rPr>
                <w:rFonts w:hint="eastAsia" w:ascii="Times New Roman" w:hAnsi="Times New Roman" w:eastAsia="宋体" w:cs="Times New Roman"/>
                <w:color w:val="auto"/>
                <w:sz w:val="24"/>
                <w:lang w:val="en-US" w:eastAsia="zh-CN"/>
              </w:rPr>
              <w:t>渡河，因此引用资料可行。</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大渡河主要水生生态现状如下：</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（一）水生生态环境现状</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1、饵料生物</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（1）浮游植物</w:t>
            </w:r>
          </w:p>
          <w:p>
            <w:pPr>
              <w:keepNext w:val="0"/>
              <w:keepLines w:val="0"/>
              <w:pageBreakBefore w:val="0"/>
              <w:widowControl/>
              <w:numPr>
                <w:ilvl w:val="0"/>
                <w:numId w:val="0"/>
              </w:numPr>
              <w:suppressLineNumbers w:val="0"/>
              <w:tabs>
                <w:tab w:val="left" w:pos="480"/>
              </w:tabs>
              <w:kinsoku/>
              <w:wordWrap/>
              <w:overflowPunct/>
              <w:topLinePunct w:val="0"/>
              <w:bidi w:val="0"/>
              <w:snapToGrid w:val="0"/>
              <w:spacing w:before="0" w:beforeAutospacing="0" w:after="0" w:afterAutospacing="0" w:line="360" w:lineRule="auto"/>
              <w:ind w:left="0" w:leftChars="0" w:right="0" w:firstLine="480" w:firstLineChars="200"/>
              <w:jc w:val="left"/>
              <w:rPr>
                <w:rFonts w:hint="eastAsia" w:ascii="Times New Roman" w:hAnsi="Times New Roman" w:eastAsia="宋体" w:cs="Times New Roman"/>
                <w:bCs/>
                <w:color w:val="auto"/>
                <w:kern w:val="2"/>
                <w:sz w:val="24"/>
                <w:szCs w:val="20"/>
                <w:lang w:val="en-US" w:eastAsia="zh-CN" w:bidi="ar"/>
              </w:rPr>
            </w:pPr>
            <w:r>
              <w:rPr>
                <w:rFonts w:hint="eastAsia" w:ascii="Times New Roman" w:hAnsi="Times New Roman" w:eastAsia="宋体" w:cs="Times New Roman"/>
                <w:bCs/>
                <w:color w:val="auto"/>
                <w:kern w:val="2"/>
                <w:sz w:val="24"/>
                <w:szCs w:val="20"/>
                <w:lang w:val="en-US" w:eastAsia="zh-CN" w:bidi="ar"/>
              </w:rPr>
              <w:t>区域浮游植物共5门88种。其中硅藻门59种、占总种数的67.05%，绿藻门12种、占总种数的13.64%，蓝藻门14种、占总种数的15.91%，甲藻门2种、占总种数的2.27%，裸藻门1种、占总种数的1.14%。常见种类有变异直链藻、尖头舟形藻、钝脆杆藻、尖针杆藻、普通等片藻、缢缩异极藻、毛枝藻、巨颤藻等。调查区域浮游植物的种类组成为典型的内陆河流生境浮游植物群落结构。</w:t>
            </w:r>
          </w:p>
          <w:p>
            <w:pPr>
              <w:keepNext w:val="0"/>
              <w:keepLines w:val="0"/>
              <w:pageBreakBefore w:val="0"/>
              <w:widowControl/>
              <w:numPr>
                <w:ilvl w:val="0"/>
                <w:numId w:val="0"/>
              </w:numPr>
              <w:suppressLineNumbers w:val="0"/>
              <w:tabs>
                <w:tab w:val="left" w:pos="480"/>
              </w:tabs>
              <w:kinsoku/>
              <w:wordWrap/>
              <w:overflowPunct/>
              <w:topLinePunct w:val="0"/>
              <w:bidi w:val="0"/>
              <w:snapToGrid w:val="0"/>
              <w:spacing w:before="0" w:beforeAutospacing="0" w:after="0" w:afterAutospacing="0" w:line="360" w:lineRule="auto"/>
              <w:ind w:left="0" w:leftChars="0" w:right="0" w:firstLine="480" w:firstLineChars="200"/>
              <w:jc w:val="left"/>
              <w:rPr>
                <w:rFonts w:hint="eastAsia" w:ascii="Times New Roman" w:hAnsi="Times New Roman" w:eastAsia="宋体" w:cs="Times New Roman"/>
                <w:bCs/>
                <w:color w:val="auto"/>
                <w:kern w:val="2"/>
                <w:sz w:val="24"/>
                <w:szCs w:val="20"/>
                <w:lang w:val="en-US" w:eastAsia="zh-CN" w:bidi="ar"/>
              </w:rPr>
            </w:pPr>
            <w:r>
              <w:rPr>
                <w:rFonts w:hint="eastAsia" w:ascii="Times New Roman" w:hAnsi="Times New Roman" w:eastAsia="宋体" w:cs="Times New Roman"/>
                <w:bCs/>
                <w:color w:val="auto"/>
                <w:kern w:val="2"/>
                <w:sz w:val="24"/>
                <w:szCs w:val="20"/>
                <w:lang w:val="en-US" w:eastAsia="zh-CN" w:bidi="ar"/>
              </w:rPr>
              <w:t>区域浮游植物种类数由上向下趋于增多，种类差异不大。调查区域浮游植物组成以硅藻门为主，硅藻门种类比例较高，绿藻门、蓝藻门种类较少，其它门种类偶见。</w:t>
            </w:r>
          </w:p>
          <w:p>
            <w:pPr>
              <w:keepNext w:val="0"/>
              <w:keepLines w:val="0"/>
              <w:pageBreakBefore w:val="0"/>
              <w:widowControl/>
              <w:numPr>
                <w:ilvl w:val="0"/>
                <w:numId w:val="0"/>
              </w:numPr>
              <w:suppressLineNumbers w:val="0"/>
              <w:tabs>
                <w:tab w:val="left" w:pos="480"/>
              </w:tabs>
              <w:kinsoku/>
              <w:wordWrap/>
              <w:overflowPunct/>
              <w:topLinePunct w:val="0"/>
              <w:bidi w:val="0"/>
              <w:snapToGrid w:val="0"/>
              <w:spacing w:before="0" w:beforeAutospacing="0" w:after="0" w:afterAutospacing="0" w:line="360" w:lineRule="auto"/>
              <w:ind w:left="0" w:leftChars="0" w:right="0" w:firstLine="480" w:firstLineChars="200"/>
              <w:jc w:val="left"/>
              <w:rPr>
                <w:rFonts w:hint="eastAsia" w:ascii="Times New Roman" w:hAnsi="Times New Roman" w:eastAsia="宋体" w:cs="Times New Roman"/>
                <w:bCs/>
                <w:color w:val="auto"/>
                <w:kern w:val="2"/>
                <w:sz w:val="24"/>
                <w:szCs w:val="20"/>
                <w:lang w:val="en-US" w:eastAsia="zh-CN" w:bidi="ar"/>
              </w:rPr>
            </w:pPr>
            <w:r>
              <w:rPr>
                <w:rFonts w:hint="eastAsia" w:ascii="Times New Roman" w:hAnsi="Times New Roman" w:eastAsia="宋体" w:cs="Times New Roman"/>
                <w:bCs/>
                <w:color w:val="auto"/>
                <w:kern w:val="2"/>
                <w:sz w:val="24"/>
                <w:szCs w:val="20"/>
                <w:lang w:val="en-US" w:eastAsia="zh-CN" w:bidi="ar"/>
              </w:rPr>
              <w:t>（2）浮游动物</w:t>
            </w:r>
          </w:p>
          <w:p>
            <w:pPr>
              <w:keepNext w:val="0"/>
              <w:keepLines w:val="0"/>
              <w:pageBreakBefore w:val="0"/>
              <w:widowControl/>
              <w:numPr>
                <w:ilvl w:val="0"/>
                <w:numId w:val="0"/>
              </w:numPr>
              <w:suppressLineNumbers w:val="0"/>
              <w:tabs>
                <w:tab w:val="left" w:pos="480"/>
              </w:tabs>
              <w:kinsoku/>
              <w:wordWrap/>
              <w:overflowPunct/>
              <w:topLinePunct w:val="0"/>
              <w:bidi w:val="0"/>
              <w:snapToGrid w:val="0"/>
              <w:spacing w:before="0" w:beforeAutospacing="0" w:after="0" w:afterAutospacing="0" w:line="360" w:lineRule="auto"/>
              <w:ind w:left="0" w:leftChars="0" w:right="0" w:firstLine="480" w:firstLineChars="200"/>
              <w:jc w:val="left"/>
              <w:rPr>
                <w:rFonts w:hint="eastAsia" w:ascii="Times New Roman" w:hAnsi="Times New Roman" w:eastAsia="宋体" w:cs="Times New Roman"/>
                <w:bCs/>
                <w:color w:val="auto"/>
                <w:kern w:val="2"/>
                <w:sz w:val="24"/>
                <w:szCs w:val="20"/>
                <w:lang w:val="en-US" w:eastAsia="zh-CN" w:bidi="ar"/>
              </w:rPr>
            </w:pPr>
            <w:r>
              <w:rPr>
                <w:rFonts w:hint="eastAsia" w:ascii="Times New Roman" w:hAnsi="Times New Roman" w:eastAsia="宋体" w:cs="Times New Roman"/>
                <w:bCs/>
                <w:color w:val="auto"/>
                <w:kern w:val="2"/>
                <w:sz w:val="24"/>
                <w:szCs w:val="20"/>
                <w:lang w:val="en-US" w:eastAsia="zh-CN" w:bidi="ar"/>
              </w:rPr>
              <w:t>区域浮游动物93种。其中原生动物36种，占总种数的38.71</w:t>
            </w:r>
            <w:r>
              <w:rPr>
                <w:rFonts w:hint="eastAsia" w:cs="Times New Roman"/>
                <w:bCs/>
                <w:color w:val="auto"/>
                <w:kern w:val="2"/>
                <w:sz w:val="24"/>
                <w:szCs w:val="20"/>
                <w:lang w:val="en-US" w:eastAsia="zh-CN" w:bidi="ar"/>
              </w:rPr>
              <w:t>%</w:t>
            </w:r>
            <w:r>
              <w:rPr>
                <w:rFonts w:hint="eastAsia" w:ascii="Times New Roman" w:hAnsi="Times New Roman" w:eastAsia="宋体" w:cs="Times New Roman"/>
                <w:bCs/>
                <w:color w:val="auto"/>
                <w:kern w:val="2"/>
                <w:sz w:val="24"/>
                <w:szCs w:val="20"/>
                <w:lang w:val="en-US" w:eastAsia="zh-CN" w:bidi="ar"/>
              </w:rPr>
              <w:t>；轮虫40种，占总种数的43.01</w:t>
            </w:r>
            <w:r>
              <w:rPr>
                <w:rFonts w:hint="eastAsia" w:cs="Times New Roman"/>
                <w:bCs/>
                <w:color w:val="auto"/>
                <w:kern w:val="2"/>
                <w:sz w:val="24"/>
                <w:szCs w:val="20"/>
                <w:lang w:val="en-US" w:eastAsia="zh-CN" w:bidi="ar"/>
              </w:rPr>
              <w:t>%</w:t>
            </w:r>
            <w:r>
              <w:rPr>
                <w:rFonts w:hint="eastAsia" w:ascii="Times New Roman" w:hAnsi="Times New Roman" w:eastAsia="宋体" w:cs="Times New Roman"/>
                <w:bCs/>
                <w:color w:val="auto"/>
                <w:kern w:val="2"/>
                <w:sz w:val="24"/>
                <w:szCs w:val="20"/>
                <w:lang w:val="en-US" w:eastAsia="zh-CN" w:bidi="ar"/>
              </w:rPr>
              <w:t>；枝角类9种，占总种数的9.68</w:t>
            </w:r>
            <w:r>
              <w:rPr>
                <w:rFonts w:hint="eastAsia" w:cs="Times New Roman"/>
                <w:bCs/>
                <w:color w:val="auto"/>
                <w:kern w:val="2"/>
                <w:sz w:val="24"/>
                <w:szCs w:val="20"/>
                <w:lang w:val="en-US" w:eastAsia="zh-CN" w:bidi="ar"/>
              </w:rPr>
              <w:t>%</w:t>
            </w:r>
            <w:r>
              <w:rPr>
                <w:rFonts w:hint="eastAsia" w:ascii="Times New Roman" w:hAnsi="Times New Roman" w:eastAsia="宋体" w:cs="Times New Roman"/>
                <w:bCs/>
                <w:color w:val="auto"/>
                <w:kern w:val="2"/>
                <w:sz w:val="24"/>
                <w:szCs w:val="20"/>
                <w:lang w:val="en-US" w:eastAsia="zh-CN" w:bidi="ar"/>
              </w:rPr>
              <w:t>；桡足类8种，占总种数的8.6</w:t>
            </w:r>
            <w:r>
              <w:rPr>
                <w:rFonts w:hint="eastAsia" w:cs="Times New Roman"/>
                <w:bCs/>
                <w:color w:val="auto"/>
                <w:kern w:val="2"/>
                <w:sz w:val="24"/>
                <w:szCs w:val="20"/>
                <w:lang w:val="en-US" w:eastAsia="zh-CN" w:bidi="ar"/>
              </w:rPr>
              <w:t>%</w:t>
            </w:r>
            <w:r>
              <w:rPr>
                <w:rFonts w:hint="eastAsia" w:ascii="Times New Roman" w:hAnsi="Times New Roman" w:eastAsia="宋体" w:cs="Times New Roman"/>
                <w:bCs/>
                <w:color w:val="auto"/>
                <w:kern w:val="2"/>
                <w:sz w:val="24"/>
                <w:szCs w:val="20"/>
                <w:lang w:val="en-US" w:eastAsia="zh-CN" w:bidi="ar"/>
              </w:rPr>
              <w:t>。调查区域浮游动物组成中原生动物、轮虫种类占绝对优势，枝角类、桡足类种类较少，为典型的河流生境群落结构。浮游植物组成以原生动物和轮虫类为主，其它门种类偶见。调查区为连续开放水体，水源主要是上游干流来水。</w:t>
            </w:r>
          </w:p>
          <w:p>
            <w:pPr>
              <w:keepNext w:val="0"/>
              <w:keepLines w:val="0"/>
              <w:pageBreakBefore w:val="0"/>
              <w:widowControl/>
              <w:numPr>
                <w:ilvl w:val="0"/>
                <w:numId w:val="0"/>
              </w:numPr>
              <w:suppressLineNumbers w:val="0"/>
              <w:tabs>
                <w:tab w:val="left" w:pos="480"/>
              </w:tabs>
              <w:kinsoku/>
              <w:wordWrap/>
              <w:overflowPunct/>
              <w:topLinePunct w:val="0"/>
              <w:bidi w:val="0"/>
              <w:snapToGrid w:val="0"/>
              <w:spacing w:before="0" w:beforeAutospacing="0" w:after="0" w:afterAutospacing="0" w:line="360" w:lineRule="auto"/>
              <w:ind w:left="0" w:leftChars="0" w:right="0" w:firstLine="480" w:firstLineChars="200"/>
              <w:jc w:val="left"/>
              <w:rPr>
                <w:rFonts w:hint="eastAsia" w:ascii="Times New Roman" w:hAnsi="Times New Roman" w:eastAsia="宋体" w:cs="Times New Roman"/>
                <w:color w:val="auto"/>
                <w:kern w:val="0"/>
                <w:sz w:val="24"/>
                <w:szCs w:val="20"/>
                <w:lang w:val="en-US" w:eastAsia="zh-CN" w:bidi="ar"/>
              </w:rPr>
            </w:pPr>
            <w:r>
              <w:rPr>
                <w:rFonts w:hint="eastAsia" w:ascii="Times New Roman" w:hAnsi="Times New Roman" w:eastAsia="宋体" w:cs="Times New Roman"/>
                <w:bCs/>
                <w:color w:val="auto"/>
                <w:kern w:val="2"/>
                <w:sz w:val="24"/>
                <w:szCs w:val="20"/>
                <w:lang w:val="en-US" w:eastAsia="zh-CN" w:bidi="ar"/>
              </w:rPr>
              <w:t>总体来说，调查区域水质偏瘦，外源性营养物质较为匮乏，浮游动物现存量偏低。</w:t>
            </w:r>
          </w:p>
          <w:p>
            <w:pPr>
              <w:keepNext w:val="0"/>
              <w:keepLines w:val="0"/>
              <w:pageBreakBefore w:val="0"/>
              <w:widowControl/>
              <w:numPr>
                <w:ilvl w:val="0"/>
                <w:numId w:val="0"/>
              </w:numPr>
              <w:suppressLineNumbers w:val="0"/>
              <w:tabs>
                <w:tab w:val="left" w:pos="480"/>
              </w:tabs>
              <w:kinsoku/>
              <w:wordWrap/>
              <w:overflowPunct/>
              <w:topLinePunct w:val="0"/>
              <w:bidi w:val="0"/>
              <w:snapToGrid w:val="0"/>
              <w:spacing w:before="0" w:beforeAutospacing="0" w:after="0" w:afterAutospacing="0" w:line="360" w:lineRule="auto"/>
              <w:ind w:left="0" w:leftChars="0" w:right="0" w:firstLine="480" w:firstLineChars="200"/>
              <w:jc w:val="left"/>
              <w:rPr>
                <w:rFonts w:hint="eastAsia" w:ascii="Times New Roman" w:hAnsi="Times New Roman" w:eastAsia="宋体" w:cs="Times New Roman"/>
                <w:bCs/>
                <w:color w:val="auto"/>
                <w:kern w:val="2"/>
                <w:sz w:val="24"/>
                <w:szCs w:val="20"/>
                <w:lang w:val="en-US" w:eastAsia="zh-CN" w:bidi="ar"/>
              </w:rPr>
            </w:pPr>
            <w:r>
              <w:rPr>
                <w:rFonts w:hint="eastAsia" w:ascii="Times New Roman" w:hAnsi="Times New Roman" w:eastAsia="宋体" w:cs="Times New Roman"/>
                <w:bCs/>
                <w:color w:val="auto"/>
                <w:kern w:val="2"/>
                <w:sz w:val="24"/>
                <w:szCs w:val="20"/>
                <w:lang w:val="en-US" w:eastAsia="zh-CN" w:bidi="ar"/>
              </w:rPr>
              <w:t>（3）底栖动物</w:t>
            </w:r>
          </w:p>
          <w:p>
            <w:pPr>
              <w:keepNext w:val="0"/>
              <w:keepLines w:val="0"/>
              <w:pageBreakBefore w:val="0"/>
              <w:widowControl/>
              <w:numPr>
                <w:ilvl w:val="0"/>
                <w:numId w:val="0"/>
              </w:numPr>
              <w:suppressLineNumbers w:val="0"/>
              <w:tabs>
                <w:tab w:val="left" w:pos="480"/>
              </w:tabs>
              <w:kinsoku/>
              <w:wordWrap/>
              <w:overflowPunct/>
              <w:topLinePunct w:val="0"/>
              <w:bidi w:val="0"/>
              <w:snapToGrid w:val="0"/>
              <w:spacing w:before="0" w:beforeAutospacing="0" w:after="0" w:afterAutospacing="0" w:line="360" w:lineRule="auto"/>
              <w:ind w:left="0" w:leftChars="0" w:right="0" w:firstLine="480" w:firstLineChars="200"/>
              <w:jc w:val="left"/>
              <w:rPr>
                <w:rFonts w:hint="eastAsia" w:ascii="Times New Roman" w:hAnsi="Times New Roman" w:eastAsia="宋体" w:cs="Times New Roman"/>
                <w:bCs/>
                <w:color w:val="auto"/>
                <w:kern w:val="2"/>
                <w:sz w:val="24"/>
                <w:szCs w:val="20"/>
                <w:lang w:val="en-US" w:eastAsia="zh-CN" w:bidi="ar"/>
              </w:rPr>
            </w:pPr>
            <w:r>
              <w:rPr>
                <w:rFonts w:hint="eastAsia" w:ascii="Times New Roman" w:hAnsi="Times New Roman" w:eastAsia="宋体" w:cs="Times New Roman"/>
                <w:bCs/>
                <w:color w:val="auto"/>
                <w:kern w:val="2"/>
                <w:sz w:val="24"/>
                <w:szCs w:val="20"/>
                <w:lang w:val="en-US" w:eastAsia="zh-CN" w:bidi="ar"/>
              </w:rPr>
              <w:t>区域底栖动物计3门42种</w:t>
            </w:r>
            <w:r>
              <w:rPr>
                <w:rFonts w:hint="eastAsia" w:cs="Times New Roman"/>
                <w:bCs/>
                <w:color w:val="auto"/>
                <w:kern w:val="2"/>
                <w:sz w:val="24"/>
                <w:szCs w:val="20"/>
                <w:lang w:val="en-US" w:eastAsia="zh-CN" w:bidi="ar"/>
              </w:rPr>
              <w:t>（</w:t>
            </w:r>
            <w:r>
              <w:rPr>
                <w:rFonts w:hint="eastAsia" w:ascii="Times New Roman" w:hAnsi="Times New Roman" w:eastAsia="宋体" w:cs="Times New Roman"/>
                <w:bCs/>
                <w:color w:val="auto"/>
                <w:kern w:val="2"/>
                <w:sz w:val="24"/>
                <w:szCs w:val="20"/>
                <w:lang w:val="en-US" w:eastAsia="zh-CN" w:bidi="ar"/>
              </w:rPr>
              <w:t>属</w:t>
            </w:r>
            <w:r>
              <w:rPr>
                <w:rFonts w:hint="eastAsia" w:cs="Times New Roman"/>
                <w:bCs/>
                <w:color w:val="auto"/>
                <w:kern w:val="2"/>
                <w:sz w:val="24"/>
                <w:szCs w:val="20"/>
                <w:lang w:val="en-US" w:eastAsia="zh-CN" w:bidi="ar"/>
              </w:rPr>
              <w:t>）</w:t>
            </w:r>
            <w:r>
              <w:rPr>
                <w:rFonts w:hint="eastAsia" w:ascii="Times New Roman" w:hAnsi="Times New Roman" w:eastAsia="宋体" w:cs="Times New Roman"/>
                <w:bCs/>
                <w:color w:val="auto"/>
                <w:kern w:val="2"/>
                <w:sz w:val="24"/>
                <w:szCs w:val="20"/>
                <w:lang w:val="en-US" w:eastAsia="zh-CN" w:bidi="ar"/>
              </w:rPr>
              <w:t>，其中节肢动物门23种</w:t>
            </w:r>
            <w:r>
              <w:rPr>
                <w:rFonts w:hint="eastAsia" w:cs="Times New Roman"/>
                <w:bCs/>
                <w:color w:val="auto"/>
                <w:kern w:val="2"/>
                <w:sz w:val="24"/>
                <w:szCs w:val="20"/>
                <w:lang w:val="en-US" w:eastAsia="zh-CN" w:bidi="ar"/>
              </w:rPr>
              <w:t>（</w:t>
            </w:r>
            <w:r>
              <w:rPr>
                <w:rFonts w:hint="eastAsia" w:ascii="Times New Roman" w:hAnsi="Times New Roman" w:eastAsia="宋体" w:cs="Times New Roman"/>
                <w:bCs/>
                <w:color w:val="auto"/>
                <w:kern w:val="2"/>
                <w:sz w:val="24"/>
                <w:szCs w:val="20"/>
                <w:lang w:val="en-US" w:eastAsia="zh-CN" w:bidi="ar"/>
              </w:rPr>
              <w:t>属</w:t>
            </w:r>
            <w:r>
              <w:rPr>
                <w:rFonts w:hint="eastAsia" w:cs="Times New Roman"/>
                <w:bCs/>
                <w:color w:val="auto"/>
                <w:kern w:val="2"/>
                <w:sz w:val="24"/>
                <w:szCs w:val="20"/>
                <w:lang w:val="en-US" w:eastAsia="zh-CN" w:bidi="ar"/>
              </w:rPr>
              <w:t>）</w:t>
            </w:r>
            <w:r>
              <w:rPr>
                <w:rFonts w:hint="eastAsia" w:ascii="Times New Roman" w:hAnsi="Times New Roman" w:eastAsia="宋体" w:cs="Times New Roman"/>
                <w:bCs/>
                <w:color w:val="auto"/>
                <w:kern w:val="2"/>
                <w:sz w:val="24"/>
                <w:szCs w:val="20"/>
                <w:lang w:val="en-US" w:eastAsia="zh-CN" w:bidi="ar"/>
              </w:rPr>
              <w:t>，占总种数的54.76</w:t>
            </w:r>
            <w:r>
              <w:rPr>
                <w:rFonts w:hint="eastAsia" w:cs="Times New Roman"/>
                <w:bCs/>
                <w:color w:val="auto"/>
                <w:kern w:val="2"/>
                <w:sz w:val="24"/>
                <w:szCs w:val="20"/>
                <w:lang w:val="en-US" w:eastAsia="zh-CN" w:bidi="ar"/>
              </w:rPr>
              <w:t>%</w:t>
            </w:r>
            <w:r>
              <w:rPr>
                <w:rFonts w:hint="eastAsia" w:ascii="Times New Roman" w:hAnsi="Times New Roman" w:eastAsia="宋体" w:cs="Times New Roman"/>
                <w:bCs/>
                <w:color w:val="auto"/>
                <w:kern w:val="2"/>
                <w:sz w:val="24"/>
                <w:szCs w:val="20"/>
                <w:lang w:val="en-US" w:eastAsia="zh-CN" w:bidi="ar"/>
              </w:rPr>
              <w:t>；软体动物门12种</w:t>
            </w:r>
            <w:r>
              <w:rPr>
                <w:rFonts w:hint="eastAsia" w:cs="Times New Roman"/>
                <w:bCs/>
                <w:color w:val="auto"/>
                <w:kern w:val="2"/>
                <w:sz w:val="24"/>
                <w:szCs w:val="20"/>
                <w:lang w:val="en-US" w:eastAsia="zh-CN" w:bidi="ar"/>
              </w:rPr>
              <w:t>（</w:t>
            </w:r>
            <w:r>
              <w:rPr>
                <w:rFonts w:hint="eastAsia" w:ascii="Times New Roman" w:hAnsi="Times New Roman" w:eastAsia="宋体" w:cs="Times New Roman"/>
                <w:bCs/>
                <w:color w:val="auto"/>
                <w:kern w:val="2"/>
                <w:sz w:val="24"/>
                <w:szCs w:val="20"/>
                <w:lang w:val="en-US" w:eastAsia="zh-CN" w:bidi="ar"/>
              </w:rPr>
              <w:t>属</w:t>
            </w:r>
            <w:r>
              <w:rPr>
                <w:rFonts w:hint="eastAsia" w:cs="Times New Roman"/>
                <w:bCs/>
                <w:color w:val="auto"/>
                <w:kern w:val="2"/>
                <w:sz w:val="24"/>
                <w:szCs w:val="20"/>
                <w:lang w:val="en-US" w:eastAsia="zh-CN" w:bidi="ar"/>
              </w:rPr>
              <w:t>）</w:t>
            </w:r>
            <w:r>
              <w:rPr>
                <w:rFonts w:hint="eastAsia" w:ascii="Times New Roman" w:hAnsi="Times New Roman" w:eastAsia="宋体" w:cs="Times New Roman"/>
                <w:bCs/>
                <w:color w:val="auto"/>
                <w:kern w:val="2"/>
                <w:sz w:val="24"/>
                <w:szCs w:val="20"/>
                <w:lang w:val="en-US" w:eastAsia="zh-CN" w:bidi="ar"/>
              </w:rPr>
              <w:t>，占28.57</w:t>
            </w:r>
            <w:r>
              <w:rPr>
                <w:rFonts w:hint="eastAsia" w:cs="Times New Roman"/>
                <w:bCs/>
                <w:color w:val="auto"/>
                <w:kern w:val="2"/>
                <w:sz w:val="24"/>
                <w:szCs w:val="20"/>
                <w:lang w:val="en-US" w:eastAsia="zh-CN" w:bidi="ar"/>
              </w:rPr>
              <w:t>%</w:t>
            </w:r>
            <w:r>
              <w:rPr>
                <w:rFonts w:hint="eastAsia" w:ascii="Times New Roman" w:hAnsi="Times New Roman" w:eastAsia="宋体" w:cs="Times New Roman"/>
                <w:bCs/>
                <w:color w:val="auto"/>
                <w:kern w:val="2"/>
                <w:sz w:val="24"/>
                <w:szCs w:val="20"/>
                <w:lang w:val="en-US" w:eastAsia="zh-CN" w:bidi="ar"/>
              </w:rPr>
              <w:t>；环节动物门7种</w:t>
            </w:r>
            <w:r>
              <w:rPr>
                <w:rFonts w:hint="eastAsia" w:cs="Times New Roman"/>
                <w:bCs/>
                <w:color w:val="auto"/>
                <w:kern w:val="2"/>
                <w:sz w:val="24"/>
                <w:szCs w:val="20"/>
                <w:lang w:val="en-US" w:eastAsia="zh-CN" w:bidi="ar"/>
              </w:rPr>
              <w:t>（</w:t>
            </w:r>
            <w:r>
              <w:rPr>
                <w:rFonts w:hint="eastAsia" w:ascii="Times New Roman" w:hAnsi="Times New Roman" w:eastAsia="宋体" w:cs="Times New Roman"/>
                <w:bCs/>
                <w:color w:val="auto"/>
                <w:kern w:val="2"/>
                <w:sz w:val="24"/>
                <w:szCs w:val="20"/>
                <w:lang w:val="en-US" w:eastAsia="zh-CN" w:bidi="ar"/>
              </w:rPr>
              <w:t>属</w:t>
            </w:r>
            <w:r>
              <w:rPr>
                <w:rFonts w:hint="eastAsia" w:cs="Times New Roman"/>
                <w:bCs/>
                <w:color w:val="auto"/>
                <w:kern w:val="2"/>
                <w:sz w:val="24"/>
                <w:szCs w:val="20"/>
                <w:lang w:val="en-US" w:eastAsia="zh-CN" w:bidi="ar"/>
              </w:rPr>
              <w:t>）</w:t>
            </w:r>
            <w:r>
              <w:rPr>
                <w:rFonts w:hint="eastAsia" w:ascii="Times New Roman" w:hAnsi="Times New Roman" w:eastAsia="宋体" w:cs="Times New Roman"/>
                <w:bCs/>
                <w:color w:val="auto"/>
                <w:kern w:val="2"/>
                <w:sz w:val="24"/>
                <w:szCs w:val="20"/>
                <w:lang w:val="en-US" w:eastAsia="zh-CN" w:bidi="ar"/>
              </w:rPr>
              <w:t>，占16.67</w:t>
            </w:r>
            <w:r>
              <w:rPr>
                <w:rFonts w:hint="eastAsia" w:cs="Times New Roman"/>
                <w:bCs/>
                <w:color w:val="auto"/>
                <w:kern w:val="2"/>
                <w:sz w:val="24"/>
                <w:szCs w:val="20"/>
                <w:lang w:val="en-US" w:eastAsia="zh-CN" w:bidi="ar"/>
              </w:rPr>
              <w:t>%</w:t>
            </w:r>
            <w:r>
              <w:rPr>
                <w:rFonts w:hint="eastAsia" w:ascii="Times New Roman" w:hAnsi="Times New Roman" w:eastAsia="宋体" w:cs="Times New Roman"/>
                <w:bCs/>
                <w:color w:val="auto"/>
                <w:kern w:val="2"/>
                <w:sz w:val="24"/>
                <w:szCs w:val="20"/>
                <w:lang w:val="en-US" w:eastAsia="zh-CN" w:bidi="ar"/>
              </w:rPr>
              <w:t>。底栖动物优势种类有水丝蚓、泽蛭、湖沼股蛤、沼虾、多足摇蚊、羽摇蚊、粗腹摇蚊等。</w:t>
            </w:r>
          </w:p>
          <w:p>
            <w:pPr>
              <w:keepNext w:val="0"/>
              <w:keepLines w:val="0"/>
              <w:pageBreakBefore w:val="0"/>
              <w:widowControl/>
              <w:numPr>
                <w:ilvl w:val="0"/>
                <w:numId w:val="0"/>
              </w:numPr>
              <w:suppressLineNumbers w:val="0"/>
              <w:tabs>
                <w:tab w:val="left" w:pos="480"/>
              </w:tabs>
              <w:kinsoku/>
              <w:wordWrap/>
              <w:overflowPunct/>
              <w:topLinePunct w:val="0"/>
              <w:bidi w:val="0"/>
              <w:snapToGrid w:val="0"/>
              <w:spacing w:before="0" w:beforeAutospacing="0" w:after="0" w:afterAutospacing="0" w:line="360" w:lineRule="auto"/>
              <w:ind w:left="0" w:leftChars="0" w:right="0" w:firstLine="480" w:firstLineChars="200"/>
              <w:jc w:val="left"/>
              <w:rPr>
                <w:rFonts w:hint="eastAsia" w:ascii="Times New Roman" w:hAnsi="Times New Roman" w:eastAsia="宋体" w:cs="Times New Roman"/>
                <w:b w:val="0"/>
                <w:bCs/>
                <w:color w:val="auto"/>
                <w:kern w:val="2"/>
                <w:sz w:val="24"/>
                <w:szCs w:val="20"/>
                <w:lang w:val="en-US" w:eastAsia="zh-CN" w:bidi="ar"/>
              </w:rPr>
            </w:pPr>
            <w:r>
              <w:rPr>
                <w:rFonts w:hint="eastAsia" w:ascii="Times New Roman" w:hAnsi="Times New Roman" w:eastAsia="宋体" w:cs="Times New Roman"/>
                <w:b w:val="0"/>
                <w:bCs/>
                <w:color w:val="auto"/>
                <w:kern w:val="2"/>
                <w:sz w:val="24"/>
                <w:szCs w:val="20"/>
                <w:lang w:val="en-US" w:eastAsia="zh-CN" w:bidi="ar"/>
              </w:rPr>
              <w:t>2、鱼类资源</w:t>
            </w:r>
          </w:p>
          <w:p>
            <w:pPr>
              <w:keepNext w:val="0"/>
              <w:keepLines w:val="0"/>
              <w:pageBreakBefore w:val="0"/>
              <w:widowControl/>
              <w:numPr>
                <w:ilvl w:val="0"/>
                <w:numId w:val="0"/>
              </w:numPr>
              <w:suppressLineNumbers w:val="0"/>
              <w:tabs>
                <w:tab w:val="left" w:pos="480"/>
              </w:tabs>
              <w:kinsoku/>
              <w:wordWrap/>
              <w:overflowPunct/>
              <w:topLinePunct w:val="0"/>
              <w:bidi w:val="0"/>
              <w:snapToGrid w:val="0"/>
              <w:spacing w:before="0" w:beforeAutospacing="0" w:after="0" w:afterAutospacing="0" w:line="360" w:lineRule="auto"/>
              <w:ind w:left="0" w:leftChars="0" w:right="0" w:firstLine="480" w:firstLineChars="200"/>
              <w:jc w:val="left"/>
              <w:rPr>
                <w:rFonts w:hint="default" w:ascii="Times New Roman" w:hAnsi="Times New Roman" w:eastAsia="宋体" w:cs="Times New Roman"/>
                <w:bCs/>
                <w:color w:val="auto"/>
                <w:kern w:val="2"/>
                <w:sz w:val="24"/>
                <w:szCs w:val="20"/>
                <w:lang w:val="en-US" w:eastAsia="zh-CN" w:bidi="ar"/>
              </w:rPr>
            </w:pPr>
            <w:r>
              <w:rPr>
                <w:rFonts w:hint="default" w:ascii="Times New Roman" w:hAnsi="Times New Roman" w:eastAsia="宋体" w:cs="Times New Roman"/>
                <w:bCs/>
                <w:color w:val="auto"/>
                <w:kern w:val="2"/>
                <w:sz w:val="24"/>
                <w:szCs w:val="20"/>
                <w:lang w:val="en-US" w:eastAsia="zh-CN" w:bidi="ar"/>
              </w:rPr>
              <w:t>（1）种类组成</w:t>
            </w:r>
          </w:p>
          <w:p>
            <w:pPr>
              <w:keepNext w:val="0"/>
              <w:keepLines w:val="0"/>
              <w:pageBreakBefore w:val="0"/>
              <w:widowControl/>
              <w:numPr>
                <w:ilvl w:val="0"/>
                <w:numId w:val="0"/>
              </w:numPr>
              <w:suppressLineNumbers w:val="0"/>
              <w:tabs>
                <w:tab w:val="left" w:pos="480"/>
              </w:tabs>
              <w:kinsoku/>
              <w:wordWrap/>
              <w:overflowPunct/>
              <w:topLinePunct w:val="0"/>
              <w:bidi w:val="0"/>
              <w:snapToGrid w:val="0"/>
              <w:spacing w:before="0" w:beforeAutospacing="0" w:after="0" w:afterAutospacing="0" w:line="360" w:lineRule="auto"/>
              <w:ind w:left="0" w:leftChars="0" w:right="0" w:firstLine="480" w:firstLineChars="200"/>
              <w:jc w:val="left"/>
              <w:rPr>
                <w:rFonts w:hint="eastAsia" w:ascii="Times New Roman" w:hAnsi="Times New Roman" w:eastAsia="宋体" w:cs="Times New Roman"/>
                <w:bCs/>
                <w:color w:val="auto"/>
                <w:kern w:val="2"/>
                <w:sz w:val="24"/>
                <w:szCs w:val="20"/>
                <w:lang w:val="en-US" w:eastAsia="zh-CN" w:bidi="ar"/>
              </w:rPr>
            </w:pPr>
            <w:r>
              <w:rPr>
                <w:rFonts w:hint="default" w:ascii="Times New Roman" w:hAnsi="Times New Roman" w:eastAsia="宋体" w:cs="Times New Roman"/>
                <w:bCs/>
                <w:color w:val="auto"/>
                <w:kern w:val="2"/>
                <w:sz w:val="24"/>
                <w:szCs w:val="20"/>
                <w:lang w:val="en-US" w:eastAsia="zh-CN" w:bidi="ar"/>
              </w:rPr>
              <w:t>根据农业农村部发布的《长江流域重点水域禁捕和建立补偿制度实施方案》，从2020年元旦开始，长江全面进入10年禁渔期，明确规定长江干流和重要支流等重点水域十年内全面禁止生产性捕捞，调查区域目前已经实施全面禁渔，因此，本次调查主要参照《沙湾水电站水生生物专题报告》、《青衣江金水湾水电站水生生物专题报告》、《大渡河河口再自然化及其重要栖息地修复技术研究报告》（阶段性成果）以及《四川省大渡河安谷水电站环境影响报告书》等资料，经过整合，大渡河下游</w:t>
            </w:r>
            <w:r>
              <w:rPr>
                <w:rFonts w:hint="eastAsia" w:cs="Times New Roman"/>
                <w:bCs/>
                <w:color w:val="auto"/>
                <w:kern w:val="2"/>
                <w:sz w:val="24"/>
                <w:szCs w:val="20"/>
                <w:lang w:val="en-US" w:eastAsia="zh-CN" w:bidi="ar"/>
              </w:rPr>
              <w:t>（</w:t>
            </w:r>
            <w:r>
              <w:rPr>
                <w:rFonts w:hint="default" w:ascii="Times New Roman" w:hAnsi="Times New Roman" w:eastAsia="宋体" w:cs="Times New Roman"/>
                <w:bCs/>
                <w:color w:val="auto"/>
                <w:kern w:val="2"/>
                <w:sz w:val="24"/>
                <w:szCs w:val="20"/>
                <w:lang w:val="en-US" w:eastAsia="zh-CN" w:bidi="ar"/>
              </w:rPr>
              <w:t>沙湾水电站</w:t>
            </w:r>
            <w:r>
              <w:rPr>
                <w:rFonts w:hint="eastAsia" w:cs="Times New Roman"/>
                <w:bCs/>
                <w:color w:val="auto"/>
                <w:kern w:val="2"/>
                <w:sz w:val="24"/>
                <w:szCs w:val="20"/>
                <w:lang w:val="en-US" w:eastAsia="zh-CN" w:bidi="ar"/>
              </w:rPr>
              <w:t>）</w:t>
            </w:r>
            <w:r>
              <w:rPr>
                <w:rFonts w:hint="default" w:ascii="Times New Roman" w:hAnsi="Times New Roman" w:eastAsia="宋体" w:cs="Times New Roman"/>
                <w:bCs/>
                <w:color w:val="auto"/>
                <w:kern w:val="2"/>
                <w:sz w:val="24"/>
                <w:szCs w:val="20"/>
                <w:lang w:val="en-US" w:eastAsia="zh-CN" w:bidi="ar"/>
              </w:rPr>
              <w:t>河段有鱼类107种和亚种。《四川省大渡河安谷水电站环境影响报告书》为最新的调查资料，此次调查在沙湾—乐山段干流及其三江交汇口水域共调查到鱼类67种，分别隶属于4目13科55属。其中鲤</w:t>
            </w:r>
            <w:r>
              <w:rPr>
                <w:rFonts w:hint="eastAsia" w:ascii="Times New Roman" w:hAnsi="Times New Roman" w:eastAsia="宋体" w:cs="Times New Roman"/>
                <w:bCs/>
                <w:color w:val="auto"/>
                <w:kern w:val="2"/>
                <w:sz w:val="24"/>
                <w:szCs w:val="20"/>
                <w:lang w:val="en-US" w:eastAsia="zh-CN" w:bidi="ar"/>
              </w:rPr>
              <w:t>形目胭脂鱼科1属1种，鳅科6属7种，鲤科30属37种，平鳍鳅科4属4种；鲇形目鲇科1属2种，鲿科4属6种，钝头鮠科1属1种，鮡科2属3种，鮰科1属1种</w:t>
            </w:r>
            <w:r>
              <w:rPr>
                <w:rFonts w:hint="eastAsia" w:cs="Times New Roman"/>
                <w:bCs/>
                <w:color w:val="auto"/>
                <w:kern w:val="2"/>
                <w:sz w:val="24"/>
                <w:szCs w:val="20"/>
                <w:lang w:val="en-US" w:eastAsia="zh-CN" w:bidi="ar"/>
              </w:rPr>
              <w:t>（</w:t>
            </w:r>
            <w:r>
              <w:rPr>
                <w:rFonts w:hint="eastAsia" w:ascii="Times New Roman" w:hAnsi="Times New Roman" w:eastAsia="宋体" w:cs="Times New Roman"/>
                <w:bCs/>
                <w:color w:val="auto"/>
                <w:kern w:val="2"/>
                <w:sz w:val="24"/>
                <w:szCs w:val="20"/>
                <w:lang w:val="en-US" w:eastAsia="zh-CN" w:bidi="ar"/>
              </w:rPr>
              <w:t>外来种</w:t>
            </w:r>
            <w:r>
              <w:rPr>
                <w:rFonts w:hint="eastAsia" w:cs="Times New Roman"/>
                <w:bCs/>
                <w:color w:val="auto"/>
                <w:kern w:val="2"/>
                <w:sz w:val="24"/>
                <w:szCs w:val="20"/>
                <w:lang w:val="en-US" w:eastAsia="zh-CN" w:bidi="ar"/>
              </w:rPr>
              <w:t>）</w:t>
            </w:r>
            <w:r>
              <w:rPr>
                <w:rFonts w:hint="eastAsia" w:ascii="Times New Roman" w:hAnsi="Times New Roman" w:eastAsia="宋体" w:cs="Times New Roman"/>
                <w:bCs/>
                <w:color w:val="auto"/>
                <w:kern w:val="2"/>
                <w:sz w:val="24"/>
                <w:szCs w:val="20"/>
                <w:lang w:val="en-US" w:eastAsia="zh-CN" w:bidi="ar"/>
              </w:rPr>
              <w:t>；合鳃鱼目合鳃鱼科1属1种；鲈形目鮨科2属2种，鰕虎鱼科1属1种，鳢科1属1种。</w:t>
            </w:r>
          </w:p>
          <w:p>
            <w:pPr>
              <w:keepNext w:val="0"/>
              <w:keepLines w:val="0"/>
              <w:pageBreakBefore w:val="0"/>
              <w:widowControl/>
              <w:numPr>
                <w:ilvl w:val="0"/>
                <w:numId w:val="0"/>
              </w:numPr>
              <w:suppressLineNumbers w:val="0"/>
              <w:tabs>
                <w:tab w:val="left" w:pos="480"/>
              </w:tabs>
              <w:kinsoku/>
              <w:wordWrap/>
              <w:overflowPunct/>
              <w:topLinePunct w:val="0"/>
              <w:autoSpaceDE/>
              <w:autoSpaceDN/>
              <w:bidi w:val="0"/>
              <w:adjustRightInd/>
              <w:snapToGrid w:val="0"/>
              <w:spacing w:before="0" w:beforeAutospacing="0" w:after="0" w:afterAutospacing="0" w:line="360" w:lineRule="auto"/>
              <w:ind w:left="0" w:leftChars="0" w:right="0" w:firstLine="480" w:firstLineChars="200"/>
              <w:jc w:val="left"/>
              <w:textAlignment w:val="auto"/>
              <w:rPr>
                <w:rFonts w:hint="eastAsia" w:ascii="Times New Roman" w:hAnsi="Times New Roman" w:eastAsia="宋体" w:cs="Times New Roman"/>
                <w:bCs/>
                <w:color w:val="auto"/>
                <w:kern w:val="2"/>
                <w:sz w:val="24"/>
                <w:szCs w:val="20"/>
                <w:lang w:val="en-US" w:eastAsia="zh-CN" w:bidi="ar"/>
              </w:rPr>
            </w:pPr>
            <w:r>
              <w:rPr>
                <w:rFonts w:hint="eastAsia" w:ascii="Times New Roman" w:hAnsi="Times New Roman" w:eastAsia="宋体" w:cs="Times New Roman"/>
                <w:bCs/>
                <w:color w:val="auto"/>
                <w:kern w:val="2"/>
                <w:sz w:val="24"/>
                <w:szCs w:val="20"/>
                <w:lang w:val="en-US" w:eastAsia="zh-CN" w:bidi="ar"/>
              </w:rPr>
              <w:t>鲤形目鱼类是本江段的主要构成类群，共有41属49种，占鱼类种数的73.1%；鲇形目次之，共有9属13种，占19.4%。在组成该江段鱼类的13个科中，以鲤科鱼类种类最多，计有37种，占鱼类种数的55.2%，其中鮈亚科11种，鲌亚科6种；鳅科7种，约占10.4%，鲿科6种，约占9.0%；平鳍鳅科4种，约占6.0%。</w:t>
            </w:r>
          </w:p>
          <w:p>
            <w:pPr>
              <w:keepNext w:val="0"/>
              <w:keepLines w:val="0"/>
              <w:pageBreakBefore w:val="0"/>
              <w:widowControl/>
              <w:numPr>
                <w:ilvl w:val="0"/>
                <w:numId w:val="0"/>
              </w:numPr>
              <w:suppressLineNumbers w:val="0"/>
              <w:tabs>
                <w:tab w:val="left" w:pos="480"/>
              </w:tabs>
              <w:kinsoku/>
              <w:wordWrap/>
              <w:overflowPunct/>
              <w:topLinePunct w:val="0"/>
              <w:autoSpaceDE/>
              <w:autoSpaceDN/>
              <w:bidi w:val="0"/>
              <w:adjustRightInd/>
              <w:snapToGrid w:val="0"/>
              <w:spacing w:before="0" w:beforeAutospacing="0" w:after="0" w:afterAutospacing="0" w:line="360" w:lineRule="auto"/>
              <w:ind w:left="0" w:leftChars="0" w:right="0" w:firstLine="480" w:firstLineChars="200"/>
              <w:jc w:val="left"/>
              <w:textAlignment w:val="auto"/>
              <w:rPr>
                <w:rFonts w:hint="eastAsia" w:ascii="Times New Roman" w:hAnsi="Times New Roman" w:eastAsia="宋体" w:cs="Times New Roman"/>
                <w:bCs/>
                <w:color w:val="auto"/>
                <w:kern w:val="2"/>
                <w:sz w:val="24"/>
                <w:szCs w:val="20"/>
                <w:lang w:val="en-US" w:eastAsia="zh-CN" w:bidi="ar"/>
              </w:rPr>
            </w:pPr>
            <w:r>
              <w:rPr>
                <w:rFonts w:hint="eastAsia" w:ascii="Times New Roman" w:hAnsi="Times New Roman" w:eastAsia="宋体" w:cs="Times New Roman"/>
                <w:bCs/>
                <w:color w:val="auto"/>
                <w:kern w:val="2"/>
                <w:sz w:val="24"/>
                <w:szCs w:val="20"/>
                <w:lang w:val="en-US" w:eastAsia="zh-CN" w:bidi="ar"/>
              </w:rPr>
              <w:t>（2）鱼类区系特点</w:t>
            </w:r>
          </w:p>
          <w:p>
            <w:pPr>
              <w:keepNext w:val="0"/>
              <w:keepLines w:val="0"/>
              <w:pageBreakBefore w:val="0"/>
              <w:widowControl/>
              <w:numPr>
                <w:ilvl w:val="0"/>
                <w:numId w:val="0"/>
              </w:numPr>
              <w:suppressLineNumbers w:val="0"/>
              <w:tabs>
                <w:tab w:val="left" w:pos="480"/>
              </w:tabs>
              <w:kinsoku/>
              <w:wordWrap/>
              <w:overflowPunct/>
              <w:topLinePunct w:val="0"/>
              <w:autoSpaceDE/>
              <w:autoSpaceDN/>
              <w:bidi w:val="0"/>
              <w:adjustRightInd/>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bCs/>
                <w:color w:val="auto"/>
                <w:kern w:val="2"/>
                <w:sz w:val="24"/>
                <w:szCs w:val="20"/>
                <w:lang w:val="en-US" w:eastAsia="zh-CN" w:bidi="ar"/>
              </w:rPr>
            </w:pPr>
            <w:r>
              <w:rPr>
                <w:rFonts w:hint="eastAsia" w:ascii="Times New Roman" w:hAnsi="Times New Roman" w:eastAsia="宋体" w:cs="Times New Roman"/>
                <w:bCs/>
                <w:color w:val="auto"/>
                <w:kern w:val="2"/>
                <w:sz w:val="24"/>
                <w:szCs w:val="20"/>
                <w:lang w:val="en-US" w:eastAsia="zh-CN" w:bidi="ar"/>
              </w:rPr>
              <w:t xml:space="preserve">① </w:t>
            </w:r>
            <w:r>
              <w:rPr>
                <w:rFonts w:hint="default" w:ascii="Times New Roman" w:hAnsi="Times New Roman" w:eastAsia="宋体" w:cs="Times New Roman"/>
                <w:bCs/>
                <w:color w:val="auto"/>
                <w:kern w:val="2"/>
                <w:sz w:val="24"/>
                <w:szCs w:val="20"/>
                <w:lang w:val="en-US" w:eastAsia="zh-CN" w:bidi="ar"/>
              </w:rPr>
              <w:t>在鱼类的种类组成中，区系成分以江河平原鱼类为主，其中鲤科的鮈亚科和鲌亚科以及鲿科等东亚类群占有较大比重，与岷江干流鱼类区系的种类组成相似。但是，也存在上述类群中分化出的适应于上游环境条件的特有种</w:t>
            </w:r>
            <w:r>
              <w:rPr>
                <w:rFonts w:hint="eastAsia" w:ascii="Times New Roman" w:hAnsi="Times New Roman" w:eastAsia="宋体" w:cs="Times New Roman"/>
                <w:bCs/>
                <w:color w:val="auto"/>
                <w:kern w:val="2"/>
                <w:sz w:val="24"/>
                <w:szCs w:val="20"/>
                <w:lang w:val="en-US" w:eastAsia="zh-CN" w:bidi="ar"/>
              </w:rPr>
              <w:t>类</w:t>
            </w:r>
            <w:r>
              <w:rPr>
                <w:rFonts w:hint="default" w:ascii="Times New Roman" w:hAnsi="Times New Roman" w:eastAsia="宋体" w:cs="Times New Roman"/>
                <w:bCs/>
                <w:color w:val="auto"/>
                <w:kern w:val="2"/>
                <w:sz w:val="24"/>
                <w:szCs w:val="20"/>
                <w:lang w:val="en-US" w:eastAsia="zh-CN" w:bidi="ar"/>
              </w:rPr>
              <w:t>，如长鳍吻鮈等。</w:t>
            </w:r>
          </w:p>
          <w:p>
            <w:pPr>
              <w:keepNext w:val="0"/>
              <w:keepLines w:val="0"/>
              <w:pageBreakBefore w:val="0"/>
              <w:widowControl/>
              <w:numPr>
                <w:ilvl w:val="0"/>
                <w:numId w:val="0"/>
              </w:numPr>
              <w:suppressLineNumbers w:val="0"/>
              <w:tabs>
                <w:tab w:val="left" w:pos="480"/>
              </w:tabs>
              <w:kinsoku/>
              <w:wordWrap/>
              <w:overflowPunct/>
              <w:topLinePunct w:val="0"/>
              <w:autoSpaceDE/>
              <w:autoSpaceDN/>
              <w:bidi w:val="0"/>
              <w:adjustRightInd/>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bCs/>
                <w:color w:val="auto"/>
                <w:kern w:val="2"/>
                <w:sz w:val="24"/>
                <w:szCs w:val="20"/>
                <w:lang w:val="en-US" w:eastAsia="zh-CN" w:bidi="ar"/>
              </w:rPr>
            </w:pPr>
            <w:r>
              <w:rPr>
                <w:rFonts w:hint="eastAsia" w:ascii="Times New Roman" w:hAnsi="Times New Roman" w:eastAsia="宋体" w:cs="Times New Roman"/>
                <w:bCs/>
                <w:color w:val="auto"/>
                <w:kern w:val="2"/>
                <w:sz w:val="24"/>
                <w:szCs w:val="20"/>
                <w:lang w:val="en-US" w:eastAsia="zh-CN" w:bidi="ar"/>
              </w:rPr>
              <w:t xml:space="preserve">② </w:t>
            </w:r>
            <w:r>
              <w:rPr>
                <w:rFonts w:hint="default" w:ascii="Times New Roman" w:hAnsi="Times New Roman" w:eastAsia="宋体" w:cs="Times New Roman"/>
                <w:bCs/>
                <w:color w:val="auto"/>
                <w:kern w:val="2"/>
                <w:sz w:val="24"/>
                <w:szCs w:val="20"/>
                <w:lang w:val="en-US" w:eastAsia="zh-CN" w:bidi="ar"/>
              </w:rPr>
              <w:t>适应急流生活的东洋区类群的鱼类也有部分种类，如鳅科、平鳍鳅科、鮡科和钝头鮠科的种类，其中平鳍鳅科的种类多为长江上游特有种。</w:t>
            </w:r>
          </w:p>
          <w:p>
            <w:pPr>
              <w:keepNext w:val="0"/>
              <w:keepLines w:val="0"/>
              <w:pageBreakBefore w:val="0"/>
              <w:widowControl/>
              <w:numPr>
                <w:ilvl w:val="0"/>
                <w:numId w:val="0"/>
              </w:numPr>
              <w:suppressLineNumbers w:val="0"/>
              <w:tabs>
                <w:tab w:val="left" w:pos="480"/>
              </w:tabs>
              <w:kinsoku/>
              <w:wordWrap/>
              <w:overflowPunct/>
              <w:topLinePunct w:val="0"/>
              <w:autoSpaceDE/>
              <w:autoSpaceDN/>
              <w:bidi w:val="0"/>
              <w:adjustRightInd/>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bCs/>
                <w:color w:val="auto"/>
                <w:kern w:val="2"/>
                <w:sz w:val="24"/>
                <w:szCs w:val="20"/>
                <w:lang w:val="en-US" w:eastAsia="zh-CN" w:bidi="ar"/>
              </w:rPr>
            </w:pPr>
            <w:r>
              <w:rPr>
                <w:rFonts w:hint="eastAsia" w:ascii="Times New Roman" w:hAnsi="Times New Roman" w:eastAsia="宋体" w:cs="Times New Roman"/>
                <w:bCs/>
                <w:color w:val="auto"/>
                <w:kern w:val="2"/>
                <w:sz w:val="24"/>
                <w:szCs w:val="20"/>
                <w:lang w:val="en-US" w:eastAsia="zh-CN" w:bidi="ar"/>
              </w:rPr>
              <w:t xml:space="preserve">③ </w:t>
            </w:r>
            <w:r>
              <w:rPr>
                <w:rFonts w:hint="default" w:ascii="Times New Roman" w:hAnsi="Times New Roman" w:eastAsia="宋体" w:cs="Times New Roman"/>
                <w:bCs/>
                <w:color w:val="auto"/>
                <w:kern w:val="2"/>
                <w:sz w:val="24"/>
                <w:szCs w:val="20"/>
                <w:lang w:val="en-US" w:eastAsia="zh-CN" w:bidi="ar"/>
              </w:rPr>
              <w:t>青藏高原鱼类区系的主要类群裂腹鱼类</w:t>
            </w:r>
            <w:r>
              <w:rPr>
                <w:rFonts w:hint="eastAsia" w:ascii="Times New Roman" w:hAnsi="Times New Roman" w:eastAsia="宋体" w:cs="Times New Roman"/>
                <w:bCs/>
                <w:color w:val="auto"/>
                <w:kern w:val="2"/>
                <w:sz w:val="24"/>
                <w:szCs w:val="20"/>
                <w:lang w:val="en-US" w:eastAsia="zh-CN" w:bidi="ar"/>
              </w:rPr>
              <w:t>在</w:t>
            </w:r>
            <w:r>
              <w:rPr>
                <w:rFonts w:hint="default" w:ascii="Times New Roman" w:hAnsi="Times New Roman" w:eastAsia="宋体" w:cs="Times New Roman"/>
                <w:bCs/>
                <w:color w:val="auto"/>
                <w:kern w:val="2"/>
                <w:sz w:val="24"/>
                <w:szCs w:val="20"/>
                <w:lang w:val="en-US" w:eastAsia="zh-CN" w:bidi="ar"/>
              </w:rPr>
              <w:t>此江段已不存在，仅有高原鳅属一种。</w:t>
            </w:r>
          </w:p>
          <w:p>
            <w:pPr>
              <w:keepNext w:val="0"/>
              <w:keepLines w:val="0"/>
              <w:pageBreakBefore w:val="0"/>
              <w:widowControl/>
              <w:numPr>
                <w:ilvl w:val="0"/>
                <w:numId w:val="0"/>
              </w:numPr>
              <w:suppressLineNumbers w:val="0"/>
              <w:tabs>
                <w:tab w:val="left" w:pos="480"/>
              </w:tabs>
              <w:kinsoku/>
              <w:wordWrap/>
              <w:overflowPunct/>
              <w:topLinePunct w:val="0"/>
              <w:autoSpaceDE/>
              <w:autoSpaceDN/>
              <w:bidi w:val="0"/>
              <w:adjustRightInd/>
              <w:snapToGrid w:val="0"/>
              <w:spacing w:before="0" w:beforeAutospacing="0" w:after="0" w:afterAutospacing="0" w:line="360" w:lineRule="auto"/>
              <w:ind w:left="0" w:leftChars="0" w:right="0" w:firstLine="480" w:firstLineChars="200"/>
              <w:jc w:val="left"/>
              <w:textAlignment w:val="auto"/>
              <w:rPr>
                <w:rFonts w:hint="eastAsia" w:ascii="Times New Roman" w:hAnsi="Times New Roman" w:eastAsia="宋体" w:cs="Times New Roman"/>
                <w:bCs/>
                <w:color w:val="auto"/>
                <w:kern w:val="2"/>
                <w:sz w:val="24"/>
                <w:szCs w:val="20"/>
                <w:lang w:val="en-US" w:eastAsia="zh-CN" w:bidi="ar"/>
              </w:rPr>
            </w:pPr>
            <w:r>
              <w:rPr>
                <w:rFonts w:hint="eastAsia" w:ascii="Times New Roman" w:hAnsi="Times New Roman" w:eastAsia="宋体" w:cs="Times New Roman"/>
                <w:bCs/>
                <w:color w:val="auto"/>
                <w:kern w:val="2"/>
                <w:sz w:val="24"/>
                <w:szCs w:val="20"/>
                <w:lang w:val="en-US" w:eastAsia="zh-CN" w:bidi="ar"/>
              </w:rPr>
              <w:t xml:space="preserve">④ </w:t>
            </w:r>
            <w:r>
              <w:rPr>
                <w:rFonts w:hint="default" w:ascii="Times New Roman" w:hAnsi="Times New Roman" w:eastAsia="宋体" w:cs="Times New Roman"/>
                <w:bCs/>
                <w:color w:val="auto"/>
                <w:kern w:val="2"/>
                <w:sz w:val="24"/>
                <w:szCs w:val="20"/>
                <w:lang w:val="en-US" w:eastAsia="zh-CN" w:bidi="ar"/>
              </w:rPr>
              <w:t>由于乐山峨眉山地区佛事兴盛，信众常购买相当数量养殖鱼类放生岷江，造成外来种黑鮰在岷江乐山段广泛分布。</w:t>
            </w:r>
          </w:p>
          <w:p>
            <w:pPr>
              <w:keepNext w:val="0"/>
              <w:keepLines w:val="0"/>
              <w:pageBreakBefore w:val="0"/>
              <w:widowControl/>
              <w:numPr>
                <w:ilvl w:val="0"/>
                <w:numId w:val="0"/>
              </w:numPr>
              <w:suppressLineNumbers w:val="0"/>
              <w:tabs>
                <w:tab w:val="left" w:pos="480"/>
              </w:tabs>
              <w:kinsoku/>
              <w:wordWrap/>
              <w:overflowPunct/>
              <w:topLinePunct w:val="0"/>
              <w:autoSpaceDE/>
              <w:autoSpaceDN/>
              <w:bidi w:val="0"/>
              <w:adjustRightInd/>
              <w:snapToGrid w:val="0"/>
              <w:spacing w:before="0" w:beforeAutospacing="0" w:after="0" w:afterAutospacing="0" w:line="360" w:lineRule="auto"/>
              <w:ind w:left="0" w:leftChars="0" w:right="0" w:firstLine="480" w:firstLineChars="200"/>
              <w:jc w:val="left"/>
              <w:textAlignment w:val="auto"/>
              <w:rPr>
                <w:rFonts w:hint="eastAsia" w:ascii="Times New Roman" w:hAnsi="Times New Roman" w:eastAsia="宋体" w:cs="Times New Roman"/>
                <w:bCs/>
                <w:color w:val="auto"/>
                <w:kern w:val="2"/>
                <w:sz w:val="24"/>
                <w:szCs w:val="20"/>
                <w:lang w:val="en-US" w:eastAsia="zh-CN" w:bidi="ar"/>
              </w:rPr>
            </w:pPr>
            <w:r>
              <w:rPr>
                <w:rFonts w:hint="eastAsia" w:ascii="Times New Roman" w:hAnsi="Times New Roman" w:eastAsia="宋体" w:cs="Times New Roman"/>
                <w:bCs/>
                <w:color w:val="auto"/>
                <w:kern w:val="2"/>
                <w:sz w:val="24"/>
                <w:szCs w:val="20"/>
                <w:lang w:val="en-US" w:eastAsia="zh-CN" w:bidi="ar"/>
              </w:rPr>
              <w:t>（3）鱼类区系特点</w:t>
            </w:r>
          </w:p>
          <w:p>
            <w:pPr>
              <w:keepNext w:val="0"/>
              <w:keepLines w:val="0"/>
              <w:pageBreakBefore w:val="0"/>
              <w:widowControl/>
              <w:numPr>
                <w:ilvl w:val="0"/>
                <w:numId w:val="0"/>
              </w:numPr>
              <w:suppressLineNumbers w:val="0"/>
              <w:tabs>
                <w:tab w:val="left" w:pos="480"/>
              </w:tabs>
              <w:kinsoku/>
              <w:wordWrap/>
              <w:overflowPunct/>
              <w:topLinePunct w:val="0"/>
              <w:autoSpaceDE/>
              <w:autoSpaceDN/>
              <w:bidi w:val="0"/>
              <w:adjustRightInd/>
              <w:snapToGrid w:val="0"/>
              <w:spacing w:before="0" w:beforeAutospacing="0" w:after="0" w:afterAutospacing="0" w:line="360" w:lineRule="auto"/>
              <w:ind w:left="0" w:leftChars="0" w:right="0" w:firstLine="480" w:firstLineChars="200"/>
              <w:jc w:val="left"/>
              <w:textAlignment w:val="auto"/>
              <w:rPr>
                <w:rFonts w:hint="eastAsia" w:ascii="Times New Roman" w:hAnsi="Times New Roman" w:eastAsia="宋体" w:cs="Times New Roman"/>
                <w:bCs/>
                <w:color w:val="auto"/>
                <w:kern w:val="2"/>
                <w:sz w:val="24"/>
                <w:szCs w:val="20"/>
                <w:lang w:val="en-US" w:eastAsia="zh-CN" w:bidi="ar"/>
              </w:rPr>
            </w:pPr>
            <w:r>
              <w:rPr>
                <w:rFonts w:hint="default" w:ascii="Times New Roman" w:hAnsi="Times New Roman" w:eastAsia="宋体" w:cs="Times New Roman"/>
                <w:bCs/>
                <w:color w:val="auto"/>
                <w:kern w:val="2"/>
                <w:sz w:val="24"/>
                <w:szCs w:val="20"/>
                <w:lang w:val="en-US" w:eastAsia="zh-CN" w:bidi="ar"/>
              </w:rPr>
              <w:t>按鱼类主要生活环境和生活水层的不同，该水域鱼类按生态类群可划分为：</w:t>
            </w:r>
          </w:p>
          <w:p>
            <w:pPr>
              <w:keepNext w:val="0"/>
              <w:keepLines w:val="0"/>
              <w:pageBreakBefore w:val="0"/>
              <w:widowControl/>
              <w:numPr>
                <w:ilvl w:val="0"/>
                <w:numId w:val="0"/>
              </w:numPr>
              <w:suppressLineNumbers w:val="0"/>
              <w:tabs>
                <w:tab w:val="left" w:pos="480"/>
              </w:tabs>
              <w:kinsoku/>
              <w:wordWrap/>
              <w:overflowPunct/>
              <w:topLinePunct w:val="0"/>
              <w:autoSpaceDE/>
              <w:autoSpaceDN/>
              <w:bidi w:val="0"/>
              <w:adjustRightInd/>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bCs/>
                <w:color w:val="auto"/>
                <w:kern w:val="2"/>
                <w:sz w:val="24"/>
                <w:szCs w:val="20"/>
                <w:lang w:val="en-US" w:eastAsia="zh-CN" w:bidi="ar"/>
              </w:rPr>
            </w:pPr>
            <w:r>
              <w:rPr>
                <w:rFonts w:hint="eastAsia" w:ascii="Times New Roman" w:hAnsi="Times New Roman" w:eastAsia="宋体" w:cs="Times New Roman"/>
                <w:bCs/>
                <w:color w:val="auto"/>
                <w:kern w:val="2"/>
                <w:sz w:val="24"/>
                <w:szCs w:val="20"/>
                <w:lang w:val="en-US" w:eastAsia="zh-CN" w:bidi="ar"/>
              </w:rPr>
              <w:t>①</w:t>
            </w:r>
            <w:r>
              <w:rPr>
                <w:rFonts w:hint="default" w:ascii="Times New Roman" w:hAnsi="Times New Roman" w:eastAsia="宋体" w:cs="Times New Roman"/>
                <w:bCs/>
                <w:color w:val="auto"/>
                <w:kern w:val="2"/>
                <w:sz w:val="24"/>
                <w:szCs w:val="20"/>
                <w:lang w:val="en-US" w:eastAsia="zh-CN" w:bidi="ar"/>
              </w:rPr>
              <w:t>流水中、下层类群</w:t>
            </w:r>
          </w:p>
          <w:p>
            <w:pPr>
              <w:keepNext w:val="0"/>
              <w:keepLines w:val="0"/>
              <w:pageBreakBefore w:val="0"/>
              <w:widowControl/>
              <w:numPr>
                <w:ilvl w:val="0"/>
                <w:numId w:val="0"/>
              </w:numPr>
              <w:suppressLineNumbers w:val="0"/>
              <w:tabs>
                <w:tab w:val="left" w:pos="480"/>
              </w:tabs>
              <w:kinsoku/>
              <w:wordWrap/>
              <w:overflowPunct/>
              <w:topLinePunct w:val="0"/>
              <w:autoSpaceDE/>
              <w:autoSpaceDN/>
              <w:bidi w:val="0"/>
              <w:adjustRightInd/>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bCs/>
                <w:color w:val="auto"/>
                <w:kern w:val="2"/>
                <w:sz w:val="24"/>
                <w:szCs w:val="20"/>
                <w:lang w:val="en-US" w:eastAsia="zh-CN" w:bidi="ar"/>
              </w:rPr>
            </w:pPr>
            <w:r>
              <w:rPr>
                <w:rFonts w:hint="default" w:ascii="Times New Roman" w:hAnsi="Times New Roman" w:eastAsia="宋体" w:cs="Times New Roman"/>
                <w:bCs/>
                <w:color w:val="auto"/>
                <w:kern w:val="2"/>
                <w:sz w:val="24"/>
                <w:szCs w:val="20"/>
                <w:lang w:val="en-US" w:eastAsia="zh-CN" w:bidi="ar"/>
              </w:rPr>
              <w:t>这是该水域种类最多的类群，主要生活在江河水体中、下层，其中部分种类适应性较强，在流水、缓流水及静水都能生存自如。有鲤科的唇</w:t>
            </w:r>
            <w:r>
              <w:rPr>
                <w:rFonts w:hint="eastAsia" w:ascii="Times New Roman" w:hAnsi="Times New Roman" w:eastAsia="宋体" w:cs="Times New Roman"/>
                <w:bCs/>
                <w:color w:val="auto"/>
                <w:kern w:val="2"/>
                <w:sz w:val="24"/>
                <w:szCs w:val="20"/>
                <w:lang w:val="en-US" w:eastAsia="zh-CN" w:bidi="ar"/>
              </w:rPr>
              <w:t>䱻</w:t>
            </w:r>
            <w:r>
              <w:rPr>
                <w:rFonts w:hint="default" w:ascii="Times New Roman" w:hAnsi="Times New Roman" w:eastAsia="宋体" w:cs="Times New Roman"/>
                <w:bCs/>
                <w:color w:val="auto"/>
                <w:kern w:val="2"/>
                <w:sz w:val="24"/>
                <w:szCs w:val="20"/>
                <w:lang w:val="en-US" w:eastAsia="zh-CN" w:bidi="ar"/>
              </w:rPr>
              <w:t>、花</w:t>
            </w:r>
            <w:r>
              <w:rPr>
                <w:rFonts w:hint="eastAsia" w:ascii="Times New Roman" w:hAnsi="Times New Roman" w:eastAsia="宋体" w:cs="Times New Roman"/>
                <w:bCs/>
                <w:color w:val="auto"/>
                <w:kern w:val="2"/>
                <w:sz w:val="24"/>
                <w:szCs w:val="20"/>
                <w:lang w:val="en-US" w:eastAsia="zh-CN" w:bidi="ar"/>
              </w:rPr>
              <w:t>䱻</w:t>
            </w:r>
            <w:r>
              <w:rPr>
                <w:rFonts w:hint="default" w:ascii="Times New Roman" w:hAnsi="Times New Roman" w:eastAsia="宋体" w:cs="Times New Roman"/>
                <w:bCs/>
                <w:color w:val="auto"/>
                <w:kern w:val="2"/>
                <w:sz w:val="24"/>
                <w:szCs w:val="20"/>
                <w:lang w:val="en-US" w:eastAsia="zh-CN" w:bidi="ar"/>
              </w:rPr>
              <w:t>、黑鳍鳈、宜昌鳅鮀、异鳔鳅鮀、泉水鱼、鲤、鲫，鲇科的鲇、大口鲇，鲿科的黄颡鱼、瓦氏黄颡鱼、粗唇鮠、切尾拟鲿、细体拟鲿、大鳍鳠，钝头鮠科的白缘</w:t>
            </w:r>
            <w:r>
              <w:rPr>
                <w:rFonts w:hint="eastAsia" w:ascii="Times New Roman" w:hAnsi="Times New Roman" w:eastAsia="宋体" w:cs="Times New Roman"/>
                <w:bCs/>
                <w:color w:val="auto"/>
                <w:kern w:val="2"/>
                <w:sz w:val="24"/>
                <w:szCs w:val="20"/>
                <w:lang w:val="en-US" w:eastAsia="zh-CN" w:bidi="ar"/>
              </w:rPr>
              <w:t>䱀</w:t>
            </w:r>
            <w:r>
              <w:rPr>
                <w:rFonts w:hint="default" w:ascii="Times New Roman" w:hAnsi="Times New Roman" w:eastAsia="宋体" w:cs="Times New Roman"/>
                <w:bCs/>
                <w:color w:val="auto"/>
                <w:kern w:val="2"/>
                <w:sz w:val="24"/>
                <w:szCs w:val="20"/>
                <w:lang w:val="en-US" w:eastAsia="zh-CN" w:bidi="ar"/>
              </w:rPr>
              <w:t>，鮨科的鳜、长身鳜及外来种类鮰科的黑鮰，共20种，占该水域鱼类种数的29.9%。</w:t>
            </w:r>
          </w:p>
          <w:p>
            <w:pPr>
              <w:keepNext w:val="0"/>
              <w:keepLines w:val="0"/>
              <w:pageBreakBefore w:val="0"/>
              <w:widowControl/>
              <w:numPr>
                <w:ilvl w:val="0"/>
                <w:numId w:val="0"/>
              </w:numPr>
              <w:suppressLineNumbers w:val="0"/>
              <w:tabs>
                <w:tab w:val="left" w:pos="480"/>
              </w:tabs>
              <w:kinsoku/>
              <w:wordWrap/>
              <w:overflowPunct/>
              <w:topLinePunct w:val="0"/>
              <w:autoSpaceDE/>
              <w:autoSpaceDN/>
              <w:bidi w:val="0"/>
              <w:adjustRightInd/>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bCs/>
                <w:color w:val="auto"/>
                <w:kern w:val="2"/>
                <w:sz w:val="24"/>
                <w:szCs w:val="20"/>
                <w:lang w:val="en-US" w:eastAsia="zh-CN" w:bidi="ar"/>
              </w:rPr>
            </w:pPr>
            <w:r>
              <w:rPr>
                <w:rFonts w:hint="eastAsia" w:ascii="Times New Roman" w:hAnsi="Times New Roman" w:eastAsia="宋体" w:cs="Times New Roman"/>
                <w:bCs/>
                <w:color w:val="auto"/>
                <w:kern w:val="2"/>
                <w:sz w:val="24"/>
                <w:szCs w:val="20"/>
                <w:lang w:val="en-US" w:eastAsia="zh-CN" w:bidi="ar"/>
              </w:rPr>
              <w:t>②</w:t>
            </w:r>
            <w:r>
              <w:rPr>
                <w:rFonts w:hint="default" w:ascii="Times New Roman" w:hAnsi="Times New Roman" w:eastAsia="宋体" w:cs="Times New Roman"/>
                <w:bCs/>
                <w:color w:val="auto"/>
                <w:kern w:val="2"/>
                <w:sz w:val="24"/>
                <w:szCs w:val="20"/>
                <w:lang w:val="en-US" w:eastAsia="zh-CN" w:bidi="ar"/>
              </w:rPr>
              <w:t>流水底层类群</w:t>
            </w:r>
          </w:p>
          <w:p>
            <w:pPr>
              <w:keepNext w:val="0"/>
              <w:keepLines w:val="0"/>
              <w:pageBreakBefore w:val="0"/>
              <w:widowControl/>
              <w:numPr>
                <w:ilvl w:val="0"/>
                <w:numId w:val="0"/>
              </w:numPr>
              <w:suppressLineNumbers w:val="0"/>
              <w:tabs>
                <w:tab w:val="left" w:pos="480"/>
              </w:tabs>
              <w:kinsoku/>
              <w:wordWrap/>
              <w:overflowPunct/>
              <w:topLinePunct w:val="0"/>
              <w:autoSpaceDE/>
              <w:autoSpaceDN/>
              <w:bidi w:val="0"/>
              <w:adjustRightInd/>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bCs/>
                <w:color w:val="auto"/>
                <w:kern w:val="2"/>
                <w:sz w:val="24"/>
                <w:szCs w:val="20"/>
                <w:lang w:val="en-US" w:eastAsia="zh-CN" w:bidi="ar"/>
              </w:rPr>
            </w:pPr>
            <w:r>
              <w:rPr>
                <w:rFonts w:hint="default" w:ascii="Times New Roman" w:hAnsi="Times New Roman" w:eastAsia="宋体" w:cs="Times New Roman"/>
                <w:bCs/>
                <w:color w:val="auto"/>
                <w:kern w:val="2"/>
                <w:sz w:val="24"/>
                <w:szCs w:val="20"/>
                <w:lang w:val="en-US" w:eastAsia="zh-CN" w:bidi="ar"/>
              </w:rPr>
              <w:t>这是一类适应流水水底生活的鱼类，一般不进入静水和缓流水水域活动。此种类有鳅科的红尾副鳅、短体副鳅、山鳅、贝氏高原鳅、中华沙鳅、长薄鳅，鲤科的吻鮈、长鳍吻鮈、蛇鮈、中华倒刺鲃、白甲鱼、四川白甲鱼、银鲴 ，黄尾鲴、圆吻鲴共16种，占该水域鱼类种数的23.9</w:t>
            </w:r>
            <w:r>
              <w:rPr>
                <w:rFonts w:hint="eastAsia" w:cs="Times New Roman"/>
                <w:bCs/>
                <w:color w:val="auto"/>
                <w:kern w:val="2"/>
                <w:sz w:val="24"/>
                <w:szCs w:val="20"/>
                <w:lang w:val="en-US" w:eastAsia="zh-CN" w:bidi="ar"/>
              </w:rPr>
              <w:t>%</w:t>
            </w:r>
            <w:r>
              <w:rPr>
                <w:rFonts w:hint="default" w:ascii="Times New Roman" w:hAnsi="Times New Roman" w:eastAsia="宋体" w:cs="Times New Roman"/>
                <w:bCs/>
                <w:color w:val="auto"/>
                <w:kern w:val="2"/>
                <w:sz w:val="24"/>
                <w:szCs w:val="20"/>
                <w:lang w:val="en-US" w:eastAsia="zh-CN" w:bidi="ar"/>
              </w:rPr>
              <w:t>。</w:t>
            </w:r>
          </w:p>
          <w:p>
            <w:pPr>
              <w:keepNext w:val="0"/>
              <w:keepLines w:val="0"/>
              <w:pageBreakBefore w:val="0"/>
              <w:widowControl/>
              <w:numPr>
                <w:ilvl w:val="0"/>
                <w:numId w:val="0"/>
              </w:numPr>
              <w:suppressLineNumbers w:val="0"/>
              <w:tabs>
                <w:tab w:val="left" w:pos="480"/>
              </w:tabs>
              <w:kinsoku/>
              <w:wordWrap/>
              <w:overflowPunct/>
              <w:topLinePunct w:val="0"/>
              <w:autoSpaceDE/>
              <w:autoSpaceDN/>
              <w:bidi w:val="0"/>
              <w:adjustRightInd/>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bCs/>
                <w:color w:val="auto"/>
                <w:kern w:val="2"/>
                <w:sz w:val="24"/>
                <w:szCs w:val="20"/>
                <w:lang w:val="en-US" w:eastAsia="zh-CN" w:bidi="ar"/>
              </w:rPr>
            </w:pPr>
            <w:r>
              <w:rPr>
                <w:rFonts w:hint="eastAsia" w:ascii="Times New Roman" w:hAnsi="Times New Roman" w:eastAsia="宋体" w:cs="Times New Roman"/>
                <w:bCs/>
                <w:color w:val="auto"/>
                <w:kern w:val="2"/>
                <w:sz w:val="24"/>
                <w:szCs w:val="20"/>
                <w:lang w:val="en-US" w:eastAsia="zh-CN" w:bidi="ar"/>
              </w:rPr>
              <w:t>③</w:t>
            </w:r>
            <w:r>
              <w:rPr>
                <w:rFonts w:hint="default" w:ascii="Times New Roman" w:hAnsi="Times New Roman" w:eastAsia="宋体" w:cs="Times New Roman"/>
                <w:bCs/>
                <w:color w:val="auto"/>
                <w:kern w:val="2"/>
                <w:sz w:val="24"/>
                <w:szCs w:val="20"/>
                <w:lang w:val="en-US" w:eastAsia="zh-CN" w:bidi="ar"/>
              </w:rPr>
              <w:t>流水中上层类群</w:t>
            </w:r>
          </w:p>
          <w:p>
            <w:pPr>
              <w:keepNext w:val="0"/>
              <w:keepLines w:val="0"/>
              <w:pageBreakBefore w:val="0"/>
              <w:widowControl/>
              <w:numPr>
                <w:ilvl w:val="0"/>
                <w:numId w:val="0"/>
              </w:numPr>
              <w:suppressLineNumbers w:val="0"/>
              <w:tabs>
                <w:tab w:val="left" w:pos="480"/>
              </w:tabs>
              <w:kinsoku/>
              <w:wordWrap/>
              <w:overflowPunct/>
              <w:topLinePunct w:val="0"/>
              <w:autoSpaceDE/>
              <w:autoSpaceDN/>
              <w:bidi w:val="0"/>
              <w:adjustRightInd/>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bCs/>
                <w:color w:val="auto"/>
                <w:kern w:val="2"/>
                <w:sz w:val="24"/>
                <w:szCs w:val="20"/>
                <w:lang w:val="en-US" w:eastAsia="zh-CN" w:bidi="ar"/>
              </w:rPr>
            </w:pPr>
            <w:r>
              <w:rPr>
                <w:rFonts w:hint="default" w:ascii="Times New Roman" w:hAnsi="Times New Roman" w:eastAsia="宋体" w:cs="Times New Roman"/>
                <w:bCs/>
                <w:color w:val="auto"/>
                <w:kern w:val="2"/>
                <w:sz w:val="24"/>
                <w:szCs w:val="20"/>
                <w:lang w:val="en-US" w:eastAsia="zh-CN" w:bidi="ar"/>
              </w:rPr>
              <w:t>此类群多生活于江河水体的中、上层，也可生存于塘、库、湖泊环境和缓流水环境。这一类群在该水域有宽鳍鱲、马口鱼、鲢、草鱼、赤眼鳟、四川华鳊、半</w:t>
            </w:r>
            <w:r>
              <w:rPr>
                <w:rFonts w:hint="eastAsia" w:ascii="Times New Roman" w:hAnsi="Times New Roman" w:eastAsia="宋体" w:cs="Times New Roman"/>
                <w:bCs/>
                <w:color w:val="auto"/>
                <w:kern w:val="2"/>
                <w:sz w:val="24"/>
                <w:szCs w:val="20"/>
                <w:lang w:val="en-US" w:eastAsia="zh-CN" w:bidi="ar"/>
              </w:rPr>
              <w:t>䱗</w:t>
            </w:r>
            <w:r>
              <w:rPr>
                <w:rFonts w:hint="default" w:ascii="Times New Roman" w:hAnsi="Times New Roman" w:eastAsia="宋体" w:cs="Times New Roman"/>
                <w:bCs/>
                <w:color w:val="auto"/>
                <w:kern w:val="2"/>
                <w:sz w:val="24"/>
                <w:szCs w:val="20"/>
                <w:lang w:val="en-US" w:eastAsia="zh-CN" w:bidi="ar"/>
              </w:rPr>
              <w:t>、红鳍鲌、翘嘴红鲌</w:t>
            </w:r>
            <w:r>
              <w:rPr>
                <w:rFonts w:hint="eastAsia" w:ascii="Times New Roman" w:hAnsi="Times New Roman" w:eastAsia="宋体" w:cs="Times New Roman"/>
                <w:bCs/>
                <w:color w:val="auto"/>
                <w:kern w:val="2"/>
                <w:sz w:val="24"/>
                <w:szCs w:val="20"/>
                <w:lang w:val="en-US" w:eastAsia="zh-CN" w:bidi="ar"/>
              </w:rPr>
              <w:t>、</w:t>
            </w:r>
            <w:r>
              <w:rPr>
                <w:rFonts w:hint="default" w:ascii="Times New Roman" w:hAnsi="Times New Roman" w:eastAsia="宋体" w:cs="Times New Roman"/>
                <w:bCs/>
                <w:color w:val="auto"/>
                <w:kern w:val="2"/>
                <w:sz w:val="24"/>
                <w:szCs w:val="20"/>
                <w:lang w:val="en-US" w:eastAsia="zh-CN" w:bidi="ar"/>
              </w:rPr>
              <w:t>蒙古红鲌共11种，占该水域鱼类种数的16.4%。</w:t>
            </w:r>
          </w:p>
          <w:p>
            <w:pPr>
              <w:keepNext w:val="0"/>
              <w:keepLines w:val="0"/>
              <w:pageBreakBefore w:val="0"/>
              <w:widowControl/>
              <w:numPr>
                <w:ilvl w:val="0"/>
                <w:numId w:val="0"/>
              </w:numPr>
              <w:suppressLineNumbers w:val="0"/>
              <w:tabs>
                <w:tab w:val="left" w:pos="480"/>
              </w:tabs>
              <w:kinsoku/>
              <w:wordWrap/>
              <w:overflowPunct/>
              <w:topLinePunct w:val="0"/>
              <w:autoSpaceDE/>
              <w:autoSpaceDN/>
              <w:bidi w:val="0"/>
              <w:adjustRightInd/>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bCs/>
                <w:color w:val="auto"/>
                <w:kern w:val="2"/>
                <w:sz w:val="24"/>
                <w:szCs w:val="20"/>
                <w:lang w:val="en-US" w:eastAsia="zh-CN" w:bidi="ar"/>
              </w:rPr>
            </w:pPr>
            <w:r>
              <w:rPr>
                <w:rFonts w:hint="eastAsia" w:ascii="Times New Roman" w:hAnsi="Times New Roman" w:eastAsia="宋体" w:cs="Times New Roman"/>
                <w:bCs/>
                <w:color w:val="auto"/>
                <w:kern w:val="2"/>
                <w:sz w:val="24"/>
                <w:szCs w:val="20"/>
                <w:lang w:val="en-US" w:eastAsia="zh-CN" w:bidi="ar"/>
              </w:rPr>
              <w:t>④</w:t>
            </w:r>
            <w:r>
              <w:rPr>
                <w:rFonts w:hint="default" w:ascii="Times New Roman" w:hAnsi="Times New Roman" w:eastAsia="宋体" w:cs="Times New Roman"/>
                <w:bCs/>
                <w:color w:val="auto"/>
                <w:kern w:val="2"/>
                <w:sz w:val="24"/>
                <w:szCs w:val="20"/>
                <w:lang w:val="en-US" w:eastAsia="zh-CN" w:bidi="ar"/>
              </w:rPr>
              <w:t>静水、缓流水类群</w:t>
            </w:r>
          </w:p>
          <w:p>
            <w:pPr>
              <w:keepNext w:val="0"/>
              <w:keepLines w:val="0"/>
              <w:pageBreakBefore w:val="0"/>
              <w:widowControl/>
              <w:numPr>
                <w:ilvl w:val="0"/>
                <w:numId w:val="0"/>
              </w:numPr>
              <w:suppressLineNumbers w:val="0"/>
              <w:tabs>
                <w:tab w:val="left" w:pos="480"/>
              </w:tabs>
              <w:kinsoku/>
              <w:wordWrap/>
              <w:overflowPunct/>
              <w:topLinePunct w:val="0"/>
              <w:autoSpaceDE/>
              <w:autoSpaceDN/>
              <w:bidi w:val="0"/>
              <w:adjustRightInd/>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bCs/>
                <w:color w:val="auto"/>
                <w:kern w:val="2"/>
                <w:sz w:val="24"/>
                <w:szCs w:val="20"/>
                <w:lang w:val="en-US" w:eastAsia="zh-CN" w:bidi="ar"/>
              </w:rPr>
            </w:pPr>
            <w:r>
              <w:rPr>
                <w:rFonts w:hint="default" w:ascii="Times New Roman" w:hAnsi="Times New Roman" w:eastAsia="宋体" w:cs="Times New Roman"/>
                <w:bCs/>
                <w:color w:val="auto"/>
                <w:kern w:val="2"/>
                <w:sz w:val="24"/>
                <w:szCs w:val="20"/>
                <w:lang w:val="en-US" w:eastAsia="zh-CN" w:bidi="ar"/>
              </w:rPr>
              <w:t>这一类群主要生活在坑、凼、小溪等静、缓流水中，有中华细鲫、中华鳑鲏、高体鳑鲏、峨眉鱊、麦穗鱼、短须颌须鮈、裸腹片唇鮈、银鮈、棒花鱼、子陵栉鰕鯱等10种，占该水域鱼类种数的14.9%。</w:t>
            </w:r>
          </w:p>
          <w:p>
            <w:pPr>
              <w:keepNext w:val="0"/>
              <w:keepLines w:val="0"/>
              <w:pageBreakBefore w:val="0"/>
              <w:widowControl/>
              <w:numPr>
                <w:ilvl w:val="0"/>
                <w:numId w:val="0"/>
              </w:numPr>
              <w:suppressLineNumbers w:val="0"/>
              <w:tabs>
                <w:tab w:val="left" w:pos="480"/>
              </w:tabs>
              <w:kinsoku/>
              <w:wordWrap/>
              <w:overflowPunct/>
              <w:topLinePunct w:val="0"/>
              <w:autoSpaceDE/>
              <w:autoSpaceDN/>
              <w:bidi w:val="0"/>
              <w:adjustRightInd/>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bCs/>
                <w:color w:val="auto"/>
                <w:kern w:val="2"/>
                <w:sz w:val="24"/>
                <w:szCs w:val="20"/>
                <w:lang w:val="en-US" w:eastAsia="zh-CN" w:bidi="ar"/>
              </w:rPr>
            </w:pPr>
            <w:r>
              <w:rPr>
                <w:rFonts w:hint="eastAsia" w:ascii="Times New Roman" w:hAnsi="Times New Roman" w:eastAsia="宋体" w:cs="Times New Roman"/>
                <w:bCs/>
                <w:color w:val="auto"/>
                <w:kern w:val="2"/>
                <w:sz w:val="24"/>
                <w:szCs w:val="20"/>
                <w:lang w:val="en-US" w:eastAsia="zh-CN" w:bidi="ar"/>
              </w:rPr>
              <w:t>⑤</w:t>
            </w:r>
            <w:r>
              <w:rPr>
                <w:rFonts w:hint="default" w:ascii="Times New Roman" w:hAnsi="Times New Roman" w:eastAsia="宋体" w:cs="Times New Roman"/>
                <w:bCs/>
                <w:color w:val="auto"/>
                <w:kern w:val="2"/>
                <w:sz w:val="24"/>
                <w:szCs w:val="20"/>
                <w:lang w:val="en-US" w:eastAsia="zh-CN" w:bidi="ar"/>
              </w:rPr>
              <w:t>流水吸着类群</w:t>
            </w:r>
          </w:p>
          <w:p>
            <w:pPr>
              <w:keepNext w:val="0"/>
              <w:keepLines w:val="0"/>
              <w:pageBreakBefore w:val="0"/>
              <w:widowControl/>
              <w:numPr>
                <w:ilvl w:val="0"/>
                <w:numId w:val="0"/>
              </w:numPr>
              <w:suppressLineNumbers w:val="0"/>
              <w:tabs>
                <w:tab w:val="left" w:pos="480"/>
              </w:tabs>
              <w:kinsoku/>
              <w:wordWrap/>
              <w:overflowPunct/>
              <w:topLinePunct w:val="0"/>
              <w:autoSpaceDE/>
              <w:autoSpaceDN/>
              <w:bidi w:val="0"/>
              <w:adjustRightInd/>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bCs/>
                <w:color w:val="auto"/>
                <w:kern w:val="2"/>
                <w:sz w:val="24"/>
                <w:szCs w:val="20"/>
                <w:lang w:val="en-US" w:eastAsia="zh-CN" w:bidi="ar"/>
              </w:rPr>
            </w:pPr>
            <w:r>
              <w:rPr>
                <w:rFonts w:hint="default" w:ascii="Times New Roman" w:hAnsi="Times New Roman" w:eastAsia="宋体" w:cs="Times New Roman"/>
                <w:bCs/>
                <w:color w:val="auto"/>
                <w:kern w:val="2"/>
                <w:sz w:val="24"/>
                <w:szCs w:val="20"/>
                <w:lang w:val="en-US" w:eastAsia="zh-CN" w:bidi="ar"/>
              </w:rPr>
              <w:t>这是一类具备特异性生理结构适应急流水底生活特化的种类，其头胸部宽扁，胸、腹鳍向两侧水平展呈吸盘，胸腹面具纹状或羽状吸着器，能紧紧地吸附在急流水底岩砾上生活。这一类群有平鳍鳅科的犁头鳅、短身间吸鳅、西昌华吸鳅、峨</w:t>
            </w:r>
            <w:r>
              <w:rPr>
                <w:rFonts w:hint="eastAsia" w:cs="Times New Roman"/>
                <w:bCs/>
                <w:color w:val="auto"/>
                <w:kern w:val="2"/>
                <w:sz w:val="24"/>
                <w:szCs w:val="20"/>
                <w:lang w:val="en-US" w:eastAsia="zh-CN" w:bidi="ar"/>
              </w:rPr>
              <w:t>眉</w:t>
            </w:r>
            <w:r>
              <w:rPr>
                <w:rFonts w:hint="default" w:ascii="Times New Roman" w:hAnsi="Times New Roman" w:eastAsia="宋体" w:cs="Times New Roman"/>
                <w:bCs/>
                <w:color w:val="auto"/>
                <w:kern w:val="2"/>
                <w:sz w:val="24"/>
                <w:szCs w:val="20"/>
                <w:lang w:val="en-US" w:eastAsia="zh-CN" w:bidi="ar"/>
              </w:rPr>
              <w:t>后平鳅，鮡科的福建纹胸鮡、中华纹胸鮡、青石爬鮡，共7种，占该江段鱼类种数的10.4%。</w:t>
            </w:r>
          </w:p>
          <w:p>
            <w:pPr>
              <w:keepNext w:val="0"/>
              <w:keepLines w:val="0"/>
              <w:pageBreakBefore w:val="0"/>
              <w:widowControl/>
              <w:numPr>
                <w:ilvl w:val="0"/>
                <w:numId w:val="0"/>
              </w:numPr>
              <w:suppressLineNumbers w:val="0"/>
              <w:tabs>
                <w:tab w:val="left" w:pos="480"/>
              </w:tabs>
              <w:kinsoku/>
              <w:wordWrap/>
              <w:overflowPunct/>
              <w:topLinePunct w:val="0"/>
              <w:autoSpaceDE/>
              <w:autoSpaceDN/>
              <w:bidi w:val="0"/>
              <w:adjustRightInd/>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bCs/>
                <w:color w:val="auto"/>
                <w:kern w:val="2"/>
                <w:sz w:val="24"/>
                <w:szCs w:val="20"/>
                <w:lang w:val="en-US" w:eastAsia="zh-CN" w:bidi="ar"/>
              </w:rPr>
            </w:pPr>
            <w:r>
              <w:rPr>
                <w:rFonts w:hint="eastAsia" w:ascii="Times New Roman" w:hAnsi="Times New Roman" w:eastAsia="宋体" w:cs="Times New Roman"/>
                <w:bCs/>
                <w:color w:val="auto"/>
                <w:kern w:val="2"/>
                <w:sz w:val="24"/>
                <w:szCs w:val="20"/>
                <w:lang w:val="en-US" w:eastAsia="zh-CN" w:bidi="ar"/>
              </w:rPr>
              <w:t>⑥</w:t>
            </w:r>
            <w:r>
              <w:rPr>
                <w:rFonts w:hint="default" w:ascii="Times New Roman" w:hAnsi="Times New Roman" w:eastAsia="宋体" w:cs="Times New Roman"/>
                <w:bCs/>
                <w:color w:val="auto"/>
                <w:kern w:val="2"/>
                <w:sz w:val="24"/>
                <w:szCs w:val="20"/>
                <w:lang w:val="en-US" w:eastAsia="zh-CN" w:bidi="ar"/>
              </w:rPr>
              <w:t>洞穴类群</w:t>
            </w:r>
          </w:p>
          <w:p>
            <w:pPr>
              <w:keepNext w:val="0"/>
              <w:keepLines w:val="0"/>
              <w:pageBreakBefore w:val="0"/>
              <w:widowControl/>
              <w:numPr>
                <w:ilvl w:val="0"/>
                <w:numId w:val="0"/>
              </w:numPr>
              <w:suppressLineNumbers w:val="0"/>
              <w:tabs>
                <w:tab w:val="left" w:pos="480"/>
              </w:tabs>
              <w:kinsoku/>
              <w:wordWrap/>
              <w:overflowPunct/>
              <w:topLinePunct w:val="0"/>
              <w:autoSpaceDE/>
              <w:autoSpaceDN/>
              <w:bidi w:val="0"/>
              <w:adjustRightInd/>
              <w:snapToGrid w:val="0"/>
              <w:spacing w:before="0" w:beforeAutospacing="0" w:after="0" w:afterAutospacing="0" w:line="360" w:lineRule="auto"/>
              <w:ind w:left="0" w:leftChars="0" w:right="0" w:firstLine="480" w:firstLineChars="200"/>
              <w:jc w:val="left"/>
              <w:textAlignment w:val="auto"/>
              <w:rPr>
                <w:rFonts w:hint="eastAsia" w:ascii="Times New Roman" w:hAnsi="Times New Roman" w:eastAsia="宋体" w:cs="Times New Roman"/>
                <w:bCs/>
                <w:color w:val="auto"/>
                <w:kern w:val="2"/>
                <w:sz w:val="24"/>
                <w:szCs w:val="20"/>
                <w:lang w:val="en-US" w:eastAsia="zh-CN" w:bidi="ar"/>
              </w:rPr>
            </w:pPr>
            <w:r>
              <w:rPr>
                <w:rFonts w:hint="default" w:ascii="Times New Roman" w:hAnsi="Times New Roman" w:eastAsia="宋体" w:cs="Times New Roman"/>
                <w:bCs/>
                <w:color w:val="auto"/>
                <w:kern w:val="2"/>
                <w:sz w:val="24"/>
                <w:szCs w:val="20"/>
                <w:lang w:val="en-US" w:eastAsia="zh-CN" w:bidi="ar"/>
              </w:rPr>
              <w:t>主要营静水、缓流水堤岸洞穴生活，仅黄鳝</w:t>
            </w:r>
            <w:r>
              <w:rPr>
                <w:rFonts w:hint="eastAsia" w:ascii="Times New Roman" w:hAnsi="Times New Roman" w:eastAsia="宋体" w:cs="Times New Roman"/>
                <w:bCs/>
                <w:color w:val="auto"/>
                <w:kern w:val="2"/>
                <w:sz w:val="24"/>
                <w:szCs w:val="20"/>
                <w:lang w:val="en-US" w:eastAsia="zh-CN" w:bidi="ar"/>
              </w:rPr>
              <w:t>、</w:t>
            </w:r>
            <w:r>
              <w:rPr>
                <w:rFonts w:hint="default" w:ascii="Times New Roman" w:hAnsi="Times New Roman" w:eastAsia="宋体" w:cs="Times New Roman"/>
                <w:bCs/>
                <w:color w:val="auto"/>
                <w:kern w:val="2"/>
                <w:sz w:val="24"/>
                <w:szCs w:val="20"/>
                <w:lang w:val="en-US" w:eastAsia="zh-CN" w:bidi="ar"/>
              </w:rPr>
              <w:t>泥鳅2种，占该水域鱼类种数的3.0%。</w:t>
            </w:r>
          </w:p>
          <w:p>
            <w:pPr>
              <w:keepNext w:val="0"/>
              <w:keepLines w:val="0"/>
              <w:pageBreakBefore w:val="0"/>
              <w:widowControl/>
              <w:numPr>
                <w:ilvl w:val="0"/>
                <w:numId w:val="0"/>
              </w:numPr>
              <w:suppressLineNumbers w:val="0"/>
              <w:tabs>
                <w:tab w:val="left" w:pos="480"/>
              </w:tabs>
              <w:kinsoku/>
              <w:wordWrap/>
              <w:overflowPunct/>
              <w:topLinePunct w:val="0"/>
              <w:autoSpaceDE/>
              <w:autoSpaceDN/>
              <w:bidi w:val="0"/>
              <w:adjustRightInd/>
              <w:snapToGrid w:val="0"/>
              <w:spacing w:before="0" w:beforeAutospacing="0" w:after="0" w:afterAutospacing="0" w:line="360" w:lineRule="auto"/>
              <w:ind w:left="0" w:leftChars="0" w:right="0" w:firstLine="480" w:firstLineChars="200"/>
              <w:jc w:val="left"/>
              <w:textAlignment w:val="auto"/>
              <w:rPr>
                <w:rFonts w:hint="eastAsia" w:ascii="Times New Roman" w:hAnsi="Times New Roman" w:eastAsia="宋体" w:cs="Times New Roman"/>
                <w:bCs/>
                <w:color w:val="auto"/>
                <w:kern w:val="2"/>
                <w:sz w:val="24"/>
                <w:szCs w:val="20"/>
                <w:lang w:val="en-US" w:eastAsia="zh-CN" w:bidi="ar"/>
              </w:rPr>
            </w:pPr>
            <w:r>
              <w:rPr>
                <w:rFonts w:hint="eastAsia" w:ascii="Times New Roman" w:hAnsi="Times New Roman" w:eastAsia="宋体" w:cs="Times New Roman"/>
                <w:bCs/>
                <w:color w:val="auto"/>
                <w:kern w:val="2"/>
                <w:sz w:val="24"/>
                <w:szCs w:val="20"/>
                <w:lang w:val="en-US" w:eastAsia="zh-CN" w:bidi="ar"/>
              </w:rPr>
              <w:t>（4）鱼类资源以及渔获物组成</w:t>
            </w:r>
          </w:p>
          <w:p>
            <w:pPr>
              <w:keepNext w:val="0"/>
              <w:keepLines w:val="0"/>
              <w:pageBreakBefore w:val="0"/>
              <w:widowControl/>
              <w:numPr>
                <w:ilvl w:val="0"/>
                <w:numId w:val="0"/>
              </w:numPr>
              <w:suppressLineNumbers w:val="0"/>
              <w:tabs>
                <w:tab w:val="left" w:pos="480"/>
              </w:tabs>
              <w:kinsoku/>
              <w:wordWrap/>
              <w:overflowPunct/>
              <w:topLinePunct w:val="0"/>
              <w:bidi w:val="0"/>
              <w:snapToGrid w:val="0"/>
              <w:spacing w:before="0" w:beforeAutospacing="0" w:after="0" w:afterAutospacing="0" w:line="360" w:lineRule="auto"/>
              <w:ind w:left="0" w:leftChars="0" w:right="0" w:rightChars="0" w:firstLine="480" w:firstLineChars="200"/>
              <w:jc w:val="left"/>
              <w:rPr>
                <w:rFonts w:hint="eastAsia" w:ascii="Times New Roman" w:hAnsi="Times New Roman" w:eastAsia="宋体" w:cs="Times New Roman"/>
                <w:bCs/>
                <w:color w:val="auto"/>
                <w:kern w:val="2"/>
                <w:sz w:val="24"/>
                <w:szCs w:val="20"/>
                <w:lang w:val="en-US" w:eastAsia="zh-CN" w:bidi="ar"/>
              </w:rPr>
            </w:pPr>
            <w:r>
              <w:rPr>
                <w:rFonts w:hint="eastAsia" w:ascii="Times New Roman" w:hAnsi="Times New Roman" w:eastAsia="宋体" w:cs="Times New Roman"/>
                <w:bCs/>
                <w:color w:val="auto"/>
                <w:kern w:val="2"/>
                <w:sz w:val="24"/>
                <w:szCs w:val="20"/>
                <w:lang w:val="en-US" w:eastAsia="zh-CN" w:bidi="ar"/>
              </w:rPr>
              <w:t>根据</w:t>
            </w:r>
            <w:r>
              <w:rPr>
                <w:rFonts w:hint="default" w:ascii="Times New Roman" w:hAnsi="Times New Roman" w:eastAsia="宋体" w:cs="Times New Roman"/>
                <w:bCs/>
                <w:color w:val="auto"/>
                <w:kern w:val="2"/>
                <w:sz w:val="24"/>
                <w:szCs w:val="20"/>
                <w:lang w:val="en-US" w:eastAsia="zh-CN" w:bidi="ar"/>
              </w:rPr>
              <w:t>2007年</w:t>
            </w:r>
            <w:r>
              <w:rPr>
                <w:rFonts w:hint="eastAsia" w:ascii="Times New Roman" w:hAnsi="Times New Roman" w:eastAsia="宋体" w:cs="Times New Roman"/>
                <w:bCs/>
                <w:color w:val="auto"/>
                <w:kern w:val="2"/>
                <w:sz w:val="24"/>
                <w:szCs w:val="20"/>
                <w:lang w:val="en-US" w:eastAsia="zh-CN" w:bidi="ar"/>
              </w:rPr>
              <w:t>《四川省大渡河安谷水电站环境影响报告书》对调查区域的网捕鱼类进行了统计，</w:t>
            </w:r>
            <w:r>
              <w:rPr>
                <w:rFonts w:hint="default" w:ascii="Times New Roman" w:hAnsi="Times New Roman" w:eastAsia="宋体" w:cs="Times New Roman"/>
                <w:bCs/>
                <w:color w:val="auto"/>
                <w:kern w:val="2"/>
                <w:sz w:val="24"/>
                <w:szCs w:val="20"/>
                <w:lang w:val="en-US" w:eastAsia="zh-CN" w:bidi="ar"/>
              </w:rPr>
              <w:t>沙湾坝址至安谷坝址段主要经济鱼类</w:t>
            </w:r>
            <w:r>
              <w:rPr>
                <w:rFonts w:hint="eastAsia" w:ascii="Times New Roman" w:hAnsi="Times New Roman" w:eastAsia="宋体" w:cs="Times New Roman"/>
                <w:bCs/>
                <w:color w:val="auto"/>
                <w:kern w:val="2"/>
                <w:sz w:val="24"/>
                <w:szCs w:val="20"/>
                <w:lang w:val="en-US" w:eastAsia="zh-CN" w:bidi="ar"/>
              </w:rPr>
              <w:t>为</w:t>
            </w:r>
            <w:r>
              <w:rPr>
                <w:rFonts w:hint="default" w:ascii="Times New Roman" w:hAnsi="Times New Roman" w:eastAsia="宋体" w:cs="Times New Roman"/>
                <w:bCs/>
                <w:color w:val="auto"/>
                <w:kern w:val="2"/>
                <w:sz w:val="24"/>
                <w:szCs w:val="20"/>
                <w:lang w:val="en-US" w:eastAsia="zh-CN" w:bidi="ar"/>
              </w:rPr>
              <w:t>唇</w:t>
            </w:r>
            <w:r>
              <w:rPr>
                <w:rFonts w:hint="eastAsia" w:ascii="Times New Roman" w:hAnsi="Times New Roman" w:eastAsia="宋体" w:cs="Times New Roman"/>
                <w:bCs/>
                <w:color w:val="auto"/>
                <w:kern w:val="2"/>
                <w:sz w:val="24"/>
                <w:szCs w:val="20"/>
                <w:lang w:val="en-US" w:eastAsia="zh-CN" w:bidi="ar"/>
              </w:rPr>
              <w:t>䱻</w:t>
            </w:r>
            <w:r>
              <w:rPr>
                <w:rFonts w:hint="default" w:ascii="Times New Roman" w:hAnsi="Times New Roman" w:eastAsia="宋体" w:cs="Times New Roman"/>
                <w:bCs/>
                <w:color w:val="auto"/>
                <w:kern w:val="2"/>
                <w:sz w:val="24"/>
                <w:szCs w:val="20"/>
                <w:lang w:val="en-US" w:eastAsia="zh-CN" w:bidi="ar"/>
              </w:rPr>
              <w:t>、瓦氏黄颡鱼、泉水鱼、切尾拟鲿、鲇、长鳍吻鮈等</w:t>
            </w:r>
            <w:r>
              <w:rPr>
                <w:rFonts w:hint="eastAsia" w:ascii="Times New Roman" w:hAnsi="Times New Roman" w:eastAsia="宋体" w:cs="Times New Roman"/>
                <w:bCs/>
                <w:color w:val="auto"/>
                <w:kern w:val="2"/>
                <w:sz w:val="24"/>
                <w:szCs w:val="20"/>
                <w:lang w:val="en-US" w:eastAsia="zh-CN" w:bidi="ar"/>
              </w:rPr>
              <w:t>，</w:t>
            </w:r>
            <w:r>
              <w:rPr>
                <w:rFonts w:hint="default" w:ascii="Times New Roman" w:hAnsi="Times New Roman" w:eastAsia="宋体" w:cs="Times New Roman"/>
                <w:bCs/>
                <w:color w:val="auto"/>
                <w:kern w:val="2"/>
                <w:sz w:val="24"/>
                <w:szCs w:val="20"/>
                <w:lang w:val="en-US" w:eastAsia="zh-CN" w:bidi="ar"/>
              </w:rPr>
              <w:t>渔获物以鮈亚科的唇</w:t>
            </w:r>
            <w:r>
              <w:rPr>
                <w:rFonts w:hint="eastAsia" w:ascii="Times New Roman" w:hAnsi="Times New Roman" w:eastAsia="宋体" w:cs="Times New Roman"/>
                <w:bCs/>
                <w:color w:val="auto"/>
                <w:kern w:val="2"/>
                <w:sz w:val="24"/>
                <w:szCs w:val="20"/>
                <w:lang w:val="en-US" w:eastAsia="zh-CN" w:bidi="ar"/>
              </w:rPr>
              <w:t>䱻</w:t>
            </w:r>
            <w:r>
              <w:rPr>
                <w:rFonts w:hint="default" w:ascii="Times New Roman" w:hAnsi="Times New Roman" w:eastAsia="宋体" w:cs="Times New Roman"/>
                <w:bCs/>
                <w:color w:val="auto"/>
                <w:kern w:val="2"/>
                <w:sz w:val="24"/>
                <w:szCs w:val="20"/>
                <w:lang w:val="en-US" w:eastAsia="zh-CN" w:bidi="ar"/>
              </w:rPr>
              <w:t>、长鳍吻鮈、花</w:t>
            </w:r>
            <w:r>
              <w:rPr>
                <w:rFonts w:hint="eastAsia" w:ascii="Times New Roman" w:hAnsi="Times New Roman" w:eastAsia="宋体" w:cs="Times New Roman"/>
                <w:bCs/>
                <w:color w:val="auto"/>
                <w:kern w:val="2"/>
                <w:sz w:val="24"/>
                <w:szCs w:val="20"/>
                <w:lang w:val="en-US" w:eastAsia="zh-CN" w:bidi="ar"/>
              </w:rPr>
              <w:t>䱻</w:t>
            </w:r>
            <w:r>
              <w:rPr>
                <w:rFonts w:hint="default" w:ascii="Times New Roman" w:hAnsi="Times New Roman" w:eastAsia="宋体" w:cs="Times New Roman"/>
                <w:bCs/>
                <w:color w:val="auto"/>
                <w:kern w:val="2"/>
                <w:sz w:val="24"/>
                <w:szCs w:val="20"/>
                <w:lang w:val="en-US" w:eastAsia="zh-CN" w:bidi="ar"/>
              </w:rPr>
              <w:t>、蛇鮈，鲿科的瓦氏黄颡鱼、切尾拟鲿、细体拟鲿、大鳍鳠、黄颡鱼、粗唇鮠为两大主要类群</w:t>
            </w:r>
            <w:r>
              <w:rPr>
                <w:rFonts w:hint="eastAsia" w:ascii="Times New Roman" w:hAnsi="Times New Roman" w:eastAsia="宋体" w:cs="Times New Roman"/>
                <w:bCs/>
                <w:color w:val="auto"/>
                <w:kern w:val="2"/>
                <w:sz w:val="24"/>
                <w:szCs w:val="20"/>
                <w:lang w:val="en-US" w:eastAsia="zh-CN" w:bidi="ar"/>
              </w:rPr>
              <w:t>；</w:t>
            </w:r>
            <w:r>
              <w:rPr>
                <w:rFonts w:hint="default" w:ascii="Times New Roman" w:hAnsi="Times New Roman" w:eastAsia="宋体" w:cs="Times New Roman"/>
                <w:bCs/>
                <w:color w:val="auto"/>
                <w:kern w:val="2"/>
                <w:sz w:val="24"/>
                <w:szCs w:val="20"/>
                <w:lang w:val="en-US" w:eastAsia="zh-CN" w:bidi="ar"/>
              </w:rPr>
              <w:t>安谷坝址至青衣江汇口段主要经济鱼类为网捕、钓钩</w:t>
            </w:r>
            <w:r>
              <w:rPr>
                <w:rFonts w:hint="eastAsia" w:ascii="Times New Roman" w:hAnsi="Times New Roman" w:eastAsia="宋体" w:cs="Times New Roman"/>
                <w:bCs/>
                <w:color w:val="auto"/>
                <w:kern w:val="2"/>
                <w:sz w:val="24"/>
                <w:szCs w:val="20"/>
                <w:lang w:val="en-US" w:eastAsia="zh-CN" w:bidi="ar"/>
              </w:rPr>
              <w:t>，也有</w:t>
            </w:r>
            <w:r>
              <w:rPr>
                <w:rFonts w:hint="default" w:ascii="Times New Roman" w:hAnsi="Times New Roman" w:eastAsia="宋体" w:cs="Times New Roman"/>
                <w:bCs/>
                <w:color w:val="auto"/>
                <w:kern w:val="2"/>
                <w:sz w:val="24"/>
                <w:szCs w:val="20"/>
                <w:lang w:val="en-US" w:eastAsia="zh-CN" w:bidi="ar"/>
              </w:rPr>
              <w:t>电捕</w:t>
            </w:r>
            <w:r>
              <w:rPr>
                <w:rFonts w:hint="eastAsia" w:ascii="Times New Roman" w:hAnsi="Times New Roman" w:eastAsia="宋体" w:cs="Times New Roman"/>
                <w:bCs/>
                <w:color w:val="auto"/>
                <w:kern w:val="2"/>
                <w:sz w:val="24"/>
                <w:szCs w:val="20"/>
                <w:lang w:val="en-US" w:eastAsia="zh-CN" w:bidi="ar"/>
              </w:rPr>
              <w:t>现象</w:t>
            </w:r>
            <w:r>
              <w:rPr>
                <w:rFonts w:hint="default" w:ascii="Times New Roman" w:hAnsi="Times New Roman" w:eastAsia="宋体" w:cs="Times New Roman"/>
                <w:bCs/>
                <w:color w:val="auto"/>
                <w:kern w:val="2"/>
                <w:sz w:val="24"/>
                <w:szCs w:val="20"/>
                <w:lang w:val="en-US" w:eastAsia="zh-CN" w:bidi="ar"/>
              </w:rPr>
              <w:t>。鲤，唇</w:t>
            </w:r>
            <w:r>
              <w:rPr>
                <w:rFonts w:hint="eastAsia" w:ascii="Times New Roman" w:hAnsi="Times New Roman" w:eastAsia="宋体" w:cs="Times New Roman"/>
                <w:bCs/>
                <w:color w:val="auto"/>
                <w:kern w:val="2"/>
                <w:sz w:val="24"/>
                <w:szCs w:val="20"/>
                <w:lang w:val="en-US" w:eastAsia="zh-CN" w:bidi="ar"/>
              </w:rPr>
              <w:t>䱻</w:t>
            </w:r>
            <w:r>
              <w:rPr>
                <w:rFonts w:hint="default" w:ascii="Times New Roman" w:hAnsi="Times New Roman" w:eastAsia="宋体" w:cs="Times New Roman"/>
                <w:bCs/>
                <w:color w:val="auto"/>
                <w:kern w:val="2"/>
                <w:sz w:val="24"/>
                <w:szCs w:val="20"/>
                <w:lang w:val="en-US" w:eastAsia="zh-CN" w:bidi="ar"/>
              </w:rPr>
              <w:t>、切尾拟鲿、瓦氏黄颡鱼、黄颡鱼、鲫、长薄鳅、大鳍鳠等</w:t>
            </w:r>
            <w:r>
              <w:rPr>
                <w:rFonts w:hint="eastAsia" w:ascii="Times New Roman" w:hAnsi="Times New Roman" w:eastAsia="宋体" w:cs="Times New Roman"/>
                <w:bCs/>
                <w:color w:val="auto"/>
                <w:kern w:val="2"/>
                <w:sz w:val="24"/>
                <w:szCs w:val="20"/>
                <w:lang w:val="en-US" w:eastAsia="zh-CN" w:bidi="ar"/>
              </w:rPr>
              <w:t>，</w:t>
            </w:r>
            <w:r>
              <w:rPr>
                <w:rFonts w:hint="default" w:ascii="Times New Roman" w:hAnsi="Times New Roman" w:eastAsia="宋体" w:cs="Times New Roman"/>
                <w:bCs/>
                <w:color w:val="auto"/>
                <w:kern w:val="2"/>
                <w:sz w:val="24"/>
                <w:szCs w:val="20"/>
                <w:lang w:val="en-US" w:eastAsia="zh-CN" w:bidi="ar"/>
              </w:rPr>
              <w:t>切尾拟鲿、瓦氏黄颡鱼、黄颡鱼、大鳍鳠、细体拟鲿、粗唇鮠</w:t>
            </w:r>
            <w:r>
              <w:rPr>
                <w:rFonts w:hint="eastAsia" w:ascii="Times New Roman" w:hAnsi="Times New Roman" w:eastAsia="宋体" w:cs="Times New Roman"/>
                <w:bCs/>
                <w:color w:val="auto"/>
                <w:kern w:val="2"/>
                <w:sz w:val="24"/>
                <w:szCs w:val="20"/>
                <w:lang w:val="en-US" w:eastAsia="zh-CN" w:bidi="ar"/>
              </w:rPr>
              <w:t>等</w:t>
            </w:r>
            <w:r>
              <w:rPr>
                <w:rFonts w:hint="default" w:ascii="Times New Roman" w:hAnsi="Times New Roman" w:eastAsia="宋体" w:cs="Times New Roman"/>
                <w:bCs/>
                <w:color w:val="auto"/>
                <w:kern w:val="2"/>
                <w:sz w:val="24"/>
                <w:szCs w:val="20"/>
                <w:lang w:val="en-US" w:eastAsia="zh-CN" w:bidi="ar"/>
              </w:rPr>
              <w:t>鲿科鱼类成为组成比例最高的类群</w:t>
            </w:r>
            <w:r>
              <w:rPr>
                <w:rFonts w:hint="eastAsia" w:ascii="Times New Roman" w:hAnsi="Times New Roman" w:eastAsia="宋体" w:cs="Times New Roman"/>
                <w:bCs/>
                <w:color w:val="auto"/>
                <w:kern w:val="2"/>
                <w:sz w:val="24"/>
                <w:szCs w:val="20"/>
                <w:lang w:val="en-US" w:eastAsia="zh-CN" w:bidi="ar"/>
              </w:rPr>
              <w:t>；</w:t>
            </w:r>
            <w:r>
              <w:rPr>
                <w:rFonts w:hint="default" w:ascii="Times New Roman" w:hAnsi="Times New Roman" w:eastAsia="宋体" w:cs="Times New Roman"/>
                <w:bCs/>
                <w:color w:val="auto"/>
                <w:kern w:val="2"/>
                <w:sz w:val="24"/>
                <w:szCs w:val="20"/>
                <w:lang w:val="en-US" w:eastAsia="zh-CN" w:bidi="ar"/>
              </w:rPr>
              <w:t>调查江段由青衣江汇口水域至乐山市区岷江大渡河段主要经济鱼类</w:t>
            </w:r>
            <w:r>
              <w:rPr>
                <w:rFonts w:hint="eastAsia" w:ascii="Times New Roman" w:hAnsi="Times New Roman" w:eastAsia="宋体" w:cs="Times New Roman"/>
                <w:bCs/>
                <w:color w:val="auto"/>
                <w:kern w:val="2"/>
                <w:sz w:val="24"/>
                <w:szCs w:val="20"/>
                <w:lang w:val="en-US" w:eastAsia="zh-CN" w:bidi="ar"/>
              </w:rPr>
              <w:t>为</w:t>
            </w:r>
            <w:r>
              <w:rPr>
                <w:rFonts w:hint="default" w:ascii="Times New Roman" w:hAnsi="Times New Roman" w:eastAsia="宋体" w:cs="Times New Roman"/>
                <w:bCs/>
                <w:color w:val="auto"/>
                <w:kern w:val="2"/>
                <w:sz w:val="24"/>
                <w:szCs w:val="20"/>
                <w:lang w:val="en-US" w:eastAsia="zh-CN" w:bidi="ar"/>
              </w:rPr>
              <w:t>鲤、鲫、黄颡鱼、翘嘴红鲌、鲇、银鲴、瓦氏黄颡鱼、黑鮰等</w:t>
            </w:r>
            <w:r>
              <w:rPr>
                <w:rFonts w:hint="eastAsia" w:ascii="Times New Roman" w:hAnsi="Times New Roman" w:eastAsia="宋体" w:cs="Times New Roman"/>
                <w:bCs/>
                <w:color w:val="auto"/>
                <w:kern w:val="2"/>
                <w:sz w:val="24"/>
                <w:szCs w:val="20"/>
                <w:lang w:val="en-US" w:eastAsia="zh-CN" w:bidi="ar"/>
              </w:rPr>
              <w:t>，渔获物以鲤和鲫为主要类群。调查发现，鱼类小型化现象严重。</w:t>
            </w:r>
          </w:p>
          <w:p>
            <w:pPr>
              <w:keepNext w:val="0"/>
              <w:keepLines w:val="0"/>
              <w:pageBreakBefore w:val="0"/>
              <w:widowControl/>
              <w:numPr>
                <w:ilvl w:val="0"/>
                <w:numId w:val="0"/>
              </w:numPr>
              <w:suppressLineNumbers w:val="0"/>
              <w:tabs>
                <w:tab w:val="left" w:pos="480"/>
              </w:tabs>
              <w:kinsoku/>
              <w:wordWrap/>
              <w:overflowPunct/>
              <w:topLinePunct w:val="0"/>
              <w:bidi w:val="0"/>
              <w:snapToGrid w:val="0"/>
              <w:spacing w:before="0" w:beforeAutospacing="0" w:after="0" w:afterAutospacing="0" w:line="360" w:lineRule="auto"/>
              <w:ind w:left="0" w:leftChars="0" w:right="0" w:rightChars="0" w:firstLine="480" w:firstLineChars="200"/>
              <w:jc w:val="left"/>
              <w:rPr>
                <w:rFonts w:hint="eastAsia" w:ascii="Times New Roman" w:hAnsi="Times New Roman" w:eastAsia="宋体" w:cs="Times New Roman"/>
                <w:bCs/>
                <w:color w:val="auto"/>
                <w:kern w:val="2"/>
                <w:sz w:val="24"/>
                <w:szCs w:val="20"/>
                <w:lang w:val="en-US" w:eastAsia="zh-CN" w:bidi="ar"/>
              </w:rPr>
            </w:pPr>
            <w:r>
              <w:rPr>
                <w:rFonts w:hint="eastAsia" w:ascii="Times New Roman" w:hAnsi="Times New Roman" w:eastAsia="宋体" w:cs="Times New Roman"/>
                <w:bCs/>
                <w:color w:val="auto"/>
                <w:kern w:val="2"/>
                <w:sz w:val="24"/>
                <w:szCs w:val="20"/>
                <w:lang w:val="en-US" w:eastAsia="zh-CN" w:bidi="ar"/>
              </w:rPr>
              <w:t>（5）珍稀保护鱼类</w:t>
            </w:r>
          </w:p>
          <w:p>
            <w:pPr>
              <w:keepNext w:val="0"/>
              <w:keepLines w:val="0"/>
              <w:pageBreakBefore w:val="0"/>
              <w:widowControl/>
              <w:numPr>
                <w:ilvl w:val="0"/>
                <w:numId w:val="0"/>
              </w:numPr>
              <w:suppressLineNumbers w:val="0"/>
              <w:tabs>
                <w:tab w:val="left" w:pos="480"/>
              </w:tabs>
              <w:kinsoku/>
              <w:wordWrap/>
              <w:overflowPunct/>
              <w:topLinePunct w:val="0"/>
              <w:bidi w:val="0"/>
              <w:snapToGrid w:val="0"/>
              <w:spacing w:before="0" w:beforeAutospacing="0" w:after="0" w:afterAutospacing="0" w:line="360" w:lineRule="auto"/>
              <w:ind w:left="0" w:leftChars="0" w:right="0" w:rightChars="0" w:firstLine="480" w:firstLineChars="200"/>
              <w:jc w:val="left"/>
              <w:rPr>
                <w:rFonts w:hint="eastAsia" w:ascii="Times New Roman" w:hAnsi="Times New Roman" w:eastAsia="宋体" w:cs="Times New Roman"/>
                <w:bCs/>
                <w:color w:val="auto"/>
                <w:kern w:val="2"/>
                <w:sz w:val="24"/>
                <w:szCs w:val="20"/>
                <w:lang w:val="en-US" w:eastAsia="zh-CN" w:bidi="ar"/>
              </w:rPr>
            </w:pPr>
            <w:r>
              <w:rPr>
                <w:rFonts w:hint="eastAsia" w:ascii="Times New Roman" w:hAnsi="Times New Roman" w:eastAsia="宋体" w:cs="Times New Roman"/>
                <w:bCs/>
                <w:color w:val="auto"/>
                <w:kern w:val="2"/>
                <w:sz w:val="24"/>
                <w:szCs w:val="20"/>
                <w:lang w:val="en-US" w:eastAsia="zh-CN" w:bidi="ar"/>
              </w:rPr>
              <w:t>①珍稀濒危鱼类</w:t>
            </w:r>
          </w:p>
          <w:p>
            <w:pPr>
              <w:keepNext w:val="0"/>
              <w:keepLines w:val="0"/>
              <w:pageBreakBefore w:val="0"/>
              <w:widowControl/>
              <w:numPr>
                <w:ilvl w:val="0"/>
                <w:numId w:val="0"/>
              </w:numPr>
              <w:suppressLineNumbers w:val="0"/>
              <w:tabs>
                <w:tab w:val="left" w:pos="480"/>
              </w:tabs>
              <w:kinsoku/>
              <w:wordWrap/>
              <w:overflowPunct/>
              <w:topLinePunct w:val="0"/>
              <w:bidi w:val="0"/>
              <w:snapToGrid w:val="0"/>
              <w:spacing w:before="0" w:beforeAutospacing="0" w:after="0" w:afterAutospacing="0" w:line="360" w:lineRule="auto"/>
              <w:ind w:left="0" w:leftChars="0" w:right="0" w:rightChars="0" w:firstLine="480" w:firstLineChars="200"/>
              <w:jc w:val="left"/>
              <w:rPr>
                <w:rFonts w:hint="default" w:ascii="Times New Roman" w:hAnsi="Times New Roman" w:eastAsia="宋体" w:cs="Times New Roman"/>
                <w:bCs/>
                <w:color w:val="auto"/>
                <w:kern w:val="2"/>
                <w:sz w:val="24"/>
                <w:szCs w:val="20"/>
                <w:lang w:val="en-US" w:eastAsia="zh-CN" w:bidi="ar"/>
              </w:rPr>
            </w:pPr>
            <w:r>
              <w:rPr>
                <w:rFonts w:hint="default" w:ascii="Times New Roman" w:hAnsi="Times New Roman" w:eastAsia="宋体" w:cs="Times New Roman"/>
                <w:bCs/>
                <w:color w:val="auto"/>
                <w:kern w:val="2"/>
                <w:sz w:val="24"/>
                <w:szCs w:val="20"/>
                <w:lang w:val="en-US" w:eastAsia="zh-CN" w:bidi="ar"/>
              </w:rPr>
              <w:t>调查江段列入《中国濒危动物红皮书—鱼类》的珍稀鱼类包括：胭脂鱼、长薄鳅、长身鳜3种。</w:t>
            </w:r>
            <w:r>
              <w:rPr>
                <w:rFonts w:hint="eastAsia" w:ascii="Times New Roman" w:hAnsi="Times New Roman" w:eastAsia="宋体" w:cs="Times New Roman"/>
                <w:bCs/>
                <w:color w:val="auto"/>
                <w:kern w:val="2"/>
                <w:sz w:val="24"/>
                <w:szCs w:val="20"/>
                <w:lang w:val="en-US" w:eastAsia="zh-CN" w:bidi="ar"/>
              </w:rPr>
              <w:t>胭脂鱼于2000年以后再未见，</w:t>
            </w:r>
            <w:r>
              <w:rPr>
                <w:rFonts w:hint="default" w:ascii="Times New Roman" w:hAnsi="Times New Roman" w:eastAsia="宋体" w:cs="Times New Roman"/>
                <w:bCs/>
                <w:color w:val="auto"/>
                <w:kern w:val="2"/>
                <w:sz w:val="24"/>
                <w:szCs w:val="20"/>
                <w:lang w:val="en-US" w:eastAsia="zh-CN" w:bidi="ar"/>
              </w:rPr>
              <w:t>长薄鳅在长江上游干支流广泛分布，安谷电站上下游河段均有分布，本调查在岷江</w:t>
            </w:r>
            <w:r>
              <w:rPr>
                <w:rFonts w:hint="eastAsia" w:ascii="Times New Roman" w:hAnsi="Times New Roman" w:eastAsia="宋体" w:cs="Times New Roman"/>
                <w:bCs/>
                <w:color w:val="auto"/>
                <w:kern w:val="2"/>
                <w:sz w:val="24"/>
                <w:szCs w:val="20"/>
                <w:lang w:val="en-US" w:eastAsia="zh-CN" w:bidi="ar"/>
              </w:rPr>
              <w:t>河</w:t>
            </w:r>
            <w:r>
              <w:rPr>
                <w:rFonts w:hint="default" w:ascii="Times New Roman" w:hAnsi="Times New Roman" w:eastAsia="宋体" w:cs="Times New Roman"/>
                <w:bCs/>
                <w:color w:val="auto"/>
                <w:kern w:val="2"/>
                <w:sz w:val="24"/>
                <w:szCs w:val="20"/>
                <w:lang w:val="en-US" w:eastAsia="zh-CN" w:bidi="ar"/>
              </w:rPr>
              <w:t>段调查到长身鳜。</w:t>
            </w:r>
          </w:p>
          <w:p>
            <w:pPr>
              <w:keepNext w:val="0"/>
              <w:keepLines w:val="0"/>
              <w:pageBreakBefore w:val="0"/>
              <w:widowControl/>
              <w:numPr>
                <w:ilvl w:val="0"/>
                <w:numId w:val="0"/>
              </w:numPr>
              <w:suppressLineNumbers w:val="0"/>
              <w:tabs>
                <w:tab w:val="left" w:pos="480"/>
              </w:tabs>
              <w:kinsoku/>
              <w:wordWrap/>
              <w:overflowPunct/>
              <w:topLinePunct w:val="0"/>
              <w:bidi w:val="0"/>
              <w:snapToGrid w:val="0"/>
              <w:spacing w:before="0" w:beforeAutospacing="0" w:after="0" w:afterAutospacing="0" w:line="360" w:lineRule="auto"/>
              <w:ind w:left="0" w:leftChars="0" w:right="0" w:rightChars="0" w:firstLine="480" w:firstLineChars="200"/>
              <w:jc w:val="left"/>
              <w:rPr>
                <w:rFonts w:hint="eastAsia" w:ascii="Times New Roman" w:hAnsi="Times New Roman" w:eastAsia="宋体" w:cs="Times New Roman"/>
                <w:bCs/>
                <w:color w:val="auto"/>
                <w:kern w:val="2"/>
                <w:sz w:val="24"/>
                <w:szCs w:val="20"/>
                <w:lang w:val="en-US" w:eastAsia="zh-CN" w:bidi="ar"/>
              </w:rPr>
            </w:pPr>
            <w:r>
              <w:rPr>
                <w:rFonts w:hint="eastAsia" w:ascii="Times New Roman" w:hAnsi="Times New Roman" w:eastAsia="宋体" w:cs="Times New Roman"/>
                <w:bCs/>
                <w:color w:val="auto"/>
                <w:kern w:val="2"/>
                <w:sz w:val="24"/>
                <w:szCs w:val="20"/>
                <w:lang w:val="en-US" w:eastAsia="zh-CN" w:bidi="ar"/>
              </w:rPr>
              <w:t>②长江上游特有鱼类</w:t>
            </w:r>
          </w:p>
          <w:p>
            <w:pPr>
              <w:keepNext w:val="0"/>
              <w:keepLines w:val="0"/>
              <w:pageBreakBefore w:val="0"/>
              <w:widowControl/>
              <w:numPr>
                <w:ilvl w:val="0"/>
                <w:numId w:val="0"/>
              </w:numPr>
              <w:suppressLineNumbers w:val="0"/>
              <w:tabs>
                <w:tab w:val="left" w:pos="480"/>
              </w:tabs>
              <w:kinsoku/>
              <w:wordWrap/>
              <w:overflowPunct/>
              <w:topLinePunct w:val="0"/>
              <w:bidi w:val="0"/>
              <w:snapToGrid w:val="0"/>
              <w:spacing w:before="0" w:beforeAutospacing="0" w:after="0" w:afterAutospacing="0" w:line="360" w:lineRule="auto"/>
              <w:ind w:left="0" w:leftChars="0" w:right="0" w:rightChars="0" w:firstLine="480" w:firstLineChars="200"/>
              <w:jc w:val="left"/>
              <w:rPr>
                <w:rFonts w:hint="default" w:ascii="Times New Roman" w:hAnsi="Times New Roman" w:eastAsia="宋体" w:cs="Times New Roman"/>
                <w:bCs/>
                <w:color w:val="auto"/>
                <w:kern w:val="2"/>
                <w:sz w:val="24"/>
                <w:szCs w:val="20"/>
                <w:lang w:val="en-US" w:eastAsia="zh-CN" w:bidi="ar"/>
              </w:rPr>
            </w:pPr>
            <w:r>
              <w:rPr>
                <w:rFonts w:hint="default" w:ascii="Times New Roman" w:hAnsi="Times New Roman" w:eastAsia="宋体" w:cs="Times New Roman"/>
                <w:bCs/>
                <w:color w:val="auto"/>
                <w:kern w:val="2"/>
                <w:sz w:val="24"/>
                <w:szCs w:val="20"/>
                <w:lang w:val="en-US" w:eastAsia="zh-CN" w:bidi="ar"/>
              </w:rPr>
              <w:t>调查江段分布长江</w:t>
            </w:r>
            <w:r>
              <w:rPr>
                <w:rFonts w:hint="eastAsia" w:ascii="Times New Roman" w:hAnsi="Times New Roman" w:eastAsia="宋体" w:cs="Times New Roman"/>
                <w:bCs/>
                <w:color w:val="auto"/>
                <w:kern w:val="2"/>
                <w:sz w:val="24"/>
                <w:szCs w:val="20"/>
                <w:lang w:val="en-US" w:eastAsia="zh-CN" w:bidi="ar"/>
              </w:rPr>
              <w:t>上游</w:t>
            </w:r>
            <w:r>
              <w:rPr>
                <w:rFonts w:hint="default" w:ascii="Times New Roman" w:hAnsi="Times New Roman" w:eastAsia="宋体" w:cs="Times New Roman"/>
                <w:bCs/>
                <w:color w:val="auto"/>
                <w:kern w:val="2"/>
                <w:sz w:val="24"/>
                <w:szCs w:val="20"/>
                <w:lang w:val="en-US" w:eastAsia="zh-CN" w:bidi="ar"/>
              </w:rPr>
              <w:t>特有鱼类14种，</w:t>
            </w:r>
            <w:r>
              <w:rPr>
                <w:rFonts w:hint="eastAsia" w:ascii="Times New Roman" w:hAnsi="Times New Roman" w:eastAsia="宋体" w:cs="Times New Roman"/>
                <w:bCs/>
                <w:color w:val="auto"/>
                <w:kern w:val="2"/>
                <w:sz w:val="24"/>
                <w:szCs w:val="20"/>
                <w:lang w:val="en-US" w:eastAsia="zh-CN" w:bidi="ar"/>
              </w:rPr>
              <w:t>为</w:t>
            </w:r>
            <w:r>
              <w:rPr>
                <w:rFonts w:hint="default" w:ascii="Times New Roman" w:hAnsi="Times New Roman" w:eastAsia="宋体" w:cs="Times New Roman"/>
                <w:bCs/>
                <w:color w:val="auto"/>
                <w:kern w:val="2"/>
                <w:sz w:val="24"/>
                <w:szCs w:val="20"/>
                <w:lang w:val="en-US" w:eastAsia="zh-CN" w:bidi="ar"/>
              </w:rPr>
              <w:t>短体副鳅、山鳅、长薄鳅、峨眉鱊、四川华鳊、半</w:t>
            </w:r>
            <w:r>
              <w:rPr>
                <w:rFonts w:hint="eastAsia" w:ascii="Times New Roman" w:hAnsi="Times New Roman" w:eastAsia="宋体" w:cs="Times New Roman"/>
                <w:bCs/>
                <w:color w:val="auto"/>
                <w:kern w:val="2"/>
                <w:sz w:val="24"/>
                <w:szCs w:val="20"/>
                <w:lang w:val="en-US" w:eastAsia="zh-CN" w:bidi="ar"/>
              </w:rPr>
              <w:t>䱗</w:t>
            </w:r>
            <w:r>
              <w:rPr>
                <w:rFonts w:hint="default" w:ascii="Times New Roman" w:hAnsi="Times New Roman" w:eastAsia="宋体" w:cs="Times New Roman"/>
                <w:bCs/>
                <w:color w:val="auto"/>
                <w:kern w:val="2"/>
                <w:sz w:val="24"/>
                <w:szCs w:val="20"/>
                <w:lang w:val="en-US" w:eastAsia="zh-CN" w:bidi="ar"/>
              </w:rPr>
              <w:t>、长鳍吻鮈、裸腹片唇鮈、异鳔鳅鮀、四川白甲鱼、短身间吸鳅、西昌华吸鳅、峨</w:t>
            </w:r>
            <w:r>
              <w:rPr>
                <w:rFonts w:hint="eastAsia" w:cs="Times New Roman"/>
                <w:bCs/>
                <w:color w:val="auto"/>
                <w:kern w:val="2"/>
                <w:sz w:val="24"/>
                <w:szCs w:val="20"/>
                <w:lang w:val="en-US" w:eastAsia="zh-CN" w:bidi="ar"/>
              </w:rPr>
              <w:t>眉</w:t>
            </w:r>
            <w:r>
              <w:rPr>
                <w:rFonts w:hint="default" w:ascii="Times New Roman" w:hAnsi="Times New Roman" w:eastAsia="宋体" w:cs="Times New Roman"/>
                <w:bCs/>
                <w:color w:val="auto"/>
                <w:kern w:val="2"/>
                <w:sz w:val="24"/>
                <w:szCs w:val="20"/>
                <w:lang w:val="en-US" w:eastAsia="zh-CN" w:bidi="ar"/>
              </w:rPr>
              <w:t>后平鳅、黄石爬鮡。</w:t>
            </w:r>
          </w:p>
          <w:p>
            <w:pPr>
              <w:keepNext w:val="0"/>
              <w:keepLines w:val="0"/>
              <w:pageBreakBefore w:val="0"/>
              <w:widowControl/>
              <w:numPr>
                <w:ilvl w:val="0"/>
                <w:numId w:val="0"/>
              </w:numPr>
              <w:suppressLineNumbers w:val="0"/>
              <w:tabs>
                <w:tab w:val="left" w:pos="480"/>
              </w:tabs>
              <w:kinsoku/>
              <w:wordWrap/>
              <w:overflowPunct/>
              <w:topLinePunct w:val="0"/>
              <w:bidi w:val="0"/>
              <w:snapToGrid w:val="0"/>
              <w:spacing w:before="0" w:beforeAutospacing="0" w:after="0" w:afterAutospacing="0" w:line="360" w:lineRule="auto"/>
              <w:ind w:left="0" w:leftChars="0" w:right="0" w:rightChars="0" w:firstLine="480" w:firstLineChars="200"/>
              <w:jc w:val="left"/>
              <w:rPr>
                <w:rFonts w:hint="default" w:ascii="Times New Roman" w:hAnsi="Times New Roman" w:eastAsia="宋体" w:cs="Times New Roman"/>
                <w:bCs/>
                <w:color w:val="auto"/>
                <w:kern w:val="2"/>
                <w:sz w:val="24"/>
                <w:szCs w:val="20"/>
                <w:lang w:val="en-US" w:eastAsia="zh-CN" w:bidi="ar"/>
              </w:rPr>
            </w:pPr>
            <w:r>
              <w:rPr>
                <w:rFonts w:hint="default" w:ascii="Times New Roman" w:hAnsi="Times New Roman" w:eastAsia="宋体" w:cs="Times New Roman"/>
                <w:bCs/>
                <w:color w:val="auto"/>
                <w:kern w:val="2"/>
                <w:sz w:val="24"/>
                <w:szCs w:val="20"/>
                <w:lang w:val="en-US" w:eastAsia="zh-CN" w:bidi="ar"/>
              </w:rPr>
              <w:t>（6）鱼类重要生境</w:t>
            </w:r>
          </w:p>
          <w:p>
            <w:pPr>
              <w:keepNext w:val="0"/>
              <w:keepLines w:val="0"/>
              <w:pageBreakBefore w:val="0"/>
              <w:widowControl/>
              <w:numPr>
                <w:ilvl w:val="0"/>
                <w:numId w:val="0"/>
              </w:numPr>
              <w:suppressLineNumbers w:val="0"/>
              <w:tabs>
                <w:tab w:val="left" w:pos="480"/>
              </w:tabs>
              <w:kinsoku/>
              <w:wordWrap/>
              <w:overflowPunct/>
              <w:topLinePunct w:val="0"/>
              <w:bidi w:val="0"/>
              <w:snapToGrid w:val="0"/>
              <w:spacing w:before="0" w:beforeAutospacing="0" w:after="0" w:afterAutospacing="0" w:line="360" w:lineRule="auto"/>
              <w:ind w:left="0" w:leftChars="0" w:right="0" w:rightChars="0" w:firstLine="480" w:firstLineChars="200"/>
              <w:jc w:val="left"/>
              <w:rPr>
                <w:rFonts w:hint="default" w:ascii="Times New Roman" w:hAnsi="Times New Roman" w:eastAsia="宋体" w:cs="Times New Roman"/>
                <w:bCs/>
                <w:color w:val="auto"/>
                <w:kern w:val="2"/>
                <w:sz w:val="24"/>
                <w:szCs w:val="20"/>
                <w:lang w:val="en-US" w:eastAsia="zh-CN" w:bidi="ar"/>
              </w:rPr>
            </w:pPr>
            <w:r>
              <w:rPr>
                <w:rFonts w:hint="default" w:ascii="Times New Roman" w:hAnsi="Times New Roman" w:eastAsia="宋体" w:cs="Times New Roman"/>
                <w:bCs/>
                <w:color w:val="auto"/>
                <w:kern w:val="2"/>
                <w:sz w:val="24"/>
                <w:szCs w:val="20"/>
                <w:lang w:val="en-US" w:eastAsia="zh-CN" w:bidi="ar"/>
              </w:rPr>
              <w:t>①产卵场</w:t>
            </w:r>
          </w:p>
          <w:p>
            <w:pPr>
              <w:keepNext w:val="0"/>
              <w:keepLines w:val="0"/>
              <w:pageBreakBefore w:val="0"/>
              <w:widowControl/>
              <w:numPr>
                <w:ilvl w:val="0"/>
                <w:numId w:val="0"/>
              </w:numPr>
              <w:suppressLineNumbers w:val="0"/>
              <w:tabs>
                <w:tab w:val="left" w:pos="480"/>
              </w:tabs>
              <w:kinsoku/>
              <w:wordWrap/>
              <w:overflowPunct/>
              <w:topLinePunct w:val="0"/>
              <w:bidi w:val="0"/>
              <w:snapToGrid w:val="0"/>
              <w:spacing w:before="0" w:beforeAutospacing="0" w:after="0" w:afterAutospacing="0" w:line="360" w:lineRule="auto"/>
              <w:ind w:left="0" w:leftChars="0" w:right="0" w:rightChars="0" w:firstLine="480" w:firstLineChars="200"/>
              <w:jc w:val="left"/>
              <w:rPr>
                <w:rFonts w:hint="default" w:ascii="Times New Roman" w:hAnsi="Times New Roman" w:eastAsia="宋体" w:cs="Times New Roman"/>
                <w:bCs/>
                <w:color w:val="auto"/>
                <w:kern w:val="2"/>
                <w:sz w:val="24"/>
                <w:szCs w:val="20"/>
                <w:lang w:val="en-US" w:eastAsia="zh-CN" w:bidi="ar"/>
              </w:rPr>
            </w:pPr>
            <w:r>
              <w:rPr>
                <w:rFonts w:hint="default" w:ascii="Times New Roman" w:hAnsi="Times New Roman" w:eastAsia="宋体" w:cs="Times New Roman"/>
                <w:bCs/>
                <w:color w:val="auto"/>
                <w:kern w:val="2"/>
                <w:sz w:val="24"/>
                <w:szCs w:val="20"/>
                <w:lang w:val="en-US" w:eastAsia="zh-CN" w:bidi="ar"/>
              </w:rPr>
              <w:t>不同鱼类对产卵场环境的要求不同，根据其鱼卵的特点来确定其产卵的类型，同时其产卵行为也存在差异。</w:t>
            </w:r>
            <w:r>
              <w:rPr>
                <w:rFonts w:hint="eastAsia" w:ascii="Times New Roman" w:hAnsi="Times New Roman" w:eastAsia="宋体" w:cs="Times New Roman"/>
                <w:bCs/>
                <w:color w:val="auto"/>
                <w:kern w:val="2"/>
                <w:sz w:val="24"/>
                <w:szCs w:val="20"/>
                <w:lang w:val="en-US" w:eastAsia="zh-CN" w:bidi="ar"/>
              </w:rPr>
              <w:t>结合本次调查结果和历史资料，</w:t>
            </w:r>
            <w:r>
              <w:rPr>
                <w:rFonts w:hint="default" w:ascii="Times New Roman" w:hAnsi="Times New Roman" w:eastAsia="宋体" w:cs="Times New Roman"/>
                <w:bCs/>
                <w:color w:val="auto"/>
                <w:kern w:val="2"/>
                <w:sz w:val="24"/>
                <w:szCs w:val="20"/>
                <w:lang w:val="en-US" w:eastAsia="zh-CN" w:bidi="ar"/>
              </w:rPr>
              <w:t>调查区域有产漂流性鱼卵、产粘沉性卵</w:t>
            </w:r>
            <w:r>
              <w:rPr>
                <w:rFonts w:hint="eastAsia" w:ascii="Times New Roman" w:hAnsi="Times New Roman" w:eastAsia="宋体" w:cs="Times New Roman"/>
                <w:bCs/>
                <w:color w:val="auto"/>
                <w:kern w:val="2"/>
                <w:sz w:val="24"/>
                <w:szCs w:val="20"/>
                <w:lang w:val="en-US" w:eastAsia="zh-CN" w:bidi="ar"/>
              </w:rPr>
              <w:t>等</w:t>
            </w:r>
            <w:r>
              <w:rPr>
                <w:rFonts w:hint="default" w:ascii="Times New Roman" w:hAnsi="Times New Roman" w:eastAsia="宋体" w:cs="Times New Roman"/>
                <w:bCs/>
                <w:color w:val="auto"/>
                <w:kern w:val="2"/>
                <w:sz w:val="24"/>
                <w:szCs w:val="20"/>
                <w:lang w:val="en-US" w:eastAsia="zh-CN" w:bidi="ar"/>
              </w:rPr>
              <w:t>类群。</w:t>
            </w:r>
          </w:p>
          <w:p>
            <w:pPr>
              <w:keepNext w:val="0"/>
              <w:keepLines w:val="0"/>
              <w:pageBreakBefore w:val="0"/>
              <w:widowControl/>
              <w:numPr>
                <w:ilvl w:val="0"/>
                <w:numId w:val="0"/>
              </w:numPr>
              <w:suppressLineNumbers w:val="0"/>
              <w:tabs>
                <w:tab w:val="left" w:pos="480"/>
              </w:tabs>
              <w:kinsoku/>
              <w:wordWrap/>
              <w:overflowPunct/>
              <w:topLinePunct w:val="0"/>
              <w:bidi w:val="0"/>
              <w:snapToGrid w:val="0"/>
              <w:spacing w:before="0" w:beforeAutospacing="0" w:after="0" w:afterAutospacing="0" w:line="360" w:lineRule="auto"/>
              <w:ind w:left="0" w:leftChars="0" w:right="0" w:rightChars="0" w:firstLine="480" w:firstLineChars="200"/>
              <w:jc w:val="left"/>
              <w:rPr>
                <w:rFonts w:hint="eastAsia" w:ascii="Times New Roman" w:hAnsi="Times New Roman" w:eastAsia="宋体" w:cs="Times New Roman"/>
                <w:bCs/>
                <w:color w:val="auto"/>
                <w:kern w:val="2"/>
                <w:sz w:val="24"/>
                <w:szCs w:val="20"/>
                <w:lang w:val="en-US" w:eastAsia="zh-CN" w:bidi="ar"/>
              </w:rPr>
            </w:pPr>
            <w:r>
              <w:rPr>
                <w:rFonts w:hint="eastAsia" w:ascii="Times New Roman" w:hAnsi="Times New Roman" w:eastAsia="宋体" w:cs="Times New Roman"/>
                <w:bCs/>
                <w:color w:val="auto"/>
                <w:kern w:val="2"/>
                <w:sz w:val="24"/>
                <w:szCs w:val="20"/>
                <w:lang w:val="en-US" w:eastAsia="zh-CN" w:bidi="ar"/>
              </w:rPr>
              <w:t>区域</w:t>
            </w:r>
            <w:r>
              <w:rPr>
                <w:rFonts w:hint="default" w:ascii="Times New Roman" w:hAnsi="Times New Roman" w:eastAsia="宋体" w:cs="Times New Roman"/>
                <w:bCs/>
                <w:color w:val="auto"/>
                <w:kern w:val="2"/>
                <w:sz w:val="24"/>
                <w:szCs w:val="20"/>
                <w:lang w:val="en-US" w:eastAsia="zh-CN" w:bidi="ar"/>
              </w:rPr>
              <w:t>漂流性卵鱼类产卵场有大岩腔、丰都庙、安谷坝址、杨子坝、水口镇渡口、青衣江汇口6个产卵场，主要产卵种类为蛇鮈、银鮈、宜昌鳅鮀、犁头鳅、长鳍吻鮈等小型鱼类</w:t>
            </w:r>
            <w:r>
              <w:rPr>
                <w:rFonts w:hint="eastAsia" w:ascii="Times New Roman" w:hAnsi="Times New Roman" w:eastAsia="宋体" w:cs="Times New Roman"/>
                <w:bCs/>
                <w:color w:val="auto"/>
                <w:kern w:val="2"/>
                <w:sz w:val="24"/>
                <w:szCs w:val="20"/>
                <w:lang w:val="en-US" w:eastAsia="zh-CN" w:bidi="ar"/>
              </w:rPr>
              <w:t>；</w:t>
            </w:r>
          </w:p>
          <w:p>
            <w:pPr>
              <w:keepNext w:val="0"/>
              <w:keepLines w:val="0"/>
              <w:pageBreakBefore w:val="0"/>
              <w:widowControl/>
              <w:numPr>
                <w:ilvl w:val="0"/>
                <w:numId w:val="0"/>
              </w:numPr>
              <w:suppressLineNumbers w:val="0"/>
              <w:tabs>
                <w:tab w:val="left" w:pos="480"/>
              </w:tabs>
              <w:kinsoku/>
              <w:wordWrap/>
              <w:overflowPunct/>
              <w:topLinePunct w:val="0"/>
              <w:bidi w:val="0"/>
              <w:snapToGrid w:val="0"/>
              <w:spacing w:before="0" w:beforeAutospacing="0" w:after="0" w:afterAutospacing="0" w:line="360" w:lineRule="auto"/>
              <w:ind w:left="0" w:leftChars="0" w:right="0" w:rightChars="0" w:firstLine="480" w:firstLineChars="200"/>
              <w:jc w:val="left"/>
              <w:rPr>
                <w:rFonts w:hint="default" w:ascii="Times New Roman" w:hAnsi="Times New Roman" w:eastAsia="宋体" w:cs="Times New Roman"/>
                <w:bCs/>
                <w:color w:val="auto"/>
                <w:kern w:val="2"/>
                <w:sz w:val="24"/>
                <w:szCs w:val="20"/>
                <w:lang w:val="en-US" w:eastAsia="zh-CN" w:bidi="ar"/>
              </w:rPr>
            </w:pPr>
            <w:r>
              <w:rPr>
                <w:rFonts w:hint="eastAsia" w:ascii="Times New Roman" w:hAnsi="Times New Roman" w:eastAsia="宋体" w:cs="Times New Roman"/>
                <w:bCs/>
                <w:color w:val="auto"/>
                <w:kern w:val="2"/>
                <w:sz w:val="24"/>
                <w:szCs w:val="20"/>
                <w:lang w:val="en-US" w:eastAsia="zh-CN" w:bidi="ar"/>
              </w:rPr>
              <w:t>主要的产粘沉性卵鱼类产卵场</w:t>
            </w:r>
            <w:r>
              <w:rPr>
                <w:rFonts w:hint="default" w:ascii="Times New Roman" w:hAnsi="Times New Roman" w:eastAsia="宋体" w:cs="Times New Roman"/>
                <w:bCs/>
                <w:color w:val="auto"/>
                <w:kern w:val="2"/>
                <w:sz w:val="24"/>
                <w:szCs w:val="20"/>
                <w:lang w:val="en-US" w:eastAsia="zh-CN" w:bidi="ar"/>
              </w:rPr>
              <w:t>为青衣江汇口、峨眉河内江河汇口、扬子坝右河道</w:t>
            </w:r>
            <w:r>
              <w:rPr>
                <w:rFonts w:hint="eastAsia" w:ascii="Times New Roman" w:hAnsi="Times New Roman" w:eastAsia="宋体" w:cs="Times New Roman"/>
                <w:bCs/>
                <w:color w:val="auto"/>
                <w:kern w:val="2"/>
                <w:sz w:val="24"/>
                <w:szCs w:val="20"/>
                <w:lang w:val="en-US" w:eastAsia="zh-CN" w:bidi="ar"/>
              </w:rPr>
              <w:t>（</w:t>
            </w:r>
            <w:r>
              <w:rPr>
                <w:rFonts w:hint="default" w:ascii="Times New Roman" w:hAnsi="Times New Roman" w:eastAsia="宋体" w:cs="Times New Roman"/>
                <w:bCs/>
                <w:color w:val="auto"/>
                <w:kern w:val="2"/>
                <w:sz w:val="24"/>
                <w:szCs w:val="20"/>
                <w:lang w:val="en-US" w:eastAsia="zh-CN" w:bidi="ar"/>
              </w:rPr>
              <w:t>安谷坝址</w:t>
            </w:r>
            <w:r>
              <w:rPr>
                <w:rFonts w:hint="eastAsia" w:ascii="Times New Roman" w:hAnsi="Times New Roman" w:eastAsia="宋体" w:cs="Times New Roman"/>
                <w:bCs/>
                <w:color w:val="auto"/>
                <w:kern w:val="2"/>
                <w:sz w:val="24"/>
                <w:szCs w:val="20"/>
                <w:lang w:val="en-US" w:eastAsia="zh-CN" w:bidi="ar"/>
              </w:rPr>
              <w:t>）</w:t>
            </w:r>
            <w:r>
              <w:rPr>
                <w:rFonts w:hint="default" w:ascii="Times New Roman" w:hAnsi="Times New Roman" w:eastAsia="宋体" w:cs="Times New Roman"/>
                <w:bCs/>
                <w:color w:val="auto"/>
                <w:kern w:val="2"/>
                <w:sz w:val="24"/>
                <w:szCs w:val="20"/>
                <w:lang w:val="en-US" w:eastAsia="zh-CN" w:bidi="ar"/>
              </w:rPr>
              <w:t>、扬子坝左河道、漩沱子等。</w:t>
            </w:r>
          </w:p>
          <w:p>
            <w:pPr>
              <w:keepNext w:val="0"/>
              <w:keepLines w:val="0"/>
              <w:pageBreakBefore w:val="0"/>
              <w:widowControl/>
              <w:numPr>
                <w:ilvl w:val="0"/>
                <w:numId w:val="0"/>
              </w:numPr>
              <w:suppressLineNumbers w:val="0"/>
              <w:tabs>
                <w:tab w:val="left" w:pos="480"/>
              </w:tabs>
              <w:kinsoku/>
              <w:wordWrap/>
              <w:overflowPunct/>
              <w:topLinePunct w:val="0"/>
              <w:bidi w:val="0"/>
              <w:snapToGrid w:val="0"/>
              <w:spacing w:before="0" w:beforeAutospacing="0" w:after="0" w:afterAutospacing="0" w:line="360" w:lineRule="auto"/>
              <w:ind w:left="0" w:leftChars="0" w:right="0" w:rightChars="0" w:firstLine="480" w:firstLineChars="200"/>
              <w:jc w:val="left"/>
              <w:rPr>
                <w:rFonts w:hint="default" w:ascii="Times New Roman" w:hAnsi="Times New Roman" w:eastAsia="宋体" w:cs="Times New Roman"/>
                <w:bCs/>
                <w:color w:val="auto"/>
                <w:kern w:val="2"/>
                <w:sz w:val="24"/>
                <w:szCs w:val="20"/>
                <w:lang w:val="en-US" w:eastAsia="zh-CN" w:bidi="ar"/>
              </w:rPr>
            </w:pPr>
            <w:r>
              <w:rPr>
                <w:rFonts w:hint="default" w:ascii="Times New Roman" w:hAnsi="Times New Roman" w:eastAsia="宋体" w:cs="Times New Roman"/>
                <w:bCs/>
                <w:color w:val="auto"/>
                <w:kern w:val="2"/>
                <w:sz w:val="24"/>
                <w:szCs w:val="20"/>
                <w:lang w:val="en-US" w:eastAsia="zh-CN" w:bidi="ar"/>
              </w:rPr>
              <w:t>②越冬场</w:t>
            </w:r>
          </w:p>
          <w:p>
            <w:pPr>
              <w:keepNext w:val="0"/>
              <w:keepLines w:val="0"/>
              <w:pageBreakBefore w:val="0"/>
              <w:widowControl/>
              <w:numPr>
                <w:ilvl w:val="0"/>
                <w:numId w:val="0"/>
              </w:numPr>
              <w:suppressLineNumbers w:val="0"/>
              <w:tabs>
                <w:tab w:val="left" w:pos="480"/>
              </w:tabs>
              <w:kinsoku/>
              <w:wordWrap/>
              <w:overflowPunct/>
              <w:topLinePunct w:val="0"/>
              <w:bidi w:val="0"/>
              <w:snapToGrid w:val="0"/>
              <w:spacing w:before="0" w:beforeAutospacing="0" w:after="0" w:afterAutospacing="0" w:line="360" w:lineRule="auto"/>
              <w:ind w:left="0" w:leftChars="0" w:right="0" w:rightChars="0" w:firstLine="480" w:firstLineChars="200"/>
              <w:jc w:val="left"/>
              <w:rPr>
                <w:rFonts w:hint="default" w:ascii="Times New Roman" w:hAnsi="Times New Roman" w:eastAsia="宋体" w:cs="Times New Roman"/>
                <w:bCs/>
                <w:color w:val="auto"/>
                <w:kern w:val="2"/>
                <w:sz w:val="24"/>
                <w:szCs w:val="20"/>
                <w:lang w:val="en-US" w:eastAsia="zh-CN" w:bidi="ar"/>
              </w:rPr>
            </w:pPr>
            <w:r>
              <w:rPr>
                <w:rFonts w:hint="default" w:ascii="Times New Roman" w:hAnsi="Times New Roman" w:eastAsia="宋体" w:cs="Times New Roman"/>
                <w:bCs/>
                <w:color w:val="auto"/>
                <w:kern w:val="2"/>
                <w:sz w:val="24"/>
                <w:szCs w:val="20"/>
                <w:lang w:val="en-US" w:eastAsia="zh-CN" w:bidi="ar"/>
              </w:rPr>
              <w:t>每年秋冬季节，随着气温、水温下降，鱼类活动减少；水位下降，鱼类活动区域压缩，鱼类进入饵料资源相对较为丰富，温度及水深较为稳定的深水潭中越冬。鱼类越冬场一般为急流险滩下水流冲刷形成的深潭，水深4～5m以上，水流较为平缓，深潭河床多为岩基和砾石，着生藻类、水生昆虫较为丰富。规模较大的越冬场往往和产卵场相邻。大渡河沙湾坝址至入岷江汇口45km河段符合以上条件较大的越冬场不多，根据走访捕捞调查和分析，该河段较大的越冬场有</w:t>
            </w:r>
            <w:r>
              <w:rPr>
                <w:rFonts w:hint="eastAsia" w:ascii="Times New Roman" w:hAnsi="Times New Roman" w:eastAsia="宋体" w:cs="Times New Roman"/>
                <w:bCs/>
                <w:color w:val="auto"/>
                <w:kern w:val="2"/>
                <w:sz w:val="24"/>
                <w:szCs w:val="20"/>
                <w:lang w:val="en-US" w:eastAsia="zh-CN" w:bidi="ar"/>
              </w:rPr>
              <w:t>左侧岔河入河口下</w:t>
            </w:r>
            <w:r>
              <w:rPr>
                <w:rFonts w:hint="default" w:ascii="Times New Roman" w:hAnsi="Times New Roman" w:eastAsia="宋体" w:cs="Times New Roman"/>
                <w:bCs/>
                <w:color w:val="auto"/>
                <w:kern w:val="2"/>
                <w:sz w:val="24"/>
                <w:szCs w:val="20"/>
                <w:lang w:val="en-US" w:eastAsia="zh-CN" w:bidi="ar"/>
              </w:rPr>
              <w:t>、大岩腔渡口、南广庙、扬子坝桥、铜河碥等，在此越冬的鱼类有泉水鱼、异鳔鳅鮀、宜昌鳅鮀、唇</w:t>
            </w:r>
            <w:r>
              <w:rPr>
                <w:rFonts w:hint="eastAsia" w:ascii="Times New Roman" w:hAnsi="Times New Roman" w:eastAsia="宋体" w:cs="Times New Roman"/>
                <w:bCs/>
                <w:color w:val="auto"/>
                <w:kern w:val="2"/>
                <w:sz w:val="24"/>
                <w:szCs w:val="20"/>
                <w:lang w:val="en-US" w:eastAsia="zh-CN" w:bidi="ar"/>
              </w:rPr>
              <w:t>䱻</w:t>
            </w:r>
            <w:r>
              <w:rPr>
                <w:rFonts w:hint="default" w:ascii="Times New Roman" w:hAnsi="Times New Roman" w:eastAsia="宋体" w:cs="Times New Roman"/>
                <w:bCs/>
                <w:color w:val="auto"/>
                <w:kern w:val="2"/>
                <w:sz w:val="24"/>
                <w:szCs w:val="20"/>
                <w:lang w:val="en-US" w:eastAsia="zh-CN" w:bidi="ar"/>
              </w:rPr>
              <w:t>、蛇鮈、长薄鳅、大鳍鳠、短身间吸鳅等二十余种。其余小越冬潭散布于沙湾城区到青衣江口的河网水域。</w:t>
            </w:r>
          </w:p>
          <w:p>
            <w:pPr>
              <w:keepNext w:val="0"/>
              <w:keepLines w:val="0"/>
              <w:pageBreakBefore w:val="0"/>
              <w:widowControl/>
              <w:numPr>
                <w:ilvl w:val="0"/>
                <w:numId w:val="0"/>
              </w:numPr>
              <w:suppressLineNumbers w:val="0"/>
              <w:tabs>
                <w:tab w:val="left" w:pos="480"/>
              </w:tabs>
              <w:kinsoku/>
              <w:wordWrap/>
              <w:overflowPunct/>
              <w:topLinePunct w:val="0"/>
              <w:bidi w:val="0"/>
              <w:snapToGrid w:val="0"/>
              <w:spacing w:before="0" w:beforeAutospacing="0" w:after="0" w:afterAutospacing="0" w:line="360" w:lineRule="auto"/>
              <w:ind w:left="0" w:leftChars="0" w:right="0" w:rightChars="0" w:firstLine="480" w:firstLineChars="200"/>
              <w:jc w:val="left"/>
              <w:rPr>
                <w:rFonts w:hint="default" w:ascii="Times New Roman" w:hAnsi="Times New Roman" w:eastAsia="宋体" w:cs="Times New Roman"/>
                <w:bCs/>
                <w:color w:val="auto"/>
                <w:kern w:val="2"/>
                <w:sz w:val="24"/>
                <w:szCs w:val="20"/>
                <w:lang w:val="en-US" w:eastAsia="zh-CN" w:bidi="ar"/>
              </w:rPr>
            </w:pPr>
            <w:r>
              <w:rPr>
                <w:rFonts w:hint="default" w:ascii="Times New Roman" w:hAnsi="Times New Roman" w:eastAsia="宋体" w:cs="Times New Roman"/>
                <w:bCs/>
                <w:color w:val="auto"/>
                <w:kern w:val="2"/>
                <w:sz w:val="24"/>
                <w:szCs w:val="20"/>
                <w:lang w:val="en-US" w:eastAsia="zh-CN" w:bidi="ar"/>
              </w:rPr>
              <w:t>③索饵场</w:t>
            </w:r>
          </w:p>
          <w:p>
            <w:pPr>
              <w:keepNext w:val="0"/>
              <w:keepLines w:val="0"/>
              <w:pageBreakBefore w:val="0"/>
              <w:widowControl/>
              <w:numPr>
                <w:ilvl w:val="0"/>
                <w:numId w:val="0"/>
              </w:numPr>
              <w:suppressLineNumbers w:val="0"/>
              <w:tabs>
                <w:tab w:val="left" w:pos="480"/>
              </w:tabs>
              <w:kinsoku/>
              <w:wordWrap/>
              <w:overflowPunct/>
              <w:topLinePunct w:val="0"/>
              <w:bidi w:val="0"/>
              <w:snapToGrid w:val="0"/>
              <w:spacing w:before="0" w:beforeAutospacing="0" w:after="0" w:afterAutospacing="0" w:line="360" w:lineRule="auto"/>
              <w:ind w:left="0" w:leftChars="0" w:right="0" w:rightChars="0" w:firstLine="480" w:firstLineChars="200"/>
              <w:jc w:val="left"/>
              <w:rPr>
                <w:rFonts w:hint="default" w:ascii="Times New Roman" w:hAnsi="Times New Roman" w:eastAsia="宋体" w:cs="Times New Roman"/>
                <w:bCs/>
                <w:color w:val="auto"/>
                <w:kern w:val="2"/>
                <w:sz w:val="24"/>
                <w:szCs w:val="20"/>
                <w:lang w:val="en-US" w:eastAsia="zh-CN" w:bidi="ar"/>
              </w:rPr>
            </w:pPr>
            <w:r>
              <w:rPr>
                <w:rFonts w:hint="default" w:ascii="Times New Roman" w:hAnsi="Times New Roman" w:eastAsia="宋体" w:cs="Times New Roman"/>
                <w:bCs/>
                <w:color w:val="auto"/>
                <w:kern w:val="2"/>
                <w:sz w:val="24"/>
                <w:szCs w:val="20"/>
                <w:lang w:val="en-US" w:eastAsia="zh-CN" w:bidi="ar"/>
              </w:rPr>
              <w:t>3月份后，水温逐渐回升，鱼类从越冬深水区到河流浅水的砾石滩索饵。调查江段鱼类多为以着生藻类、有机碎屑、底栖无脊椎动物等为主要食物的鱼类，浅水区光照条件好，砾石滩适宜着生藻类生长，相应地底栖无脊椎动物也较为丰富，往往成为鱼类重要的索饵场所。</w:t>
            </w:r>
          </w:p>
          <w:p>
            <w:pPr>
              <w:keepNext w:val="0"/>
              <w:keepLines w:val="0"/>
              <w:pageBreakBefore w:val="0"/>
              <w:widowControl/>
              <w:numPr>
                <w:ilvl w:val="0"/>
                <w:numId w:val="0"/>
              </w:numPr>
              <w:suppressLineNumbers w:val="0"/>
              <w:tabs>
                <w:tab w:val="left" w:pos="480"/>
              </w:tabs>
              <w:kinsoku/>
              <w:wordWrap/>
              <w:overflowPunct/>
              <w:topLinePunct w:val="0"/>
              <w:bidi w:val="0"/>
              <w:snapToGrid w:val="0"/>
              <w:spacing w:before="0" w:beforeAutospacing="0" w:after="0" w:afterAutospacing="0" w:line="360" w:lineRule="auto"/>
              <w:ind w:left="0" w:leftChars="0" w:right="0" w:rightChars="0" w:firstLine="480" w:firstLineChars="200"/>
              <w:jc w:val="left"/>
              <w:rPr>
                <w:rFonts w:hint="default" w:ascii="Times New Roman" w:hAnsi="Times New Roman" w:eastAsia="宋体" w:cs="Times New Roman"/>
                <w:bCs/>
                <w:color w:val="auto"/>
                <w:sz w:val="24"/>
                <w:szCs w:val="20"/>
                <w:lang w:bidi="ar"/>
              </w:rPr>
            </w:pPr>
            <w:r>
              <w:rPr>
                <w:rFonts w:hint="default" w:ascii="Times New Roman" w:hAnsi="Times New Roman" w:eastAsia="宋体" w:cs="Times New Roman"/>
                <w:bCs/>
                <w:color w:val="auto"/>
                <w:kern w:val="2"/>
                <w:sz w:val="24"/>
                <w:szCs w:val="20"/>
                <w:lang w:val="en-US" w:eastAsia="zh-CN" w:bidi="ar"/>
              </w:rPr>
              <w:t>大渡河喜急流性鱼类如长鳍吻鮈、泉水鱼、长薄鳅、平鳍鳅类、鮡类等，在流水环境中产卵，下游的大渡河、青衣江和岷江汇合处是这些鱼类重要的索饵场所。缓流水或静水性鱼类如鲇形目鲇科的鲇，鲿科的黄颡鱼、瓦氏黄颡鱼、切尾拟鲿、细体拟鲿、粗</w:t>
            </w:r>
            <w:r>
              <w:rPr>
                <w:rFonts w:hint="default" w:ascii="Times New Roman" w:hAnsi="Times New Roman" w:eastAsia="宋体" w:cs="Times New Roman"/>
                <w:bCs/>
                <w:color w:val="auto"/>
                <w:sz w:val="24"/>
                <w:szCs w:val="20"/>
                <w:lang w:bidi="ar"/>
              </w:rPr>
              <w:t>唇鮠，鲤科的鲤、鲫等，在潭滩间水流平缓的顺直深潭河段、河湾洄水区、开阔平缓河段索饵，这一类鱼类索饵场在调查区主要位于沙湾坝址至沙湾城区水域的王场、杨子坝、周桥坝、峨眉河汇口、青衣江汇口等河段。</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leftChars="0" w:right="0" w:firstLine="480" w:firstLineChars="200"/>
              <w:rPr>
                <w:rFonts w:hint="default" w:ascii="Times New Roman" w:hAnsi="Times New Roman" w:eastAsia="宋体" w:cs="Times New Roman"/>
                <w:bCs/>
                <w:color w:val="auto"/>
                <w:sz w:val="24"/>
                <w:szCs w:val="20"/>
                <w:lang w:val="en-US" w:eastAsia="zh-CN" w:bidi="ar"/>
              </w:rPr>
            </w:pPr>
            <w:r>
              <w:rPr>
                <w:rFonts w:hint="default" w:ascii="Times New Roman" w:hAnsi="Times New Roman" w:eastAsia="宋体" w:cs="Times New Roman"/>
                <w:bCs/>
                <w:color w:val="auto"/>
                <w:sz w:val="24"/>
                <w:szCs w:val="20"/>
                <w:lang w:val="en-US" w:eastAsia="zh-CN" w:bidi="ar"/>
              </w:rPr>
              <w:t>（二）陆生生态环境现状</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leftChars="0" w:right="0" w:firstLine="480" w:firstLineChars="200"/>
              <w:rPr>
                <w:rFonts w:hint="default" w:ascii="Times New Roman" w:hAnsi="Times New Roman" w:eastAsia="宋体" w:cs="Times New Roman"/>
                <w:bCs/>
                <w:color w:val="auto"/>
                <w:sz w:val="24"/>
                <w:szCs w:val="20"/>
                <w:lang w:val="en-US" w:eastAsia="zh-CN" w:bidi="ar"/>
              </w:rPr>
            </w:pPr>
            <w:r>
              <w:rPr>
                <w:rFonts w:hint="default" w:ascii="Times New Roman" w:hAnsi="Times New Roman" w:eastAsia="宋体" w:cs="Times New Roman"/>
                <w:bCs/>
                <w:color w:val="auto"/>
                <w:sz w:val="24"/>
                <w:szCs w:val="20"/>
                <w:lang w:val="en-US" w:eastAsia="zh-CN" w:bidi="ar"/>
              </w:rPr>
              <w:t>①用地现状</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leftChars="0" w:right="0" w:firstLine="480" w:firstLineChars="200"/>
              <w:rPr>
                <w:rFonts w:hint="default" w:ascii="Times New Roman" w:hAnsi="Times New Roman" w:eastAsia="宋体" w:cs="Times New Roman"/>
                <w:bCs/>
                <w:color w:val="auto"/>
                <w:sz w:val="24"/>
                <w:szCs w:val="20"/>
                <w:lang w:val="en-US" w:eastAsia="zh-CN" w:bidi="ar"/>
              </w:rPr>
            </w:pPr>
            <w:r>
              <w:rPr>
                <w:rFonts w:hint="default" w:ascii="Times New Roman" w:hAnsi="Times New Roman" w:eastAsia="宋体" w:cs="Times New Roman"/>
                <w:bCs/>
                <w:color w:val="auto"/>
                <w:sz w:val="24"/>
                <w:szCs w:val="20"/>
                <w:lang w:val="en-US" w:eastAsia="zh-CN" w:bidi="ar"/>
              </w:rPr>
              <w:t>本项目为防洪除涝项目，用地范围外主要为居民区，沿线区域以农村生态系统为主，项目施工生产区占地类型主要为</w:t>
            </w:r>
            <w:r>
              <w:rPr>
                <w:rFonts w:hint="eastAsia" w:cs="Times New Roman"/>
                <w:bCs/>
                <w:color w:val="auto"/>
                <w:sz w:val="24"/>
                <w:szCs w:val="20"/>
                <w:lang w:val="en-US" w:eastAsia="zh-CN" w:bidi="ar"/>
              </w:rPr>
              <w:t>林地与河滩地</w:t>
            </w:r>
            <w:r>
              <w:rPr>
                <w:rFonts w:hint="default" w:ascii="Times New Roman" w:hAnsi="Times New Roman" w:eastAsia="宋体" w:cs="Times New Roman"/>
                <w:bCs/>
                <w:color w:val="auto"/>
                <w:sz w:val="24"/>
                <w:szCs w:val="20"/>
                <w:lang w:val="en-US" w:eastAsia="zh-CN" w:bidi="ar"/>
              </w:rPr>
              <w:t>。</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leftChars="0" w:right="0" w:firstLine="480" w:firstLineChars="200"/>
              <w:rPr>
                <w:rFonts w:hint="default" w:ascii="Times New Roman" w:hAnsi="Times New Roman" w:eastAsia="宋体" w:cs="Times New Roman"/>
                <w:bCs/>
                <w:color w:val="auto"/>
                <w:sz w:val="24"/>
                <w:szCs w:val="20"/>
                <w:lang w:val="en-US" w:eastAsia="zh-CN" w:bidi="ar"/>
              </w:rPr>
            </w:pPr>
            <w:r>
              <w:rPr>
                <w:rFonts w:hint="default" w:ascii="Times New Roman" w:hAnsi="Times New Roman" w:eastAsia="宋体" w:cs="Times New Roman"/>
                <w:bCs/>
                <w:color w:val="auto"/>
                <w:sz w:val="24"/>
                <w:szCs w:val="20"/>
                <w:lang w:val="en-US" w:eastAsia="zh-CN" w:bidi="ar"/>
              </w:rPr>
              <w:t>②植被现状</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leftChars="0" w:right="0" w:firstLine="480" w:firstLineChars="200"/>
              <w:rPr>
                <w:rFonts w:hint="default" w:ascii="Times New Roman" w:hAnsi="Times New Roman" w:eastAsia="宋体" w:cs="Times New Roman"/>
                <w:bCs/>
                <w:color w:val="auto"/>
                <w:sz w:val="24"/>
                <w:szCs w:val="20"/>
                <w:lang w:val="en-US" w:eastAsia="zh-CN" w:bidi="ar"/>
              </w:rPr>
            </w:pPr>
            <w:r>
              <w:rPr>
                <w:rFonts w:hint="default" w:ascii="Times New Roman" w:hAnsi="Times New Roman" w:eastAsia="宋体" w:cs="Times New Roman"/>
                <w:bCs/>
                <w:color w:val="auto"/>
                <w:sz w:val="24"/>
                <w:szCs w:val="20"/>
                <w:lang w:val="en-US" w:eastAsia="zh-CN" w:bidi="ar"/>
              </w:rPr>
              <w:t>根据现场踏勘，本项目周围植被主要以灌木为主。</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leftChars="0" w:right="0" w:firstLine="480" w:firstLineChars="200"/>
              <w:rPr>
                <w:rFonts w:hint="default" w:ascii="Times New Roman" w:hAnsi="Times New Roman" w:eastAsia="宋体" w:cs="Times New Roman"/>
                <w:bCs/>
                <w:color w:val="auto"/>
                <w:sz w:val="24"/>
                <w:szCs w:val="20"/>
                <w:lang w:val="en-US" w:eastAsia="zh-CN" w:bidi="ar"/>
              </w:rPr>
            </w:pPr>
            <w:r>
              <w:rPr>
                <w:rFonts w:hint="default" w:ascii="Times New Roman" w:hAnsi="Times New Roman" w:eastAsia="宋体" w:cs="Times New Roman"/>
                <w:bCs/>
                <w:color w:val="auto"/>
                <w:sz w:val="24"/>
                <w:szCs w:val="20"/>
                <w:lang w:val="en-US" w:eastAsia="zh-CN" w:bidi="ar"/>
              </w:rPr>
              <w:t>③野生动物</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leftChars="0" w:right="0" w:firstLine="480" w:firstLineChars="200"/>
              <w:rPr>
                <w:rFonts w:hint="default" w:ascii="Times New Roman" w:hAnsi="Times New Roman" w:eastAsia="宋体" w:cs="Times New Roman"/>
                <w:bCs/>
                <w:color w:val="auto"/>
                <w:sz w:val="24"/>
                <w:szCs w:val="20"/>
                <w:highlight w:val="none"/>
                <w:lang w:val="en-US" w:eastAsia="zh-CN" w:bidi="ar"/>
              </w:rPr>
            </w:pPr>
            <w:r>
              <w:rPr>
                <w:rFonts w:hint="default" w:ascii="Times New Roman" w:hAnsi="Times New Roman" w:eastAsia="宋体" w:cs="Times New Roman"/>
                <w:bCs/>
                <w:color w:val="auto"/>
                <w:sz w:val="24"/>
                <w:szCs w:val="20"/>
                <w:lang w:val="en-US" w:eastAsia="zh-CN" w:bidi="ar"/>
              </w:rPr>
              <w:t>本项目所在区域大部分为村落，人类活动频繁，动物资源匮乏，主要动物有：昆虫：蝴蝶、蜻蜓、蚊蝇、蚯蚓等；禽鸟类：麻雀等；哺乳类动物：老鼠、田</w:t>
            </w:r>
            <w:r>
              <w:rPr>
                <w:rFonts w:hint="default" w:ascii="Times New Roman" w:hAnsi="Times New Roman" w:eastAsia="宋体" w:cs="Times New Roman"/>
                <w:bCs/>
                <w:color w:val="auto"/>
                <w:sz w:val="24"/>
                <w:szCs w:val="20"/>
                <w:highlight w:val="none"/>
                <w:lang w:val="en-US" w:eastAsia="zh-CN" w:bidi="ar"/>
              </w:rPr>
              <w:t>鼠等，未发现中大型兽类，也未发现国家保护、濒临绝种动物。</w:t>
            </w:r>
          </w:p>
          <w:p>
            <w:pPr>
              <w:adjustRightInd w:val="0"/>
              <w:snapToGrid w:val="0"/>
              <w:spacing w:line="360" w:lineRule="auto"/>
              <w:ind w:firstLine="482" w:firstLineChars="200"/>
              <w:textAlignment w:val="center"/>
              <w:outlineLvl w:val="9"/>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、环境空气质量现状调查与评价</w:t>
            </w:r>
          </w:p>
          <w:p>
            <w:pPr>
              <w:adjustRightInd w:val="0"/>
              <w:snapToGrid w:val="0"/>
              <w:spacing w:line="360" w:lineRule="auto"/>
              <w:ind w:firstLine="480" w:firstLineChars="200"/>
              <w:outlineLvl w:val="9"/>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本项目位于乐山市</w:t>
            </w:r>
            <w:r>
              <w:rPr>
                <w:rFonts w:hint="eastAsia" w:cs="Times New Roman"/>
                <w:color w:val="auto"/>
                <w:sz w:val="24"/>
                <w:lang w:val="en-US" w:eastAsia="zh-CN"/>
              </w:rPr>
              <w:t>市中</w:t>
            </w:r>
            <w:r>
              <w:rPr>
                <w:rFonts w:hint="default" w:ascii="Times New Roman" w:hAnsi="Times New Roman" w:eastAsia="宋体" w:cs="Times New Roman"/>
                <w:color w:val="auto"/>
                <w:sz w:val="24"/>
                <w:lang w:val="en-US" w:eastAsia="zh-CN"/>
              </w:rPr>
              <w:t>区</w:t>
            </w:r>
            <w:r>
              <w:rPr>
                <w:rFonts w:hint="default" w:ascii="Times New Roman" w:hAnsi="Times New Roman" w:eastAsia="宋体" w:cs="Times New Roman"/>
                <w:color w:val="auto"/>
                <w:sz w:val="24"/>
              </w:rPr>
              <w:t>，根据《环境影响评价技术导则大气环境》（HJ2.2-2018）中有关基本污染物环境质量现状数据的规定，可优先采用国家或地方生态环境主管部门公布的评价基准年（近3年中1个完整日历年）环境质量公告或环境质量报告中的数据或结论。</w:t>
            </w:r>
          </w:p>
          <w:p>
            <w:pPr>
              <w:adjustRightInd w:val="0"/>
              <w:snapToGrid w:val="0"/>
              <w:spacing w:line="360" w:lineRule="auto"/>
              <w:ind w:firstLine="480" w:firstLineChars="200"/>
              <w:jc w:val="left"/>
              <w:rPr>
                <w:rFonts w:hint="default" w:ascii="Times New Roman" w:hAnsi="Times New Roman" w:cs="Times New Roman"/>
                <w:color w:val="auto"/>
                <w:sz w:val="24"/>
              </w:rPr>
            </w:pPr>
            <w:r>
              <w:rPr>
                <w:rFonts w:hint="eastAsia" w:cs="Times New Roman"/>
                <w:color w:val="auto"/>
                <w:sz w:val="24"/>
                <w:szCs w:val="24"/>
                <w:lang w:val="en-US" w:eastAsia="zh-CN"/>
              </w:rPr>
              <w:t>参考污染防治攻坚战领导小组办公室发布的《乐山市污染防治攻坚战工作通报》（2023年第2期（总第III期））附件3 各县（市、区）2022年（1月1日-12月31日）空气质量累积数据统计表中市中区数据，结果如下：</w:t>
            </w:r>
          </w:p>
          <w:p>
            <w:pPr>
              <w:adjustRightInd w:val="0"/>
              <w:snapToGrid w:val="0"/>
              <w:spacing w:line="360" w:lineRule="auto"/>
              <w:jc w:val="center"/>
              <w:rPr>
                <w:rFonts w:hint="default" w:ascii="Times New Roman" w:hAnsi="Times New Roman" w:eastAsia="宋体" w:cs="Times New Roman"/>
                <w:b/>
                <w:bCs w:val="0"/>
                <w:color w:val="auto"/>
                <w:szCs w:val="21"/>
              </w:rPr>
            </w:pPr>
            <w:r>
              <w:rPr>
                <w:rFonts w:hint="default" w:ascii="Times New Roman" w:hAnsi="Times New Roman" w:eastAsia="宋体" w:cs="Times New Roman"/>
                <w:b/>
                <w:bCs w:val="0"/>
                <w:color w:val="auto"/>
                <w:szCs w:val="21"/>
              </w:rPr>
              <w:t>表3-</w:t>
            </w:r>
            <w:r>
              <w:rPr>
                <w:rFonts w:hint="default" w:ascii="Times New Roman" w:hAnsi="Times New Roman" w:eastAsia="宋体" w:cs="Times New Roman"/>
                <w:b/>
                <w:bCs w:val="0"/>
                <w:color w:val="auto"/>
                <w:szCs w:val="21"/>
                <w:lang w:val="en-US" w:eastAsia="zh-CN"/>
              </w:rPr>
              <w:t>2</w:t>
            </w:r>
            <w:r>
              <w:rPr>
                <w:rFonts w:hint="default" w:ascii="Times New Roman" w:hAnsi="Times New Roman" w:eastAsia="宋体" w:cs="Times New Roman"/>
                <w:b/>
                <w:bCs w:val="0"/>
                <w:color w:val="auto"/>
                <w:szCs w:val="21"/>
              </w:rPr>
              <w:t xml:space="preserve">  区域空气质量现状评价表</w:t>
            </w:r>
          </w:p>
          <w:tbl>
            <w:tblPr>
              <w:tblStyle w:val="42"/>
              <w:tblW w:w="4998"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2907"/>
              <w:gridCol w:w="1143"/>
              <w:gridCol w:w="1145"/>
              <w:gridCol w:w="811"/>
              <w:gridCol w:w="1072"/>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799" w:type="pct"/>
                  <w:noWrap w:val="0"/>
                  <w:vAlign w:val="center"/>
                </w:tcPr>
                <w:p>
                  <w:pPr>
                    <w:keepNext w:val="0"/>
                    <w:keepLines w:val="0"/>
                    <w:pageBreakBefore w:val="0"/>
                    <w:widowControl w:val="0"/>
                    <w:tabs>
                      <w:tab w:val="left" w:pos="72"/>
                    </w:tabs>
                    <w:kinsoku/>
                    <w:wordWrap/>
                    <w:overflowPunct/>
                    <w:topLinePunct w:val="0"/>
                    <w:autoSpaceDE/>
                    <w:autoSpaceDN/>
                    <w:bidi w:val="0"/>
                    <w:adjustRightInd/>
                    <w:snapToGrid/>
                    <w:spacing w:line="240" w:lineRule="auto"/>
                    <w:ind w:firstLine="0" w:firstLineChars="0"/>
                    <w:jc w:val="center"/>
                    <w:textAlignment w:val="baseline"/>
                    <w:rPr>
                      <w:rFonts w:hint="default"/>
                      <w:b/>
                      <w:bCs/>
                      <w:color w:val="auto"/>
                      <w:sz w:val="21"/>
                      <w:szCs w:val="21"/>
                    </w:rPr>
                  </w:pPr>
                  <w:r>
                    <w:rPr>
                      <w:rFonts w:hint="default"/>
                      <w:b/>
                      <w:bCs/>
                      <w:color w:val="auto"/>
                      <w:sz w:val="21"/>
                      <w:szCs w:val="21"/>
                    </w:rPr>
                    <w:t>污染物</w:t>
                  </w:r>
                </w:p>
              </w:tc>
              <w:tc>
                <w:tcPr>
                  <w:tcW w:w="1724" w:type="pct"/>
                  <w:noWrap w:val="0"/>
                  <w:vAlign w:val="center"/>
                </w:tcPr>
                <w:p>
                  <w:pPr>
                    <w:keepNext w:val="0"/>
                    <w:keepLines w:val="0"/>
                    <w:pageBreakBefore w:val="0"/>
                    <w:widowControl w:val="0"/>
                    <w:tabs>
                      <w:tab w:val="left" w:pos="72"/>
                    </w:tabs>
                    <w:kinsoku/>
                    <w:wordWrap/>
                    <w:overflowPunct/>
                    <w:topLinePunct w:val="0"/>
                    <w:autoSpaceDE/>
                    <w:autoSpaceDN/>
                    <w:bidi w:val="0"/>
                    <w:adjustRightInd/>
                    <w:snapToGrid/>
                    <w:spacing w:line="240" w:lineRule="auto"/>
                    <w:ind w:firstLine="0" w:firstLineChars="0"/>
                    <w:jc w:val="center"/>
                    <w:textAlignment w:val="baseline"/>
                    <w:rPr>
                      <w:rFonts w:hint="default"/>
                      <w:b/>
                      <w:bCs/>
                      <w:color w:val="auto"/>
                      <w:sz w:val="21"/>
                      <w:szCs w:val="21"/>
                    </w:rPr>
                  </w:pPr>
                  <w:r>
                    <w:rPr>
                      <w:rFonts w:hint="default"/>
                      <w:b/>
                      <w:bCs/>
                      <w:color w:val="auto"/>
                      <w:sz w:val="21"/>
                      <w:szCs w:val="21"/>
                    </w:rPr>
                    <w:t>年评价指标</w:t>
                  </w:r>
                </w:p>
              </w:tc>
              <w:tc>
                <w:tcPr>
                  <w:tcW w:w="678" w:type="pct"/>
                  <w:noWrap w:val="0"/>
                  <w:vAlign w:val="center"/>
                </w:tcPr>
                <w:p>
                  <w:pPr>
                    <w:keepNext w:val="0"/>
                    <w:keepLines w:val="0"/>
                    <w:pageBreakBefore w:val="0"/>
                    <w:widowControl w:val="0"/>
                    <w:tabs>
                      <w:tab w:val="left" w:pos="72"/>
                    </w:tabs>
                    <w:kinsoku/>
                    <w:wordWrap/>
                    <w:overflowPunct/>
                    <w:topLinePunct w:val="0"/>
                    <w:autoSpaceDE/>
                    <w:autoSpaceDN/>
                    <w:bidi w:val="0"/>
                    <w:adjustRightInd/>
                    <w:snapToGrid/>
                    <w:spacing w:line="240" w:lineRule="auto"/>
                    <w:ind w:firstLine="0" w:firstLineChars="0"/>
                    <w:jc w:val="center"/>
                    <w:textAlignment w:val="baseline"/>
                    <w:rPr>
                      <w:rFonts w:hint="default"/>
                      <w:b/>
                      <w:bCs/>
                      <w:color w:val="auto"/>
                      <w:sz w:val="21"/>
                      <w:szCs w:val="21"/>
                    </w:rPr>
                  </w:pPr>
                  <w:r>
                    <w:rPr>
                      <w:rFonts w:hint="default"/>
                      <w:b/>
                      <w:bCs/>
                      <w:color w:val="auto"/>
                      <w:sz w:val="21"/>
                      <w:szCs w:val="21"/>
                    </w:rPr>
                    <w:t>现状浓度（ug/m³）</w:t>
                  </w:r>
                </w:p>
              </w:tc>
              <w:tc>
                <w:tcPr>
                  <w:tcW w:w="679" w:type="pct"/>
                  <w:noWrap w:val="0"/>
                  <w:vAlign w:val="center"/>
                </w:tcPr>
                <w:p>
                  <w:pPr>
                    <w:keepNext w:val="0"/>
                    <w:keepLines w:val="0"/>
                    <w:pageBreakBefore w:val="0"/>
                    <w:widowControl w:val="0"/>
                    <w:tabs>
                      <w:tab w:val="left" w:pos="72"/>
                    </w:tabs>
                    <w:kinsoku/>
                    <w:wordWrap/>
                    <w:overflowPunct/>
                    <w:topLinePunct w:val="0"/>
                    <w:autoSpaceDE/>
                    <w:autoSpaceDN/>
                    <w:bidi w:val="0"/>
                    <w:adjustRightInd/>
                    <w:snapToGrid/>
                    <w:spacing w:line="240" w:lineRule="auto"/>
                    <w:ind w:firstLine="0" w:firstLineChars="0"/>
                    <w:jc w:val="center"/>
                    <w:textAlignment w:val="baseline"/>
                    <w:rPr>
                      <w:rFonts w:hint="default"/>
                      <w:b/>
                      <w:bCs/>
                      <w:color w:val="auto"/>
                      <w:sz w:val="21"/>
                      <w:szCs w:val="21"/>
                    </w:rPr>
                  </w:pPr>
                  <w:r>
                    <w:rPr>
                      <w:rFonts w:hint="default"/>
                      <w:b/>
                      <w:bCs/>
                      <w:color w:val="auto"/>
                      <w:sz w:val="21"/>
                      <w:szCs w:val="21"/>
                    </w:rPr>
                    <w:t>标准值（ug/m³）</w:t>
                  </w:r>
                </w:p>
              </w:tc>
              <w:tc>
                <w:tcPr>
                  <w:tcW w:w="481" w:type="pct"/>
                  <w:noWrap w:val="0"/>
                  <w:vAlign w:val="center"/>
                </w:tcPr>
                <w:p>
                  <w:pPr>
                    <w:keepNext w:val="0"/>
                    <w:keepLines w:val="0"/>
                    <w:pageBreakBefore w:val="0"/>
                    <w:widowControl w:val="0"/>
                    <w:tabs>
                      <w:tab w:val="left" w:pos="72"/>
                    </w:tabs>
                    <w:kinsoku/>
                    <w:wordWrap/>
                    <w:overflowPunct/>
                    <w:topLinePunct w:val="0"/>
                    <w:autoSpaceDE/>
                    <w:autoSpaceDN/>
                    <w:bidi w:val="0"/>
                    <w:adjustRightInd/>
                    <w:snapToGrid/>
                    <w:spacing w:line="240" w:lineRule="auto"/>
                    <w:ind w:firstLine="0" w:firstLineChars="0"/>
                    <w:jc w:val="center"/>
                    <w:textAlignment w:val="baseline"/>
                    <w:rPr>
                      <w:rFonts w:hint="default"/>
                      <w:b/>
                      <w:bCs/>
                      <w:color w:val="auto"/>
                      <w:sz w:val="21"/>
                      <w:szCs w:val="21"/>
                    </w:rPr>
                  </w:pPr>
                  <w:r>
                    <w:rPr>
                      <w:rFonts w:hint="default"/>
                      <w:b/>
                      <w:bCs/>
                      <w:color w:val="auto"/>
                      <w:sz w:val="21"/>
                      <w:szCs w:val="21"/>
                    </w:rPr>
                    <w:t>占标率%</w:t>
                  </w:r>
                </w:p>
              </w:tc>
              <w:tc>
                <w:tcPr>
                  <w:tcW w:w="636" w:type="pct"/>
                  <w:noWrap w:val="0"/>
                  <w:vAlign w:val="center"/>
                </w:tcPr>
                <w:p>
                  <w:pPr>
                    <w:keepNext w:val="0"/>
                    <w:keepLines w:val="0"/>
                    <w:pageBreakBefore w:val="0"/>
                    <w:widowControl w:val="0"/>
                    <w:tabs>
                      <w:tab w:val="left" w:pos="72"/>
                    </w:tabs>
                    <w:kinsoku/>
                    <w:wordWrap/>
                    <w:overflowPunct/>
                    <w:topLinePunct w:val="0"/>
                    <w:autoSpaceDE/>
                    <w:autoSpaceDN/>
                    <w:bidi w:val="0"/>
                    <w:adjustRightInd/>
                    <w:snapToGrid/>
                    <w:spacing w:line="240" w:lineRule="auto"/>
                    <w:ind w:firstLine="0" w:firstLineChars="0"/>
                    <w:jc w:val="center"/>
                    <w:textAlignment w:val="baseline"/>
                    <w:rPr>
                      <w:rFonts w:hint="default"/>
                      <w:b/>
                      <w:bCs/>
                      <w:color w:val="auto"/>
                      <w:sz w:val="21"/>
                      <w:szCs w:val="21"/>
                    </w:rPr>
                  </w:pPr>
                  <w:r>
                    <w:rPr>
                      <w:rFonts w:hint="default"/>
                      <w:b/>
                      <w:bCs/>
                      <w:color w:val="auto"/>
                      <w:sz w:val="21"/>
                      <w:szCs w:val="21"/>
                    </w:rPr>
                    <w:t>达标情况</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99" w:type="pct"/>
                  <w:noWrap w:val="0"/>
                  <w:vAlign w:val="center"/>
                </w:tcPr>
                <w:p>
                  <w:pPr>
                    <w:keepNext w:val="0"/>
                    <w:keepLines w:val="0"/>
                    <w:pageBreakBefore w:val="0"/>
                    <w:widowControl w:val="0"/>
                    <w:tabs>
                      <w:tab w:val="left" w:pos="72"/>
                    </w:tabs>
                    <w:kinsoku/>
                    <w:wordWrap/>
                    <w:overflowPunct/>
                    <w:topLinePunct w:val="0"/>
                    <w:autoSpaceDE/>
                    <w:autoSpaceDN/>
                    <w:bidi w:val="0"/>
                    <w:adjustRightInd/>
                    <w:snapToGrid/>
                    <w:spacing w:line="240" w:lineRule="auto"/>
                    <w:ind w:firstLine="0" w:firstLineChars="0"/>
                    <w:jc w:val="center"/>
                    <w:textAlignment w:val="baseline"/>
                    <w:rPr>
                      <w:rFonts w:hint="default"/>
                      <w:color w:val="auto"/>
                      <w:sz w:val="21"/>
                      <w:szCs w:val="21"/>
                    </w:rPr>
                  </w:pPr>
                  <w:r>
                    <w:rPr>
                      <w:rFonts w:hint="default"/>
                      <w:color w:val="auto"/>
                      <w:sz w:val="21"/>
                      <w:szCs w:val="21"/>
                    </w:rPr>
                    <w:t>二氧化硫</w:t>
                  </w:r>
                </w:p>
              </w:tc>
              <w:tc>
                <w:tcPr>
                  <w:tcW w:w="1724" w:type="pct"/>
                  <w:noWrap w:val="0"/>
                  <w:vAlign w:val="center"/>
                </w:tcPr>
                <w:p>
                  <w:pPr>
                    <w:keepNext w:val="0"/>
                    <w:keepLines w:val="0"/>
                    <w:pageBreakBefore w:val="0"/>
                    <w:widowControl w:val="0"/>
                    <w:tabs>
                      <w:tab w:val="left" w:pos="72"/>
                    </w:tabs>
                    <w:kinsoku/>
                    <w:wordWrap/>
                    <w:overflowPunct/>
                    <w:topLinePunct w:val="0"/>
                    <w:autoSpaceDE/>
                    <w:autoSpaceDN/>
                    <w:bidi w:val="0"/>
                    <w:adjustRightInd/>
                    <w:snapToGrid/>
                    <w:spacing w:line="240" w:lineRule="auto"/>
                    <w:ind w:firstLine="0" w:firstLineChars="0"/>
                    <w:jc w:val="center"/>
                    <w:textAlignment w:val="baseline"/>
                    <w:rPr>
                      <w:rFonts w:hint="default"/>
                      <w:color w:val="auto"/>
                      <w:sz w:val="21"/>
                      <w:szCs w:val="21"/>
                    </w:rPr>
                  </w:pPr>
                  <w:r>
                    <w:rPr>
                      <w:rFonts w:hint="default"/>
                      <w:color w:val="auto"/>
                      <w:sz w:val="21"/>
                      <w:szCs w:val="21"/>
                    </w:rPr>
                    <w:t>年平均质量浓度</w:t>
                  </w:r>
                </w:p>
              </w:tc>
              <w:tc>
                <w:tcPr>
                  <w:tcW w:w="1156" w:type="dxa"/>
                  <w:noWrap w:val="0"/>
                  <w:vAlign w:val="center"/>
                </w:tcPr>
                <w:p>
                  <w:pPr>
                    <w:keepNext w:val="0"/>
                    <w:keepLines w:val="0"/>
                    <w:pageBreakBefore w:val="0"/>
                    <w:widowControl w:val="0"/>
                    <w:tabs>
                      <w:tab w:val="left" w:pos="72"/>
                    </w:tabs>
                    <w:kinsoku/>
                    <w:wordWrap/>
                    <w:overflowPunct/>
                    <w:topLinePunct w:val="0"/>
                    <w:autoSpaceDE/>
                    <w:autoSpaceDN/>
                    <w:bidi w:val="0"/>
                    <w:adjustRightInd/>
                    <w:snapToGrid/>
                    <w:spacing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6.9</w:t>
                  </w:r>
                </w:p>
              </w:tc>
              <w:tc>
                <w:tcPr>
                  <w:tcW w:w="679" w:type="pct"/>
                  <w:noWrap w:val="0"/>
                  <w:vAlign w:val="center"/>
                </w:tcPr>
                <w:p>
                  <w:pPr>
                    <w:keepNext w:val="0"/>
                    <w:keepLines w:val="0"/>
                    <w:pageBreakBefore w:val="0"/>
                    <w:widowControl w:val="0"/>
                    <w:tabs>
                      <w:tab w:val="left" w:pos="72"/>
                    </w:tabs>
                    <w:kinsoku/>
                    <w:wordWrap/>
                    <w:overflowPunct/>
                    <w:topLinePunct w:val="0"/>
                    <w:autoSpaceDE/>
                    <w:autoSpaceDN/>
                    <w:bidi w:val="0"/>
                    <w:adjustRightInd/>
                    <w:snapToGrid/>
                    <w:spacing w:line="240" w:lineRule="auto"/>
                    <w:ind w:firstLine="0" w:firstLineChars="0"/>
                    <w:jc w:val="center"/>
                    <w:textAlignment w:val="baseline"/>
                    <w:rPr>
                      <w:rFonts w:hint="default"/>
                      <w:color w:val="auto"/>
                      <w:sz w:val="21"/>
                      <w:szCs w:val="21"/>
                    </w:rPr>
                  </w:pPr>
                  <w:r>
                    <w:rPr>
                      <w:rFonts w:hint="default"/>
                      <w:color w:val="auto"/>
                      <w:sz w:val="21"/>
                      <w:szCs w:val="21"/>
                    </w:rPr>
                    <w:t>60</w:t>
                  </w:r>
                </w:p>
              </w:tc>
              <w:tc>
                <w:tcPr>
                  <w:tcW w:w="481" w:type="pct"/>
                  <w:noWrap w:val="0"/>
                  <w:vAlign w:val="center"/>
                </w:tcPr>
                <w:p>
                  <w:pPr>
                    <w:keepNext w:val="0"/>
                    <w:keepLines w:val="0"/>
                    <w:pageBreakBefore w:val="0"/>
                    <w:widowControl w:val="0"/>
                    <w:tabs>
                      <w:tab w:val="left" w:pos="72"/>
                    </w:tabs>
                    <w:kinsoku/>
                    <w:wordWrap/>
                    <w:overflowPunct/>
                    <w:topLinePunct w:val="0"/>
                    <w:autoSpaceDE/>
                    <w:autoSpaceDN/>
                    <w:bidi w:val="0"/>
                    <w:adjustRightInd/>
                    <w:snapToGrid/>
                    <w:spacing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11.5</w:t>
                  </w:r>
                </w:p>
              </w:tc>
              <w:tc>
                <w:tcPr>
                  <w:tcW w:w="636" w:type="pct"/>
                  <w:noWrap w:val="0"/>
                  <w:vAlign w:val="center"/>
                </w:tcPr>
                <w:p>
                  <w:pPr>
                    <w:keepNext w:val="0"/>
                    <w:keepLines w:val="0"/>
                    <w:pageBreakBefore w:val="0"/>
                    <w:widowControl w:val="0"/>
                    <w:tabs>
                      <w:tab w:val="left" w:pos="72"/>
                    </w:tabs>
                    <w:kinsoku/>
                    <w:wordWrap/>
                    <w:overflowPunct/>
                    <w:topLinePunct w:val="0"/>
                    <w:autoSpaceDE/>
                    <w:autoSpaceDN/>
                    <w:bidi w:val="0"/>
                    <w:adjustRightInd/>
                    <w:snapToGrid/>
                    <w:spacing w:line="240" w:lineRule="auto"/>
                    <w:ind w:firstLine="0" w:firstLineChars="0"/>
                    <w:jc w:val="center"/>
                    <w:textAlignment w:val="baseline"/>
                    <w:rPr>
                      <w:rFonts w:hint="default"/>
                      <w:color w:val="auto"/>
                      <w:sz w:val="21"/>
                      <w:szCs w:val="21"/>
                    </w:rPr>
                  </w:pPr>
                  <w:r>
                    <w:rPr>
                      <w:rFonts w:hint="default"/>
                      <w:color w:val="auto"/>
                      <w:sz w:val="21"/>
                      <w:szCs w:val="21"/>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799" w:type="pct"/>
                  <w:noWrap w:val="0"/>
                  <w:vAlign w:val="center"/>
                </w:tcPr>
                <w:p>
                  <w:pPr>
                    <w:keepNext w:val="0"/>
                    <w:keepLines w:val="0"/>
                    <w:pageBreakBefore w:val="0"/>
                    <w:widowControl w:val="0"/>
                    <w:tabs>
                      <w:tab w:val="left" w:pos="72"/>
                    </w:tabs>
                    <w:kinsoku/>
                    <w:wordWrap/>
                    <w:overflowPunct/>
                    <w:topLinePunct w:val="0"/>
                    <w:autoSpaceDE/>
                    <w:autoSpaceDN/>
                    <w:bidi w:val="0"/>
                    <w:adjustRightInd/>
                    <w:snapToGrid/>
                    <w:spacing w:line="240" w:lineRule="auto"/>
                    <w:ind w:firstLine="0" w:firstLineChars="0"/>
                    <w:jc w:val="center"/>
                    <w:textAlignment w:val="baseline"/>
                    <w:rPr>
                      <w:rFonts w:hint="default"/>
                      <w:color w:val="auto"/>
                      <w:sz w:val="21"/>
                      <w:szCs w:val="21"/>
                    </w:rPr>
                  </w:pPr>
                  <w:r>
                    <w:rPr>
                      <w:rFonts w:hint="default"/>
                      <w:color w:val="auto"/>
                      <w:sz w:val="21"/>
                      <w:szCs w:val="21"/>
                    </w:rPr>
                    <w:t>二氧化氮</w:t>
                  </w:r>
                </w:p>
              </w:tc>
              <w:tc>
                <w:tcPr>
                  <w:tcW w:w="1724" w:type="pct"/>
                  <w:noWrap w:val="0"/>
                  <w:vAlign w:val="center"/>
                </w:tcPr>
                <w:p>
                  <w:pPr>
                    <w:keepNext w:val="0"/>
                    <w:keepLines w:val="0"/>
                    <w:pageBreakBefore w:val="0"/>
                    <w:widowControl w:val="0"/>
                    <w:tabs>
                      <w:tab w:val="left" w:pos="72"/>
                    </w:tabs>
                    <w:kinsoku/>
                    <w:wordWrap/>
                    <w:overflowPunct/>
                    <w:topLinePunct w:val="0"/>
                    <w:autoSpaceDE/>
                    <w:autoSpaceDN/>
                    <w:bidi w:val="0"/>
                    <w:adjustRightInd/>
                    <w:snapToGrid/>
                    <w:spacing w:line="240" w:lineRule="auto"/>
                    <w:ind w:firstLine="0" w:firstLineChars="0"/>
                    <w:jc w:val="center"/>
                    <w:textAlignment w:val="baseline"/>
                    <w:rPr>
                      <w:rFonts w:hint="default"/>
                      <w:color w:val="auto"/>
                      <w:sz w:val="21"/>
                      <w:szCs w:val="21"/>
                    </w:rPr>
                  </w:pPr>
                  <w:r>
                    <w:rPr>
                      <w:rFonts w:hint="default"/>
                      <w:color w:val="auto"/>
                      <w:sz w:val="21"/>
                      <w:szCs w:val="21"/>
                    </w:rPr>
                    <w:t>年平均质量浓度</w:t>
                  </w:r>
                </w:p>
              </w:tc>
              <w:tc>
                <w:tcPr>
                  <w:tcW w:w="1156" w:type="dxa"/>
                  <w:noWrap w:val="0"/>
                  <w:vAlign w:val="center"/>
                </w:tcPr>
                <w:p>
                  <w:pPr>
                    <w:keepNext w:val="0"/>
                    <w:keepLines w:val="0"/>
                    <w:pageBreakBefore w:val="0"/>
                    <w:widowControl w:val="0"/>
                    <w:tabs>
                      <w:tab w:val="left" w:pos="72"/>
                    </w:tabs>
                    <w:kinsoku/>
                    <w:wordWrap/>
                    <w:overflowPunct/>
                    <w:topLinePunct w:val="0"/>
                    <w:autoSpaceDE/>
                    <w:autoSpaceDN/>
                    <w:bidi w:val="0"/>
                    <w:adjustRightInd/>
                    <w:snapToGrid/>
                    <w:spacing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24.3</w:t>
                  </w:r>
                </w:p>
              </w:tc>
              <w:tc>
                <w:tcPr>
                  <w:tcW w:w="679" w:type="pct"/>
                  <w:noWrap w:val="0"/>
                  <w:vAlign w:val="center"/>
                </w:tcPr>
                <w:p>
                  <w:pPr>
                    <w:keepNext w:val="0"/>
                    <w:keepLines w:val="0"/>
                    <w:pageBreakBefore w:val="0"/>
                    <w:widowControl w:val="0"/>
                    <w:tabs>
                      <w:tab w:val="left" w:pos="72"/>
                    </w:tabs>
                    <w:kinsoku/>
                    <w:wordWrap/>
                    <w:overflowPunct/>
                    <w:topLinePunct w:val="0"/>
                    <w:autoSpaceDE/>
                    <w:autoSpaceDN/>
                    <w:bidi w:val="0"/>
                    <w:adjustRightInd/>
                    <w:snapToGrid/>
                    <w:spacing w:line="240" w:lineRule="auto"/>
                    <w:ind w:firstLine="0" w:firstLineChars="0"/>
                    <w:jc w:val="center"/>
                    <w:textAlignment w:val="baseline"/>
                    <w:rPr>
                      <w:rFonts w:hint="default"/>
                      <w:color w:val="auto"/>
                      <w:sz w:val="21"/>
                      <w:szCs w:val="21"/>
                    </w:rPr>
                  </w:pPr>
                  <w:r>
                    <w:rPr>
                      <w:rFonts w:hint="default"/>
                      <w:color w:val="auto"/>
                      <w:sz w:val="21"/>
                      <w:szCs w:val="21"/>
                    </w:rPr>
                    <w:t>40</w:t>
                  </w:r>
                </w:p>
              </w:tc>
              <w:tc>
                <w:tcPr>
                  <w:tcW w:w="481" w:type="pct"/>
                  <w:noWrap w:val="0"/>
                  <w:vAlign w:val="center"/>
                </w:tcPr>
                <w:p>
                  <w:pPr>
                    <w:keepNext w:val="0"/>
                    <w:keepLines w:val="0"/>
                    <w:pageBreakBefore w:val="0"/>
                    <w:widowControl w:val="0"/>
                    <w:tabs>
                      <w:tab w:val="left" w:pos="72"/>
                    </w:tabs>
                    <w:kinsoku/>
                    <w:wordWrap/>
                    <w:overflowPunct/>
                    <w:topLinePunct w:val="0"/>
                    <w:autoSpaceDE/>
                    <w:autoSpaceDN/>
                    <w:bidi w:val="0"/>
                    <w:adjustRightInd/>
                    <w:snapToGrid/>
                    <w:spacing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60.75</w:t>
                  </w:r>
                </w:p>
              </w:tc>
              <w:tc>
                <w:tcPr>
                  <w:tcW w:w="636" w:type="pct"/>
                  <w:noWrap w:val="0"/>
                  <w:vAlign w:val="center"/>
                </w:tcPr>
                <w:p>
                  <w:pPr>
                    <w:keepNext w:val="0"/>
                    <w:keepLines w:val="0"/>
                    <w:pageBreakBefore w:val="0"/>
                    <w:widowControl w:val="0"/>
                    <w:tabs>
                      <w:tab w:val="left" w:pos="72"/>
                    </w:tabs>
                    <w:kinsoku/>
                    <w:wordWrap/>
                    <w:overflowPunct/>
                    <w:topLinePunct w:val="0"/>
                    <w:autoSpaceDE/>
                    <w:autoSpaceDN/>
                    <w:bidi w:val="0"/>
                    <w:adjustRightInd/>
                    <w:snapToGrid/>
                    <w:spacing w:line="240" w:lineRule="auto"/>
                    <w:ind w:firstLine="0" w:firstLineChars="0"/>
                    <w:jc w:val="center"/>
                    <w:textAlignment w:val="baseline"/>
                    <w:rPr>
                      <w:rFonts w:hint="default"/>
                      <w:color w:val="auto"/>
                      <w:sz w:val="21"/>
                      <w:szCs w:val="21"/>
                    </w:rPr>
                  </w:pPr>
                  <w:r>
                    <w:rPr>
                      <w:rFonts w:hint="default"/>
                      <w:color w:val="auto"/>
                      <w:sz w:val="21"/>
                      <w:szCs w:val="21"/>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799" w:type="pct"/>
                  <w:noWrap w:val="0"/>
                  <w:vAlign w:val="center"/>
                </w:tcPr>
                <w:p>
                  <w:pPr>
                    <w:keepNext w:val="0"/>
                    <w:keepLines w:val="0"/>
                    <w:pageBreakBefore w:val="0"/>
                    <w:widowControl w:val="0"/>
                    <w:tabs>
                      <w:tab w:val="left" w:pos="72"/>
                    </w:tabs>
                    <w:kinsoku/>
                    <w:wordWrap/>
                    <w:overflowPunct/>
                    <w:topLinePunct w:val="0"/>
                    <w:autoSpaceDE/>
                    <w:autoSpaceDN/>
                    <w:bidi w:val="0"/>
                    <w:adjustRightInd/>
                    <w:snapToGrid/>
                    <w:spacing w:line="240" w:lineRule="auto"/>
                    <w:ind w:firstLine="0" w:firstLineChars="0"/>
                    <w:jc w:val="center"/>
                    <w:textAlignment w:val="baseline"/>
                    <w:rPr>
                      <w:rFonts w:hint="default"/>
                      <w:color w:val="auto"/>
                      <w:sz w:val="21"/>
                      <w:szCs w:val="21"/>
                    </w:rPr>
                  </w:pPr>
                  <w:r>
                    <w:rPr>
                      <w:rFonts w:hint="default"/>
                      <w:color w:val="auto"/>
                      <w:sz w:val="21"/>
                      <w:szCs w:val="21"/>
                    </w:rPr>
                    <w:t>臭氧</w:t>
                  </w:r>
                </w:p>
              </w:tc>
              <w:tc>
                <w:tcPr>
                  <w:tcW w:w="1724" w:type="pct"/>
                  <w:noWrap w:val="0"/>
                  <w:vAlign w:val="center"/>
                </w:tcPr>
                <w:p>
                  <w:pPr>
                    <w:keepNext w:val="0"/>
                    <w:keepLines w:val="0"/>
                    <w:pageBreakBefore w:val="0"/>
                    <w:widowControl w:val="0"/>
                    <w:tabs>
                      <w:tab w:val="left" w:pos="72"/>
                    </w:tabs>
                    <w:kinsoku/>
                    <w:wordWrap/>
                    <w:overflowPunct/>
                    <w:topLinePunct w:val="0"/>
                    <w:autoSpaceDE/>
                    <w:autoSpaceDN/>
                    <w:bidi w:val="0"/>
                    <w:adjustRightInd/>
                    <w:snapToGrid/>
                    <w:spacing w:line="240" w:lineRule="auto"/>
                    <w:ind w:firstLine="0" w:firstLineChars="0"/>
                    <w:jc w:val="center"/>
                    <w:textAlignment w:val="baseline"/>
                    <w:rPr>
                      <w:rFonts w:hint="default"/>
                      <w:color w:val="auto"/>
                      <w:sz w:val="21"/>
                      <w:szCs w:val="21"/>
                    </w:rPr>
                  </w:pPr>
                  <w:r>
                    <w:rPr>
                      <w:rFonts w:hint="default"/>
                      <w:color w:val="auto"/>
                      <w:sz w:val="21"/>
                      <w:szCs w:val="21"/>
                    </w:rPr>
                    <w:t>日最大8h平均质量浓度</w:t>
                  </w:r>
                </w:p>
              </w:tc>
              <w:tc>
                <w:tcPr>
                  <w:tcW w:w="1156" w:type="dxa"/>
                  <w:noWrap w:val="0"/>
                  <w:vAlign w:val="center"/>
                </w:tcPr>
                <w:p>
                  <w:pPr>
                    <w:keepNext w:val="0"/>
                    <w:keepLines w:val="0"/>
                    <w:pageBreakBefore w:val="0"/>
                    <w:widowControl w:val="0"/>
                    <w:tabs>
                      <w:tab w:val="left" w:pos="72"/>
                    </w:tabs>
                    <w:kinsoku/>
                    <w:wordWrap/>
                    <w:overflowPunct/>
                    <w:topLinePunct w:val="0"/>
                    <w:autoSpaceDE/>
                    <w:autoSpaceDN/>
                    <w:bidi w:val="0"/>
                    <w:adjustRightInd/>
                    <w:snapToGrid/>
                    <w:spacing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156.6</w:t>
                  </w:r>
                </w:p>
              </w:tc>
              <w:tc>
                <w:tcPr>
                  <w:tcW w:w="679" w:type="pct"/>
                  <w:noWrap w:val="0"/>
                  <w:vAlign w:val="center"/>
                </w:tcPr>
                <w:p>
                  <w:pPr>
                    <w:keepNext w:val="0"/>
                    <w:keepLines w:val="0"/>
                    <w:pageBreakBefore w:val="0"/>
                    <w:widowControl w:val="0"/>
                    <w:tabs>
                      <w:tab w:val="left" w:pos="72"/>
                    </w:tabs>
                    <w:kinsoku/>
                    <w:wordWrap/>
                    <w:overflowPunct/>
                    <w:topLinePunct w:val="0"/>
                    <w:autoSpaceDE/>
                    <w:autoSpaceDN/>
                    <w:bidi w:val="0"/>
                    <w:adjustRightInd/>
                    <w:snapToGrid/>
                    <w:spacing w:line="240" w:lineRule="auto"/>
                    <w:ind w:firstLine="0" w:firstLineChars="0"/>
                    <w:jc w:val="center"/>
                    <w:textAlignment w:val="baseline"/>
                    <w:rPr>
                      <w:rFonts w:hint="default"/>
                      <w:color w:val="auto"/>
                      <w:sz w:val="21"/>
                      <w:szCs w:val="21"/>
                    </w:rPr>
                  </w:pPr>
                  <w:r>
                    <w:rPr>
                      <w:rFonts w:hint="default"/>
                      <w:color w:val="auto"/>
                      <w:sz w:val="21"/>
                      <w:szCs w:val="21"/>
                    </w:rPr>
                    <w:t>160</w:t>
                  </w:r>
                </w:p>
              </w:tc>
              <w:tc>
                <w:tcPr>
                  <w:tcW w:w="481" w:type="pct"/>
                  <w:noWrap w:val="0"/>
                  <w:vAlign w:val="center"/>
                </w:tcPr>
                <w:p>
                  <w:pPr>
                    <w:keepNext w:val="0"/>
                    <w:keepLines w:val="0"/>
                    <w:pageBreakBefore w:val="0"/>
                    <w:widowControl w:val="0"/>
                    <w:tabs>
                      <w:tab w:val="left" w:pos="72"/>
                    </w:tabs>
                    <w:kinsoku/>
                    <w:wordWrap/>
                    <w:overflowPunct/>
                    <w:topLinePunct w:val="0"/>
                    <w:autoSpaceDE/>
                    <w:autoSpaceDN/>
                    <w:bidi w:val="0"/>
                    <w:adjustRightInd/>
                    <w:snapToGrid/>
                    <w:spacing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98.87</w:t>
                  </w:r>
                </w:p>
              </w:tc>
              <w:tc>
                <w:tcPr>
                  <w:tcW w:w="636" w:type="pct"/>
                  <w:noWrap w:val="0"/>
                  <w:vAlign w:val="center"/>
                </w:tcPr>
                <w:p>
                  <w:pPr>
                    <w:keepNext w:val="0"/>
                    <w:keepLines w:val="0"/>
                    <w:pageBreakBefore w:val="0"/>
                    <w:widowControl w:val="0"/>
                    <w:tabs>
                      <w:tab w:val="left" w:pos="72"/>
                    </w:tabs>
                    <w:kinsoku/>
                    <w:wordWrap/>
                    <w:overflowPunct/>
                    <w:topLinePunct w:val="0"/>
                    <w:autoSpaceDE/>
                    <w:autoSpaceDN/>
                    <w:bidi w:val="0"/>
                    <w:adjustRightInd/>
                    <w:snapToGrid/>
                    <w:spacing w:line="240" w:lineRule="auto"/>
                    <w:ind w:firstLine="0" w:firstLineChars="0"/>
                    <w:jc w:val="center"/>
                    <w:textAlignment w:val="baseline"/>
                    <w:rPr>
                      <w:rFonts w:hint="default"/>
                      <w:color w:val="auto"/>
                      <w:sz w:val="21"/>
                      <w:szCs w:val="21"/>
                    </w:rPr>
                  </w:pPr>
                  <w:r>
                    <w:rPr>
                      <w:rFonts w:hint="default"/>
                      <w:color w:val="auto"/>
                      <w:sz w:val="21"/>
                      <w:szCs w:val="21"/>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799" w:type="pct"/>
                  <w:noWrap w:val="0"/>
                  <w:vAlign w:val="center"/>
                </w:tcPr>
                <w:p>
                  <w:pPr>
                    <w:keepNext w:val="0"/>
                    <w:keepLines w:val="0"/>
                    <w:pageBreakBefore w:val="0"/>
                    <w:widowControl w:val="0"/>
                    <w:tabs>
                      <w:tab w:val="left" w:pos="72"/>
                    </w:tabs>
                    <w:kinsoku/>
                    <w:wordWrap/>
                    <w:overflowPunct/>
                    <w:topLinePunct w:val="0"/>
                    <w:autoSpaceDE/>
                    <w:autoSpaceDN/>
                    <w:bidi w:val="0"/>
                    <w:adjustRightInd/>
                    <w:snapToGrid/>
                    <w:spacing w:line="240" w:lineRule="auto"/>
                    <w:ind w:firstLine="0" w:firstLineChars="0"/>
                    <w:jc w:val="center"/>
                    <w:textAlignment w:val="baseline"/>
                    <w:rPr>
                      <w:rFonts w:hint="default"/>
                      <w:color w:val="auto"/>
                      <w:sz w:val="21"/>
                      <w:szCs w:val="21"/>
                    </w:rPr>
                  </w:pPr>
                  <w:r>
                    <w:rPr>
                      <w:rFonts w:hint="default"/>
                      <w:color w:val="auto"/>
                      <w:sz w:val="21"/>
                      <w:szCs w:val="21"/>
                    </w:rPr>
                    <w:t>一氧化碳</w:t>
                  </w:r>
                </w:p>
              </w:tc>
              <w:tc>
                <w:tcPr>
                  <w:tcW w:w="1724" w:type="pct"/>
                  <w:noWrap w:val="0"/>
                  <w:vAlign w:val="center"/>
                </w:tcPr>
                <w:p>
                  <w:pPr>
                    <w:keepNext w:val="0"/>
                    <w:keepLines w:val="0"/>
                    <w:pageBreakBefore w:val="0"/>
                    <w:widowControl w:val="0"/>
                    <w:tabs>
                      <w:tab w:val="left" w:pos="72"/>
                    </w:tabs>
                    <w:kinsoku/>
                    <w:wordWrap/>
                    <w:overflowPunct/>
                    <w:topLinePunct w:val="0"/>
                    <w:autoSpaceDE/>
                    <w:autoSpaceDN/>
                    <w:bidi w:val="0"/>
                    <w:adjustRightInd/>
                    <w:snapToGrid/>
                    <w:spacing w:line="240" w:lineRule="auto"/>
                    <w:ind w:firstLine="0" w:firstLineChars="0"/>
                    <w:jc w:val="center"/>
                    <w:textAlignment w:val="baseline"/>
                    <w:rPr>
                      <w:rFonts w:hint="default"/>
                      <w:color w:val="auto"/>
                      <w:sz w:val="21"/>
                      <w:szCs w:val="21"/>
                    </w:rPr>
                  </w:pPr>
                  <w:r>
                    <w:rPr>
                      <w:rFonts w:hint="default"/>
                      <w:color w:val="auto"/>
                      <w:sz w:val="21"/>
                      <w:szCs w:val="21"/>
                    </w:rPr>
                    <w:t>24h平均质量浓度</w:t>
                  </w:r>
                </w:p>
              </w:tc>
              <w:tc>
                <w:tcPr>
                  <w:tcW w:w="1156" w:type="dxa"/>
                  <w:noWrap w:val="0"/>
                  <w:vAlign w:val="center"/>
                </w:tcPr>
                <w:p>
                  <w:pPr>
                    <w:keepNext w:val="0"/>
                    <w:keepLines w:val="0"/>
                    <w:pageBreakBefore w:val="0"/>
                    <w:widowControl w:val="0"/>
                    <w:tabs>
                      <w:tab w:val="left" w:pos="72"/>
                    </w:tabs>
                    <w:kinsoku/>
                    <w:wordWrap/>
                    <w:overflowPunct/>
                    <w:topLinePunct w:val="0"/>
                    <w:autoSpaceDE/>
                    <w:autoSpaceDN/>
                    <w:bidi w:val="0"/>
                    <w:adjustRightInd/>
                    <w:snapToGrid/>
                    <w:spacing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1100</w:t>
                  </w:r>
                </w:p>
              </w:tc>
              <w:tc>
                <w:tcPr>
                  <w:tcW w:w="679" w:type="pct"/>
                  <w:noWrap w:val="0"/>
                  <w:vAlign w:val="center"/>
                </w:tcPr>
                <w:p>
                  <w:pPr>
                    <w:keepNext w:val="0"/>
                    <w:keepLines w:val="0"/>
                    <w:pageBreakBefore w:val="0"/>
                    <w:widowControl w:val="0"/>
                    <w:tabs>
                      <w:tab w:val="left" w:pos="72"/>
                    </w:tabs>
                    <w:kinsoku/>
                    <w:wordWrap/>
                    <w:overflowPunct/>
                    <w:topLinePunct w:val="0"/>
                    <w:autoSpaceDE/>
                    <w:autoSpaceDN/>
                    <w:bidi w:val="0"/>
                    <w:adjustRightInd/>
                    <w:snapToGrid/>
                    <w:spacing w:line="240" w:lineRule="auto"/>
                    <w:ind w:firstLine="0" w:firstLineChars="0"/>
                    <w:jc w:val="center"/>
                    <w:textAlignment w:val="baseline"/>
                    <w:rPr>
                      <w:rFonts w:hint="default"/>
                      <w:color w:val="auto"/>
                      <w:sz w:val="21"/>
                      <w:szCs w:val="21"/>
                    </w:rPr>
                  </w:pPr>
                  <w:r>
                    <w:rPr>
                      <w:rFonts w:hint="default"/>
                      <w:color w:val="auto"/>
                      <w:sz w:val="21"/>
                      <w:szCs w:val="21"/>
                    </w:rPr>
                    <w:t>4000</w:t>
                  </w:r>
                </w:p>
              </w:tc>
              <w:tc>
                <w:tcPr>
                  <w:tcW w:w="481" w:type="pct"/>
                  <w:noWrap w:val="0"/>
                  <w:vAlign w:val="center"/>
                </w:tcPr>
                <w:p>
                  <w:pPr>
                    <w:keepNext w:val="0"/>
                    <w:keepLines w:val="0"/>
                    <w:pageBreakBefore w:val="0"/>
                    <w:widowControl w:val="0"/>
                    <w:tabs>
                      <w:tab w:val="left" w:pos="72"/>
                    </w:tabs>
                    <w:kinsoku/>
                    <w:wordWrap/>
                    <w:overflowPunct/>
                    <w:topLinePunct w:val="0"/>
                    <w:autoSpaceDE/>
                    <w:autoSpaceDN/>
                    <w:bidi w:val="0"/>
                    <w:adjustRightInd/>
                    <w:snapToGrid/>
                    <w:spacing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27.5</w:t>
                  </w:r>
                </w:p>
              </w:tc>
              <w:tc>
                <w:tcPr>
                  <w:tcW w:w="636" w:type="pct"/>
                  <w:noWrap w:val="0"/>
                  <w:vAlign w:val="center"/>
                </w:tcPr>
                <w:p>
                  <w:pPr>
                    <w:keepNext w:val="0"/>
                    <w:keepLines w:val="0"/>
                    <w:pageBreakBefore w:val="0"/>
                    <w:widowControl w:val="0"/>
                    <w:tabs>
                      <w:tab w:val="left" w:pos="72"/>
                    </w:tabs>
                    <w:kinsoku/>
                    <w:wordWrap/>
                    <w:overflowPunct/>
                    <w:topLinePunct w:val="0"/>
                    <w:autoSpaceDE/>
                    <w:autoSpaceDN/>
                    <w:bidi w:val="0"/>
                    <w:adjustRightInd/>
                    <w:snapToGrid/>
                    <w:spacing w:line="240" w:lineRule="auto"/>
                    <w:ind w:firstLine="0" w:firstLineChars="0"/>
                    <w:jc w:val="center"/>
                    <w:textAlignment w:val="baseline"/>
                    <w:rPr>
                      <w:rFonts w:hint="default"/>
                      <w:color w:val="auto"/>
                      <w:sz w:val="21"/>
                      <w:szCs w:val="21"/>
                    </w:rPr>
                  </w:pPr>
                  <w:r>
                    <w:rPr>
                      <w:rFonts w:hint="default"/>
                      <w:color w:val="auto"/>
                      <w:sz w:val="21"/>
                      <w:szCs w:val="21"/>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799" w:type="pct"/>
                  <w:noWrap w:val="0"/>
                  <w:vAlign w:val="center"/>
                </w:tcPr>
                <w:p>
                  <w:pPr>
                    <w:keepNext w:val="0"/>
                    <w:keepLines w:val="0"/>
                    <w:pageBreakBefore w:val="0"/>
                    <w:widowControl w:val="0"/>
                    <w:tabs>
                      <w:tab w:val="left" w:pos="72"/>
                    </w:tabs>
                    <w:kinsoku/>
                    <w:wordWrap/>
                    <w:overflowPunct/>
                    <w:topLinePunct w:val="0"/>
                    <w:autoSpaceDE/>
                    <w:autoSpaceDN/>
                    <w:bidi w:val="0"/>
                    <w:adjustRightInd/>
                    <w:snapToGrid/>
                    <w:spacing w:line="240" w:lineRule="auto"/>
                    <w:ind w:firstLine="0" w:firstLineChars="0"/>
                    <w:jc w:val="center"/>
                    <w:textAlignment w:val="baseline"/>
                    <w:rPr>
                      <w:rFonts w:hint="default"/>
                      <w:color w:val="auto"/>
                      <w:sz w:val="21"/>
                      <w:szCs w:val="21"/>
                    </w:rPr>
                  </w:pPr>
                  <w:r>
                    <w:rPr>
                      <w:rFonts w:hint="default"/>
                      <w:color w:val="auto"/>
                      <w:sz w:val="21"/>
                      <w:szCs w:val="21"/>
                    </w:rPr>
                    <w:t>PM2.5</w:t>
                  </w:r>
                </w:p>
              </w:tc>
              <w:tc>
                <w:tcPr>
                  <w:tcW w:w="1724" w:type="pct"/>
                  <w:noWrap w:val="0"/>
                  <w:vAlign w:val="center"/>
                </w:tcPr>
                <w:p>
                  <w:pPr>
                    <w:keepNext w:val="0"/>
                    <w:keepLines w:val="0"/>
                    <w:pageBreakBefore w:val="0"/>
                    <w:widowControl w:val="0"/>
                    <w:tabs>
                      <w:tab w:val="left" w:pos="72"/>
                    </w:tabs>
                    <w:kinsoku/>
                    <w:wordWrap/>
                    <w:overflowPunct/>
                    <w:topLinePunct w:val="0"/>
                    <w:autoSpaceDE/>
                    <w:autoSpaceDN/>
                    <w:bidi w:val="0"/>
                    <w:adjustRightInd/>
                    <w:snapToGrid/>
                    <w:spacing w:line="240" w:lineRule="auto"/>
                    <w:ind w:firstLine="0" w:firstLineChars="0"/>
                    <w:jc w:val="center"/>
                    <w:textAlignment w:val="baseline"/>
                    <w:rPr>
                      <w:rFonts w:hint="default"/>
                      <w:color w:val="auto"/>
                      <w:sz w:val="21"/>
                      <w:szCs w:val="21"/>
                    </w:rPr>
                  </w:pPr>
                  <w:r>
                    <w:rPr>
                      <w:rFonts w:hint="default"/>
                      <w:color w:val="auto"/>
                      <w:sz w:val="21"/>
                      <w:szCs w:val="21"/>
                    </w:rPr>
                    <w:t>年平均质量浓度</w:t>
                  </w:r>
                </w:p>
              </w:tc>
              <w:tc>
                <w:tcPr>
                  <w:tcW w:w="1156" w:type="dxa"/>
                  <w:noWrap w:val="0"/>
                  <w:vAlign w:val="center"/>
                </w:tcPr>
                <w:p>
                  <w:pPr>
                    <w:keepNext w:val="0"/>
                    <w:keepLines w:val="0"/>
                    <w:pageBreakBefore w:val="0"/>
                    <w:widowControl w:val="0"/>
                    <w:tabs>
                      <w:tab w:val="left" w:pos="72"/>
                    </w:tabs>
                    <w:kinsoku/>
                    <w:wordWrap/>
                    <w:overflowPunct/>
                    <w:topLinePunct w:val="0"/>
                    <w:autoSpaceDE/>
                    <w:autoSpaceDN/>
                    <w:bidi w:val="0"/>
                    <w:adjustRightInd/>
                    <w:snapToGrid/>
                    <w:spacing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40.3</w:t>
                  </w:r>
                </w:p>
              </w:tc>
              <w:tc>
                <w:tcPr>
                  <w:tcW w:w="679" w:type="pct"/>
                  <w:noWrap w:val="0"/>
                  <w:vAlign w:val="center"/>
                </w:tcPr>
                <w:p>
                  <w:pPr>
                    <w:keepNext w:val="0"/>
                    <w:keepLines w:val="0"/>
                    <w:pageBreakBefore w:val="0"/>
                    <w:widowControl w:val="0"/>
                    <w:tabs>
                      <w:tab w:val="left" w:pos="72"/>
                    </w:tabs>
                    <w:kinsoku/>
                    <w:wordWrap/>
                    <w:overflowPunct/>
                    <w:topLinePunct w:val="0"/>
                    <w:autoSpaceDE/>
                    <w:autoSpaceDN/>
                    <w:bidi w:val="0"/>
                    <w:adjustRightInd/>
                    <w:snapToGrid/>
                    <w:spacing w:line="240" w:lineRule="auto"/>
                    <w:ind w:firstLine="0" w:firstLineChars="0"/>
                    <w:jc w:val="center"/>
                    <w:textAlignment w:val="baseline"/>
                    <w:rPr>
                      <w:rFonts w:hint="default"/>
                      <w:color w:val="auto"/>
                      <w:sz w:val="21"/>
                      <w:szCs w:val="21"/>
                    </w:rPr>
                  </w:pPr>
                  <w:r>
                    <w:rPr>
                      <w:rFonts w:hint="default"/>
                      <w:color w:val="auto"/>
                      <w:sz w:val="21"/>
                      <w:szCs w:val="21"/>
                    </w:rPr>
                    <w:t>35</w:t>
                  </w:r>
                </w:p>
              </w:tc>
              <w:tc>
                <w:tcPr>
                  <w:tcW w:w="481" w:type="pct"/>
                  <w:noWrap w:val="0"/>
                  <w:vAlign w:val="center"/>
                </w:tcPr>
                <w:p>
                  <w:pPr>
                    <w:keepNext w:val="0"/>
                    <w:keepLines w:val="0"/>
                    <w:pageBreakBefore w:val="0"/>
                    <w:widowControl w:val="0"/>
                    <w:tabs>
                      <w:tab w:val="left" w:pos="72"/>
                    </w:tabs>
                    <w:kinsoku/>
                    <w:wordWrap/>
                    <w:overflowPunct/>
                    <w:topLinePunct w:val="0"/>
                    <w:autoSpaceDE/>
                    <w:autoSpaceDN/>
                    <w:bidi w:val="0"/>
                    <w:adjustRightInd/>
                    <w:snapToGrid/>
                    <w:spacing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115.14</w:t>
                  </w:r>
                </w:p>
              </w:tc>
              <w:tc>
                <w:tcPr>
                  <w:tcW w:w="636" w:type="pct"/>
                  <w:noWrap w:val="0"/>
                  <w:vAlign w:val="center"/>
                </w:tcPr>
                <w:p>
                  <w:pPr>
                    <w:keepNext w:val="0"/>
                    <w:keepLines w:val="0"/>
                    <w:pageBreakBefore w:val="0"/>
                    <w:widowControl w:val="0"/>
                    <w:tabs>
                      <w:tab w:val="left" w:pos="72"/>
                    </w:tabs>
                    <w:kinsoku/>
                    <w:wordWrap/>
                    <w:overflowPunct/>
                    <w:topLinePunct w:val="0"/>
                    <w:autoSpaceDE/>
                    <w:autoSpaceDN/>
                    <w:bidi w:val="0"/>
                    <w:adjustRightInd/>
                    <w:snapToGrid/>
                    <w:spacing w:line="240" w:lineRule="auto"/>
                    <w:ind w:firstLine="0" w:firstLineChars="0"/>
                    <w:jc w:val="center"/>
                    <w:textAlignment w:val="baseline"/>
                    <w:rPr>
                      <w:rFonts w:hint="default"/>
                      <w:color w:val="auto"/>
                      <w:sz w:val="21"/>
                      <w:szCs w:val="21"/>
                    </w:rPr>
                  </w:pPr>
                  <w:r>
                    <w:rPr>
                      <w:rFonts w:hint="eastAsia"/>
                      <w:b/>
                      <w:bCs/>
                      <w:color w:val="auto"/>
                      <w:sz w:val="21"/>
                      <w:szCs w:val="21"/>
                      <w:lang w:val="en-US" w:eastAsia="zh-CN"/>
                    </w:rPr>
                    <w:t>不</w:t>
                  </w:r>
                  <w:r>
                    <w:rPr>
                      <w:rFonts w:hint="default"/>
                      <w:b/>
                      <w:bCs/>
                      <w:color w:val="auto"/>
                      <w:sz w:val="21"/>
                      <w:szCs w:val="21"/>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799" w:type="pct"/>
                  <w:noWrap w:val="0"/>
                  <w:vAlign w:val="center"/>
                </w:tcPr>
                <w:p>
                  <w:pPr>
                    <w:keepNext w:val="0"/>
                    <w:keepLines w:val="0"/>
                    <w:pageBreakBefore w:val="0"/>
                    <w:widowControl w:val="0"/>
                    <w:tabs>
                      <w:tab w:val="left" w:pos="72"/>
                    </w:tabs>
                    <w:kinsoku/>
                    <w:wordWrap/>
                    <w:overflowPunct/>
                    <w:topLinePunct w:val="0"/>
                    <w:autoSpaceDE/>
                    <w:autoSpaceDN/>
                    <w:bidi w:val="0"/>
                    <w:adjustRightInd/>
                    <w:snapToGrid/>
                    <w:spacing w:line="240" w:lineRule="auto"/>
                    <w:ind w:firstLine="0" w:firstLineChars="0"/>
                    <w:jc w:val="center"/>
                    <w:textAlignment w:val="baseline"/>
                    <w:rPr>
                      <w:rFonts w:hint="default"/>
                      <w:color w:val="auto"/>
                      <w:sz w:val="21"/>
                      <w:szCs w:val="21"/>
                    </w:rPr>
                  </w:pPr>
                  <w:r>
                    <w:rPr>
                      <w:rFonts w:hint="default"/>
                      <w:color w:val="auto"/>
                      <w:sz w:val="21"/>
                      <w:szCs w:val="21"/>
                    </w:rPr>
                    <w:t>PM10</w:t>
                  </w:r>
                </w:p>
              </w:tc>
              <w:tc>
                <w:tcPr>
                  <w:tcW w:w="1724" w:type="pct"/>
                  <w:noWrap w:val="0"/>
                  <w:vAlign w:val="center"/>
                </w:tcPr>
                <w:p>
                  <w:pPr>
                    <w:keepNext w:val="0"/>
                    <w:keepLines w:val="0"/>
                    <w:pageBreakBefore w:val="0"/>
                    <w:widowControl w:val="0"/>
                    <w:tabs>
                      <w:tab w:val="left" w:pos="72"/>
                    </w:tabs>
                    <w:kinsoku/>
                    <w:wordWrap/>
                    <w:overflowPunct/>
                    <w:topLinePunct w:val="0"/>
                    <w:autoSpaceDE/>
                    <w:autoSpaceDN/>
                    <w:bidi w:val="0"/>
                    <w:adjustRightInd/>
                    <w:snapToGrid/>
                    <w:spacing w:line="240" w:lineRule="auto"/>
                    <w:ind w:firstLine="0" w:firstLineChars="0"/>
                    <w:jc w:val="center"/>
                    <w:textAlignment w:val="baseline"/>
                    <w:rPr>
                      <w:rFonts w:hint="default"/>
                      <w:color w:val="auto"/>
                      <w:sz w:val="21"/>
                      <w:szCs w:val="21"/>
                    </w:rPr>
                  </w:pPr>
                  <w:r>
                    <w:rPr>
                      <w:rFonts w:hint="default"/>
                      <w:color w:val="auto"/>
                      <w:sz w:val="21"/>
                      <w:szCs w:val="21"/>
                    </w:rPr>
                    <w:t>年平均质量浓度</w:t>
                  </w:r>
                </w:p>
              </w:tc>
              <w:tc>
                <w:tcPr>
                  <w:tcW w:w="1156" w:type="dxa"/>
                  <w:noWrap w:val="0"/>
                  <w:vAlign w:val="center"/>
                </w:tcPr>
                <w:p>
                  <w:pPr>
                    <w:keepNext w:val="0"/>
                    <w:keepLines w:val="0"/>
                    <w:pageBreakBefore w:val="0"/>
                    <w:widowControl w:val="0"/>
                    <w:tabs>
                      <w:tab w:val="left" w:pos="72"/>
                    </w:tabs>
                    <w:kinsoku/>
                    <w:wordWrap/>
                    <w:overflowPunct/>
                    <w:topLinePunct w:val="0"/>
                    <w:autoSpaceDE/>
                    <w:autoSpaceDN/>
                    <w:bidi w:val="0"/>
                    <w:adjustRightInd/>
                    <w:snapToGrid/>
                    <w:spacing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57.6</w:t>
                  </w:r>
                </w:p>
              </w:tc>
              <w:tc>
                <w:tcPr>
                  <w:tcW w:w="679" w:type="pct"/>
                  <w:noWrap w:val="0"/>
                  <w:vAlign w:val="center"/>
                </w:tcPr>
                <w:p>
                  <w:pPr>
                    <w:keepNext w:val="0"/>
                    <w:keepLines w:val="0"/>
                    <w:pageBreakBefore w:val="0"/>
                    <w:widowControl w:val="0"/>
                    <w:tabs>
                      <w:tab w:val="left" w:pos="72"/>
                    </w:tabs>
                    <w:kinsoku/>
                    <w:wordWrap/>
                    <w:overflowPunct/>
                    <w:topLinePunct w:val="0"/>
                    <w:autoSpaceDE/>
                    <w:autoSpaceDN/>
                    <w:bidi w:val="0"/>
                    <w:adjustRightInd/>
                    <w:snapToGrid/>
                    <w:spacing w:line="240" w:lineRule="auto"/>
                    <w:ind w:firstLine="0" w:firstLineChars="0"/>
                    <w:jc w:val="center"/>
                    <w:textAlignment w:val="baseline"/>
                    <w:rPr>
                      <w:rFonts w:hint="default"/>
                      <w:color w:val="auto"/>
                      <w:sz w:val="21"/>
                      <w:szCs w:val="21"/>
                    </w:rPr>
                  </w:pPr>
                  <w:r>
                    <w:rPr>
                      <w:rFonts w:hint="default"/>
                      <w:color w:val="auto"/>
                      <w:sz w:val="21"/>
                      <w:szCs w:val="21"/>
                    </w:rPr>
                    <w:t>70</w:t>
                  </w:r>
                </w:p>
              </w:tc>
              <w:tc>
                <w:tcPr>
                  <w:tcW w:w="481" w:type="pct"/>
                  <w:noWrap w:val="0"/>
                  <w:vAlign w:val="center"/>
                </w:tcPr>
                <w:p>
                  <w:pPr>
                    <w:keepNext w:val="0"/>
                    <w:keepLines w:val="0"/>
                    <w:pageBreakBefore w:val="0"/>
                    <w:widowControl w:val="0"/>
                    <w:tabs>
                      <w:tab w:val="left" w:pos="72"/>
                    </w:tabs>
                    <w:kinsoku/>
                    <w:wordWrap/>
                    <w:overflowPunct/>
                    <w:topLinePunct w:val="0"/>
                    <w:autoSpaceDE/>
                    <w:autoSpaceDN/>
                    <w:bidi w:val="0"/>
                    <w:adjustRightInd/>
                    <w:snapToGrid/>
                    <w:spacing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82.28</w:t>
                  </w:r>
                </w:p>
              </w:tc>
              <w:tc>
                <w:tcPr>
                  <w:tcW w:w="636" w:type="pct"/>
                  <w:noWrap w:val="0"/>
                  <w:vAlign w:val="center"/>
                </w:tcPr>
                <w:p>
                  <w:pPr>
                    <w:keepNext w:val="0"/>
                    <w:keepLines w:val="0"/>
                    <w:pageBreakBefore w:val="0"/>
                    <w:widowControl w:val="0"/>
                    <w:tabs>
                      <w:tab w:val="left" w:pos="72"/>
                    </w:tabs>
                    <w:kinsoku/>
                    <w:wordWrap/>
                    <w:overflowPunct/>
                    <w:topLinePunct w:val="0"/>
                    <w:autoSpaceDE/>
                    <w:autoSpaceDN/>
                    <w:bidi w:val="0"/>
                    <w:adjustRightInd/>
                    <w:snapToGrid/>
                    <w:spacing w:line="240" w:lineRule="auto"/>
                    <w:ind w:firstLine="0" w:firstLineChars="0"/>
                    <w:jc w:val="center"/>
                    <w:textAlignment w:val="baseline"/>
                    <w:rPr>
                      <w:rFonts w:hint="default"/>
                      <w:color w:val="auto"/>
                      <w:sz w:val="21"/>
                      <w:szCs w:val="21"/>
                    </w:rPr>
                  </w:pPr>
                  <w:r>
                    <w:rPr>
                      <w:rFonts w:hint="default"/>
                      <w:color w:val="auto"/>
                      <w:sz w:val="21"/>
                      <w:szCs w:val="21"/>
                    </w:rPr>
                    <w:t>达标</w:t>
                  </w:r>
                </w:p>
              </w:tc>
            </w:tr>
          </w:tbl>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由上表可知，本项目所在</w:t>
            </w:r>
            <w:r>
              <w:rPr>
                <w:rFonts w:hint="eastAsia" w:ascii="Times New Roman" w:cs="Times New Roman"/>
                <w:color w:val="auto"/>
                <w:sz w:val="24"/>
                <w:szCs w:val="24"/>
                <w:lang w:val="en-US" w:eastAsia="zh-CN"/>
              </w:rPr>
              <w:t>区域</w:t>
            </w:r>
            <w:r>
              <w:rPr>
                <w:rFonts w:hint="default" w:ascii="Times New Roman" w:hAnsi="Times New Roman" w:cs="Times New Roman"/>
                <w:b w:val="0"/>
                <w:bCs w:val="0"/>
                <w:color w:val="auto"/>
                <w:sz w:val="24"/>
                <w:szCs w:val="24"/>
              </w:rPr>
              <w:t>为</w:t>
            </w:r>
            <w:r>
              <w:rPr>
                <w:rFonts w:hint="eastAsia" w:ascii="Times New Roman" w:cs="Times New Roman"/>
                <w:b w:val="0"/>
                <w:bCs w:val="0"/>
                <w:color w:val="auto"/>
                <w:sz w:val="24"/>
                <w:szCs w:val="24"/>
                <w:lang w:val="en-US" w:eastAsia="zh-CN"/>
              </w:rPr>
              <w:t>不</w:t>
            </w:r>
            <w:r>
              <w:rPr>
                <w:rFonts w:hint="default" w:ascii="Times New Roman" w:hAnsi="Times New Roman" w:cs="Times New Roman"/>
                <w:b w:val="0"/>
                <w:bCs w:val="0"/>
                <w:color w:val="auto"/>
                <w:sz w:val="24"/>
                <w:szCs w:val="24"/>
              </w:rPr>
              <w:t>达标区</w:t>
            </w:r>
            <w:r>
              <w:rPr>
                <w:rFonts w:hint="eastAsia" w:ascii="Times New Roman" w:cs="Times New Roman"/>
                <w:b w:val="0"/>
                <w:bCs w:val="0"/>
                <w:color w:val="auto"/>
                <w:sz w:val="24"/>
                <w:szCs w:val="24"/>
                <w:lang w:eastAsia="zh-CN"/>
              </w:rPr>
              <w:t>，</w:t>
            </w:r>
            <w:r>
              <w:rPr>
                <w:rFonts w:hint="eastAsia" w:cs="Times New Roman"/>
                <w:color w:val="auto"/>
                <w:sz w:val="24"/>
                <w:szCs w:val="24"/>
                <w:lang w:val="en-US" w:eastAsia="zh-CN"/>
              </w:rPr>
              <w:t>不达</w:t>
            </w:r>
            <w:r>
              <w:rPr>
                <w:rFonts w:hint="default" w:ascii="Times New Roman" w:hAnsi="Times New Roman" w:cs="Times New Roman"/>
                <w:color w:val="auto"/>
                <w:sz w:val="24"/>
                <w:szCs w:val="24"/>
                <w:lang w:val="en-US" w:eastAsia="zh-CN"/>
              </w:rPr>
              <w:t>标因子为PM</w:t>
            </w:r>
            <w:r>
              <w:rPr>
                <w:rFonts w:hint="default" w:ascii="Times New Roman" w:hAnsi="Times New Roman" w:cs="Times New Roman"/>
                <w:color w:val="auto"/>
                <w:sz w:val="24"/>
                <w:szCs w:val="24"/>
                <w:vertAlign w:val="subscript"/>
                <w:lang w:val="en-US" w:eastAsia="zh-CN"/>
              </w:rPr>
              <w:t>2.5</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其余因子满足《环境空气质量标准》（GB3095-2012）及其修改单中二级标准的要求</w:t>
            </w:r>
            <w:r>
              <w:rPr>
                <w:rFonts w:hint="default" w:ascii="Times New Roman" w:hAnsi="Times New Roman" w:cs="Times New Roman"/>
                <w:color w:val="auto"/>
                <w:sz w:val="24"/>
                <w:szCs w:val="24"/>
              </w:rPr>
              <w:t>。</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乐山市制定了乐山市大气环境质量限期达标规划（2016年-2025年），明确大气污染防治措施，力争在2025年底前实现空气质量全面达标。</w:t>
            </w:r>
          </w:p>
          <w:p>
            <w:pPr>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（1）近期（2017-2020）——以减排促改善</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十三五”期间，通过控煤、控车、控尘以及调工业布局、调产业结构、调能源结构和成都平原经济区、各县（市、区）、市级部门联动“三控三调三联动”，集中攻坚削减大气污染物排放总量。严格执行大气污染物排放限值标准，强力实施产业和能源结构调整、工业污染整治、燃煤和餐饮油烟整治、城市和道路扬尘整治、机动车污染整治、露天焚烧污染整治等六大专项行动，努力解决灰霾问题。针对当前乐山市产业以二产为主，末端治理水平有待提升的特点，近期乐山市空气质量达标措施以落后产能淘汰、重点行业企业末端治理为重要抓手，实现多污染物减排。大力实施煤改电、煤改气；以重点企业末端治理为抓手，提升水泥、钢铁、陶瓷、化工等重点行业污染物治理效率；通过淘汰黄标车、油品升级、机动车排放标准升级等综合管理措施，提升机动车综合管理水平；</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通过控制扬尘污染、控制秸秆露天焚烧、控制餐饮污染等手段深化面源治理。综合上述措施切实有效减少多种污染物排放量，初步实现环境空气质量改善。</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（2）中长期（2021-2025）——调结构促转变、强化源头控制，实现战略转型。</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逐步调整产业结构，以大气环境达标倒逼产业转型，逐步实现大气污染控制从末端治理到源头控制过渡，加快工业发展绿色化进程。这一时期大气污染排放量控制的重点将是强化源头的全控制过程。以空间格局及产业布局优化为切入点，通过严格环境准入、企业搬迁、产能淘汰等差异化的空间管理要求，引导经济发展格局有序发展；通过提高环境准入门槛、淘汰落后产能等方式倒逼能源结构和产业结构的优化升级。综合通过资源能源消费总量控制、调整产业结构、空间布局优化等手段从源头控制污染物排放。</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rPr>
            </w:pPr>
            <w:r>
              <w:rPr>
                <w:rFonts w:hint="default" w:ascii="Times New Roman" w:hAnsi="Times New Roman" w:eastAsia="宋体" w:cs="Times New Roman"/>
                <w:color w:val="auto"/>
                <w:kern w:val="0"/>
                <w:sz w:val="24"/>
                <w:szCs w:val="24"/>
                <w:lang w:val="en-US" w:eastAsia="zh-CN" w:bidi="ar"/>
              </w:rPr>
              <w:t>本项目所在区域不达标指标PM</w:t>
            </w:r>
            <w:r>
              <w:rPr>
                <w:rFonts w:hint="default" w:ascii="Times New Roman" w:hAnsi="Times New Roman" w:eastAsia="宋体" w:cs="Times New Roman"/>
                <w:color w:val="auto"/>
                <w:kern w:val="0"/>
                <w:sz w:val="24"/>
                <w:szCs w:val="24"/>
                <w:vertAlign w:val="subscript"/>
                <w:lang w:val="en-US" w:eastAsia="zh-CN" w:bidi="ar"/>
              </w:rPr>
              <w:t>2.5</w:t>
            </w:r>
            <w:r>
              <w:rPr>
                <w:rFonts w:hint="default" w:ascii="Times New Roman" w:hAnsi="Times New Roman" w:eastAsia="宋体" w:cs="Times New Roman"/>
                <w:color w:val="auto"/>
                <w:kern w:val="0"/>
                <w:sz w:val="24"/>
                <w:szCs w:val="24"/>
                <w:lang w:val="en-US" w:eastAsia="zh-CN" w:bidi="ar"/>
              </w:rPr>
              <w:t>年平均质量浓度预期可达到小于35µg/m³的要求，满足《环境空气质量标准》（GB3095-2012）及其修改单中二级标准的要求。</w:t>
            </w:r>
          </w:p>
          <w:p>
            <w:pPr>
              <w:autoSpaceDE w:val="0"/>
              <w:autoSpaceDN w:val="0"/>
              <w:adjustRightInd w:val="0"/>
              <w:snapToGrid w:val="0"/>
              <w:spacing w:line="360" w:lineRule="auto"/>
              <w:ind w:firstLine="482" w:firstLineChars="200"/>
              <w:textAlignment w:val="center"/>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rPr>
              <w:t>、地表水环境质量现状调查与评价</w:t>
            </w:r>
          </w:p>
          <w:p>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w:t>
            </w:r>
            <w:r>
              <w:rPr>
                <w:rFonts w:hint="default" w:ascii="Times New Roman" w:hAnsi="Times New Roman" w:eastAsia="宋体" w:cs="Times New Roman"/>
                <w:snapToGrid w:val="0"/>
                <w:color w:val="auto"/>
                <w:kern w:val="0"/>
                <w:sz w:val="24"/>
                <w:szCs w:val="24"/>
                <w:lang w:val="en-US" w:eastAsia="zh-CN" w:bidi="ar-SA"/>
              </w:rPr>
              <w:t>乐山市2021年环境质量公报</w:t>
            </w:r>
            <w:r>
              <w:rPr>
                <w:rFonts w:hint="default" w:ascii="Times New Roman" w:hAnsi="Times New Roman" w:eastAsia="宋体" w:cs="Times New Roman"/>
                <w:color w:val="auto"/>
                <w:sz w:val="24"/>
              </w:rPr>
              <w:t>》：乐山市岷江干流及主要支流共设置国考断面6个、省考断面8个。6个国考监测断面水质达标率为100</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，Ⅱ类水质断面为4个，占66</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7</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；Ⅲ类水质断面为2个，占33</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3</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。8个省考监测断面水质达标率为87</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5</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。Ⅱ类水质断面为5个，占62</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5</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；Ⅲ类水质断面为2个，占25</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0</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；Ⅳ类水质断面为1个，占12</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5</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乐山市30个市考监测断面水质达标率为83.3%。Ⅱ类水质断面为18个，占60.0%；Ⅲ类水质断面为7个，占23.3%；Ⅳ类及以下水质断面为5个，占16.7%。</w:t>
            </w:r>
          </w:p>
          <w:p>
            <w:pPr>
              <w:keepNext w:val="0"/>
              <w:keepLines w:val="0"/>
              <w:pageBreakBefore w:val="0"/>
              <w:widowControl w:val="0"/>
              <w:kinsoku/>
              <w:wordWrap/>
              <w:overflowPunct/>
              <w:topLinePunct w:val="0"/>
              <w:bidi w:val="0"/>
              <w:adjustRightInd w:val="0"/>
              <w:snapToGrid w:val="0"/>
              <w:spacing w:line="360" w:lineRule="auto"/>
              <w:ind w:firstLine="472" w:firstLineChars="200"/>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pacing w:val="-2"/>
                <w:sz w:val="24"/>
                <w:lang w:val="en-US" w:eastAsia="zh-CN"/>
              </w:rPr>
              <w:t>本项目位于</w:t>
            </w:r>
            <w:r>
              <w:rPr>
                <w:rFonts w:hint="eastAsia" w:ascii="Times New Roman" w:hAnsi="Times New Roman" w:cs="Times New Roman"/>
                <w:color w:val="auto"/>
                <w:spacing w:val="-2"/>
                <w:sz w:val="24"/>
                <w:lang w:val="en-US" w:eastAsia="zh-CN"/>
              </w:rPr>
              <w:t>临江河</w:t>
            </w:r>
            <w:r>
              <w:rPr>
                <w:rFonts w:hint="default" w:ascii="Times New Roman" w:hAnsi="Times New Roman" w:eastAsia="宋体" w:cs="Times New Roman"/>
                <w:color w:val="auto"/>
                <w:spacing w:val="-2"/>
                <w:sz w:val="24"/>
                <w:lang w:val="en-US" w:eastAsia="zh-CN"/>
              </w:rPr>
              <w:t>上，汇入大渡河</w:t>
            </w:r>
            <w:r>
              <w:rPr>
                <w:rFonts w:hint="eastAsia" w:cs="Times New Roman"/>
                <w:color w:val="auto"/>
                <w:spacing w:val="-2"/>
                <w:sz w:val="24"/>
                <w:lang w:val="en-US" w:eastAsia="zh-CN"/>
              </w:rPr>
              <w:t>，汇入口下游约5.8km处为大渡河-李码头水质国考断面</w:t>
            </w:r>
            <w:r>
              <w:rPr>
                <w:rFonts w:hint="default" w:ascii="Times New Roman" w:hAnsi="Times New Roman" w:eastAsia="宋体" w:cs="Times New Roman"/>
                <w:color w:val="auto"/>
                <w:spacing w:val="-2"/>
                <w:sz w:val="24"/>
                <w:lang w:val="en-US" w:eastAsia="zh-CN"/>
              </w:rPr>
              <w:t>。</w:t>
            </w:r>
            <w:r>
              <w:rPr>
                <w:rFonts w:hint="eastAsia" w:cs="Times New Roman"/>
                <w:color w:val="auto"/>
                <w:spacing w:val="-2"/>
                <w:sz w:val="24"/>
                <w:lang w:val="en-US" w:eastAsia="zh-CN"/>
              </w:rPr>
              <w:t>参考</w:t>
            </w:r>
            <w:r>
              <w:rPr>
                <w:rFonts w:hint="default" w:ascii="Times New Roman" w:hAnsi="Times New Roman" w:eastAsia="宋体" w:cs="Times New Roman"/>
                <w:color w:val="auto"/>
                <w:spacing w:val="-2"/>
                <w:sz w:val="24"/>
                <w:lang w:val="en-US" w:eastAsia="zh-CN"/>
              </w:rPr>
              <w:t>乐山市地表水水质质量月报（202</w:t>
            </w:r>
            <w:r>
              <w:rPr>
                <w:rFonts w:hint="eastAsia" w:cs="Times New Roman"/>
                <w:color w:val="auto"/>
                <w:spacing w:val="-2"/>
                <w:sz w:val="24"/>
                <w:lang w:val="en-US" w:eastAsia="zh-CN"/>
              </w:rPr>
              <w:t>2</w:t>
            </w:r>
            <w:r>
              <w:rPr>
                <w:rFonts w:hint="default" w:ascii="Times New Roman" w:hAnsi="Times New Roman" w:eastAsia="宋体" w:cs="Times New Roman"/>
                <w:color w:val="auto"/>
                <w:spacing w:val="-2"/>
                <w:sz w:val="24"/>
                <w:lang w:val="en-US" w:eastAsia="zh-CN"/>
              </w:rPr>
              <w:t>年1-</w:t>
            </w:r>
            <w:r>
              <w:rPr>
                <w:rFonts w:hint="eastAsia" w:cs="Times New Roman"/>
                <w:color w:val="auto"/>
                <w:spacing w:val="-2"/>
                <w:sz w:val="24"/>
                <w:lang w:val="en-US" w:eastAsia="zh-CN"/>
              </w:rPr>
              <w:t>12</w:t>
            </w:r>
            <w:r>
              <w:rPr>
                <w:rFonts w:hint="default" w:ascii="Times New Roman" w:hAnsi="Times New Roman" w:eastAsia="宋体" w:cs="Times New Roman"/>
                <w:color w:val="auto"/>
                <w:spacing w:val="-2"/>
                <w:sz w:val="24"/>
                <w:lang w:val="en-US" w:eastAsia="zh-CN"/>
              </w:rPr>
              <w:t>月），大渡河</w:t>
            </w:r>
            <w:r>
              <w:rPr>
                <w:rFonts w:hint="eastAsia" w:cs="Times New Roman"/>
                <w:color w:val="auto"/>
                <w:spacing w:val="-2"/>
                <w:sz w:val="24"/>
                <w:lang w:val="en-US" w:eastAsia="zh-CN"/>
              </w:rPr>
              <w:t>-李码头处</w:t>
            </w:r>
            <w:r>
              <w:rPr>
                <w:rFonts w:hint="default" w:ascii="Times New Roman" w:hAnsi="Times New Roman" w:eastAsia="宋体" w:cs="Times New Roman"/>
                <w:color w:val="auto"/>
                <w:spacing w:val="-2"/>
                <w:sz w:val="24"/>
                <w:lang w:val="en-US" w:eastAsia="zh-CN"/>
              </w:rPr>
              <w:t>地表水水质满足《地表水环境质量标准》（GB3838-2002）Ⅲ类标准，因此项目区</w:t>
            </w:r>
            <w:r>
              <w:rPr>
                <w:rFonts w:hint="default" w:ascii="Times New Roman" w:hAnsi="Times New Roman" w:eastAsia="宋体" w:cs="Times New Roman"/>
                <w:color w:val="auto"/>
                <w:spacing w:val="-2"/>
                <w:sz w:val="24"/>
                <w:highlight w:val="none"/>
                <w:lang w:val="en-US" w:eastAsia="zh-CN"/>
              </w:rPr>
              <w:t>域地表水水质较好</w:t>
            </w:r>
            <w:r>
              <w:rPr>
                <w:rFonts w:hint="default" w:ascii="Times New Roman" w:hAnsi="Times New Roman" w:eastAsia="宋体" w:cs="Times New Roman"/>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val="0"/>
                <w:color w:val="auto"/>
                <w:szCs w:val="21"/>
                <w:highlight w:val="none"/>
                <w:lang w:val="en-US" w:eastAsia="zh-CN"/>
              </w:rPr>
            </w:pPr>
            <w:r>
              <w:rPr>
                <w:rFonts w:hint="default" w:ascii="Times New Roman" w:hAnsi="Times New Roman" w:eastAsia="宋体" w:cs="Times New Roman"/>
                <w:b/>
                <w:bCs w:val="0"/>
                <w:color w:val="auto"/>
                <w:szCs w:val="21"/>
                <w:highlight w:val="none"/>
              </w:rPr>
              <w:t>表3-</w:t>
            </w:r>
            <w:r>
              <w:rPr>
                <w:rFonts w:hint="default" w:ascii="Times New Roman" w:hAnsi="Times New Roman" w:eastAsia="宋体" w:cs="Times New Roman"/>
                <w:b/>
                <w:bCs w:val="0"/>
                <w:color w:val="auto"/>
                <w:szCs w:val="21"/>
                <w:highlight w:val="none"/>
                <w:lang w:val="en-US" w:eastAsia="zh-CN"/>
              </w:rPr>
              <w:t>3</w:t>
            </w:r>
            <w:r>
              <w:rPr>
                <w:rFonts w:hint="default" w:ascii="Times New Roman" w:hAnsi="Times New Roman" w:eastAsia="宋体" w:cs="Times New Roman"/>
                <w:b/>
                <w:bCs w:val="0"/>
                <w:color w:val="auto"/>
                <w:szCs w:val="21"/>
                <w:highlight w:val="none"/>
              </w:rPr>
              <w:t xml:space="preserve"> </w:t>
            </w:r>
            <w:r>
              <w:rPr>
                <w:rFonts w:hint="default" w:ascii="Times New Roman" w:hAnsi="Times New Roman" w:eastAsia="宋体" w:cs="Times New Roman"/>
                <w:b/>
                <w:bCs w:val="0"/>
                <w:color w:val="auto"/>
                <w:szCs w:val="21"/>
                <w:highlight w:val="none"/>
                <w:lang w:val="en-US" w:eastAsia="zh-CN"/>
              </w:rPr>
              <w:t xml:space="preserve"> 202</w:t>
            </w:r>
            <w:r>
              <w:rPr>
                <w:rFonts w:hint="eastAsia" w:cs="Times New Roman"/>
                <w:b/>
                <w:bCs w:val="0"/>
                <w:color w:val="auto"/>
                <w:szCs w:val="21"/>
                <w:highlight w:val="none"/>
                <w:lang w:val="en-US" w:eastAsia="zh-CN"/>
              </w:rPr>
              <w:t>2</w:t>
            </w:r>
            <w:r>
              <w:rPr>
                <w:rFonts w:hint="default" w:ascii="Times New Roman" w:hAnsi="Times New Roman" w:eastAsia="宋体" w:cs="Times New Roman"/>
                <w:b/>
                <w:bCs w:val="0"/>
                <w:color w:val="auto"/>
                <w:szCs w:val="21"/>
                <w:highlight w:val="none"/>
                <w:lang w:val="en-US" w:eastAsia="zh-CN"/>
              </w:rPr>
              <w:t>年1-</w:t>
            </w:r>
            <w:r>
              <w:rPr>
                <w:rFonts w:hint="eastAsia" w:ascii="Times New Roman" w:hAnsi="Times New Roman" w:cs="Times New Roman"/>
                <w:b/>
                <w:bCs w:val="0"/>
                <w:color w:val="auto"/>
                <w:szCs w:val="21"/>
                <w:highlight w:val="none"/>
                <w:lang w:val="en-US" w:eastAsia="zh-CN"/>
              </w:rPr>
              <w:t>1</w:t>
            </w:r>
            <w:r>
              <w:rPr>
                <w:rFonts w:hint="eastAsia" w:cs="Times New Roman"/>
                <w:b/>
                <w:bCs w:val="0"/>
                <w:color w:val="auto"/>
                <w:szCs w:val="21"/>
                <w:highlight w:val="none"/>
                <w:lang w:val="en-US" w:eastAsia="zh-CN"/>
              </w:rPr>
              <w:t>2</w:t>
            </w:r>
            <w:r>
              <w:rPr>
                <w:rFonts w:hint="default" w:ascii="Times New Roman" w:hAnsi="Times New Roman" w:eastAsia="宋体" w:cs="Times New Roman"/>
                <w:b/>
                <w:bCs w:val="0"/>
                <w:color w:val="auto"/>
                <w:szCs w:val="21"/>
                <w:highlight w:val="none"/>
                <w:lang w:val="en-US" w:eastAsia="zh-CN"/>
              </w:rPr>
              <w:t>月地表水水质评价结果表</w:t>
            </w:r>
          </w:p>
          <w:tbl>
            <w:tblPr>
              <w:tblStyle w:val="4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1192"/>
              <w:gridCol w:w="829"/>
              <w:gridCol w:w="1645"/>
              <w:gridCol w:w="1133"/>
              <w:gridCol w:w="1163"/>
              <w:gridCol w:w="1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9"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河流名称</w:t>
                  </w:r>
                </w:p>
              </w:tc>
              <w:tc>
                <w:tcPr>
                  <w:tcW w:w="707"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断面名称</w:t>
                  </w:r>
                </w:p>
              </w:tc>
              <w:tc>
                <w:tcPr>
                  <w:tcW w:w="492"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考核级别</w:t>
                  </w:r>
                </w:p>
              </w:tc>
              <w:tc>
                <w:tcPr>
                  <w:tcW w:w="97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考核时间</w:t>
                  </w:r>
                </w:p>
              </w:tc>
              <w:tc>
                <w:tcPr>
                  <w:tcW w:w="672"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实测类别</w:t>
                  </w:r>
                </w:p>
              </w:tc>
              <w:tc>
                <w:tcPr>
                  <w:tcW w:w="69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是否达标</w:t>
                  </w:r>
                </w:p>
              </w:tc>
              <w:tc>
                <w:tcPr>
                  <w:tcW w:w="809"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主要污染指标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649" w:type="pct"/>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大渡河</w:t>
                  </w:r>
                </w:p>
              </w:tc>
              <w:tc>
                <w:tcPr>
                  <w:tcW w:w="707" w:type="pct"/>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李码头</w:t>
                  </w:r>
                </w:p>
              </w:tc>
              <w:tc>
                <w:tcPr>
                  <w:tcW w:w="492" w:type="pct"/>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国</w:t>
                  </w:r>
                  <w:r>
                    <w:rPr>
                      <w:rFonts w:hint="default" w:ascii="Times New Roman" w:hAnsi="Times New Roman" w:eastAsia="宋体" w:cs="Times New Roman"/>
                      <w:color w:val="auto"/>
                      <w:sz w:val="21"/>
                      <w:szCs w:val="21"/>
                      <w:vertAlign w:val="baseline"/>
                      <w:lang w:val="en-US" w:eastAsia="zh-CN"/>
                    </w:rPr>
                    <w:t>考</w:t>
                  </w:r>
                </w:p>
              </w:tc>
              <w:tc>
                <w:tcPr>
                  <w:tcW w:w="97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202</w:t>
                  </w:r>
                  <w:r>
                    <w:rPr>
                      <w:rFonts w:hint="eastAsia" w:cs="Times New Roman"/>
                      <w:color w:val="auto"/>
                      <w:sz w:val="21"/>
                      <w:szCs w:val="21"/>
                      <w:vertAlign w:val="baseline"/>
                      <w:lang w:val="en-US" w:eastAsia="zh-CN"/>
                    </w:rPr>
                    <w:t>2</w:t>
                  </w:r>
                  <w:r>
                    <w:rPr>
                      <w:rFonts w:hint="default" w:ascii="Times New Roman" w:hAnsi="Times New Roman" w:eastAsia="宋体" w:cs="Times New Roman"/>
                      <w:color w:val="auto"/>
                      <w:sz w:val="21"/>
                      <w:szCs w:val="21"/>
                      <w:vertAlign w:val="baseline"/>
                      <w:lang w:val="en-US" w:eastAsia="zh-CN"/>
                    </w:rPr>
                    <w:t>年1月</w:t>
                  </w:r>
                </w:p>
              </w:tc>
              <w:tc>
                <w:tcPr>
                  <w:tcW w:w="672"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rPr>
                    <w:t>Ⅱ</w:t>
                  </w:r>
                </w:p>
              </w:tc>
              <w:tc>
                <w:tcPr>
                  <w:tcW w:w="69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是</w:t>
                  </w:r>
                </w:p>
              </w:tc>
              <w:tc>
                <w:tcPr>
                  <w:tcW w:w="809"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9"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rPr>
                  </w:pPr>
                </w:p>
              </w:tc>
              <w:tc>
                <w:tcPr>
                  <w:tcW w:w="707"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rPr>
                  </w:pPr>
                </w:p>
              </w:tc>
              <w:tc>
                <w:tcPr>
                  <w:tcW w:w="492"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rPr>
                  </w:pPr>
                </w:p>
              </w:tc>
              <w:tc>
                <w:tcPr>
                  <w:tcW w:w="97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202</w:t>
                  </w:r>
                  <w:r>
                    <w:rPr>
                      <w:rFonts w:hint="eastAsia" w:cs="Times New Roman"/>
                      <w:color w:val="auto"/>
                      <w:sz w:val="21"/>
                      <w:szCs w:val="21"/>
                      <w:vertAlign w:val="baseline"/>
                      <w:lang w:val="en-US" w:eastAsia="zh-CN"/>
                    </w:rPr>
                    <w:t>2</w:t>
                  </w:r>
                  <w:r>
                    <w:rPr>
                      <w:rFonts w:hint="default" w:ascii="Times New Roman" w:hAnsi="Times New Roman" w:eastAsia="宋体" w:cs="Times New Roman"/>
                      <w:color w:val="auto"/>
                      <w:sz w:val="21"/>
                      <w:szCs w:val="21"/>
                      <w:vertAlign w:val="baseline"/>
                      <w:lang w:val="en-US" w:eastAsia="zh-CN"/>
                    </w:rPr>
                    <w:t>年2月</w:t>
                  </w:r>
                </w:p>
              </w:tc>
              <w:tc>
                <w:tcPr>
                  <w:tcW w:w="672"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rPr>
                    <w:t>Ⅱ</w:t>
                  </w:r>
                </w:p>
              </w:tc>
              <w:tc>
                <w:tcPr>
                  <w:tcW w:w="69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是</w:t>
                  </w:r>
                </w:p>
              </w:tc>
              <w:tc>
                <w:tcPr>
                  <w:tcW w:w="809"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9"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rPr>
                  </w:pPr>
                </w:p>
              </w:tc>
              <w:tc>
                <w:tcPr>
                  <w:tcW w:w="707"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rPr>
                  </w:pPr>
                </w:p>
              </w:tc>
              <w:tc>
                <w:tcPr>
                  <w:tcW w:w="492"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rPr>
                  </w:pPr>
                </w:p>
              </w:tc>
              <w:tc>
                <w:tcPr>
                  <w:tcW w:w="97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202</w:t>
                  </w:r>
                  <w:r>
                    <w:rPr>
                      <w:rFonts w:hint="eastAsia" w:cs="Times New Roman"/>
                      <w:color w:val="auto"/>
                      <w:sz w:val="21"/>
                      <w:szCs w:val="21"/>
                      <w:vertAlign w:val="baseline"/>
                      <w:lang w:val="en-US" w:eastAsia="zh-CN"/>
                    </w:rPr>
                    <w:t>2</w:t>
                  </w:r>
                  <w:r>
                    <w:rPr>
                      <w:rFonts w:hint="default" w:ascii="Times New Roman" w:hAnsi="Times New Roman" w:eastAsia="宋体" w:cs="Times New Roman"/>
                      <w:color w:val="auto"/>
                      <w:sz w:val="21"/>
                      <w:szCs w:val="21"/>
                      <w:vertAlign w:val="baseline"/>
                      <w:lang w:val="en-US" w:eastAsia="zh-CN"/>
                    </w:rPr>
                    <w:t>年3月</w:t>
                  </w:r>
                </w:p>
              </w:tc>
              <w:tc>
                <w:tcPr>
                  <w:tcW w:w="672"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rPr>
                    <w:t>Ⅱ</w:t>
                  </w:r>
                </w:p>
              </w:tc>
              <w:tc>
                <w:tcPr>
                  <w:tcW w:w="69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是</w:t>
                  </w:r>
                </w:p>
              </w:tc>
              <w:tc>
                <w:tcPr>
                  <w:tcW w:w="809"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9"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rPr>
                  </w:pPr>
                </w:p>
              </w:tc>
              <w:tc>
                <w:tcPr>
                  <w:tcW w:w="707"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rPr>
                  </w:pPr>
                </w:p>
              </w:tc>
              <w:tc>
                <w:tcPr>
                  <w:tcW w:w="492"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rPr>
                  </w:pPr>
                </w:p>
              </w:tc>
              <w:tc>
                <w:tcPr>
                  <w:tcW w:w="97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202</w:t>
                  </w:r>
                  <w:r>
                    <w:rPr>
                      <w:rFonts w:hint="eastAsia" w:cs="Times New Roman"/>
                      <w:color w:val="auto"/>
                      <w:sz w:val="21"/>
                      <w:szCs w:val="21"/>
                      <w:vertAlign w:val="baseline"/>
                      <w:lang w:val="en-US" w:eastAsia="zh-CN"/>
                    </w:rPr>
                    <w:t>2</w:t>
                  </w:r>
                  <w:r>
                    <w:rPr>
                      <w:rFonts w:hint="default" w:ascii="Times New Roman" w:hAnsi="Times New Roman" w:eastAsia="宋体" w:cs="Times New Roman"/>
                      <w:color w:val="auto"/>
                      <w:sz w:val="21"/>
                      <w:szCs w:val="21"/>
                      <w:vertAlign w:val="baseline"/>
                      <w:lang w:val="en-US" w:eastAsia="zh-CN"/>
                    </w:rPr>
                    <w:t>年4月</w:t>
                  </w:r>
                </w:p>
              </w:tc>
              <w:tc>
                <w:tcPr>
                  <w:tcW w:w="672"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Ⅱ</w:t>
                  </w:r>
                </w:p>
              </w:tc>
              <w:tc>
                <w:tcPr>
                  <w:tcW w:w="69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是</w:t>
                  </w:r>
                </w:p>
              </w:tc>
              <w:tc>
                <w:tcPr>
                  <w:tcW w:w="809"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9"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rPr>
                  </w:pPr>
                </w:p>
              </w:tc>
              <w:tc>
                <w:tcPr>
                  <w:tcW w:w="707"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rPr>
                  </w:pPr>
                </w:p>
              </w:tc>
              <w:tc>
                <w:tcPr>
                  <w:tcW w:w="492"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rPr>
                  </w:pPr>
                </w:p>
              </w:tc>
              <w:tc>
                <w:tcPr>
                  <w:tcW w:w="97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202</w:t>
                  </w:r>
                  <w:r>
                    <w:rPr>
                      <w:rFonts w:hint="eastAsia" w:cs="Times New Roman"/>
                      <w:color w:val="auto"/>
                      <w:sz w:val="21"/>
                      <w:szCs w:val="21"/>
                      <w:vertAlign w:val="baseline"/>
                      <w:lang w:val="en-US" w:eastAsia="zh-CN"/>
                    </w:rPr>
                    <w:t>2</w:t>
                  </w:r>
                  <w:r>
                    <w:rPr>
                      <w:rFonts w:hint="default" w:ascii="Times New Roman" w:hAnsi="Times New Roman" w:eastAsia="宋体" w:cs="Times New Roman"/>
                      <w:color w:val="auto"/>
                      <w:sz w:val="21"/>
                      <w:szCs w:val="21"/>
                      <w:vertAlign w:val="baseline"/>
                      <w:lang w:val="en-US" w:eastAsia="zh-CN"/>
                    </w:rPr>
                    <w:t>年5月</w:t>
                  </w:r>
                </w:p>
              </w:tc>
              <w:tc>
                <w:tcPr>
                  <w:tcW w:w="672"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Ⅱ</w:t>
                  </w:r>
                </w:p>
              </w:tc>
              <w:tc>
                <w:tcPr>
                  <w:tcW w:w="69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是</w:t>
                  </w:r>
                </w:p>
              </w:tc>
              <w:tc>
                <w:tcPr>
                  <w:tcW w:w="809"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9"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rPr>
                  </w:pPr>
                </w:p>
              </w:tc>
              <w:tc>
                <w:tcPr>
                  <w:tcW w:w="707"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rPr>
                  </w:pPr>
                </w:p>
              </w:tc>
              <w:tc>
                <w:tcPr>
                  <w:tcW w:w="492"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rPr>
                  </w:pPr>
                </w:p>
              </w:tc>
              <w:tc>
                <w:tcPr>
                  <w:tcW w:w="97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2021年6月</w:t>
                  </w:r>
                </w:p>
              </w:tc>
              <w:tc>
                <w:tcPr>
                  <w:tcW w:w="672"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rPr>
                    <w:t>Ⅱ</w:t>
                  </w:r>
                </w:p>
              </w:tc>
              <w:tc>
                <w:tcPr>
                  <w:tcW w:w="69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是</w:t>
                  </w:r>
                </w:p>
              </w:tc>
              <w:tc>
                <w:tcPr>
                  <w:tcW w:w="809"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9"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rPr>
                  </w:pPr>
                </w:p>
              </w:tc>
              <w:tc>
                <w:tcPr>
                  <w:tcW w:w="707"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rPr>
                  </w:pPr>
                </w:p>
              </w:tc>
              <w:tc>
                <w:tcPr>
                  <w:tcW w:w="492"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rPr>
                  </w:pPr>
                </w:p>
              </w:tc>
              <w:tc>
                <w:tcPr>
                  <w:tcW w:w="97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202</w:t>
                  </w:r>
                  <w:r>
                    <w:rPr>
                      <w:rFonts w:hint="eastAsia" w:cs="Times New Roman"/>
                      <w:color w:val="auto"/>
                      <w:sz w:val="21"/>
                      <w:szCs w:val="21"/>
                      <w:vertAlign w:val="baseline"/>
                      <w:lang w:val="en-US" w:eastAsia="zh-CN"/>
                    </w:rPr>
                    <w:t>2</w:t>
                  </w:r>
                  <w:r>
                    <w:rPr>
                      <w:rFonts w:hint="default" w:ascii="Times New Roman" w:hAnsi="Times New Roman" w:eastAsia="宋体" w:cs="Times New Roman"/>
                      <w:color w:val="auto"/>
                      <w:sz w:val="21"/>
                      <w:szCs w:val="21"/>
                      <w:vertAlign w:val="baseline"/>
                      <w:lang w:val="en-US" w:eastAsia="zh-CN"/>
                    </w:rPr>
                    <w:t>年7月</w:t>
                  </w:r>
                </w:p>
              </w:tc>
              <w:tc>
                <w:tcPr>
                  <w:tcW w:w="672"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rPr>
                    <w:t>Ⅱ</w:t>
                  </w:r>
                </w:p>
              </w:tc>
              <w:tc>
                <w:tcPr>
                  <w:tcW w:w="69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是</w:t>
                  </w:r>
                </w:p>
              </w:tc>
              <w:tc>
                <w:tcPr>
                  <w:tcW w:w="809"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9"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rPr>
                  </w:pPr>
                </w:p>
              </w:tc>
              <w:tc>
                <w:tcPr>
                  <w:tcW w:w="707"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rPr>
                  </w:pPr>
                </w:p>
              </w:tc>
              <w:tc>
                <w:tcPr>
                  <w:tcW w:w="492"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rPr>
                  </w:pPr>
                </w:p>
              </w:tc>
              <w:tc>
                <w:tcPr>
                  <w:tcW w:w="97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202</w:t>
                  </w:r>
                  <w:r>
                    <w:rPr>
                      <w:rFonts w:hint="eastAsia" w:cs="Times New Roman"/>
                      <w:color w:val="auto"/>
                      <w:sz w:val="21"/>
                      <w:szCs w:val="21"/>
                      <w:vertAlign w:val="baseline"/>
                      <w:lang w:val="en-US" w:eastAsia="zh-CN"/>
                    </w:rPr>
                    <w:t>2</w:t>
                  </w:r>
                  <w:r>
                    <w:rPr>
                      <w:rFonts w:hint="default" w:ascii="Times New Roman" w:hAnsi="Times New Roman" w:eastAsia="宋体" w:cs="Times New Roman"/>
                      <w:color w:val="auto"/>
                      <w:sz w:val="21"/>
                      <w:szCs w:val="21"/>
                      <w:vertAlign w:val="baseline"/>
                      <w:lang w:val="en-US" w:eastAsia="zh-CN"/>
                    </w:rPr>
                    <w:t>年8月</w:t>
                  </w:r>
                </w:p>
              </w:tc>
              <w:tc>
                <w:tcPr>
                  <w:tcW w:w="672"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rPr>
                    <w:t>Ⅱ</w:t>
                  </w:r>
                </w:p>
              </w:tc>
              <w:tc>
                <w:tcPr>
                  <w:tcW w:w="69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是</w:t>
                  </w:r>
                </w:p>
              </w:tc>
              <w:tc>
                <w:tcPr>
                  <w:tcW w:w="809"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9"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rPr>
                  </w:pPr>
                </w:p>
              </w:tc>
              <w:tc>
                <w:tcPr>
                  <w:tcW w:w="707"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rPr>
                  </w:pPr>
                </w:p>
              </w:tc>
              <w:tc>
                <w:tcPr>
                  <w:tcW w:w="492"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rPr>
                  </w:pPr>
                </w:p>
              </w:tc>
              <w:tc>
                <w:tcPr>
                  <w:tcW w:w="97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202</w:t>
                  </w:r>
                  <w:r>
                    <w:rPr>
                      <w:rFonts w:hint="eastAsia" w:cs="Times New Roman"/>
                      <w:color w:val="auto"/>
                      <w:sz w:val="21"/>
                      <w:szCs w:val="21"/>
                      <w:vertAlign w:val="baseline"/>
                      <w:lang w:val="en-US" w:eastAsia="zh-CN"/>
                    </w:rPr>
                    <w:t>2</w:t>
                  </w:r>
                  <w:r>
                    <w:rPr>
                      <w:rFonts w:hint="default" w:ascii="Times New Roman" w:hAnsi="Times New Roman" w:eastAsia="宋体" w:cs="Times New Roman"/>
                      <w:color w:val="auto"/>
                      <w:sz w:val="21"/>
                      <w:szCs w:val="21"/>
                      <w:vertAlign w:val="baseline"/>
                      <w:lang w:val="en-US" w:eastAsia="zh-CN"/>
                    </w:rPr>
                    <w:t>年</w:t>
                  </w:r>
                  <w:r>
                    <w:rPr>
                      <w:rFonts w:hint="eastAsia" w:eastAsia="宋体" w:cs="Times New Roman"/>
                      <w:color w:val="auto"/>
                      <w:sz w:val="21"/>
                      <w:szCs w:val="21"/>
                      <w:vertAlign w:val="baseline"/>
                      <w:lang w:val="en-US" w:eastAsia="zh-CN"/>
                    </w:rPr>
                    <w:t>9</w:t>
                  </w:r>
                  <w:r>
                    <w:rPr>
                      <w:rFonts w:hint="default" w:ascii="Times New Roman" w:hAnsi="Times New Roman" w:eastAsia="宋体" w:cs="Times New Roman"/>
                      <w:color w:val="auto"/>
                      <w:sz w:val="21"/>
                      <w:szCs w:val="21"/>
                      <w:vertAlign w:val="baseline"/>
                      <w:lang w:val="en-US" w:eastAsia="zh-CN"/>
                    </w:rPr>
                    <w:t>月</w:t>
                  </w:r>
                </w:p>
              </w:tc>
              <w:tc>
                <w:tcPr>
                  <w:tcW w:w="672"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III</w:t>
                  </w:r>
                </w:p>
              </w:tc>
              <w:tc>
                <w:tcPr>
                  <w:tcW w:w="69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是</w:t>
                  </w:r>
                </w:p>
              </w:tc>
              <w:tc>
                <w:tcPr>
                  <w:tcW w:w="809"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9"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rPr>
                  </w:pPr>
                </w:p>
              </w:tc>
              <w:tc>
                <w:tcPr>
                  <w:tcW w:w="707"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rPr>
                  </w:pPr>
                </w:p>
              </w:tc>
              <w:tc>
                <w:tcPr>
                  <w:tcW w:w="492"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rPr>
                  </w:pPr>
                </w:p>
              </w:tc>
              <w:tc>
                <w:tcPr>
                  <w:tcW w:w="97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202</w:t>
                  </w:r>
                  <w:r>
                    <w:rPr>
                      <w:rFonts w:hint="eastAsia" w:cs="Times New Roman"/>
                      <w:color w:val="auto"/>
                      <w:sz w:val="21"/>
                      <w:szCs w:val="21"/>
                      <w:vertAlign w:val="baseline"/>
                      <w:lang w:val="en-US" w:eastAsia="zh-CN"/>
                    </w:rPr>
                    <w:t>2</w:t>
                  </w:r>
                  <w:r>
                    <w:rPr>
                      <w:rFonts w:hint="default" w:ascii="Times New Roman" w:hAnsi="Times New Roman" w:eastAsia="宋体" w:cs="Times New Roman"/>
                      <w:color w:val="auto"/>
                      <w:sz w:val="21"/>
                      <w:szCs w:val="21"/>
                      <w:vertAlign w:val="baseline"/>
                      <w:lang w:val="en-US" w:eastAsia="zh-CN"/>
                    </w:rPr>
                    <w:t>年</w:t>
                  </w:r>
                  <w:r>
                    <w:rPr>
                      <w:rFonts w:hint="eastAsia" w:eastAsia="宋体" w:cs="Times New Roman"/>
                      <w:color w:val="auto"/>
                      <w:sz w:val="21"/>
                      <w:szCs w:val="21"/>
                      <w:vertAlign w:val="baseline"/>
                      <w:lang w:val="en-US" w:eastAsia="zh-CN"/>
                    </w:rPr>
                    <w:t>10</w:t>
                  </w:r>
                  <w:r>
                    <w:rPr>
                      <w:rFonts w:hint="default" w:ascii="Times New Roman" w:hAnsi="Times New Roman" w:eastAsia="宋体" w:cs="Times New Roman"/>
                      <w:color w:val="auto"/>
                      <w:sz w:val="21"/>
                      <w:szCs w:val="21"/>
                      <w:vertAlign w:val="baseline"/>
                      <w:lang w:val="en-US" w:eastAsia="zh-CN"/>
                    </w:rPr>
                    <w:t>月</w:t>
                  </w:r>
                </w:p>
              </w:tc>
              <w:tc>
                <w:tcPr>
                  <w:tcW w:w="672"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Ⅱ</w:t>
                  </w:r>
                </w:p>
              </w:tc>
              <w:tc>
                <w:tcPr>
                  <w:tcW w:w="69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是</w:t>
                  </w:r>
                </w:p>
              </w:tc>
              <w:tc>
                <w:tcPr>
                  <w:tcW w:w="809"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9"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rPr>
                  </w:pPr>
                </w:p>
              </w:tc>
              <w:tc>
                <w:tcPr>
                  <w:tcW w:w="707"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rPr>
                  </w:pPr>
                </w:p>
              </w:tc>
              <w:tc>
                <w:tcPr>
                  <w:tcW w:w="492"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rPr>
                  </w:pPr>
                </w:p>
              </w:tc>
              <w:tc>
                <w:tcPr>
                  <w:tcW w:w="97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202</w:t>
                  </w:r>
                  <w:r>
                    <w:rPr>
                      <w:rFonts w:hint="eastAsia" w:cs="Times New Roman"/>
                      <w:color w:val="auto"/>
                      <w:sz w:val="21"/>
                      <w:szCs w:val="21"/>
                      <w:vertAlign w:val="baseline"/>
                      <w:lang w:val="en-US" w:eastAsia="zh-CN"/>
                    </w:rPr>
                    <w:t>2</w:t>
                  </w:r>
                  <w:r>
                    <w:rPr>
                      <w:rFonts w:hint="default" w:ascii="Times New Roman" w:hAnsi="Times New Roman" w:eastAsia="宋体" w:cs="Times New Roman"/>
                      <w:color w:val="auto"/>
                      <w:sz w:val="21"/>
                      <w:szCs w:val="21"/>
                      <w:vertAlign w:val="baseline"/>
                      <w:lang w:val="en-US" w:eastAsia="zh-CN"/>
                    </w:rPr>
                    <w:t>年</w:t>
                  </w:r>
                  <w:r>
                    <w:rPr>
                      <w:rFonts w:hint="eastAsia" w:eastAsia="宋体" w:cs="Times New Roman"/>
                      <w:color w:val="auto"/>
                      <w:sz w:val="21"/>
                      <w:szCs w:val="21"/>
                      <w:vertAlign w:val="baseline"/>
                      <w:lang w:val="en-US" w:eastAsia="zh-CN"/>
                    </w:rPr>
                    <w:t>11</w:t>
                  </w:r>
                  <w:r>
                    <w:rPr>
                      <w:rFonts w:hint="default" w:ascii="Times New Roman" w:hAnsi="Times New Roman" w:eastAsia="宋体" w:cs="Times New Roman"/>
                      <w:color w:val="auto"/>
                      <w:sz w:val="21"/>
                      <w:szCs w:val="21"/>
                      <w:vertAlign w:val="baseline"/>
                      <w:lang w:val="en-US" w:eastAsia="zh-CN"/>
                    </w:rPr>
                    <w:t>月</w:t>
                  </w:r>
                </w:p>
              </w:tc>
              <w:tc>
                <w:tcPr>
                  <w:tcW w:w="672"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Ⅱ</w:t>
                  </w:r>
                </w:p>
              </w:tc>
              <w:tc>
                <w:tcPr>
                  <w:tcW w:w="69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是</w:t>
                  </w:r>
                </w:p>
              </w:tc>
              <w:tc>
                <w:tcPr>
                  <w:tcW w:w="809"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9"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rPr>
                  </w:pPr>
                </w:p>
              </w:tc>
              <w:tc>
                <w:tcPr>
                  <w:tcW w:w="707"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rPr>
                  </w:pPr>
                </w:p>
              </w:tc>
              <w:tc>
                <w:tcPr>
                  <w:tcW w:w="492"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rPr>
                  </w:pPr>
                </w:p>
              </w:tc>
              <w:tc>
                <w:tcPr>
                  <w:tcW w:w="97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202</w:t>
                  </w:r>
                  <w:r>
                    <w:rPr>
                      <w:rFonts w:hint="eastAsia" w:cs="Times New Roman"/>
                      <w:color w:val="auto"/>
                      <w:sz w:val="21"/>
                      <w:szCs w:val="21"/>
                      <w:vertAlign w:val="baseline"/>
                      <w:lang w:val="en-US" w:eastAsia="zh-CN"/>
                    </w:rPr>
                    <w:t>2</w:t>
                  </w:r>
                  <w:r>
                    <w:rPr>
                      <w:rFonts w:hint="default" w:ascii="Times New Roman" w:hAnsi="Times New Roman" w:eastAsia="宋体" w:cs="Times New Roman"/>
                      <w:color w:val="auto"/>
                      <w:sz w:val="21"/>
                      <w:szCs w:val="21"/>
                      <w:vertAlign w:val="baseline"/>
                      <w:lang w:val="en-US" w:eastAsia="zh-CN"/>
                    </w:rPr>
                    <w:t>年</w:t>
                  </w:r>
                  <w:r>
                    <w:rPr>
                      <w:rFonts w:hint="eastAsia" w:eastAsia="宋体" w:cs="Times New Roman"/>
                      <w:color w:val="auto"/>
                      <w:sz w:val="21"/>
                      <w:szCs w:val="21"/>
                      <w:vertAlign w:val="baseline"/>
                      <w:lang w:val="en-US" w:eastAsia="zh-CN"/>
                    </w:rPr>
                    <w:t>1</w:t>
                  </w:r>
                  <w:r>
                    <w:rPr>
                      <w:rFonts w:hint="eastAsia" w:cs="Times New Roman"/>
                      <w:color w:val="auto"/>
                      <w:sz w:val="21"/>
                      <w:szCs w:val="21"/>
                      <w:vertAlign w:val="baseline"/>
                      <w:lang w:val="en-US" w:eastAsia="zh-CN"/>
                    </w:rPr>
                    <w:t>2</w:t>
                  </w:r>
                  <w:r>
                    <w:rPr>
                      <w:rFonts w:hint="default" w:ascii="Times New Roman" w:hAnsi="Times New Roman" w:eastAsia="宋体" w:cs="Times New Roman"/>
                      <w:color w:val="auto"/>
                      <w:sz w:val="21"/>
                      <w:szCs w:val="21"/>
                      <w:vertAlign w:val="baseline"/>
                      <w:lang w:val="en-US" w:eastAsia="zh-CN"/>
                    </w:rPr>
                    <w:t>月</w:t>
                  </w:r>
                </w:p>
              </w:tc>
              <w:tc>
                <w:tcPr>
                  <w:tcW w:w="672"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rPr>
                    <w:t>Ⅱ</w:t>
                  </w:r>
                </w:p>
              </w:tc>
              <w:tc>
                <w:tcPr>
                  <w:tcW w:w="69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是</w:t>
                  </w:r>
                </w:p>
              </w:tc>
              <w:tc>
                <w:tcPr>
                  <w:tcW w:w="809"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bl>
          <w:p>
            <w:pPr>
              <w:autoSpaceDE w:val="0"/>
              <w:autoSpaceDN w:val="0"/>
              <w:adjustRightInd w:val="0"/>
              <w:snapToGrid w:val="0"/>
              <w:spacing w:line="360" w:lineRule="auto"/>
              <w:ind w:firstLine="482" w:firstLineChars="200"/>
              <w:textAlignment w:val="center"/>
              <w:outlineLvl w:val="9"/>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rPr>
              <w:t>、声环境质量现状调查与评价</w:t>
            </w:r>
          </w:p>
          <w:p>
            <w:pPr>
              <w:autoSpaceDE w:val="0"/>
              <w:autoSpaceDN w:val="0"/>
              <w:adjustRightInd w:val="0"/>
              <w:snapToGrid w:val="0"/>
              <w:spacing w:line="360" w:lineRule="auto"/>
              <w:ind w:firstLine="480" w:firstLineChars="200"/>
              <w:textAlignment w:val="center"/>
              <w:outlineLvl w:val="9"/>
              <w:rPr>
                <w:rFonts w:hint="eastAsia"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监测点位布设单位：LeqdB</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A</w:t>
            </w:r>
            <w:r>
              <w:rPr>
                <w:rFonts w:hint="eastAsia" w:cs="Times New Roman"/>
                <w:color w:val="auto"/>
                <w:sz w:val="24"/>
                <w:highlight w:val="none"/>
                <w:lang w:eastAsia="zh-CN"/>
              </w:rPr>
              <w:t>）</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leftChars="0" w:right="0"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项目设</w:t>
            </w:r>
            <w:r>
              <w:rPr>
                <w:rFonts w:hint="eastAsia" w:cs="Times New Roman"/>
                <w:color w:val="auto"/>
                <w:sz w:val="24"/>
                <w:lang w:val="en-US" w:eastAsia="zh-CN"/>
              </w:rPr>
              <w:t>8</w:t>
            </w:r>
            <w:r>
              <w:rPr>
                <w:rFonts w:hint="default" w:ascii="Times New Roman" w:hAnsi="Times New Roman" w:eastAsia="宋体" w:cs="Times New Roman"/>
                <w:color w:val="auto"/>
                <w:sz w:val="24"/>
              </w:rPr>
              <w:t>个监测点</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布设情况见下表：</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val="0"/>
                <w:color w:val="auto"/>
                <w:szCs w:val="21"/>
                <w:highlight w:val="none"/>
                <w:lang w:val="en-US" w:eastAsia="zh-CN"/>
              </w:rPr>
            </w:pPr>
            <w:r>
              <w:rPr>
                <w:rFonts w:hint="default" w:ascii="Times New Roman" w:hAnsi="Times New Roman" w:eastAsia="宋体" w:cs="Times New Roman"/>
                <w:b/>
                <w:bCs w:val="0"/>
                <w:color w:val="auto"/>
                <w:szCs w:val="21"/>
                <w:highlight w:val="none"/>
              </w:rPr>
              <w:t>表3-</w:t>
            </w:r>
            <w:r>
              <w:rPr>
                <w:rFonts w:hint="eastAsia" w:cs="Times New Roman"/>
                <w:b/>
                <w:bCs w:val="0"/>
                <w:color w:val="auto"/>
                <w:szCs w:val="21"/>
                <w:highlight w:val="none"/>
                <w:lang w:val="en-US" w:eastAsia="zh-CN"/>
              </w:rPr>
              <w:t>4</w:t>
            </w:r>
            <w:r>
              <w:rPr>
                <w:rFonts w:hint="default" w:ascii="Times New Roman" w:hAnsi="Times New Roman" w:eastAsia="宋体" w:cs="Times New Roman"/>
                <w:b/>
                <w:bCs w:val="0"/>
                <w:color w:val="auto"/>
                <w:szCs w:val="21"/>
                <w:highlight w:val="none"/>
              </w:rPr>
              <w:t xml:space="preserve"> </w:t>
            </w:r>
            <w:r>
              <w:rPr>
                <w:rFonts w:hint="default" w:ascii="Times New Roman" w:hAnsi="Times New Roman" w:eastAsia="宋体" w:cs="Times New Roman"/>
                <w:b/>
                <w:bCs w:val="0"/>
                <w:color w:val="auto"/>
                <w:szCs w:val="21"/>
                <w:highlight w:val="none"/>
                <w:lang w:val="en-US" w:eastAsia="zh-CN"/>
              </w:rPr>
              <w:t xml:space="preserve"> </w:t>
            </w:r>
            <w:r>
              <w:rPr>
                <w:rFonts w:hint="eastAsia" w:cs="Times New Roman"/>
                <w:b/>
                <w:bCs w:val="0"/>
                <w:color w:val="auto"/>
                <w:szCs w:val="21"/>
                <w:highlight w:val="none"/>
                <w:lang w:val="en-US" w:eastAsia="zh-CN"/>
              </w:rPr>
              <w:t>噪声监测点位布设</w:t>
            </w:r>
            <w:r>
              <w:rPr>
                <w:rFonts w:hint="default" w:ascii="Times New Roman" w:hAnsi="Times New Roman" w:eastAsia="宋体" w:cs="Times New Roman"/>
                <w:b/>
                <w:bCs w:val="0"/>
                <w:color w:val="auto"/>
                <w:szCs w:val="21"/>
                <w:highlight w:val="none"/>
                <w:lang w:val="en-US" w:eastAsia="zh-CN"/>
              </w:rPr>
              <w:t>表</w:t>
            </w:r>
          </w:p>
          <w:tbl>
            <w:tblPr>
              <w:tblStyle w:val="41"/>
              <w:tblW w:w="4995"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954"/>
              <w:gridCol w:w="146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exact"/>
                <w:jc w:val="center"/>
              </w:trPr>
              <w:tc>
                <w:tcPr>
                  <w:tcW w:w="412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测点位置</w:t>
                  </w:r>
                </w:p>
              </w:tc>
              <w:tc>
                <w:tcPr>
                  <w:tcW w:w="87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点位编号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12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项目右岸（临右0+156）东北侧约5m居民处</w:t>
                  </w:r>
                </w:p>
              </w:tc>
              <w:tc>
                <w:tcPr>
                  <w:tcW w:w="87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12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项目左岸（临左1+000）西北侧约34m居民处</w:t>
                  </w:r>
                </w:p>
              </w:tc>
              <w:tc>
                <w:tcPr>
                  <w:tcW w:w="87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12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项目左岸（临左1+900）北侧约8m居民处</w:t>
                  </w:r>
                </w:p>
              </w:tc>
              <w:tc>
                <w:tcPr>
                  <w:tcW w:w="87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12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项目左岸（临左2+800）东北侧约38m居民处</w:t>
                  </w:r>
                </w:p>
              </w:tc>
              <w:tc>
                <w:tcPr>
                  <w:tcW w:w="87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12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项目左岸（临左5+100）西北侧约9m居民处</w:t>
                  </w:r>
                </w:p>
              </w:tc>
              <w:tc>
                <w:tcPr>
                  <w:tcW w:w="87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12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项目右岸（临右5+400）南侧约12m居民处</w:t>
                  </w:r>
                </w:p>
              </w:tc>
              <w:tc>
                <w:tcPr>
                  <w:tcW w:w="87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12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项目右岸（临右5+700）南侧约20m居民处</w:t>
                  </w:r>
                </w:p>
              </w:tc>
              <w:tc>
                <w:tcPr>
                  <w:tcW w:w="87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412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项目左岸（临左6+287）西北侧约9m居民处</w:t>
                  </w:r>
                </w:p>
              </w:tc>
              <w:tc>
                <w:tcPr>
                  <w:tcW w:w="87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r>
          </w:tbl>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right="0" w:firstLine="420" w:firstLineChars="20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注：由于设计调整，监测点位位置未发生变化，点位与工程相对位置描述发生变化，本次选取3#-10#作为噪声现状调查。</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right="0" w:firstLine="480" w:firstLineChars="200"/>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rPr>
              <w:t>噪声现状监测结果见</w:t>
            </w:r>
            <w:r>
              <w:rPr>
                <w:rFonts w:hint="eastAsia" w:cs="Times New Roman"/>
                <w:color w:val="auto"/>
                <w:sz w:val="24"/>
                <w:lang w:val="en-US" w:eastAsia="zh-CN"/>
              </w:rPr>
              <w:t>下</w:t>
            </w:r>
            <w:r>
              <w:rPr>
                <w:rFonts w:hint="default" w:ascii="Times New Roman" w:hAnsi="Times New Roman" w:eastAsia="宋体" w:cs="Times New Roman"/>
                <w:color w:val="auto"/>
                <w:sz w:val="24"/>
              </w:rPr>
              <w:t>表</w:t>
            </w:r>
            <w:r>
              <w:rPr>
                <w:rFonts w:hint="eastAsia" w:cs="Times New Roman"/>
                <w:color w:val="auto"/>
                <w:sz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cs="Times New Roman"/>
                <w:b/>
                <w:bCs w:val="0"/>
                <w:color w:val="auto"/>
                <w:szCs w:val="21"/>
                <w:highlight w:val="none"/>
                <w:lang w:val="en-US" w:eastAsia="zh-CN"/>
              </w:rPr>
            </w:pPr>
            <w:r>
              <w:rPr>
                <w:rFonts w:hint="default" w:cs="Times New Roman"/>
                <w:b/>
                <w:bCs w:val="0"/>
                <w:color w:val="auto"/>
                <w:szCs w:val="21"/>
                <w:highlight w:val="none"/>
                <w:lang w:val="en-US" w:eastAsia="zh-CN"/>
              </w:rPr>
              <w:t>表3-</w:t>
            </w:r>
            <w:r>
              <w:rPr>
                <w:rFonts w:hint="eastAsia" w:cs="Times New Roman"/>
                <w:b/>
                <w:bCs w:val="0"/>
                <w:color w:val="auto"/>
                <w:szCs w:val="21"/>
                <w:highlight w:val="none"/>
                <w:lang w:val="en-US" w:eastAsia="zh-CN"/>
              </w:rPr>
              <w:t>5</w:t>
            </w:r>
            <w:r>
              <w:rPr>
                <w:rFonts w:hint="default" w:cs="Times New Roman"/>
                <w:b/>
                <w:bCs w:val="0"/>
                <w:color w:val="auto"/>
                <w:szCs w:val="21"/>
                <w:highlight w:val="none"/>
                <w:lang w:val="en-US" w:eastAsia="zh-CN"/>
              </w:rPr>
              <w:t xml:space="preserve">  </w:t>
            </w:r>
            <w:r>
              <w:rPr>
                <w:rFonts w:hint="eastAsia" w:cs="Times New Roman"/>
                <w:b/>
                <w:bCs w:val="0"/>
                <w:color w:val="auto"/>
                <w:szCs w:val="21"/>
                <w:highlight w:val="none"/>
                <w:lang w:val="en-US" w:eastAsia="zh-CN"/>
              </w:rPr>
              <w:t>噪声监测点位布设</w:t>
            </w:r>
            <w:r>
              <w:rPr>
                <w:rFonts w:hint="default" w:cs="Times New Roman"/>
                <w:b/>
                <w:bCs w:val="0"/>
                <w:color w:val="auto"/>
                <w:szCs w:val="21"/>
                <w:highlight w:val="none"/>
                <w:lang w:val="en-US" w:eastAsia="zh-CN"/>
              </w:rPr>
              <w:t>表</w:t>
            </w:r>
          </w:p>
          <w:tbl>
            <w:tblPr>
              <w:tblStyle w:val="4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6"/>
              <w:gridCol w:w="2806"/>
              <w:gridCol w:w="2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666" w:type="pct"/>
                  <w:vMerge w:val="restart"/>
                  <w:tcBorders>
                    <w:tl2br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b/>
                      <w:bCs/>
                      <w:lang w:val="en-US" w:eastAsia="zh-CN"/>
                    </w:rPr>
                  </w:pPr>
                  <w:r>
                    <w:rPr>
                      <w:rFonts w:hint="eastAsia"/>
                      <w:b/>
                      <w:bCs/>
                      <w:lang w:val="en-US" w:eastAsia="zh-CN"/>
                    </w:rPr>
                    <w:t xml:space="preserve">       </w:t>
                  </w:r>
                  <w:r>
                    <w:rPr>
                      <w:rFonts w:hint="default"/>
                      <w:b/>
                      <w:bCs/>
                      <w:lang w:val="en-US" w:eastAsia="zh-CN"/>
                    </w:rPr>
                    <w:t>监测时间及结果</w:t>
                  </w:r>
                </w:p>
                <w:p>
                  <w:pPr>
                    <w:pStyle w:val="40"/>
                    <w:ind w:left="0" w:leftChars="0" w:firstLine="0" w:firstLineChars="0"/>
                    <w:jc w:val="both"/>
                    <w:rPr>
                      <w:rFonts w:hint="default"/>
                      <w:b/>
                      <w:bCs/>
                      <w:lang w:val="en-US" w:eastAsia="zh-CN"/>
                    </w:rPr>
                  </w:pPr>
                  <w:r>
                    <w:rPr>
                      <w:rFonts w:hint="eastAsia"/>
                      <w:b/>
                      <w:bCs/>
                      <w:lang w:val="en-US" w:eastAsia="zh-CN"/>
                    </w:rPr>
                    <w:t>监测编号</w:t>
                  </w:r>
                </w:p>
              </w:tc>
              <w:tc>
                <w:tcPr>
                  <w:tcW w:w="3333" w:type="pct"/>
                  <w:gridSpan w:val="2"/>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2022.1.13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666" w:type="pct"/>
                  <w:vMerge w:val="continue"/>
                  <w:tcBorders>
                    <w:tl2br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b/>
                      <w:bCs/>
                    </w:rPr>
                  </w:pPr>
                </w:p>
              </w:tc>
              <w:tc>
                <w:tcPr>
                  <w:tcW w:w="1666"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昼间</w:t>
                  </w:r>
                </w:p>
              </w:tc>
              <w:tc>
                <w:tcPr>
                  <w:tcW w:w="1667"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b/>
                      <w:bCs/>
                      <w:color w:val="auto"/>
                      <w:sz w:val="21"/>
                      <w:szCs w:val="21"/>
                      <w:vertAlign w:val="baseline"/>
                      <w:lang w:val="en-US" w:eastAsia="zh-CN"/>
                    </w:rPr>
                  </w:pPr>
                  <w:r>
                    <w:rPr>
                      <w:rFonts w:hint="eastAsia" w:cs="Times New Roman"/>
                      <w:b/>
                      <w:bCs/>
                      <w:color w:val="auto"/>
                      <w:sz w:val="21"/>
                      <w:szCs w:val="21"/>
                      <w:vertAlign w:val="baseline"/>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6"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w:t>
                  </w:r>
                </w:p>
              </w:tc>
              <w:tc>
                <w:tcPr>
                  <w:tcW w:w="1666"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53</w:t>
                  </w:r>
                </w:p>
              </w:tc>
              <w:tc>
                <w:tcPr>
                  <w:tcW w:w="1667"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6"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w:t>
                  </w:r>
                </w:p>
              </w:tc>
              <w:tc>
                <w:tcPr>
                  <w:tcW w:w="1666"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56</w:t>
                  </w:r>
                </w:p>
              </w:tc>
              <w:tc>
                <w:tcPr>
                  <w:tcW w:w="1667"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6"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w:t>
                  </w:r>
                </w:p>
              </w:tc>
              <w:tc>
                <w:tcPr>
                  <w:tcW w:w="1666"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54</w:t>
                  </w:r>
                </w:p>
              </w:tc>
              <w:tc>
                <w:tcPr>
                  <w:tcW w:w="1667"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6"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6#</w:t>
                  </w:r>
                </w:p>
              </w:tc>
              <w:tc>
                <w:tcPr>
                  <w:tcW w:w="1666"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55</w:t>
                  </w:r>
                </w:p>
              </w:tc>
              <w:tc>
                <w:tcPr>
                  <w:tcW w:w="1667"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6"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7#</w:t>
                  </w:r>
                </w:p>
              </w:tc>
              <w:tc>
                <w:tcPr>
                  <w:tcW w:w="1666"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54</w:t>
                  </w:r>
                </w:p>
              </w:tc>
              <w:tc>
                <w:tcPr>
                  <w:tcW w:w="1667"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6"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8#</w:t>
                  </w:r>
                </w:p>
              </w:tc>
              <w:tc>
                <w:tcPr>
                  <w:tcW w:w="1666"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53</w:t>
                  </w:r>
                </w:p>
              </w:tc>
              <w:tc>
                <w:tcPr>
                  <w:tcW w:w="1667"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6"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9#</w:t>
                  </w:r>
                </w:p>
              </w:tc>
              <w:tc>
                <w:tcPr>
                  <w:tcW w:w="1666"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56</w:t>
                  </w:r>
                </w:p>
              </w:tc>
              <w:tc>
                <w:tcPr>
                  <w:tcW w:w="1667"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6"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10#</w:t>
                  </w:r>
                </w:p>
              </w:tc>
              <w:tc>
                <w:tcPr>
                  <w:tcW w:w="1666"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53</w:t>
                  </w:r>
                </w:p>
              </w:tc>
              <w:tc>
                <w:tcPr>
                  <w:tcW w:w="1667" w:type="pct"/>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center"/>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44</w:t>
                  </w:r>
                </w:p>
              </w:tc>
            </w:tr>
          </w:tbl>
          <w:p>
            <w:pPr>
              <w:autoSpaceDE w:val="0"/>
              <w:autoSpaceDN w:val="0"/>
              <w:adjustRightInd w:val="0"/>
              <w:snapToGrid w:val="0"/>
              <w:spacing w:line="360" w:lineRule="auto"/>
              <w:ind w:firstLine="480" w:firstLineChars="200"/>
              <w:textAlignment w:val="center"/>
              <w:outlineLvl w:val="9"/>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从</w:t>
            </w:r>
            <w:r>
              <w:rPr>
                <w:rFonts w:hint="eastAsia" w:cs="Times New Roman"/>
                <w:color w:val="auto"/>
                <w:sz w:val="24"/>
                <w:lang w:val="en-US" w:eastAsia="zh-CN"/>
              </w:rPr>
              <w:t>上</w:t>
            </w:r>
            <w:r>
              <w:rPr>
                <w:rFonts w:hint="default" w:ascii="Times New Roman" w:hAnsi="Times New Roman" w:eastAsia="宋体" w:cs="Times New Roman"/>
                <w:color w:val="auto"/>
                <w:sz w:val="24"/>
              </w:rPr>
              <w:t>表监测结果可见，</w:t>
            </w:r>
            <w:r>
              <w:rPr>
                <w:rFonts w:hint="eastAsia" w:cs="Times New Roman"/>
                <w:color w:val="auto"/>
                <w:sz w:val="24"/>
                <w:lang w:val="en-US" w:eastAsia="zh-CN" w:bidi="ar"/>
              </w:rPr>
              <w:t>8</w:t>
            </w:r>
            <w:r>
              <w:rPr>
                <w:rFonts w:hint="default" w:ascii="Times New Roman" w:hAnsi="Times New Roman" w:eastAsia="宋体" w:cs="Times New Roman"/>
                <w:color w:val="auto"/>
                <w:sz w:val="24"/>
                <w:lang w:bidi="ar"/>
              </w:rPr>
              <w:t>个监测点噪声监测值满足《声环境质量标准》（GB3096-2008）中2类标准限值。</w:t>
            </w:r>
            <w:r>
              <w:rPr>
                <w:rFonts w:hint="default" w:ascii="Times New Roman" w:hAnsi="Times New Roman" w:eastAsia="宋体" w:cs="Times New Roman"/>
                <w:color w:val="auto"/>
                <w:sz w:val="24"/>
              </w:rPr>
              <w:t>评价区内声学环境质量良好。</w:t>
            </w:r>
          </w:p>
          <w:p>
            <w:pPr>
              <w:autoSpaceDE w:val="0"/>
              <w:autoSpaceDN w:val="0"/>
              <w:adjustRightInd w:val="0"/>
              <w:snapToGrid w:val="0"/>
              <w:spacing w:line="360" w:lineRule="auto"/>
              <w:ind w:firstLine="482" w:firstLineChars="200"/>
              <w:jc w:val="left"/>
              <w:textAlignment w:val="center"/>
              <w:rPr>
                <w:rFonts w:hint="default" w:ascii="Times New Roman" w:hAnsi="Times New Roman" w:cs="Times New Roman"/>
                <w:b/>
                <w:bCs/>
                <w:color w:val="auto"/>
                <w:kern w:val="0"/>
                <w:sz w:val="24"/>
                <w:lang w:bidi="ar"/>
              </w:rPr>
            </w:pPr>
            <w:r>
              <w:rPr>
                <w:rFonts w:hint="default" w:ascii="Times New Roman" w:hAnsi="Times New Roman" w:cs="Times New Roman"/>
                <w:b/>
                <w:bCs/>
                <w:color w:val="auto"/>
                <w:kern w:val="0"/>
                <w:sz w:val="24"/>
                <w:lang w:bidi="ar"/>
              </w:rPr>
              <w:t>5、底泥环境质量</w:t>
            </w:r>
            <w:r>
              <w:rPr>
                <w:rFonts w:hint="default" w:ascii="Times New Roman" w:hAnsi="Times New Roman" w:cs="Times New Roman"/>
                <w:b/>
                <w:bCs/>
                <w:color w:val="auto"/>
                <w:sz w:val="24"/>
              </w:rPr>
              <w:t>现状监测及评价</w:t>
            </w:r>
          </w:p>
          <w:p>
            <w:pPr>
              <w:adjustRightInd w:val="0"/>
              <w:snapToGrid w:val="0"/>
              <w:spacing w:line="360" w:lineRule="auto"/>
              <w:ind w:firstLine="480" w:firstLineChars="200"/>
              <w:jc w:val="left"/>
              <w:rPr>
                <w:rFonts w:hint="default" w:ascii="Times New Roman" w:hAnsi="Times New Roman" w:cs="Times New Roman"/>
                <w:color w:val="auto"/>
                <w:sz w:val="24"/>
                <w:szCs w:val="20"/>
              </w:rPr>
            </w:pPr>
            <w:r>
              <w:rPr>
                <w:rFonts w:hint="default" w:ascii="Times New Roman" w:hAnsi="Times New Roman" w:cs="Times New Roman"/>
                <w:color w:val="auto"/>
                <w:sz w:val="24"/>
                <w:szCs w:val="20"/>
              </w:rPr>
              <w:t>（1）监测点位</w:t>
            </w:r>
          </w:p>
          <w:p>
            <w:pPr>
              <w:widowControl/>
              <w:adjustRightInd w:val="0"/>
              <w:snapToGrid w:val="0"/>
              <w:spacing w:before="0" w:after="0" w:line="360" w:lineRule="auto"/>
              <w:ind w:right="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表3-</w:t>
            </w:r>
            <w:r>
              <w:rPr>
                <w:rFonts w:hint="eastAsia" w:ascii="Times New Roman" w:hAnsi="Times New Roman" w:eastAsia="宋体" w:cs="Times New Roman"/>
                <w:b/>
                <w:bCs/>
                <w:color w:val="auto"/>
                <w:kern w:val="0"/>
                <w:sz w:val="21"/>
                <w:szCs w:val="21"/>
                <w:lang w:val="en-US" w:eastAsia="zh-CN" w:bidi="ar-SA"/>
              </w:rPr>
              <w:t>6</w:t>
            </w:r>
            <w:r>
              <w:rPr>
                <w:rFonts w:hint="default" w:ascii="Times New Roman" w:hAnsi="Times New Roman" w:eastAsia="宋体" w:cs="Times New Roman"/>
                <w:b/>
                <w:bCs/>
                <w:color w:val="auto"/>
                <w:kern w:val="0"/>
                <w:sz w:val="21"/>
                <w:szCs w:val="21"/>
                <w:lang w:val="en-US" w:eastAsia="zh-CN" w:bidi="ar-SA"/>
              </w:rPr>
              <w:t xml:space="preserve">  土壤环境现状监测点位布设</w:t>
            </w:r>
          </w:p>
          <w:tbl>
            <w:tblPr>
              <w:tblStyle w:val="4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5"/>
              <w:gridCol w:w="6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91" w:type="pct"/>
                  <w:noWrap w:val="0"/>
                  <w:vAlign w:val="top"/>
                </w:tcPr>
                <w:p>
                  <w:pPr>
                    <w:widowControl/>
                    <w:snapToGrid/>
                    <w:spacing w:before="0" w:after="0" w:line="240" w:lineRule="auto"/>
                    <w:ind w:right="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序号</w:t>
                  </w:r>
                </w:p>
              </w:tc>
              <w:tc>
                <w:tcPr>
                  <w:tcW w:w="3708" w:type="pct"/>
                  <w:noWrap w:val="0"/>
                  <w:vAlign w:val="top"/>
                </w:tcPr>
                <w:p>
                  <w:pPr>
                    <w:widowControl/>
                    <w:snapToGrid/>
                    <w:spacing w:before="0" w:after="0" w:line="240" w:lineRule="auto"/>
                    <w:ind w:right="0"/>
                    <w:jc w:val="center"/>
                    <w:rPr>
                      <w:rFonts w:hint="default"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监测</w:t>
                  </w:r>
                  <w:r>
                    <w:rPr>
                      <w:rFonts w:hint="default" w:ascii="Times New Roman" w:hAnsi="Times New Roman" w:eastAsia="宋体" w:cs="Times New Roman"/>
                      <w:b/>
                      <w:bCs/>
                      <w:color w:val="auto"/>
                      <w:kern w:val="0"/>
                      <w:sz w:val="21"/>
                      <w:szCs w:val="21"/>
                      <w:lang w:val="en-US" w:eastAsia="zh-CN" w:bidi="ar-SA"/>
                    </w:rPr>
                    <w:t>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91" w:type="pct"/>
                  <w:noWrap w:val="0"/>
                  <w:vAlign w:val="top"/>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w:t>
                  </w:r>
                </w:p>
              </w:tc>
              <w:tc>
                <w:tcPr>
                  <w:tcW w:w="3708" w:type="pct"/>
                  <w:noWrap w:val="0"/>
                  <w:vAlign w:val="center"/>
                </w:tcPr>
                <w:p>
                  <w:pPr>
                    <w:widowControl/>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本项目疏浚段起点</w:t>
                  </w:r>
                  <w:r>
                    <w:rPr>
                      <w:rFonts w:hint="eastAsia" w:cs="Times New Roman"/>
                      <w:color w:val="auto"/>
                      <w:sz w:val="21"/>
                      <w:szCs w:val="21"/>
                      <w:lang w:val="en-US" w:eastAsia="zh-CN"/>
                    </w:rPr>
                    <w:t>上游约1.2km</w:t>
                  </w:r>
                  <w:r>
                    <w:rPr>
                      <w:rFonts w:hint="default" w:ascii="Times New Roman" w:hAnsi="Times New Roman" w:cs="Times New Roman"/>
                      <w:color w:val="auto"/>
                      <w:sz w:val="21"/>
                      <w:szCs w:val="21"/>
                      <w:lang w:val="en-US" w:eastAsia="zh-CN"/>
                    </w:rPr>
                    <w:t>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91" w:type="pct"/>
                  <w:noWrap w:val="0"/>
                  <w:vAlign w:val="top"/>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w:t>
                  </w:r>
                </w:p>
              </w:tc>
              <w:tc>
                <w:tcPr>
                  <w:tcW w:w="3708" w:type="pct"/>
                  <w:noWrap w:val="0"/>
                  <w:vAlign w:val="center"/>
                </w:tcPr>
                <w:p>
                  <w:pPr>
                    <w:widowControl/>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本项目疏浚段中段处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91" w:type="pct"/>
                  <w:noWrap w:val="0"/>
                  <w:vAlign w:val="top"/>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3#</w:t>
                  </w:r>
                </w:p>
              </w:tc>
              <w:tc>
                <w:tcPr>
                  <w:tcW w:w="3708" w:type="pct"/>
                  <w:noWrap w:val="0"/>
                  <w:vAlign w:val="center"/>
                </w:tcPr>
                <w:p>
                  <w:pPr>
                    <w:widowControl/>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本项目疏浚段终点处</w:t>
                  </w:r>
                </w:p>
              </w:tc>
            </w:tr>
          </w:tbl>
          <w:p>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right="0" w:firstLine="420" w:firstLineChars="20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注：由于设计调整，底泥监测点位与工程相对位置描述发生变化。</w:t>
            </w:r>
          </w:p>
          <w:p>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kern w:val="0"/>
                <w:sz w:val="24"/>
              </w:rPr>
              <w:t>（2）监测项目</w:t>
            </w:r>
          </w:p>
          <w:p>
            <w:pPr>
              <w:adjustRightInd w:val="0"/>
              <w:snapToGrid w:val="0"/>
              <w:spacing w:line="360" w:lineRule="auto"/>
              <w:ind w:firstLine="480" w:firstLineChars="200"/>
              <w:jc w:val="left"/>
              <w:rPr>
                <w:rFonts w:hint="default" w:ascii="Times New Roman" w:hAnsi="Times New Roman" w:cs="Times New Roman"/>
                <w:color w:val="auto"/>
                <w:sz w:val="24"/>
              </w:rPr>
            </w:pPr>
            <w:bookmarkStart w:id="14" w:name="_Toc449298937"/>
            <w:bookmarkStart w:id="15" w:name="_Toc449296713"/>
            <w:r>
              <w:rPr>
                <w:rFonts w:hint="default" w:ascii="Times New Roman" w:hAnsi="Times New Roman" w:cs="Times New Roman"/>
                <w:color w:val="auto"/>
                <w:sz w:val="24"/>
              </w:rPr>
              <w:t>监测项目主要为：pH、铬、铜、铅、锌、镉、汞、砷、镍。</w:t>
            </w:r>
          </w:p>
          <w:p>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（3）监测</w:t>
            </w:r>
            <w:bookmarkEnd w:id="14"/>
            <w:bookmarkEnd w:id="15"/>
            <w:r>
              <w:rPr>
                <w:rFonts w:hint="default" w:ascii="Times New Roman" w:hAnsi="Times New Roman" w:cs="Times New Roman"/>
                <w:color w:val="auto"/>
                <w:sz w:val="24"/>
              </w:rPr>
              <w:t>时间及频次</w:t>
            </w:r>
          </w:p>
          <w:p>
            <w:pPr>
              <w:adjustRightInd w:val="0"/>
              <w:snapToGrid w:val="0"/>
              <w:spacing w:line="360" w:lineRule="auto"/>
              <w:ind w:firstLine="480"/>
              <w:rPr>
                <w:rFonts w:hint="default" w:ascii="Times New Roman" w:hAnsi="Times New Roman" w:cs="Times New Roman"/>
                <w:color w:val="auto"/>
                <w:sz w:val="24"/>
              </w:rPr>
            </w:pPr>
            <w:r>
              <w:rPr>
                <w:rFonts w:hint="eastAsia" w:cs="Times New Roman"/>
                <w:color w:val="auto"/>
                <w:sz w:val="24"/>
                <w:lang w:val="en-US" w:eastAsia="zh-CN"/>
              </w:rPr>
              <w:t>监测</w:t>
            </w:r>
            <w:r>
              <w:rPr>
                <w:rFonts w:hint="default" w:ascii="Times New Roman" w:hAnsi="Times New Roman" w:cs="Times New Roman"/>
                <w:color w:val="auto"/>
                <w:sz w:val="24"/>
              </w:rPr>
              <w:t>时间为202</w:t>
            </w:r>
            <w:r>
              <w:rPr>
                <w:rFonts w:hint="eastAsia" w:cs="Times New Roman"/>
                <w:color w:val="auto"/>
                <w:sz w:val="24"/>
                <w:lang w:val="en-US" w:eastAsia="zh-CN"/>
              </w:rPr>
              <w:t>2</w:t>
            </w:r>
            <w:r>
              <w:rPr>
                <w:rFonts w:hint="default" w:ascii="Times New Roman" w:hAnsi="Times New Roman" w:cs="Times New Roman"/>
                <w:color w:val="auto"/>
                <w:sz w:val="24"/>
              </w:rPr>
              <w:t>年</w:t>
            </w:r>
            <w:r>
              <w:rPr>
                <w:rFonts w:hint="eastAsia" w:cs="Times New Roman"/>
                <w:color w:val="auto"/>
                <w:sz w:val="24"/>
                <w:lang w:val="en-US" w:eastAsia="zh-CN"/>
              </w:rPr>
              <w:t>1</w:t>
            </w:r>
            <w:r>
              <w:rPr>
                <w:rFonts w:hint="default" w:ascii="Times New Roman" w:hAnsi="Times New Roman" w:cs="Times New Roman"/>
                <w:color w:val="auto"/>
                <w:sz w:val="24"/>
              </w:rPr>
              <w:t>月</w:t>
            </w:r>
            <w:r>
              <w:rPr>
                <w:rFonts w:hint="eastAsia" w:cs="Times New Roman"/>
                <w:color w:val="auto"/>
                <w:sz w:val="24"/>
                <w:lang w:val="en-US" w:eastAsia="zh-CN"/>
              </w:rPr>
              <w:t>13</w:t>
            </w:r>
            <w:r>
              <w:rPr>
                <w:rFonts w:hint="default" w:ascii="Times New Roman" w:hAnsi="Times New Roman" w:cs="Times New Roman"/>
                <w:color w:val="auto"/>
                <w:sz w:val="24"/>
              </w:rPr>
              <w:t>日。监测一天，每天监测一次。</w:t>
            </w:r>
          </w:p>
          <w:p>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（4）监测方法</w:t>
            </w:r>
          </w:p>
          <w:p>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采样、质控、数据处理方法、分析方法均按照国家标准方法和推荐方法进行。</w:t>
            </w:r>
          </w:p>
          <w:p>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（5）评价方法及标准</w:t>
            </w:r>
          </w:p>
          <w:p>
            <w:pPr>
              <w:widowControl/>
              <w:adjustRightInd w:val="0"/>
              <w:snapToGrid w:val="0"/>
              <w:spacing w:line="360" w:lineRule="auto"/>
              <w:ind w:firstLine="560" w:firstLineChars="200"/>
              <w:jc w:val="left"/>
              <w:rPr>
                <w:rFonts w:hint="default" w:ascii="Times New Roman" w:hAnsi="Times New Roman" w:cs="Times New Roman"/>
                <w:color w:val="auto"/>
                <w:sz w:val="24"/>
              </w:rPr>
            </w:pPr>
            <w:r>
              <w:rPr>
                <w:rFonts w:hint="default" w:ascii="Times New Roman" w:hAnsi="Times New Roman" w:cs="Times New Roman"/>
                <w:color w:val="auto"/>
                <w:spacing w:val="20"/>
                <w:kern w:val="0"/>
                <w:sz w:val="24"/>
              </w:rPr>
              <w:t>采用底泥污染指数评价，评价标准</w:t>
            </w:r>
            <w:r>
              <w:rPr>
                <w:rFonts w:hint="default" w:ascii="Times New Roman" w:hAnsi="Times New Roman" w:cs="Times New Roman"/>
                <w:color w:val="auto"/>
                <w:sz w:val="24"/>
              </w:rPr>
              <w:t>采用《土壤环境质量 农用地土壤污染风险管控标准（试行）》（GB15618-2018）农用地土壤污染风险筛选值标准要求。</w:t>
            </w:r>
          </w:p>
          <w:p>
            <w:pPr>
              <w:widowControl/>
              <w:adjustRightInd w:val="0"/>
              <w:snapToGrid w:val="0"/>
              <w:spacing w:before="0" w:after="0" w:line="360" w:lineRule="auto"/>
              <w:ind w:right="0"/>
              <w:jc w:val="center"/>
              <w:rPr>
                <w:rFonts w:hint="default"/>
              </w:rPr>
            </w:pPr>
            <w:r>
              <w:rPr>
                <w:rFonts w:hint="default" w:ascii="Times New Roman" w:hAnsi="Times New Roman" w:eastAsia="宋体" w:cs="Times New Roman"/>
                <w:b/>
                <w:bCs/>
                <w:color w:val="auto"/>
                <w:kern w:val="0"/>
                <w:sz w:val="21"/>
                <w:szCs w:val="21"/>
                <w:lang w:val="en-US" w:eastAsia="zh-CN" w:bidi="ar-SA"/>
              </w:rPr>
              <w:t>表3-</w:t>
            </w:r>
            <w:r>
              <w:rPr>
                <w:rFonts w:hint="eastAsia" w:ascii="Times New Roman" w:hAnsi="Times New Roman" w:cs="Times New Roman"/>
                <w:b/>
                <w:bCs/>
                <w:color w:val="auto"/>
                <w:kern w:val="0"/>
                <w:sz w:val="21"/>
                <w:szCs w:val="21"/>
                <w:lang w:val="en-US" w:eastAsia="zh-CN" w:bidi="ar-SA"/>
              </w:rPr>
              <w:t>7</w:t>
            </w:r>
            <w:r>
              <w:rPr>
                <w:rFonts w:hint="default" w:ascii="Times New Roman" w:hAnsi="Times New Roman" w:eastAsia="宋体" w:cs="Times New Roman"/>
                <w:b/>
                <w:bCs/>
                <w:color w:val="auto"/>
                <w:kern w:val="0"/>
                <w:sz w:val="21"/>
                <w:szCs w:val="21"/>
                <w:lang w:val="en-US" w:eastAsia="zh-CN" w:bidi="ar-SA"/>
              </w:rPr>
              <w:t xml:space="preserve">  《土壤环境质量 农用地土壤污染风险管控标准》（试行）（GB15618-2018）</w:t>
            </w:r>
          </w:p>
          <w:tbl>
            <w:tblPr>
              <w:tblStyle w:val="4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781"/>
              <w:gridCol w:w="785"/>
              <w:gridCol w:w="1411"/>
              <w:gridCol w:w="1673"/>
              <w:gridCol w:w="1557"/>
              <w:gridCol w:w="1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blHeader/>
                <w:jc w:val="center"/>
              </w:trPr>
              <w:tc>
                <w:tcPr>
                  <w:tcW w:w="460" w:type="pct"/>
                  <w:vMerge w:val="restart"/>
                  <w:vAlign w:val="center"/>
                </w:tcPr>
                <w:p>
                  <w:pPr>
                    <w:keepNext w:val="0"/>
                    <w:keepLines w:val="0"/>
                    <w:pageBreakBefore w:val="0"/>
                    <w:widowControl w:val="0"/>
                    <w:kinsoku/>
                    <w:wordWrap/>
                    <w:overflowPunct/>
                    <w:topLinePunct w:val="0"/>
                    <w:autoSpaceDE/>
                    <w:autoSpaceDN/>
                    <w:bidi w:val="0"/>
                    <w:adjustRightInd/>
                    <w:snapToGrid/>
                    <w:spacing w:before="12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eastAsia="宋体" w:cs="Times New Roman"/>
                      <w:b/>
                      <w:bCs/>
                      <w:color w:val="auto"/>
                      <w:kern w:val="2"/>
                      <w:sz w:val="21"/>
                      <w:szCs w:val="21"/>
                      <w:vertAlign w:val="baseline"/>
                      <w:lang w:val="en-US" w:eastAsia="zh-CN" w:bidi="ar-SA"/>
                    </w:rPr>
                    <w:t>序号</w:t>
                  </w:r>
                </w:p>
              </w:tc>
              <w:tc>
                <w:tcPr>
                  <w:tcW w:w="930" w:type="pct"/>
                  <w:gridSpan w:val="2"/>
                  <w:vMerge w:val="restart"/>
                  <w:vAlign w:val="center"/>
                </w:tcPr>
                <w:p>
                  <w:pPr>
                    <w:keepNext w:val="0"/>
                    <w:keepLines w:val="0"/>
                    <w:pageBreakBefore w:val="0"/>
                    <w:widowControl w:val="0"/>
                    <w:kinsoku/>
                    <w:wordWrap/>
                    <w:overflowPunct/>
                    <w:topLinePunct w:val="0"/>
                    <w:autoSpaceDE/>
                    <w:autoSpaceDN/>
                    <w:bidi w:val="0"/>
                    <w:adjustRightInd/>
                    <w:snapToGrid/>
                    <w:spacing w:before="12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kern w:val="2"/>
                      <w:sz w:val="21"/>
                      <w:szCs w:val="21"/>
                      <w:vertAlign w:val="baseline"/>
                      <w:lang w:val="en-US" w:eastAsia="zh-CN" w:bidi="ar-SA"/>
                    </w:rPr>
                  </w:pPr>
                  <w:r>
                    <w:rPr>
                      <w:rFonts w:hint="eastAsia" w:ascii="Times New Roman" w:hAnsi="Times New Roman" w:eastAsia="宋体" w:cs="Times New Roman"/>
                      <w:b/>
                      <w:bCs/>
                      <w:color w:val="auto"/>
                      <w:kern w:val="2"/>
                      <w:sz w:val="21"/>
                      <w:szCs w:val="21"/>
                      <w:vertAlign w:val="baseline"/>
                      <w:lang w:val="en-US" w:eastAsia="zh-CN" w:bidi="ar-SA"/>
                    </w:rPr>
                    <w:t>污染物项目</w:t>
                  </w:r>
                </w:p>
              </w:tc>
              <w:tc>
                <w:tcPr>
                  <w:tcW w:w="3609" w:type="pct"/>
                  <w:gridSpan w:val="4"/>
                  <w:vAlign w:val="center"/>
                </w:tcPr>
                <w:p>
                  <w:pPr>
                    <w:keepNext w:val="0"/>
                    <w:keepLines w:val="0"/>
                    <w:pageBreakBefore w:val="0"/>
                    <w:widowControl w:val="0"/>
                    <w:kinsoku/>
                    <w:wordWrap/>
                    <w:overflowPunct/>
                    <w:topLinePunct w:val="0"/>
                    <w:autoSpaceDE/>
                    <w:autoSpaceDN/>
                    <w:bidi w:val="0"/>
                    <w:adjustRightInd/>
                    <w:snapToGrid/>
                    <w:spacing w:before="12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kern w:val="2"/>
                      <w:sz w:val="21"/>
                      <w:szCs w:val="21"/>
                      <w:vertAlign w:val="baseline"/>
                      <w:lang w:val="en-US" w:eastAsia="zh-CN" w:bidi="ar-SA"/>
                    </w:rPr>
                  </w:pPr>
                  <w:r>
                    <w:rPr>
                      <w:rFonts w:hint="eastAsia" w:ascii="Times New Roman" w:hAnsi="Times New Roman" w:eastAsia="宋体" w:cs="Times New Roman"/>
                      <w:b/>
                      <w:bCs/>
                      <w:color w:val="auto"/>
                      <w:kern w:val="2"/>
                      <w:sz w:val="21"/>
                      <w:szCs w:val="21"/>
                      <w:vertAlign w:val="baseline"/>
                      <w:lang w:val="en-US" w:eastAsia="zh-CN" w:bidi="ar-SA"/>
                    </w:rPr>
                    <w:t>风险筛选值（其他）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blHeader/>
                <w:jc w:val="center"/>
              </w:trPr>
              <w:tc>
                <w:tcPr>
                  <w:tcW w:w="460" w:type="pct"/>
                  <w:vMerge w:val="continue"/>
                  <w:vAlign w:val="center"/>
                </w:tcPr>
                <w:p>
                  <w:pPr>
                    <w:keepNext w:val="0"/>
                    <w:keepLines w:val="0"/>
                    <w:pageBreakBefore w:val="0"/>
                    <w:widowControl w:val="0"/>
                    <w:kinsoku/>
                    <w:wordWrap/>
                    <w:overflowPunct/>
                    <w:topLinePunct w:val="0"/>
                    <w:autoSpaceDE/>
                    <w:autoSpaceDN/>
                    <w:bidi w:val="0"/>
                    <w:adjustRightInd/>
                    <w:snapToGrid/>
                    <w:spacing w:before="120" w:line="240" w:lineRule="auto"/>
                    <w:ind w:left="0" w:leftChars="0" w:right="0" w:rightChars="0" w:firstLine="0" w:firstLineChars="0"/>
                    <w:jc w:val="center"/>
                    <w:textAlignment w:val="auto"/>
                    <w:outlineLvl w:val="9"/>
                    <w:rPr>
                      <w:rFonts w:ascii="Times New Roman" w:hAnsi="Times New Roman" w:eastAsia="仿宋_GB2312" w:cs="Times New Roman"/>
                      <w:color w:val="000000"/>
                      <w:kern w:val="0"/>
                      <w:sz w:val="24"/>
                      <w:szCs w:val="20"/>
                      <w:lang w:val="en-US" w:eastAsia="zh-CN" w:bidi="ar-SA"/>
                    </w:rPr>
                  </w:pPr>
                </w:p>
              </w:tc>
              <w:tc>
                <w:tcPr>
                  <w:tcW w:w="930" w:type="pct"/>
                  <w:gridSpan w:val="2"/>
                  <w:vMerge w:val="continue"/>
                  <w:vAlign w:val="center"/>
                </w:tcPr>
                <w:p>
                  <w:pPr>
                    <w:keepNext w:val="0"/>
                    <w:keepLines w:val="0"/>
                    <w:pageBreakBefore w:val="0"/>
                    <w:widowControl w:val="0"/>
                    <w:kinsoku/>
                    <w:wordWrap/>
                    <w:overflowPunct/>
                    <w:topLinePunct w:val="0"/>
                    <w:autoSpaceDE/>
                    <w:autoSpaceDN/>
                    <w:bidi w:val="0"/>
                    <w:adjustRightInd/>
                    <w:snapToGrid/>
                    <w:spacing w:before="120" w:line="240" w:lineRule="auto"/>
                    <w:ind w:left="0" w:leftChars="0" w:right="0" w:rightChars="0" w:firstLine="0" w:firstLineChars="0"/>
                    <w:jc w:val="center"/>
                    <w:textAlignment w:val="auto"/>
                    <w:outlineLvl w:val="9"/>
                    <w:rPr>
                      <w:rFonts w:ascii="Times New Roman" w:hAnsi="Times New Roman" w:eastAsia="仿宋_GB2312" w:cs="Times New Roman"/>
                      <w:color w:val="000000"/>
                      <w:kern w:val="0"/>
                      <w:sz w:val="24"/>
                      <w:szCs w:val="20"/>
                      <w:lang w:val="en-US" w:eastAsia="zh-CN" w:bidi="ar-SA"/>
                    </w:rPr>
                  </w:pPr>
                </w:p>
              </w:tc>
              <w:tc>
                <w:tcPr>
                  <w:tcW w:w="838" w:type="pct"/>
                  <w:vAlign w:val="center"/>
                </w:tcPr>
                <w:p>
                  <w:pPr>
                    <w:widowControl/>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pH≤5</w:t>
                  </w:r>
                  <w:r>
                    <w:rPr>
                      <w:rFonts w:hint="eastAsia" w:ascii="Times New Roman" w:hAnsi="Times New Roman" w:cs="Times New Roman"/>
                      <w:color w:val="auto"/>
                      <w:sz w:val="21"/>
                      <w:szCs w:val="21"/>
                      <w:lang w:val="en-US" w:eastAsia="zh-CN"/>
                    </w:rPr>
                    <w:t>.5</w:t>
                  </w:r>
                </w:p>
              </w:tc>
              <w:tc>
                <w:tcPr>
                  <w:tcW w:w="994" w:type="pct"/>
                  <w:vAlign w:val="center"/>
                </w:tcPr>
                <w:p>
                  <w:pPr>
                    <w:widowControl/>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w:t>
                  </w:r>
                  <w:r>
                    <w:rPr>
                      <w:rFonts w:hint="eastAsia"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lang w:val="en-US" w:eastAsia="zh-CN"/>
                    </w:rPr>
                    <w:t>﹤pH≤6.5</w:t>
                  </w:r>
                </w:p>
              </w:tc>
              <w:tc>
                <w:tcPr>
                  <w:tcW w:w="925" w:type="pct"/>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6.5</w:t>
                  </w:r>
                  <w:r>
                    <w:rPr>
                      <w:rFonts w:hint="default" w:ascii="Times New Roman" w:hAnsi="Times New Roman" w:cs="Times New Roman"/>
                      <w:color w:val="auto"/>
                      <w:sz w:val="21"/>
                      <w:szCs w:val="21"/>
                      <w:lang w:val="en-US" w:eastAsia="zh-CN"/>
                    </w:rPr>
                    <w:t>﹤pH≤</w:t>
                  </w:r>
                  <w:r>
                    <w:rPr>
                      <w:rFonts w:hint="eastAsia" w:ascii="Times New Roman" w:hAnsi="Times New Roman" w:cs="Times New Roman"/>
                      <w:color w:val="auto"/>
                      <w:sz w:val="21"/>
                      <w:szCs w:val="21"/>
                      <w:lang w:val="en-US" w:eastAsia="zh-CN"/>
                    </w:rPr>
                    <w:t>7.5</w:t>
                  </w:r>
                </w:p>
              </w:tc>
              <w:tc>
                <w:tcPr>
                  <w:tcW w:w="851" w:type="pct"/>
                  <w:vAlign w:val="center"/>
                </w:tcPr>
                <w:p>
                  <w:pPr>
                    <w:widowControl/>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pH＞</w:t>
                  </w:r>
                  <w:r>
                    <w:rPr>
                      <w:rFonts w:hint="eastAsia" w:ascii="Times New Roman" w:hAnsi="Times New Roman" w:cs="Times New Roman"/>
                      <w:color w:val="auto"/>
                      <w:sz w:val="21"/>
                      <w:szCs w:val="21"/>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60" w:type="pct"/>
                  <w:vMerge w:val="restart"/>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464" w:type="pct"/>
                  <w:vMerge w:val="restart"/>
                  <w:vAlign w:val="center"/>
                </w:tcPr>
                <w:p>
                  <w:pPr>
                    <w:widowControl/>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镉</w:t>
                  </w:r>
                </w:p>
              </w:tc>
              <w:tc>
                <w:tcPr>
                  <w:tcW w:w="465" w:type="pct"/>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水田</w:t>
                  </w:r>
                </w:p>
              </w:tc>
              <w:tc>
                <w:tcPr>
                  <w:tcW w:w="838" w:type="pct"/>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0.3</w:t>
                  </w:r>
                </w:p>
              </w:tc>
              <w:tc>
                <w:tcPr>
                  <w:tcW w:w="994" w:type="pct"/>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0.4</w:t>
                  </w:r>
                </w:p>
              </w:tc>
              <w:tc>
                <w:tcPr>
                  <w:tcW w:w="925" w:type="pct"/>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0.6</w:t>
                  </w:r>
                </w:p>
              </w:tc>
              <w:tc>
                <w:tcPr>
                  <w:tcW w:w="851" w:type="pct"/>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60" w:type="pct"/>
                  <w:vMerge w:val="continue"/>
                  <w:vAlign w:val="center"/>
                </w:tcPr>
                <w:p>
                  <w:pPr>
                    <w:widowControl/>
                    <w:jc w:val="center"/>
                  </w:pPr>
                </w:p>
              </w:tc>
              <w:tc>
                <w:tcPr>
                  <w:tcW w:w="464" w:type="pct"/>
                  <w:vMerge w:val="continue"/>
                  <w:vAlign w:val="center"/>
                </w:tcPr>
                <w:p>
                  <w:pPr>
                    <w:widowControl/>
                    <w:jc w:val="center"/>
                  </w:pPr>
                </w:p>
              </w:tc>
              <w:tc>
                <w:tcPr>
                  <w:tcW w:w="465" w:type="pct"/>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其他</w:t>
                  </w:r>
                </w:p>
              </w:tc>
              <w:tc>
                <w:tcPr>
                  <w:tcW w:w="838" w:type="pct"/>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0.3</w:t>
                  </w:r>
                </w:p>
              </w:tc>
              <w:tc>
                <w:tcPr>
                  <w:tcW w:w="994" w:type="pct"/>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0.3</w:t>
                  </w:r>
                </w:p>
              </w:tc>
              <w:tc>
                <w:tcPr>
                  <w:tcW w:w="925" w:type="pct"/>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0.3</w:t>
                  </w:r>
                </w:p>
              </w:tc>
              <w:tc>
                <w:tcPr>
                  <w:tcW w:w="851" w:type="pct"/>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60" w:type="pct"/>
                  <w:vMerge w:val="restart"/>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464" w:type="pct"/>
                  <w:vMerge w:val="restart"/>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汞</w:t>
                  </w:r>
                </w:p>
              </w:tc>
              <w:tc>
                <w:tcPr>
                  <w:tcW w:w="465" w:type="pct"/>
                  <w:vAlign w:val="center"/>
                </w:tcPr>
                <w:p>
                  <w:pPr>
                    <w:widowControl/>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水田</w:t>
                  </w:r>
                </w:p>
              </w:tc>
              <w:tc>
                <w:tcPr>
                  <w:tcW w:w="838" w:type="pct"/>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0.5</w:t>
                  </w:r>
                </w:p>
              </w:tc>
              <w:tc>
                <w:tcPr>
                  <w:tcW w:w="994" w:type="pct"/>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0.5</w:t>
                  </w:r>
                </w:p>
              </w:tc>
              <w:tc>
                <w:tcPr>
                  <w:tcW w:w="925" w:type="pct"/>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0.6</w:t>
                  </w:r>
                </w:p>
              </w:tc>
              <w:tc>
                <w:tcPr>
                  <w:tcW w:w="851" w:type="pct"/>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60" w:type="pct"/>
                  <w:vMerge w:val="continue"/>
                  <w:vAlign w:val="center"/>
                </w:tcPr>
                <w:p>
                  <w:pPr>
                    <w:widowControl/>
                    <w:jc w:val="center"/>
                  </w:pPr>
                </w:p>
              </w:tc>
              <w:tc>
                <w:tcPr>
                  <w:tcW w:w="464" w:type="pct"/>
                  <w:vMerge w:val="continue"/>
                  <w:vAlign w:val="center"/>
                </w:tcPr>
                <w:p>
                  <w:pPr>
                    <w:widowControl/>
                    <w:jc w:val="center"/>
                  </w:pPr>
                </w:p>
              </w:tc>
              <w:tc>
                <w:tcPr>
                  <w:tcW w:w="465" w:type="pct"/>
                  <w:vAlign w:val="center"/>
                </w:tcPr>
                <w:p>
                  <w:pPr>
                    <w:widowControl/>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其他</w:t>
                  </w:r>
                </w:p>
              </w:tc>
              <w:tc>
                <w:tcPr>
                  <w:tcW w:w="838" w:type="pct"/>
                  <w:vAlign w:val="center"/>
                </w:tcPr>
                <w:p>
                  <w:pPr>
                    <w:widowControl/>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1.3</w:t>
                  </w:r>
                </w:p>
              </w:tc>
              <w:tc>
                <w:tcPr>
                  <w:tcW w:w="994" w:type="pct"/>
                  <w:vAlign w:val="center"/>
                </w:tcPr>
                <w:p>
                  <w:pPr>
                    <w:widowControl/>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1.8</w:t>
                  </w:r>
                </w:p>
              </w:tc>
              <w:tc>
                <w:tcPr>
                  <w:tcW w:w="925" w:type="pct"/>
                  <w:vAlign w:val="center"/>
                </w:tcPr>
                <w:p>
                  <w:pPr>
                    <w:widowControl/>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2.4</w:t>
                  </w:r>
                </w:p>
              </w:tc>
              <w:tc>
                <w:tcPr>
                  <w:tcW w:w="851" w:type="pct"/>
                  <w:vAlign w:val="center"/>
                </w:tcPr>
                <w:p>
                  <w:pPr>
                    <w:widowControl/>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60" w:type="pct"/>
                  <w:vMerge w:val="restart"/>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c>
                <w:tcPr>
                  <w:tcW w:w="464" w:type="pct"/>
                  <w:vMerge w:val="restart"/>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砷</w:t>
                  </w:r>
                </w:p>
              </w:tc>
              <w:tc>
                <w:tcPr>
                  <w:tcW w:w="465" w:type="pct"/>
                  <w:vAlign w:val="center"/>
                </w:tcPr>
                <w:p>
                  <w:pPr>
                    <w:widowControl/>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水田</w:t>
                  </w:r>
                </w:p>
              </w:tc>
              <w:tc>
                <w:tcPr>
                  <w:tcW w:w="838" w:type="pct"/>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30</w:t>
                  </w:r>
                </w:p>
              </w:tc>
              <w:tc>
                <w:tcPr>
                  <w:tcW w:w="994" w:type="pct"/>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30</w:t>
                  </w:r>
                </w:p>
              </w:tc>
              <w:tc>
                <w:tcPr>
                  <w:tcW w:w="925" w:type="pct"/>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25</w:t>
                  </w:r>
                </w:p>
              </w:tc>
              <w:tc>
                <w:tcPr>
                  <w:tcW w:w="851" w:type="pct"/>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60" w:type="pct"/>
                  <w:vMerge w:val="continue"/>
                  <w:vAlign w:val="center"/>
                </w:tcPr>
                <w:p>
                  <w:pPr>
                    <w:widowControl/>
                    <w:jc w:val="center"/>
                  </w:pPr>
                </w:p>
              </w:tc>
              <w:tc>
                <w:tcPr>
                  <w:tcW w:w="464" w:type="pct"/>
                  <w:vMerge w:val="continue"/>
                  <w:vAlign w:val="center"/>
                </w:tcPr>
                <w:p>
                  <w:pPr>
                    <w:widowControl/>
                    <w:jc w:val="center"/>
                  </w:pPr>
                </w:p>
              </w:tc>
              <w:tc>
                <w:tcPr>
                  <w:tcW w:w="465" w:type="pct"/>
                  <w:vAlign w:val="center"/>
                </w:tcPr>
                <w:p>
                  <w:pPr>
                    <w:widowControl/>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其他</w:t>
                  </w:r>
                </w:p>
              </w:tc>
              <w:tc>
                <w:tcPr>
                  <w:tcW w:w="838" w:type="pct"/>
                  <w:vAlign w:val="center"/>
                </w:tcPr>
                <w:p>
                  <w:pPr>
                    <w:widowControl/>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40</w:t>
                  </w:r>
                </w:p>
              </w:tc>
              <w:tc>
                <w:tcPr>
                  <w:tcW w:w="994" w:type="pct"/>
                  <w:vAlign w:val="center"/>
                </w:tcPr>
                <w:p>
                  <w:pPr>
                    <w:widowControl/>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40</w:t>
                  </w:r>
                </w:p>
              </w:tc>
              <w:tc>
                <w:tcPr>
                  <w:tcW w:w="925" w:type="pct"/>
                  <w:vAlign w:val="center"/>
                </w:tcPr>
                <w:p>
                  <w:pPr>
                    <w:widowControl/>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30</w:t>
                  </w:r>
                </w:p>
              </w:tc>
              <w:tc>
                <w:tcPr>
                  <w:tcW w:w="851" w:type="pct"/>
                  <w:vAlign w:val="center"/>
                </w:tcPr>
                <w:p>
                  <w:pPr>
                    <w:widowControl/>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60" w:type="pct"/>
                  <w:vMerge w:val="restart"/>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464" w:type="pct"/>
                  <w:vMerge w:val="restart"/>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铅</w:t>
                  </w:r>
                </w:p>
              </w:tc>
              <w:tc>
                <w:tcPr>
                  <w:tcW w:w="465" w:type="pct"/>
                  <w:vAlign w:val="center"/>
                </w:tcPr>
                <w:p>
                  <w:pPr>
                    <w:widowControl/>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水田</w:t>
                  </w:r>
                </w:p>
              </w:tc>
              <w:tc>
                <w:tcPr>
                  <w:tcW w:w="838" w:type="pct"/>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80</w:t>
                  </w:r>
                </w:p>
              </w:tc>
              <w:tc>
                <w:tcPr>
                  <w:tcW w:w="994" w:type="pct"/>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100</w:t>
                  </w:r>
                </w:p>
              </w:tc>
              <w:tc>
                <w:tcPr>
                  <w:tcW w:w="925" w:type="pct"/>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140</w:t>
                  </w:r>
                </w:p>
              </w:tc>
              <w:tc>
                <w:tcPr>
                  <w:tcW w:w="851" w:type="pct"/>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60" w:type="pct"/>
                  <w:vMerge w:val="continue"/>
                  <w:vAlign w:val="center"/>
                </w:tcPr>
                <w:p>
                  <w:pPr>
                    <w:widowControl/>
                    <w:jc w:val="center"/>
                  </w:pPr>
                </w:p>
              </w:tc>
              <w:tc>
                <w:tcPr>
                  <w:tcW w:w="464" w:type="pct"/>
                  <w:vMerge w:val="continue"/>
                  <w:vAlign w:val="center"/>
                </w:tcPr>
                <w:p>
                  <w:pPr>
                    <w:widowControl/>
                    <w:jc w:val="center"/>
                  </w:pPr>
                </w:p>
              </w:tc>
              <w:tc>
                <w:tcPr>
                  <w:tcW w:w="465" w:type="pct"/>
                  <w:vAlign w:val="center"/>
                </w:tcPr>
                <w:p>
                  <w:pPr>
                    <w:widowControl/>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其他</w:t>
                  </w:r>
                </w:p>
              </w:tc>
              <w:tc>
                <w:tcPr>
                  <w:tcW w:w="838" w:type="pct"/>
                  <w:vAlign w:val="center"/>
                </w:tcPr>
                <w:p>
                  <w:pPr>
                    <w:widowControl/>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70</w:t>
                  </w:r>
                </w:p>
              </w:tc>
              <w:tc>
                <w:tcPr>
                  <w:tcW w:w="994" w:type="pct"/>
                  <w:vAlign w:val="center"/>
                </w:tcPr>
                <w:p>
                  <w:pPr>
                    <w:widowControl/>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90</w:t>
                  </w:r>
                </w:p>
              </w:tc>
              <w:tc>
                <w:tcPr>
                  <w:tcW w:w="925" w:type="pct"/>
                  <w:vAlign w:val="center"/>
                </w:tcPr>
                <w:p>
                  <w:pPr>
                    <w:widowControl/>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120</w:t>
                  </w:r>
                </w:p>
              </w:tc>
              <w:tc>
                <w:tcPr>
                  <w:tcW w:w="851" w:type="pct"/>
                  <w:vAlign w:val="center"/>
                </w:tcPr>
                <w:p>
                  <w:pPr>
                    <w:widowControl/>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60" w:type="pct"/>
                  <w:vMerge w:val="restart"/>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464" w:type="pct"/>
                  <w:vMerge w:val="restart"/>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铬</w:t>
                  </w:r>
                </w:p>
              </w:tc>
              <w:tc>
                <w:tcPr>
                  <w:tcW w:w="465" w:type="pct"/>
                  <w:vAlign w:val="center"/>
                </w:tcPr>
                <w:p>
                  <w:pPr>
                    <w:widowControl/>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水田</w:t>
                  </w:r>
                </w:p>
              </w:tc>
              <w:tc>
                <w:tcPr>
                  <w:tcW w:w="838" w:type="pct"/>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250</w:t>
                  </w:r>
                </w:p>
              </w:tc>
              <w:tc>
                <w:tcPr>
                  <w:tcW w:w="994" w:type="pct"/>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250</w:t>
                  </w:r>
                </w:p>
              </w:tc>
              <w:tc>
                <w:tcPr>
                  <w:tcW w:w="925" w:type="pct"/>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300</w:t>
                  </w:r>
                </w:p>
              </w:tc>
              <w:tc>
                <w:tcPr>
                  <w:tcW w:w="851" w:type="pct"/>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60" w:type="pct"/>
                  <w:vMerge w:val="continue"/>
                  <w:vAlign w:val="center"/>
                </w:tcPr>
                <w:p>
                  <w:pPr>
                    <w:widowControl/>
                    <w:jc w:val="center"/>
                  </w:pPr>
                </w:p>
              </w:tc>
              <w:tc>
                <w:tcPr>
                  <w:tcW w:w="464" w:type="pct"/>
                  <w:vMerge w:val="continue"/>
                  <w:vAlign w:val="center"/>
                </w:tcPr>
                <w:p>
                  <w:pPr>
                    <w:widowControl/>
                    <w:jc w:val="center"/>
                  </w:pPr>
                </w:p>
              </w:tc>
              <w:tc>
                <w:tcPr>
                  <w:tcW w:w="465" w:type="pct"/>
                  <w:vAlign w:val="center"/>
                </w:tcPr>
                <w:p>
                  <w:pPr>
                    <w:widowControl/>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其他</w:t>
                  </w:r>
                </w:p>
              </w:tc>
              <w:tc>
                <w:tcPr>
                  <w:tcW w:w="838" w:type="pct"/>
                  <w:vAlign w:val="center"/>
                </w:tcPr>
                <w:p>
                  <w:pPr>
                    <w:widowControl/>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150</w:t>
                  </w:r>
                </w:p>
              </w:tc>
              <w:tc>
                <w:tcPr>
                  <w:tcW w:w="994" w:type="pct"/>
                  <w:vAlign w:val="center"/>
                </w:tcPr>
                <w:p>
                  <w:pPr>
                    <w:widowControl/>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150</w:t>
                  </w:r>
                </w:p>
              </w:tc>
              <w:tc>
                <w:tcPr>
                  <w:tcW w:w="925" w:type="pct"/>
                  <w:vAlign w:val="center"/>
                </w:tcPr>
                <w:p>
                  <w:pPr>
                    <w:widowControl/>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200</w:t>
                  </w:r>
                </w:p>
              </w:tc>
              <w:tc>
                <w:tcPr>
                  <w:tcW w:w="851" w:type="pct"/>
                  <w:vAlign w:val="center"/>
                </w:tcPr>
                <w:p>
                  <w:pPr>
                    <w:widowControl/>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60" w:type="pct"/>
                  <w:vMerge w:val="restart"/>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464" w:type="pct"/>
                  <w:vMerge w:val="restart"/>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铜</w:t>
                  </w:r>
                </w:p>
              </w:tc>
              <w:tc>
                <w:tcPr>
                  <w:tcW w:w="465" w:type="pct"/>
                  <w:vAlign w:val="center"/>
                </w:tcPr>
                <w:p>
                  <w:pPr>
                    <w:widowControl/>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水田</w:t>
                  </w:r>
                </w:p>
              </w:tc>
              <w:tc>
                <w:tcPr>
                  <w:tcW w:w="838" w:type="pct"/>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150</w:t>
                  </w:r>
                </w:p>
              </w:tc>
              <w:tc>
                <w:tcPr>
                  <w:tcW w:w="994" w:type="pct"/>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150</w:t>
                  </w:r>
                </w:p>
              </w:tc>
              <w:tc>
                <w:tcPr>
                  <w:tcW w:w="925" w:type="pct"/>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200</w:t>
                  </w:r>
                </w:p>
              </w:tc>
              <w:tc>
                <w:tcPr>
                  <w:tcW w:w="851" w:type="pct"/>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60" w:type="pct"/>
                  <w:vMerge w:val="continue"/>
                  <w:vAlign w:val="center"/>
                </w:tcPr>
                <w:p>
                  <w:pPr>
                    <w:widowControl/>
                    <w:jc w:val="center"/>
                  </w:pPr>
                </w:p>
              </w:tc>
              <w:tc>
                <w:tcPr>
                  <w:tcW w:w="464" w:type="pct"/>
                  <w:vMerge w:val="continue"/>
                  <w:vAlign w:val="center"/>
                </w:tcPr>
                <w:p>
                  <w:pPr>
                    <w:widowControl/>
                    <w:jc w:val="center"/>
                  </w:pPr>
                </w:p>
              </w:tc>
              <w:tc>
                <w:tcPr>
                  <w:tcW w:w="465" w:type="pct"/>
                  <w:vAlign w:val="center"/>
                </w:tcPr>
                <w:p>
                  <w:pPr>
                    <w:widowControl/>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其他</w:t>
                  </w:r>
                </w:p>
              </w:tc>
              <w:tc>
                <w:tcPr>
                  <w:tcW w:w="838" w:type="pct"/>
                  <w:vAlign w:val="center"/>
                </w:tcPr>
                <w:p>
                  <w:pPr>
                    <w:widowControl/>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50</w:t>
                  </w:r>
                </w:p>
              </w:tc>
              <w:tc>
                <w:tcPr>
                  <w:tcW w:w="994" w:type="pct"/>
                  <w:vAlign w:val="center"/>
                </w:tcPr>
                <w:p>
                  <w:pPr>
                    <w:widowControl/>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50</w:t>
                  </w:r>
                </w:p>
              </w:tc>
              <w:tc>
                <w:tcPr>
                  <w:tcW w:w="925" w:type="pct"/>
                  <w:vAlign w:val="center"/>
                </w:tcPr>
                <w:p>
                  <w:pPr>
                    <w:widowControl/>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100</w:t>
                  </w:r>
                </w:p>
              </w:tc>
              <w:tc>
                <w:tcPr>
                  <w:tcW w:w="851" w:type="pct"/>
                  <w:vAlign w:val="center"/>
                </w:tcPr>
                <w:p>
                  <w:pPr>
                    <w:widowControl/>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0" w:type="pct"/>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w:t>
                  </w:r>
                </w:p>
              </w:tc>
              <w:tc>
                <w:tcPr>
                  <w:tcW w:w="930" w:type="pct"/>
                  <w:gridSpan w:val="2"/>
                  <w:vAlign w:val="center"/>
                </w:tcPr>
                <w:p>
                  <w:pPr>
                    <w:widowControl/>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镍</w:t>
                  </w:r>
                </w:p>
              </w:tc>
              <w:tc>
                <w:tcPr>
                  <w:tcW w:w="838" w:type="pct"/>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60</w:t>
                  </w:r>
                </w:p>
              </w:tc>
              <w:tc>
                <w:tcPr>
                  <w:tcW w:w="994" w:type="pct"/>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70</w:t>
                  </w:r>
                </w:p>
              </w:tc>
              <w:tc>
                <w:tcPr>
                  <w:tcW w:w="925" w:type="pct"/>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100</w:t>
                  </w:r>
                </w:p>
              </w:tc>
              <w:tc>
                <w:tcPr>
                  <w:tcW w:w="851" w:type="pct"/>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0" w:type="pct"/>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w:t>
                  </w:r>
                </w:p>
              </w:tc>
              <w:tc>
                <w:tcPr>
                  <w:tcW w:w="930" w:type="pct"/>
                  <w:gridSpan w:val="2"/>
                  <w:vAlign w:val="center"/>
                </w:tcPr>
                <w:p>
                  <w:pPr>
                    <w:widowControl/>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锌</w:t>
                  </w:r>
                </w:p>
              </w:tc>
              <w:tc>
                <w:tcPr>
                  <w:tcW w:w="838" w:type="pct"/>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200</w:t>
                  </w:r>
                </w:p>
              </w:tc>
              <w:tc>
                <w:tcPr>
                  <w:tcW w:w="994" w:type="pct"/>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200</w:t>
                  </w:r>
                </w:p>
              </w:tc>
              <w:tc>
                <w:tcPr>
                  <w:tcW w:w="925" w:type="pct"/>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250</w:t>
                  </w:r>
                </w:p>
              </w:tc>
              <w:tc>
                <w:tcPr>
                  <w:tcW w:w="851" w:type="pct"/>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7"/>
                  <w:vAlign w:val="center"/>
                </w:tcPr>
                <w:p>
                  <w:pPr>
                    <w:keepNext w:val="0"/>
                    <w:keepLines w:val="0"/>
                    <w:pageBreakBefore w:val="0"/>
                    <w:widowControl w:val="0"/>
                    <w:kinsoku/>
                    <w:wordWrap/>
                    <w:overflowPunct/>
                    <w:topLinePunct w:val="0"/>
                    <w:autoSpaceDE/>
                    <w:autoSpaceDN/>
                    <w:bidi w:val="0"/>
                    <w:adjustRightInd/>
                    <w:snapToGrid/>
                    <w:spacing w:before="120" w:line="240" w:lineRule="auto"/>
                    <w:ind w:left="0" w:leftChars="0" w:right="0" w:rightChars="0" w:firstLine="0" w:firstLineChars="0"/>
                    <w:jc w:val="left"/>
                    <w:textAlignment w:val="auto"/>
                    <w:outlineLvl w:val="9"/>
                    <w:rPr>
                      <w:rFonts w:hint="eastAsia" w:ascii="Times New Roman" w:hAnsi="Times New Roman" w:eastAsia="宋体" w:cs="Times New Roman"/>
                      <w:b w:val="0"/>
                      <w:color w:val="auto"/>
                      <w:kern w:val="2"/>
                      <w:sz w:val="21"/>
                      <w:szCs w:val="21"/>
                      <w:vertAlign w:val="baseline"/>
                      <w:lang w:val="en-US" w:eastAsia="zh-CN" w:bidi="ar-SA"/>
                    </w:rPr>
                  </w:pPr>
                  <w:r>
                    <w:rPr>
                      <w:rFonts w:hint="eastAsia" w:ascii="Times New Roman" w:hAnsi="Times New Roman" w:eastAsia="宋体" w:cs="Times New Roman"/>
                      <w:b w:val="0"/>
                      <w:color w:val="auto"/>
                      <w:kern w:val="2"/>
                      <w:sz w:val="21"/>
                      <w:szCs w:val="21"/>
                      <w:vertAlign w:val="baseline"/>
                      <w:lang w:val="en-US" w:eastAsia="zh-CN" w:bidi="ar-SA"/>
                    </w:rPr>
                    <w:t>注：①重金属和类金属砷均按元素总量计。</w:t>
                  </w:r>
                </w:p>
                <w:p>
                  <w:pPr>
                    <w:keepNext w:val="0"/>
                    <w:keepLines w:val="0"/>
                    <w:pageBreakBefore w:val="0"/>
                    <w:widowControl w:val="0"/>
                    <w:kinsoku/>
                    <w:wordWrap/>
                    <w:overflowPunct/>
                    <w:topLinePunct w:val="0"/>
                    <w:autoSpaceDE/>
                    <w:autoSpaceDN/>
                    <w:bidi w:val="0"/>
                    <w:adjustRightInd/>
                    <w:snapToGrid/>
                    <w:spacing w:before="120" w:line="240" w:lineRule="auto"/>
                    <w:ind w:left="0" w:leftChars="0" w:right="0" w:rightChars="0" w:firstLine="0" w:firstLineChars="0"/>
                    <w:jc w:val="left"/>
                    <w:textAlignment w:val="auto"/>
                    <w:outlineLvl w:val="9"/>
                    <w:rPr>
                      <w:rFonts w:hint="eastAsia" w:ascii="Times New Roman" w:hAnsi="Times New Roman" w:eastAsia="宋体" w:cs="Times New Roman"/>
                      <w:b w:val="0"/>
                      <w:color w:val="auto"/>
                      <w:kern w:val="2"/>
                      <w:sz w:val="21"/>
                      <w:szCs w:val="21"/>
                      <w:vertAlign w:val="baseline"/>
                      <w:lang w:val="en-US" w:eastAsia="zh-CN" w:bidi="ar-SA"/>
                    </w:rPr>
                  </w:pPr>
                  <w:r>
                    <w:rPr>
                      <w:rFonts w:hint="eastAsia" w:ascii="Times New Roman" w:hAnsi="Times New Roman" w:eastAsia="宋体" w:cs="Times New Roman"/>
                      <w:b w:val="0"/>
                      <w:color w:val="auto"/>
                      <w:kern w:val="2"/>
                      <w:sz w:val="21"/>
                      <w:szCs w:val="21"/>
                      <w:vertAlign w:val="baseline"/>
                      <w:lang w:val="en-US" w:eastAsia="zh-CN" w:bidi="ar-SA"/>
                    </w:rPr>
                    <w:t>②对于水旱轮作地，采用其中较严格的风险筛选值。</w:t>
                  </w:r>
                </w:p>
              </w:tc>
            </w:tr>
          </w:tbl>
          <w:p>
            <w:pPr>
              <w:widowControl/>
              <w:adjustRightInd w:val="0"/>
              <w:snapToGrid w:val="0"/>
              <w:spacing w:before="60" w:after="160" w:line="259" w:lineRule="auto"/>
              <w:ind w:right="113" w:firstLine="480" w:firstLineChars="20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（6）监测结果及评价</w:t>
            </w:r>
          </w:p>
          <w:p>
            <w:pPr>
              <w:widowControl/>
              <w:adjustRightInd w:val="0"/>
              <w:snapToGrid w:val="0"/>
              <w:spacing w:before="60" w:after="160" w:line="259" w:lineRule="auto"/>
              <w:ind w:right="113" w:firstLine="480"/>
              <w:jc w:val="both"/>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1）底泥污染指数计算公式：</w:t>
            </w:r>
          </w:p>
          <w:p>
            <w:pPr>
              <w:widowControl/>
              <w:adjustRightInd w:val="0"/>
              <w:snapToGrid w:val="0"/>
              <w:spacing w:before="60" w:after="160" w:line="259" w:lineRule="auto"/>
              <w:ind w:right="113"/>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position w:val="-14"/>
                <w:sz w:val="18"/>
                <w:szCs w:val="18"/>
                <w:lang w:val="en-US" w:eastAsia="zh-CN" w:bidi="ar-SA"/>
              </w:rPr>
              <w:object>
                <v:shape id="_x0000_i1031" o:spt="75" type="#_x0000_t75" style="height:18.8pt;width:65.1pt;" o:ole="t" filled="f" o:preferrelative="t" stroked="f" coordsize="21600,21600">
                  <v:path/>
                  <v:fill on="f" focussize="0,0"/>
                  <v:stroke on="f"/>
                  <v:imagedata r:id="rId27" o:title=""/>
                  <o:lock v:ext="edit" aspectratio="t"/>
                  <w10:wrap type="none"/>
                  <w10:anchorlock/>
                </v:shape>
                <o:OLEObject Type="Embed" ProgID="Equation.3" ShapeID="_x0000_i1031" DrawAspect="Content" ObjectID="_1468075727" r:id="rId26">
                  <o:LockedField>false</o:LockedField>
                </o:OLEObject>
              </w:object>
            </w:r>
          </w:p>
          <w:p>
            <w:pPr>
              <w:widowControl/>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式中：P</w:t>
            </w:r>
            <w:r>
              <w:rPr>
                <w:rFonts w:hint="default" w:ascii="Times New Roman" w:hAnsi="Times New Roman" w:cs="Times New Roman"/>
                <w:color w:val="auto"/>
                <w:sz w:val="24"/>
                <w:vertAlign w:val="subscript"/>
              </w:rPr>
              <w:t>ij</w:t>
            </w:r>
            <w:r>
              <w:rPr>
                <w:rFonts w:hint="default" w:ascii="Times New Roman" w:hAnsi="Times New Roman" w:cs="Times New Roman"/>
                <w:color w:val="auto"/>
                <w:sz w:val="24"/>
              </w:rPr>
              <w:t>——</w:t>
            </w:r>
            <w:r>
              <w:rPr>
                <w:rFonts w:hint="default" w:ascii="Times New Roman" w:hAnsi="Times New Roman" w:cs="Times New Roman"/>
                <w:color w:val="auto"/>
                <w:kern w:val="0"/>
                <w:sz w:val="24"/>
                <w:lang w:bidi="ar"/>
              </w:rPr>
              <w:t xml:space="preserve">底泥污染因子的单项污染指数，大于1表明该污染因子超标； </w:t>
            </w:r>
          </w:p>
          <w:p>
            <w:pPr>
              <w:widowControl/>
              <w:adjustRightInd w:val="0"/>
              <w:snapToGrid w:val="0"/>
              <w:spacing w:line="360" w:lineRule="auto"/>
              <w:ind w:firstLine="1200" w:firstLineChars="500"/>
              <w:jc w:val="left"/>
              <w:rPr>
                <w:rFonts w:hint="default" w:ascii="Times New Roman" w:hAnsi="Times New Roman" w:cs="Times New Roman"/>
                <w:color w:val="auto"/>
                <w:sz w:val="24"/>
              </w:rPr>
            </w:pPr>
            <w:r>
              <w:rPr>
                <w:rFonts w:hint="default" w:ascii="Times New Roman" w:hAnsi="Times New Roman" w:cs="Times New Roman"/>
                <w:color w:val="auto"/>
                <w:sz w:val="24"/>
              </w:rPr>
              <w:t>C</w:t>
            </w:r>
            <w:r>
              <w:rPr>
                <w:rFonts w:hint="default" w:ascii="Times New Roman" w:hAnsi="Times New Roman" w:cs="Times New Roman"/>
                <w:color w:val="auto"/>
                <w:sz w:val="24"/>
                <w:vertAlign w:val="subscript"/>
              </w:rPr>
              <w:t>i</w:t>
            </w:r>
            <w:r>
              <w:rPr>
                <w:rFonts w:hint="eastAsia" w:cs="Times New Roman"/>
                <w:color w:val="auto"/>
                <w:sz w:val="24"/>
                <w:vertAlign w:val="subscript"/>
                <w:lang w:eastAsia="zh-CN"/>
              </w:rPr>
              <w:t>，</w:t>
            </w:r>
            <w:r>
              <w:rPr>
                <w:rFonts w:hint="default" w:ascii="Times New Roman" w:hAnsi="Times New Roman" w:cs="Times New Roman"/>
                <w:color w:val="auto"/>
                <w:sz w:val="24"/>
                <w:vertAlign w:val="subscript"/>
              </w:rPr>
              <w:t>j</w:t>
            </w:r>
            <w:r>
              <w:rPr>
                <w:rFonts w:hint="default" w:ascii="Times New Roman" w:hAnsi="Times New Roman" w:cs="Times New Roman"/>
                <w:color w:val="auto"/>
                <w:sz w:val="24"/>
              </w:rPr>
              <w:t>——</w:t>
            </w:r>
            <w:r>
              <w:rPr>
                <w:rFonts w:hint="default" w:ascii="Times New Roman" w:hAnsi="Times New Roman" w:cs="Times New Roman"/>
                <w:color w:val="auto"/>
                <w:kern w:val="0"/>
                <w:sz w:val="24"/>
                <w:lang w:bidi="ar"/>
              </w:rPr>
              <w:t>调查点位污染因子的实测值，mg/L；</w:t>
            </w:r>
          </w:p>
          <w:p>
            <w:pPr>
              <w:widowControl/>
              <w:adjustRightInd w:val="0"/>
              <w:snapToGrid w:val="0"/>
              <w:spacing w:line="360" w:lineRule="auto"/>
              <w:ind w:firstLine="1200" w:firstLineChars="500"/>
              <w:jc w:val="left"/>
              <w:rPr>
                <w:rFonts w:hint="default" w:ascii="Times New Roman" w:hAnsi="Times New Roman" w:cs="Times New Roman"/>
                <w:color w:val="auto"/>
                <w:kern w:val="0"/>
                <w:sz w:val="24"/>
                <w:lang w:bidi="ar"/>
              </w:rPr>
            </w:pPr>
            <w:r>
              <w:rPr>
                <w:rFonts w:hint="default" w:ascii="Times New Roman" w:hAnsi="Times New Roman" w:cs="Times New Roman"/>
                <w:color w:val="auto"/>
                <w:sz w:val="24"/>
              </w:rPr>
              <w:t>C</w:t>
            </w:r>
            <w:r>
              <w:rPr>
                <w:rFonts w:hint="default" w:ascii="Times New Roman" w:hAnsi="Times New Roman" w:cs="Times New Roman"/>
                <w:color w:val="auto"/>
                <w:sz w:val="24"/>
                <w:vertAlign w:val="subscript"/>
              </w:rPr>
              <w:t>si</w:t>
            </w:r>
            <w:r>
              <w:rPr>
                <w:rFonts w:hint="default" w:ascii="Times New Roman" w:hAnsi="Times New Roman" w:cs="Times New Roman"/>
                <w:color w:val="auto"/>
                <w:sz w:val="24"/>
              </w:rPr>
              <w:t>——</w:t>
            </w:r>
            <w:r>
              <w:rPr>
                <w:rFonts w:hint="default" w:ascii="Times New Roman" w:hAnsi="Times New Roman" w:cs="Times New Roman"/>
                <w:color w:val="auto"/>
                <w:kern w:val="0"/>
                <w:sz w:val="24"/>
                <w:lang w:bidi="ar"/>
              </w:rPr>
              <w:t>污染因子的评价标准值或参考值，mg/L。</w:t>
            </w:r>
          </w:p>
          <w:p>
            <w:pPr>
              <w:widowControl/>
              <w:spacing w:line="360" w:lineRule="auto"/>
              <w:ind w:firstLine="480" w:firstLineChars="200"/>
              <w:jc w:val="left"/>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2）底泥监测结果</w:t>
            </w:r>
          </w:p>
          <w:p>
            <w:pPr>
              <w:widowControl/>
              <w:spacing w:line="360" w:lineRule="auto"/>
              <w:ind w:firstLine="422" w:firstLineChars="200"/>
              <w:jc w:val="center"/>
              <w:rPr>
                <w:rFonts w:hint="default" w:ascii="Times New Roman" w:hAnsi="Times New Roman" w:cs="Times New Roman"/>
                <w:color w:val="auto"/>
                <w:sz w:val="24"/>
                <w:lang w:val="en-US"/>
              </w:rPr>
            </w:pPr>
            <w:r>
              <w:rPr>
                <w:rFonts w:hint="default" w:ascii="Times New Roman" w:hAnsi="Times New Roman" w:eastAsia="宋体" w:cs="Times New Roman"/>
                <w:b/>
                <w:bCs/>
                <w:color w:val="auto"/>
                <w:kern w:val="0"/>
                <w:sz w:val="21"/>
                <w:szCs w:val="21"/>
                <w:lang w:val="en-US" w:eastAsia="zh-CN" w:bidi="ar-SA"/>
              </w:rPr>
              <w:t>表3-</w:t>
            </w:r>
            <w:r>
              <w:rPr>
                <w:rFonts w:hint="eastAsia" w:ascii="Times New Roman" w:hAnsi="Times New Roman" w:cs="Times New Roman"/>
                <w:b/>
                <w:bCs/>
                <w:color w:val="auto"/>
                <w:kern w:val="0"/>
                <w:sz w:val="21"/>
                <w:szCs w:val="21"/>
                <w:lang w:val="en-US" w:eastAsia="zh-CN" w:bidi="ar-SA"/>
              </w:rPr>
              <w:t>8</w:t>
            </w:r>
            <w:r>
              <w:rPr>
                <w:rFonts w:hint="default" w:ascii="Times New Roman" w:hAnsi="Times New Roman" w:eastAsia="宋体" w:cs="Times New Roman"/>
                <w:b/>
                <w:bCs/>
                <w:color w:val="auto"/>
                <w:kern w:val="0"/>
                <w:sz w:val="21"/>
                <w:szCs w:val="21"/>
                <w:lang w:val="en-US" w:eastAsia="zh-CN" w:bidi="ar-SA"/>
              </w:rPr>
              <w:t xml:space="preserve">  </w:t>
            </w:r>
            <w:r>
              <w:rPr>
                <w:rFonts w:hint="eastAsia" w:ascii="Times New Roman" w:hAnsi="Times New Roman" w:cs="Times New Roman"/>
                <w:b/>
                <w:bCs/>
                <w:color w:val="auto"/>
                <w:kern w:val="0"/>
                <w:sz w:val="21"/>
                <w:szCs w:val="21"/>
                <w:lang w:val="en-US" w:eastAsia="zh-CN" w:bidi="ar-SA"/>
              </w:rPr>
              <w:t>底泥</w:t>
            </w:r>
            <w:r>
              <w:rPr>
                <w:rFonts w:hint="default" w:ascii="Times New Roman" w:hAnsi="Times New Roman" w:eastAsia="宋体" w:cs="Times New Roman"/>
                <w:b/>
                <w:bCs/>
                <w:color w:val="auto"/>
                <w:kern w:val="0"/>
                <w:sz w:val="21"/>
                <w:szCs w:val="21"/>
                <w:lang w:val="en-US" w:eastAsia="zh-CN" w:bidi="ar-SA"/>
              </w:rPr>
              <w:t>监测结果</w:t>
            </w:r>
            <w:r>
              <w:rPr>
                <w:rFonts w:hint="eastAsia" w:ascii="Times New Roman" w:hAnsi="Times New Roman" w:cs="Times New Roman"/>
                <w:b/>
                <w:bCs/>
                <w:color w:val="auto"/>
                <w:kern w:val="0"/>
                <w:sz w:val="21"/>
                <w:szCs w:val="21"/>
                <w:lang w:val="en-US" w:eastAsia="zh-CN" w:bidi="ar-SA"/>
              </w:rPr>
              <w:t>一览表</w:t>
            </w:r>
          </w:p>
          <w:tbl>
            <w:tblPr>
              <w:tblStyle w:val="41"/>
              <w:tblW w:w="499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98"/>
              <w:gridCol w:w="2084"/>
              <w:gridCol w:w="1746"/>
              <w:gridCol w:w="1746"/>
              <w:gridCol w:w="174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atLeast"/>
                <w:jc w:val="center"/>
              </w:trPr>
              <w:tc>
                <w:tcPr>
                  <w:tcW w:w="1889" w:type="pct"/>
                  <w:gridSpan w:val="2"/>
                  <w:tcBorders>
                    <w:tl2br w:val="nil"/>
                    <w:tr2bl w:val="nil"/>
                  </w:tcBorders>
                  <w:noWrap w:val="0"/>
                  <w:vAlign w:val="center"/>
                </w:tcPr>
                <w:p>
                  <w:pPr>
                    <w:widowControl/>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点位编号</w:t>
                  </w:r>
                </w:p>
              </w:tc>
              <w:tc>
                <w:tcPr>
                  <w:tcW w:w="1036" w:type="pct"/>
                  <w:tcBorders>
                    <w:tl2br w:val="nil"/>
                    <w:tr2bl w:val="nil"/>
                  </w:tcBorders>
                  <w:noWrap w:val="0"/>
                  <w:vAlign w:val="center"/>
                </w:tcPr>
                <w:p>
                  <w:pPr>
                    <w:widowControl/>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1#</w:t>
                  </w:r>
                </w:p>
              </w:tc>
              <w:tc>
                <w:tcPr>
                  <w:tcW w:w="1036" w:type="pct"/>
                  <w:tcBorders>
                    <w:tl2br w:val="nil"/>
                    <w:tr2bl w:val="nil"/>
                  </w:tcBorders>
                  <w:noWrap w:val="0"/>
                  <w:vAlign w:val="center"/>
                </w:tcPr>
                <w:p>
                  <w:pPr>
                    <w:widowControl/>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2#</w:t>
                  </w:r>
                </w:p>
              </w:tc>
              <w:tc>
                <w:tcPr>
                  <w:tcW w:w="1036" w:type="pct"/>
                  <w:tcBorders>
                    <w:tl2br w:val="nil"/>
                    <w:tr2bl w:val="nil"/>
                  </w:tcBorders>
                  <w:noWrap w:val="0"/>
                  <w:vAlign w:val="center"/>
                </w:tcPr>
                <w:p>
                  <w:pPr>
                    <w:widowControl/>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1889" w:type="pct"/>
                  <w:gridSpan w:val="2"/>
                  <w:tcBorders>
                    <w:tl2br w:val="nil"/>
                    <w:tr2bl w:val="nil"/>
                  </w:tcBorders>
                  <w:noWrap w:val="0"/>
                  <w:vAlign w:val="center"/>
                </w:tcPr>
                <w:p>
                  <w:pPr>
                    <w:widowControl/>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采样位置</w:t>
                  </w:r>
                </w:p>
              </w:tc>
              <w:tc>
                <w:tcPr>
                  <w:tcW w:w="1036" w:type="pct"/>
                  <w:tcBorders>
                    <w:tl2br w:val="nil"/>
                    <w:tr2bl w:val="nil"/>
                  </w:tcBorders>
                  <w:noWrap w:val="0"/>
                  <w:vAlign w:val="center"/>
                </w:tcPr>
                <w:p>
                  <w:pPr>
                    <w:widowControl/>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本项目疏浚段起点处</w:t>
                  </w:r>
                </w:p>
              </w:tc>
              <w:tc>
                <w:tcPr>
                  <w:tcW w:w="1036" w:type="pct"/>
                  <w:tcBorders>
                    <w:tl2br w:val="nil"/>
                    <w:tr2bl w:val="nil"/>
                  </w:tcBorders>
                  <w:noWrap w:val="0"/>
                  <w:vAlign w:val="center"/>
                </w:tcPr>
                <w:p>
                  <w:pPr>
                    <w:widowControl/>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本项目疏浚段中段处</w:t>
                  </w:r>
                </w:p>
              </w:tc>
              <w:tc>
                <w:tcPr>
                  <w:tcW w:w="1036" w:type="pct"/>
                  <w:tcBorders>
                    <w:tl2br w:val="nil"/>
                    <w:tr2bl w:val="nil"/>
                  </w:tcBorders>
                  <w:noWrap w:val="0"/>
                  <w:vAlign w:val="center"/>
                </w:tcPr>
                <w:p>
                  <w:pPr>
                    <w:widowControl/>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本项目疏浚段终点处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exact"/>
                <w:jc w:val="center"/>
              </w:trPr>
              <w:tc>
                <w:tcPr>
                  <w:tcW w:w="1889" w:type="pct"/>
                  <w:gridSpan w:val="2"/>
                  <w:tcBorders>
                    <w:tl2br w:val="nil"/>
                    <w:tr2bl w:val="nil"/>
                  </w:tcBorders>
                  <w:noWrap w:val="0"/>
                  <w:vAlign w:val="center"/>
                </w:tcPr>
                <w:p>
                  <w:pPr>
                    <w:widowControl/>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采样深度（cm）</w:t>
                  </w:r>
                </w:p>
              </w:tc>
              <w:tc>
                <w:tcPr>
                  <w:tcW w:w="3110" w:type="pct"/>
                  <w:gridSpan w:val="3"/>
                  <w:tcBorders>
                    <w:tl2br w:val="nil"/>
                    <w:tr2bl w:val="nil"/>
                  </w:tcBorders>
                  <w:noWrap w:val="0"/>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exact"/>
                <w:jc w:val="center"/>
              </w:trPr>
              <w:tc>
                <w:tcPr>
                  <w:tcW w:w="1889" w:type="pct"/>
                  <w:gridSpan w:val="2"/>
                  <w:tcBorders>
                    <w:tl2br w:val="nil"/>
                    <w:tr2bl w:val="nil"/>
                  </w:tcBorders>
                  <w:noWrap w:val="0"/>
                  <w:vAlign w:val="center"/>
                </w:tcPr>
                <w:p>
                  <w:pPr>
                    <w:widowControl/>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采样时间</w:t>
                  </w:r>
                </w:p>
              </w:tc>
              <w:tc>
                <w:tcPr>
                  <w:tcW w:w="3110" w:type="pct"/>
                  <w:gridSpan w:val="3"/>
                  <w:tcBorders>
                    <w:tl2br w:val="nil"/>
                    <w:tr2bl w:val="nil"/>
                  </w:tcBorders>
                  <w:noWrap w:val="0"/>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2022.1.13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exact"/>
                <w:jc w:val="center"/>
              </w:trPr>
              <w:tc>
                <w:tcPr>
                  <w:tcW w:w="652" w:type="pct"/>
                  <w:vMerge w:val="restart"/>
                  <w:tcBorders>
                    <w:tl2br w:val="nil"/>
                    <w:tr2bl w:val="nil"/>
                  </w:tcBorders>
                  <w:noWrap w:val="0"/>
                  <w:vAlign w:val="center"/>
                </w:tcPr>
                <w:p>
                  <w:pPr>
                    <w:widowControl/>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检测结果</w:t>
                  </w:r>
                </w:p>
              </w:tc>
              <w:tc>
                <w:tcPr>
                  <w:tcW w:w="1237" w:type="pct"/>
                  <w:tcBorders>
                    <w:tl2br w:val="nil"/>
                    <w:tr2bl w:val="nil"/>
                  </w:tcBorders>
                  <w:noWrap w:val="0"/>
                  <w:vAlign w:val="center"/>
                </w:tcPr>
                <w:p>
                  <w:pPr>
                    <w:widowControl/>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pH（无量纲）</w:t>
                  </w:r>
                </w:p>
              </w:tc>
              <w:tc>
                <w:tcPr>
                  <w:tcW w:w="1036" w:type="pct"/>
                  <w:tcBorders>
                    <w:tl2br w:val="nil"/>
                    <w:tr2bl w:val="nil"/>
                  </w:tcBorders>
                  <w:noWrap w:val="0"/>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6.09</w:t>
                  </w:r>
                </w:p>
              </w:tc>
              <w:tc>
                <w:tcPr>
                  <w:tcW w:w="1036" w:type="pct"/>
                  <w:tcBorders>
                    <w:tl2br w:val="nil"/>
                    <w:tr2bl w:val="nil"/>
                  </w:tcBorders>
                  <w:noWrap w:val="0"/>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7.59</w:t>
                  </w:r>
                </w:p>
              </w:tc>
              <w:tc>
                <w:tcPr>
                  <w:tcW w:w="1036" w:type="pct"/>
                  <w:tcBorders>
                    <w:tl2br w:val="nil"/>
                    <w:tr2bl w:val="nil"/>
                  </w:tcBorders>
                  <w:noWrap w:val="0"/>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7.76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exact"/>
                <w:jc w:val="center"/>
              </w:trPr>
              <w:tc>
                <w:tcPr>
                  <w:tcW w:w="652" w:type="pct"/>
                  <w:vMerge w:val="continue"/>
                  <w:tcBorders>
                    <w:tl2br w:val="nil"/>
                    <w:tr2bl w:val="nil"/>
                  </w:tcBorders>
                  <w:noWrap w:val="0"/>
                  <w:vAlign w:val="center"/>
                </w:tcPr>
                <w:p>
                  <w:pPr>
                    <w:widowControl/>
                    <w:jc w:val="center"/>
                    <w:rPr>
                      <w:rFonts w:hint="eastAsia" w:ascii="Times New Roman" w:hAnsi="Times New Roman" w:cs="Times New Roman"/>
                      <w:color w:val="auto"/>
                      <w:sz w:val="21"/>
                      <w:szCs w:val="21"/>
                      <w:lang w:val="en-US" w:eastAsia="zh-CN"/>
                    </w:rPr>
                  </w:pPr>
                </w:p>
              </w:tc>
              <w:tc>
                <w:tcPr>
                  <w:tcW w:w="1237" w:type="pct"/>
                  <w:tcBorders>
                    <w:tl2br w:val="nil"/>
                    <w:tr2bl w:val="nil"/>
                  </w:tcBorders>
                  <w:noWrap w:val="0"/>
                  <w:vAlign w:val="center"/>
                </w:tcPr>
                <w:p>
                  <w:pPr>
                    <w:widowControl/>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砷（mg/kg）</w:t>
                  </w:r>
                </w:p>
              </w:tc>
              <w:tc>
                <w:tcPr>
                  <w:tcW w:w="1036" w:type="pct"/>
                  <w:tcBorders>
                    <w:tl2br w:val="nil"/>
                    <w:tr2bl w:val="nil"/>
                  </w:tcBorders>
                  <w:noWrap w:val="0"/>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3.23</w:t>
                  </w:r>
                </w:p>
              </w:tc>
              <w:tc>
                <w:tcPr>
                  <w:tcW w:w="1036" w:type="pct"/>
                  <w:tcBorders>
                    <w:tl2br w:val="nil"/>
                    <w:tr2bl w:val="nil"/>
                  </w:tcBorders>
                  <w:noWrap w:val="0"/>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5.73</w:t>
                  </w:r>
                </w:p>
              </w:tc>
              <w:tc>
                <w:tcPr>
                  <w:tcW w:w="1036" w:type="pct"/>
                  <w:tcBorders>
                    <w:tl2br w:val="nil"/>
                    <w:tr2bl w:val="nil"/>
                  </w:tcBorders>
                  <w:noWrap w:val="0"/>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4.11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exact"/>
                <w:jc w:val="center"/>
              </w:trPr>
              <w:tc>
                <w:tcPr>
                  <w:tcW w:w="652" w:type="pct"/>
                  <w:vMerge w:val="continue"/>
                  <w:tcBorders>
                    <w:tl2br w:val="nil"/>
                    <w:tr2bl w:val="nil"/>
                  </w:tcBorders>
                  <w:noWrap w:val="0"/>
                  <w:vAlign w:val="center"/>
                </w:tcPr>
                <w:p>
                  <w:pPr>
                    <w:widowControl/>
                    <w:jc w:val="center"/>
                    <w:rPr>
                      <w:rFonts w:hint="eastAsia" w:ascii="Times New Roman" w:hAnsi="Times New Roman" w:cs="Times New Roman"/>
                      <w:color w:val="auto"/>
                      <w:sz w:val="21"/>
                      <w:szCs w:val="21"/>
                      <w:lang w:val="en-US" w:eastAsia="zh-CN"/>
                    </w:rPr>
                  </w:pPr>
                </w:p>
              </w:tc>
              <w:tc>
                <w:tcPr>
                  <w:tcW w:w="1237" w:type="pct"/>
                  <w:tcBorders>
                    <w:tl2br w:val="nil"/>
                    <w:tr2bl w:val="nil"/>
                  </w:tcBorders>
                  <w:noWrap w:val="0"/>
                  <w:vAlign w:val="center"/>
                </w:tcPr>
                <w:p>
                  <w:pPr>
                    <w:widowControl/>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汞（mg/kg）</w:t>
                  </w:r>
                </w:p>
              </w:tc>
              <w:tc>
                <w:tcPr>
                  <w:tcW w:w="1036" w:type="pct"/>
                  <w:tcBorders>
                    <w:tl2br w:val="nil"/>
                    <w:tr2bl w:val="nil"/>
                  </w:tcBorders>
                  <w:noWrap w:val="0"/>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0.101</w:t>
                  </w:r>
                </w:p>
              </w:tc>
              <w:tc>
                <w:tcPr>
                  <w:tcW w:w="1036" w:type="pct"/>
                  <w:tcBorders>
                    <w:tl2br w:val="nil"/>
                    <w:tr2bl w:val="nil"/>
                  </w:tcBorders>
                  <w:noWrap w:val="0"/>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0.201</w:t>
                  </w:r>
                </w:p>
              </w:tc>
              <w:tc>
                <w:tcPr>
                  <w:tcW w:w="1036" w:type="pct"/>
                  <w:tcBorders>
                    <w:tl2br w:val="nil"/>
                    <w:tr2bl w:val="nil"/>
                  </w:tcBorders>
                  <w:noWrap w:val="0"/>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exact"/>
                <w:jc w:val="center"/>
              </w:trPr>
              <w:tc>
                <w:tcPr>
                  <w:tcW w:w="652" w:type="pct"/>
                  <w:vMerge w:val="continue"/>
                  <w:tcBorders>
                    <w:tl2br w:val="nil"/>
                    <w:tr2bl w:val="nil"/>
                  </w:tcBorders>
                  <w:noWrap w:val="0"/>
                  <w:vAlign w:val="center"/>
                </w:tcPr>
                <w:p>
                  <w:pPr>
                    <w:widowControl/>
                    <w:jc w:val="center"/>
                    <w:rPr>
                      <w:rFonts w:hint="eastAsia" w:ascii="Times New Roman" w:hAnsi="Times New Roman" w:cs="Times New Roman"/>
                      <w:color w:val="auto"/>
                      <w:sz w:val="21"/>
                      <w:szCs w:val="21"/>
                      <w:lang w:val="en-US" w:eastAsia="zh-CN"/>
                    </w:rPr>
                  </w:pPr>
                </w:p>
              </w:tc>
              <w:tc>
                <w:tcPr>
                  <w:tcW w:w="1237" w:type="pct"/>
                  <w:tcBorders>
                    <w:tl2br w:val="nil"/>
                    <w:tr2bl w:val="nil"/>
                  </w:tcBorders>
                  <w:noWrap w:val="0"/>
                  <w:vAlign w:val="center"/>
                </w:tcPr>
                <w:p>
                  <w:pPr>
                    <w:widowControl/>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铜（mg/kg）</w:t>
                  </w:r>
                </w:p>
              </w:tc>
              <w:tc>
                <w:tcPr>
                  <w:tcW w:w="1036" w:type="pct"/>
                  <w:tcBorders>
                    <w:tl2br w:val="nil"/>
                    <w:tr2bl w:val="nil"/>
                  </w:tcBorders>
                  <w:noWrap w:val="0"/>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35</w:t>
                  </w:r>
                </w:p>
              </w:tc>
              <w:tc>
                <w:tcPr>
                  <w:tcW w:w="1036" w:type="pct"/>
                  <w:tcBorders>
                    <w:tl2br w:val="nil"/>
                    <w:tr2bl w:val="nil"/>
                  </w:tcBorders>
                  <w:noWrap w:val="0"/>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31</w:t>
                  </w:r>
                </w:p>
              </w:tc>
              <w:tc>
                <w:tcPr>
                  <w:tcW w:w="1036" w:type="pct"/>
                  <w:tcBorders>
                    <w:tl2br w:val="nil"/>
                    <w:tr2bl w:val="nil"/>
                  </w:tcBorders>
                  <w:noWrap w:val="0"/>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exact"/>
                <w:jc w:val="center"/>
              </w:trPr>
              <w:tc>
                <w:tcPr>
                  <w:tcW w:w="652" w:type="pct"/>
                  <w:vMerge w:val="continue"/>
                  <w:tcBorders>
                    <w:tl2br w:val="nil"/>
                    <w:tr2bl w:val="nil"/>
                  </w:tcBorders>
                  <w:noWrap w:val="0"/>
                  <w:vAlign w:val="center"/>
                </w:tcPr>
                <w:p>
                  <w:pPr>
                    <w:widowControl/>
                    <w:jc w:val="center"/>
                    <w:rPr>
                      <w:rFonts w:hint="eastAsia" w:ascii="Times New Roman" w:hAnsi="Times New Roman" w:cs="Times New Roman"/>
                      <w:color w:val="auto"/>
                      <w:sz w:val="21"/>
                      <w:szCs w:val="21"/>
                      <w:lang w:val="en-US" w:eastAsia="zh-CN"/>
                    </w:rPr>
                  </w:pPr>
                </w:p>
              </w:tc>
              <w:tc>
                <w:tcPr>
                  <w:tcW w:w="1237" w:type="pct"/>
                  <w:tcBorders>
                    <w:tl2br w:val="nil"/>
                    <w:tr2bl w:val="nil"/>
                  </w:tcBorders>
                  <w:noWrap w:val="0"/>
                  <w:vAlign w:val="center"/>
                </w:tcPr>
                <w:p>
                  <w:pPr>
                    <w:widowControl/>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铅（mg/kg）</w:t>
                  </w:r>
                </w:p>
              </w:tc>
              <w:tc>
                <w:tcPr>
                  <w:tcW w:w="1036" w:type="pct"/>
                  <w:tcBorders>
                    <w:tl2br w:val="nil"/>
                    <w:tr2bl w:val="nil"/>
                  </w:tcBorders>
                  <w:noWrap w:val="0"/>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40</w:t>
                  </w:r>
                </w:p>
              </w:tc>
              <w:tc>
                <w:tcPr>
                  <w:tcW w:w="1036" w:type="pct"/>
                  <w:tcBorders>
                    <w:tl2br w:val="nil"/>
                    <w:tr2bl w:val="nil"/>
                  </w:tcBorders>
                  <w:noWrap w:val="0"/>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27</w:t>
                  </w:r>
                </w:p>
              </w:tc>
              <w:tc>
                <w:tcPr>
                  <w:tcW w:w="1036" w:type="pct"/>
                  <w:tcBorders>
                    <w:tl2br w:val="nil"/>
                    <w:tr2bl w:val="nil"/>
                  </w:tcBorders>
                  <w:noWrap w:val="0"/>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exact"/>
                <w:jc w:val="center"/>
              </w:trPr>
              <w:tc>
                <w:tcPr>
                  <w:tcW w:w="652" w:type="pct"/>
                  <w:vMerge w:val="continue"/>
                  <w:tcBorders>
                    <w:tl2br w:val="nil"/>
                    <w:tr2bl w:val="nil"/>
                  </w:tcBorders>
                  <w:noWrap w:val="0"/>
                  <w:vAlign w:val="center"/>
                </w:tcPr>
                <w:p>
                  <w:pPr>
                    <w:widowControl/>
                    <w:jc w:val="center"/>
                    <w:rPr>
                      <w:rFonts w:hint="eastAsia" w:ascii="Times New Roman" w:hAnsi="Times New Roman" w:cs="Times New Roman"/>
                      <w:color w:val="auto"/>
                      <w:sz w:val="21"/>
                      <w:szCs w:val="21"/>
                      <w:lang w:val="en-US" w:eastAsia="zh-CN"/>
                    </w:rPr>
                  </w:pPr>
                </w:p>
              </w:tc>
              <w:tc>
                <w:tcPr>
                  <w:tcW w:w="1237" w:type="pct"/>
                  <w:tcBorders>
                    <w:tl2br w:val="nil"/>
                    <w:tr2bl w:val="nil"/>
                  </w:tcBorders>
                  <w:noWrap w:val="0"/>
                  <w:vAlign w:val="center"/>
                </w:tcPr>
                <w:p>
                  <w:pPr>
                    <w:widowControl/>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镍（mg/kg）</w:t>
                  </w:r>
                </w:p>
              </w:tc>
              <w:tc>
                <w:tcPr>
                  <w:tcW w:w="1036" w:type="pct"/>
                  <w:tcBorders>
                    <w:tl2br w:val="nil"/>
                    <w:tr2bl w:val="nil"/>
                  </w:tcBorders>
                  <w:noWrap w:val="0"/>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30</w:t>
                  </w:r>
                </w:p>
              </w:tc>
              <w:tc>
                <w:tcPr>
                  <w:tcW w:w="1036" w:type="pct"/>
                  <w:tcBorders>
                    <w:tl2br w:val="nil"/>
                    <w:tr2bl w:val="nil"/>
                  </w:tcBorders>
                  <w:noWrap w:val="0"/>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22</w:t>
                  </w:r>
                </w:p>
              </w:tc>
              <w:tc>
                <w:tcPr>
                  <w:tcW w:w="1036" w:type="pct"/>
                  <w:tcBorders>
                    <w:tl2br w:val="nil"/>
                    <w:tr2bl w:val="nil"/>
                  </w:tcBorders>
                  <w:noWrap w:val="0"/>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exact"/>
                <w:jc w:val="center"/>
              </w:trPr>
              <w:tc>
                <w:tcPr>
                  <w:tcW w:w="652" w:type="pct"/>
                  <w:vMerge w:val="continue"/>
                  <w:tcBorders>
                    <w:tl2br w:val="nil"/>
                    <w:tr2bl w:val="nil"/>
                  </w:tcBorders>
                  <w:noWrap w:val="0"/>
                  <w:vAlign w:val="center"/>
                </w:tcPr>
                <w:p>
                  <w:pPr>
                    <w:widowControl/>
                    <w:jc w:val="center"/>
                    <w:rPr>
                      <w:rFonts w:hint="eastAsia" w:ascii="Times New Roman" w:hAnsi="Times New Roman" w:cs="Times New Roman"/>
                      <w:color w:val="auto"/>
                      <w:sz w:val="21"/>
                      <w:szCs w:val="21"/>
                      <w:lang w:val="en-US" w:eastAsia="zh-CN"/>
                    </w:rPr>
                  </w:pPr>
                </w:p>
              </w:tc>
              <w:tc>
                <w:tcPr>
                  <w:tcW w:w="1237" w:type="pct"/>
                  <w:tcBorders>
                    <w:tl2br w:val="nil"/>
                    <w:tr2bl w:val="nil"/>
                  </w:tcBorders>
                  <w:noWrap w:val="0"/>
                  <w:vAlign w:val="center"/>
                </w:tcPr>
                <w:p>
                  <w:pPr>
                    <w:widowControl/>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铬（mg/kg）</w:t>
                  </w:r>
                </w:p>
              </w:tc>
              <w:tc>
                <w:tcPr>
                  <w:tcW w:w="1036" w:type="pct"/>
                  <w:tcBorders>
                    <w:tl2br w:val="nil"/>
                    <w:tr2bl w:val="nil"/>
                  </w:tcBorders>
                  <w:noWrap w:val="0"/>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48</w:t>
                  </w:r>
                </w:p>
              </w:tc>
              <w:tc>
                <w:tcPr>
                  <w:tcW w:w="1036" w:type="pct"/>
                  <w:tcBorders>
                    <w:tl2br w:val="nil"/>
                    <w:tr2bl w:val="nil"/>
                  </w:tcBorders>
                  <w:noWrap w:val="0"/>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77</w:t>
                  </w:r>
                </w:p>
              </w:tc>
              <w:tc>
                <w:tcPr>
                  <w:tcW w:w="1036" w:type="pct"/>
                  <w:tcBorders>
                    <w:tl2br w:val="nil"/>
                    <w:tr2bl w:val="nil"/>
                  </w:tcBorders>
                  <w:noWrap w:val="0"/>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4" w:hRule="exact"/>
                <w:jc w:val="center"/>
              </w:trPr>
              <w:tc>
                <w:tcPr>
                  <w:tcW w:w="652" w:type="pct"/>
                  <w:vMerge w:val="continue"/>
                  <w:tcBorders>
                    <w:tl2br w:val="nil"/>
                    <w:tr2bl w:val="nil"/>
                  </w:tcBorders>
                  <w:noWrap w:val="0"/>
                  <w:vAlign w:val="center"/>
                </w:tcPr>
                <w:p>
                  <w:pPr>
                    <w:widowControl/>
                    <w:jc w:val="center"/>
                    <w:rPr>
                      <w:rFonts w:hint="eastAsia" w:ascii="Times New Roman" w:hAnsi="Times New Roman" w:cs="Times New Roman"/>
                      <w:color w:val="auto"/>
                      <w:sz w:val="21"/>
                      <w:szCs w:val="21"/>
                      <w:lang w:val="en-US" w:eastAsia="zh-CN"/>
                    </w:rPr>
                  </w:pPr>
                </w:p>
              </w:tc>
              <w:tc>
                <w:tcPr>
                  <w:tcW w:w="1237" w:type="pct"/>
                  <w:tcBorders>
                    <w:tl2br w:val="nil"/>
                    <w:tr2bl w:val="nil"/>
                  </w:tcBorders>
                  <w:noWrap w:val="0"/>
                  <w:vAlign w:val="center"/>
                </w:tcPr>
                <w:p>
                  <w:pPr>
                    <w:widowControl/>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镉（mg/kg）</w:t>
                  </w:r>
                </w:p>
              </w:tc>
              <w:tc>
                <w:tcPr>
                  <w:tcW w:w="1036" w:type="pct"/>
                  <w:tcBorders>
                    <w:tl2br w:val="nil"/>
                    <w:tr2bl w:val="nil"/>
                  </w:tcBorders>
                  <w:noWrap w:val="0"/>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0.11</w:t>
                  </w:r>
                </w:p>
              </w:tc>
              <w:tc>
                <w:tcPr>
                  <w:tcW w:w="1036" w:type="pct"/>
                  <w:tcBorders>
                    <w:tl2br w:val="nil"/>
                    <w:tr2bl w:val="nil"/>
                  </w:tcBorders>
                  <w:noWrap w:val="0"/>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0.25</w:t>
                  </w:r>
                </w:p>
              </w:tc>
              <w:tc>
                <w:tcPr>
                  <w:tcW w:w="1036" w:type="pct"/>
                  <w:tcBorders>
                    <w:tl2br w:val="nil"/>
                    <w:tr2bl w:val="nil"/>
                  </w:tcBorders>
                  <w:noWrap w:val="0"/>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54" w:hRule="exact"/>
                <w:jc w:val="center"/>
              </w:trPr>
              <w:tc>
                <w:tcPr>
                  <w:tcW w:w="652" w:type="pct"/>
                  <w:vMerge w:val="continue"/>
                  <w:tcBorders>
                    <w:tl2br w:val="nil"/>
                    <w:tr2bl w:val="nil"/>
                  </w:tcBorders>
                  <w:noWrap w:val="0"/>
                  <w:vAlign w:val="center"/>
                </w:tcPr>
                <w:p>
                  <w:pPr>
                    <w:widowControl/>
                    <w:jc w:val="center"/>
                    <w:rPr>
                      <w:rFonts w:hint="eastAsia" w:ascii="Times New Roman" w:hAnsi="Times New Roman" w:cs="Times New Roman"/>
                      <w:color w:val="auto"/>
                      <w:sz w:val="21"/>
                      <w:szCs w:val="21"/>
                      <w:lang w:val="en-US" w:eastAsia="zh-CN"/>
                    </w:rPr>
                  </w:pPr>
                </w:p>
              </w:tc>
              <w:tc>
                <w:tcPr>
                  <w:tcW w:w="1237" w:type="pct"/>
                  <w:tcBorders>
                    <w:tl2br w:val="nil"/>
                    <w:tr2bl w:val="nil"/>
                  </w:tcBorders>
                  <w:noWrap w:val="0"/>
                  <w:vAlign w:val="center"/>
                </w:tcPr>
                <w:p>
                  <w:pPr>
                    <w:widowControl/>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锌（mg/kg）</w:t>
                  </w:r>
                </w:p>
              </w:tc>
              <w:tc>
                <w:tcPr>
                  <w:tcW w:w="1036" w:type="pct"/>
                  <w:tcBorders>
                    <w:tl2br w:val="nil"/>
                    <w:tr2bl w:val="nil"/>
                  </w:tcBorders>
                  <w:noWrap w:val="0"/>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68</w:t>
                  </w:r>
                </w:p>
              </w:tc>
              <w:tc>
                <w:tcPr>
                  <w:tcW w:w="1036" w:type="pct"/>
                  <w:tcBorders>
                    <w:tl2br w:val="nil"/>
                    <w:tr2bl w:val="nil"/>
                  </w:tcBorders>
                  <w:noWrap w:val="0"/>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66</w:t>
                  </w:r>
                </w:p>
              </w:tc>
              <w:tc>
                <w:tcPr>
                  <w:tcW w:w="1036" w:type="pct"/>
                  <w:tcBorders>
                    <w:tl2br w:val="nil"/>
                    <w:tr2bl w:val="nil"/>
                  </w:tcBorders>
                  <w:noWrap w:val="0"/>
                  <w:vAlign w:val="center"/>
                </w:tcPr>
                <w:p>
                  <w:pPr>
                    <w:widowControl/>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59</w:t>
                  </w:r>
                </w:p>
              </w:tc>
            </w:tr>
          </w:tbl>
          <w:p>
            <w:pPr>
              <w:widowControl/>
              <w:spacing w:line="360" w:lineRule="auto"/>
              <w:ind w:firstLine="480" w:firstLineChars="200"/>
              <w:jc w:val="left"/>
              <w:rPr>
                <w:rFonts w:hint="default" w:ascii="Times New Roman" w:hAnsi="Times New Roman" w:eastAsia="宋体" w:cs="Times New Roman"/>
                <w:b/>
                <w:bCs/>
                <w:color w:val="auto"/>
                <w:kern w:val="0"/>
                <w:sz w:val="21"/>
                <w:szCs w:val="21"/>
                <w:lang w:val="en-US" w:eastAsia="zh-CN" w:bidi="ar-SA"/>
              </w:rPr>
            </w:pPr>
            <w:r>
              <w:rPr>
                <w:rFonts w:hint="eastAsia" w:cs="Times New Roman"/>
                <w:color w:val="auto"/>
                <w:sz w:val="24"/>
                <w:highlight w:val="none"/>
                <w:lang w:val="en-US" w:eastAsia="zh-CN"/>
              </w:rPr>
              <w:t>3</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底泥</w:t>
            </w:r>
            <w:r>
              <w:rPr>
                <w:rFonts w:hint="default" w:ascii="Times New Roman" w:hAnsi="Times New Roman" w:cs="Times New Roman"/>
                <w:color w:val="auto"/>
                <w:sz w:val="24"/>
                <w:highlight w:val="none"/>
              </w:rPr>
              <w:t>质量现状评价</w:t>
            </w:r>
          </w:p>
          <w:p>
            <w:pPr>
              <w:widowControl/>
              <w:snapToGrid w:val="0"/>
              <w:spacing w:before="60" w:after="160" w:line="259" w:lineRule="auto"/>
              <w:ind w:right="113"/>
              <w:jc w:val="center"/>
              <w:rPr>
                <w:rFonts w:hint="default" w:ascii="Times New Roman" w:hAnsi="Times New Roman" w:eastAsia="宋体" w:cs="Times New Roman"/>
                <w:b/>
                <w:bCs/>
                <w:color w:val="auto"/>
                <w:kern w:val="0"/>
                <w:sz w:val="18"/>
                <w:szCs w:val="18"/>
                <w:lang w:val="en-US" w:eastAsia="zh-CN" w:bidi="ar-SA"/>
              </w:rPr>
            </w:pPr>
            <w:r>
              <w:rPr>
                <w:rFonts w:hint="default" w:ascii="Times New Roman" w:hAnsi="Times New Roman" w:eastAsia="宋体" w:cs="Times New Roman"/>
                <w:b/>
                <w:bCs/>
                <w:color w:val="auto"/>
                <w:kern w:val="0"/>
                <w:sz w:val="21"/>
                <w:szCs w:val="21"/>
                <w:lang w:val="en-US" w:eastAsia="zh-CN" w:bidi="ar-SA"/>
              </w:rPr>
              <w:t>表3-</w:t>
            </w:r>
            <w:r>
              <w:rPr>
                <w:rFonts w:hint="eastAsia" w:ascii="Times New Roman" w:hAnsi="Times New Roman" w:eastAsia="宋体" w:cs="Times New Roman"/>
                <w:b/>
                <w:bCs/>
                <w:color w:val="auto"/>
                <w:kern w:val="0"/>
                <w:sz w:val="21"/>
                <w:szCs w:val="21"/>
                <w:lang w:val="en-US" w:eastAsia="zh-CN" w:bidi="ar-SA"/>
              </w:rPr>
              <w:t>9</w:t>
            </w:r>
            <w:r>
              <w:rPr>
                <w:rFonts w:hint="default" w:ascii="Times New Roman" w:hAnsi="Times New Roman" w:eastAsia="宋体" w:cs="Times New Roman"/>
                <w:b/>
                <w:bCs/>
                <w:color w:val="auto"/>
                <w:kern w:val="0"/>
                <w:sz w:val="21"/>
                <w:szCs w:val="21"/>
                <w:lang w:val="en-US" w:eastAsia="zh-CN" w:bidi="ar-SA"/>
              </w:rPr>
              <w:t xml:space="preserve">  </w:t>
            </w:r>
            <w:r>
              <w:rPr>
                <w:rFonts w:hint="eastAsia" w:ascii="Times New Roman" w:hAnsi="Times New Roman" w:eastAsia="宋体" w:cs="Times New Roman"/>
                <w:b/>
                <w:bCs/>
                <w:color w:val="auto"/>
                <w:kern w:val="0"/>
                <w:sz w:val="21"/>
                <w:szCs w:val="21"/>
                <w:lang w:val="en-US" w:eastAsia="zh-CN" w:bidi="ar-SA"/>
              </w:rPr>
              <w:t>底泥监测结果评价表</w:t>
            </w:r>
            <w:r>
              <w:rPr>
                <w:rFonts w:hint="default" w:ascii="Times New Roman" w:hAnsi="Times New Roman" w:eastAsia="宋体" w:cs="Times New Roman"/>
                <w:b/>
                <w:bCs/>
                <w:color w:val="auto"/>
                <w:kern w:val="0"/>
                <w:sz w:val="21"/>
                <w:szCs w:val="21"/>
                <w:lang w:val="en-US" w:eastAsia="zh-CN" w:bidi="ar-SA"/>
              </w:rPr>
              <w:t xml:space="preserve">  单位mg/kg，pH无量纲</w:t>
            </w:r>
          </w:p>
          <w:tbl>
            <w:tblPr>
              <w:tblStyle w:val="42"/>
              <w:tblpPr w:vertAnchor="text" w:horzAnchor="page" w:tblpX="112"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1064"/>
              <w:gridCol w:w="1437"/>
              <w:gridCol w:w="651"/>
              <w:gridCol w:w="651"/>
              <w:gridCol w:w="651"/>
              <w:gridCol w:w="651"/>
              <w:gridCol w:w="651"/>
              <w:gridCol w:w="651"/>
              <w:gridCol w:w="651"/>
              <w:gridCol w:w="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423" w:type="pct"/>
                  <w:noWrap w:val="0"/>
                  <w:vAlign w:val="center"/>
                </w:tcPr>
                <w:p>
                  <w:pPr>
                    <w:widowControl/>
                    <w:snapToGrid/>
                    <w:spacing w:before="0" w:after="0" w:line="240" w:lineRule="auto"/>
                    <w:ind w:right="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点位</w:t>
                  </w:r>
                </w:p>
              </w:tc>
              <w:tc>
                <w:tcPr>
                  <w:tcW w:w="631" w:type="pct"/>
                  <w:noWrap w:val="0"/>
                  <w:vAlign w:val="center"/>
                </w:tcPr>
                <w:p>
                  <w:pPr>
                    <w:widowControl/>
                    <w:snapToGrid/>
                    <w:spacing w:before="0" w:after="0" w:line="240" w:lineRule="auto"/>
                    <w:ind w:right="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检测项目</w:t>
                  </w:r>
                </w:p>
              </w:tc>
              <w:tc>
                <w:tcPr>
                  <w:tcW w:w="853" w:type="pct"/>
                  <w:noWrap w:val="0"/>
                  <w:vAlign w:val="center"/>
                </w:tcPr>
                <w:p>
                  <w:pPr>
                    <w:widowControl/>
                    <w:snapToGrid/>
                    <w:spacing w:before="0" w:after="0" w:line="240" w:lineRule="auto"/>
                    <w:ind w:right="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pH</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镉</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汞</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砷</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铅</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铬</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铜</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镍</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vMerge w:val="restar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w:t>
                  </w:r>
                </w:p>
              </w:tc>
              <w:tc>
                <w:tcPr>
                  <w:tcW w:w="631"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筛选值</w:t>
                  </w:r>
                </w:p>
              </w:tc>
              <w:tc>
                <w:tcPr>
                  <w:tcW w:w="853"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5</w:t>
                  </w:r>
                  <w:r>
                    <w:rPr>
                      <w:rFonts w:hint="eastAsia"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lang w:val="en-US" w:eastAsia="zh-CN"/>
                    </w:rPr>
                    <w:t>﹤pH≤6.5</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0.3</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0.5</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30</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90</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150</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50</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70</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423" w:type="pct"/>
                  <w:vMerge w:val="continue"/>
                  <w:noWrap w:val="0"/>
                  <w:vAlign w:val="center"/>
                </w:tcPr>
                <w:p>
                  <w:pPr>
                    <w:widowControl/>
                    <w:snapToGrid/>
                    <w:spacing w:before="0" w:after="0" w:line="240" w:lineRule="auto"/>
                    <w:ind w:right="0"/>
                    <w:jc w:val="center"/>
                  </w:pPr>
                </w:p>
              </w:tc>
              <w:tc>
                <w:tcPr>
                  <w:tcW w:w="631"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浓度</w:t>
                  </w:r>
                </w:p>
              </w:tc>
              <w:tc>
                <w:tcPr>
                  <w:tcW w:w="853"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6.09</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0.11</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0.101</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3.23</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40</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48</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35</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30</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vMerge w:val="restart"/>
                  <w:noWrap w:val="0"/>
                  <w:vAlign w:val="center"/>
                </w:tcPr>
                <w:p>
                  <w:pPr>
                    <w:widowControl/>
                    <w:snapToGrid/>
                    <w:spacing w:before="0" w:after="0" w:line="240" w:lineRule="auto"/>
                    <w:ind w:right="0"/>
                    <w:jc w:val="center"/>
                    <w:rPr>
                      <w:rFonts w:hint="default" w:eastAsia="宋体"/>
                      <w:lang w:val="en-US" w:eastAsia="zh-CN"/>
                    </w:rPr>
                  </w:pPr>
                  <w:r>
                    <w:rPr>
                      <w:rFonts w:hint="eastAsia"/>
                      <w:lang w:val="en-US" w:eastAsia="zh-CN"/>
                    </w:rPr>
                    <w:t>2#</w:t>
                  </w:r>
                </w:p>
              </w:tc>
              <w:tc>
                <w:tcPr>
                  <w:tcW w:w="631" w:type="pct"/>
                  <w:noWrap w:val="0"/>
                  <w:vAlign w:val="center"/>
                </w:tcPr>
                <w:p>
                  <w:pPr>
                    <w:widowControl/>
                    <w:snapToGrid/>
                    <w:spacing w:before="0" w:after="0" w:line="240" w:lineRule="auto"/>
                    <w:ind w:right="0" w:right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筛选值</w:t>
                  </w:r>
                </w:p>
              </w:tc>
              <w:tc>
                <w:tcPr>
                  <w:tcW w:w="853"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pH＞</w:t>
                  </w:r>
                  <w:r>
                    <w:rPr>
                      <w:rFonts w:hint="eastAsia" w:ascii="Times New Roman" w:hAnsi="Times New Roman" w:cs="Times New Roman"/>
                      <w:color w:val="auto"/>
                      <w:sz w:val="21"/>
                      <w:szCs w:val="21"/>
                      <w:lang w:val="en-US" w:eastAsia="zh-CN"/>
                    </w:rPr>
                    <w:t>7.5</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0.6</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1.0</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20</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170</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250</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100</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190</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423" w:type="pct"/>
                  <w:vMerge w:val="continue"/>
                  <w:noWrap w:val="0"/>
                  <w:vAlign w:val="center"/>
                </w:tcPr>
                <w:p>
                  <w:pPr>
                    <w:widowControl/>
                    <w:snapToGrid/>
                    <w:spacing w:before="0" w:after="0" w:line="240" w:lineRule="auto"/>
                    <w:ind w:right="0"/>
                    <w:jc w:val="center"/>
                  </w:pPr>
                </w:p>
              </w:tc>
              <w:tc>
                <w:tcPr>
                  <w:tcW w:w="631" w:type="pct"/>
                  <w:noWrap w:val="0"/>
                  <w:vAlign w:val="center"/>
                </w:tcPr>
                <w:p>
                  <w:pPr>
                    <w:widowControl/>
                    <w:snapToGrid/>
                    <w:spacing w:before="0" w:after="0" w:line="240" w:lineRule="auto"/>
                    <w:ind w:right="0" w:right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浓度</w:t>
                  </w:r>
                </w:p>
              </w:tc>
              <w:tc>
                <w:tcPr>
                  <w:tcW w:w="853"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7.59</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0.25</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0.201</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5.73</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27</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77</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31</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22</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23" w:type="pct"/>
                  <w:vMerge w:val="restart"/>
                  <w:noWrap w:val="0"/>
                  <w:vAlign w:val="center"/>
                </w:tcPr>
                <w:p>
                  <w:pPr>
                    <w:widowControl/>
                    <w:snapToGrid/>
                    <w:spacing w:before="0" w:after="0" w:line="240" w:lineRule="auto"/>
                    <w:ind w:right="0"/>
                    <w:jc w:val="center"/>
                    <w:rPr>
                      <w:rFonts w:hint="default" w:eastAsia="宋体"/>
                      <w:lang w:val="en-US" w:eastAsia="zh-CN"/>
                    </w:rPr>
                  </w:pPr>
                  <w:r>
                    <w:rPr>
                      <w:rFonts w:hint="eastAsia"/>
                      <w:lang w:val="en-US" w:eastAsia="zh-CN"/>
                    </w:rPr>
                    <w:t>3#</w:t>
                  </w:r>
                </w:p>
              </w:tc>
              <w:tc>
                <w:tcPr>
                  <w:tcW w:w="631" w:type="pct"/>
                  <w:noWrap w:val="0"/>
                  <w:vAlign w:val="center"/>
                </w:tcPr>
                <w:p>
                  <w:pPr>
                    <w:widowControl/>
                    <w:snapToGrid/>
                    <w:spacing w:before="0" w:after="0" w:line="240" w:lineRule="auto"/>
                    <w:ind w:right="0" w:right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筛选值</w:t>
                  </w:r>
                </w:p>
              </w:tc>
              <w:tc>
                <w:tcPr>
                  <w:tcW w:w="853" w:type="pct"/>
                  <w:noWrap w:val="0"/>
                  <w:vAlign w:val="center"/>
                </w:tcPr>
                <w:p>
                  <w:pPr>
                    <w:widowControl/>
                    <w:snapToGrid/>
                    <w:spacing w:before="0" w:after="0" w:line="240" w:lineRule="auto"/>
                    <w:ind w:right="0" w:righ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lang w:val="en-US" w:eastAsia="zh-CN"/>
                    </w:rPr>
                    <w:t>pH＞</w:t>
                  </w:r>
                  <w:r>
                    <w:rPr>
                      <w:rFonts w:hint="eastAsia" w:ascii="Times New Roman" w:hAnsi="Times New Roman" w:cs="Times New Roman"/>
                      <w:color w:val="auto"/>
                      <w:sz w:val="21"/>
                      <w:szCs w:val="21"/>
                      <w:lang w:val="en-US" w:eastAsia="zh-CN"/>
                    </w:rPr>
                    <w:t>7.5</w:t>
                  </w:r>
                </w:p>
              </w:tc>
              <w:tc>
                <w:tcPr>
                  <w:tcW w:w="386" w:type="pct"/>
                  <w:noWrap w:val="0"/>
                  <w:vAlign w:val="center"/>
                </w:tcPr>
                <w:p>
                  <w:pPr>
                    <w:widowControl/>
                    <w:snapToGrid/>
                    <w:spacing w:before="0" w:after="0" w:line="240" w:lineRule="auto"/>
                    <w:ind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0.6</w:t>
                  </w:r>
                </w:p>
              </w:tc>
              <w:tc>
                <w:tcPr>
                  <w:tcW w:w="386" w:type="pct"/>
                  <w:noWrap w:val="0"/>
                  <w:vAlign w:val="center"/>
                </w:tcPr>
                <w:p>
                  <w:pPr>
                    <w:widowControl/>
                    <w:snapToGrid/>
                    <w:spacing w:before="0" w:after="0" w:line="240" w:lineRule="auto"/>
                    <w:ind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1.0</w:t>
                  </w:r>
                </w:p>
              </w:tc>
              <w:tc>
                <w:tcPr>
                  <w:tcW w:w="386" w:type="pct"/>
                  <w:noWrap w:val="0"/>
                  <w:vAlign w:val="center"/>
                </w:tcPr>
                <w:p>
                  <w:pPr>
                    <w:widowControl/>
                    <w:snapToGrid/>
                    <w:spacing w:before="0" w:after="0" w:line="240" w:lineRule="auto"/>
                    <w:ind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20</w:t>
                  </w:r>
                </w:p>
              </w:tc>
              <w:tc>
                <w:tcPr>
                  <w:tcW w:w="386" w:type="pct"/>
                  <w:noWrap w:val="0"/>
                  <w:vAlign w:val="center"/>
                </w:tcPr>
                <w:p>
                  <w:pPr>
                    <w:widowControl/>
                    <w:snapToGrid/>
                    <w:spacing w:before="0" w:after="0" w:line="240" w:lineRule="auto"/>
                    <w:ind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170</w:t>
                  </w:r>
                </w:p>
              </w:tc>
              <w:tc>
                <w:tcPr>
                  <w:tcW w:w="386" w:type="pct"/>
                  <w:noWrap w:val="0"/>
                  <w:vAlign w:val="center"/>
                </w:tcPr>
                <w:p>
                  <w:pPr>
                    <w:widowControl/>
                    <w:snapToGrid/>
                    <w:spacing w:before="0" w:after="0" w:line="240" w:lineRule="auto"/>
                    <w:ind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250</w:t>
                  </w:r>
                </w:p>
              </w:tc>
              <w:tc>
                <w:tcPr>
                  <w:tcW w:w="386" w:type="pct"/>
                  <w:noWrap w:val="0"/>
                  <w:vAlign w:val="center"/>
                </w:tcPr>
                <w:p>
                  <w:pPr>
                    <w:widowControl/>
                    <w:snapToGrid/>
                    <w:spacing w:before="0" w:after="0" w:line="240" w:lineRule="auto"/>
                    <w:ind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100</w:t>
                  </w:r>
                </w:p>
              </w:tc>
              <w:tc>
                <w:tcPr>
                  <w:tcW w:w="386" w:type="pct"/>
                  <w:noWrap w:val="0"/>
                  <w:vAlign w:val="center"/>
                </w:tcPr>
                <w:p>
                  <w:pPr>
                    <w:widowControl/>
                    <w:snapToGrid/>
                    <w:spacing w:before="0" w:after="0" w:line="240" w:lineRule="auto"/>
                    <w:ind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190</w:t>
                  </w:r>
                </w:p>
              </w:tc>
              <w:tc>
                <w:tcPr>
                  <w:tcW w:w="386" w:type="pct"/>
                  <w:noWrap w:val="0"/>
                  <w:vAlign w:val="center"/>
                </w:tcPr>
                <w:p>
                  <w:pPr>
                    <w:widowControl/>
                    <w:snapToGrid/>
                    <w:spacing w:before="0" w:after="0" w:line="240" w:lineRule="auto"/>
                    <w:ind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423" w:type="pct"/>
                  <w:vMerge w:val="continue"/>
                  <w:noWrap w:val="0"/>
                  <w:vAlign w:val="center"/>
                </w:tcPr>
                <w:p>
                  <w:pPr>
                    <w:widowControl/>
                    <w:snapToGrid/>
                    <w:spacing w:before="0" w:after="0" w:line="240" w:lineRule="auto"/>
                    <w:ind w:right="0"/>
                    <w:jc w:val="center"/>
                  </w:pPr>
                </w:p>
              </w:tc>
              <w:tc>
                <w:tcPr>
                  <w:tcW w:w="631" w:type="pct"/>
                  <w:noWrap w:val="0"/>
                  <w:vAlign w:val="center"/>
                </w:tcPr>
                <w:p>
                  <w:pPr>
                    <w:widowControl/>
                    <w:snapToGrid/>
                    <w:spacing w:before="0" w:after="0" w:line="240" w:lineRule="auto"/>
                    <w:ind w:right="0" w:right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浓度</w:t>
                  </w:r>
                </w:p>
              </w:tc>
              <w:tc>
                <w:tcPr>
                  <w:tcW w:w="853"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7.76</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0.11</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0.112</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4.11</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21</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38</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32</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20</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08" w:type="pct"/>
                  <w:gridSpan w:val="3"/>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1#污染指数</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0.37</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0.20</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0.11</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0.44</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0.32</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0.70</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0.43</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08" w:type="pct"/>
                  <w:gridSpan w:val="3"/>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2#污染指数</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0.42</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0.20</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0.29</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0.16</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0.31</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0.31</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0.12</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08" w:type="pct"/>
                  <w:gridSpan w:val="3"/>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3#污染指数</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0.18</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0.11</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0.21</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0.12</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0.15</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0.32</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0.11</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908" w:type="pct"/>
                  <w:gridSpan w:val="3"/>
                  <w:noWrap w:val="0"/>
                  <w:vAlign w:val="center"/>
                </w:tcPr>
                <w:p>
                  <w:pPr>
                    <w:widowControl/>
                    <w:snapToGrid/>
                    <w:spacing w:before="0" w:after="0" w:line="240" w:lineRule="auto"/>
                    <w:ind w:right="0"/>
                    <w:jc w:val="center"/>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达标情况</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达标</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达标</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达标</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达标</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达标</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达标</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达标</w:t>
                  </w:r>
                </w:p>
              </w:tc>
              <w:tc>
                <w:tcPr>
                  <w:tcW w:w="386" w:type="pct"/>
                  <w:noWrap w:val="0"/>
                  <w:vAlign w:val="center"/>
                </w:tcPr>
                <w:p>
                  <w:pPr>
                    <w:widowControl/>
                    <w:snapToGrid/>
                    <w:spacing w:before="0" w:after="0" w:line="240" w:lineRule="auto"/>
                    <w:ind w:right="0"/>
                    <w:jc w:val="center"/>
                    <w:rPr>
                      <w:rFonts w:hint="default" w:ascii="Times New Roman" w:hAnsi="Times New Roman" w:eastAsia="宋体" w:cs="Times New Roman"/>
                      <w:color w:val="auto"/>
                      <w:spacing w:val="20"/>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达标</w:t>
                  </w:r>
                </w:p>
              </w:tc>
            </w:tr>
          </w:tbl>
          <w:p>
            <w:pPr>
              <w:widowControl/>
              <w:adjustRightInd w:val="0"/>
              <w:snapToGrid w:val="0"/>
              <w:spacing w:before="0" w:after="0" w:line="360" w:lineRule="auto"/>
              <w:ind w:right="0" w:firstLine="482"/>
              <w:jc w:val="both"/>
              <w:rPr>
                <w:rFonts w:hint="default" w:ascii="Times New Roman" w:hAnsi="Times New Roman" w:cs="Times New Roman"/>
                <w:b/>
                <w:bCs/>
                <w:color w:val="auto"/>
                <w:sz w:val="24"/>
              </w:rPr>
            </w:pPr>
            <w:r>
              <w:rPr>
                <w:rFonts w:hint="default" w:ascii="Times New Roman" w:hAnsi="Times New Roman" w:eastAsia="宋体" w:cs="Times New Roman"/>
                <w:color w:val="auto"/>
                <w:kern w:val="0"/>
                <w:sz w:val="24"/>
                <w:szCs w:val="24"/>
                <w:lang w:val="en-US" w:eastAsia="zh-CN" w:bidi="ar-SA"/>
              </w:rPr>
              <w:t>由上表可知，项目区域</w:t>
            </w:r>
            <w:r>
              <w:rPr>
                <w:rFonts w:hint="eastAsia" w:cs="Times New Roman"/>
                <w:color w:val="auto"/>
                <w:kern w:val="0"/>
                <w:sz w:val="24"/>
                <w:szCs w:val="24"/>
                <w:lang w:val="en-US" w:eastAsia="zh-CN" w:bidi="ar-SA"/>
              </w:rPr>
              <w:t>河段</w:t>
            </w:r>
            <w:r>
              <w:rPr>
                <w:rFonts w:hint="default" w:ascii="Times New Roman" w:hAnsi="Times New Roman" w:eastAsia="宋体" w:cs="Times New Roman"/>
                <w:color w:val="auto"/>
                <w:kern w:val="0"/>
                <w:sz w:val="24"/>
                <w:szCs w:val="24"/>
                <w:lang w:val="en-US" w:eastAsia="zh-CN" w:bidi="ar-SA"/>
              </w:rPr>
              <w:t>内底泥的各项指标均达到《土壤环境质量 农用地土壤污染风险管控标准（试行）》（GB 15618-2018）农用地土壤污染风险筛选值要求。由此可见，项目区</w:t>
            </w:r>
            <w:r>
              <w:rPr>
                <w:rFonts w:hint="eastAsia" w:cs="Times New Roman"/>
                <w:color w:val="auto"/>
                <w:kern w:val="0"/>
                <w:sz w:val="24"/>
                <w:szCs w:val="24"/>
                <w:lang w:val="en-US" w:eastAsia="zh-CN" w:bidi="ar-SA"/>
              </w:rPr>
              <w:t>河段</w:t>
            </w:r>
            <w:r>
              <w:rPr>
                <w:rFonts w:hint="default" w:ascii="Times New Roman" w:hAnsi="Times New Roman" w:eastAsia="宋体" w:cs="Times New Roman"/>
                <w:color w:val="auto"/>
                <w:kern w:val="0"/>
                <w:sz w:val="24"/>
                <w:szCs w:val="24"/>
                <w:lang w:val="en-US" w:eastAsia="zh-CN" w:bidi="ar-SA"/>
              </w:rPr>
              <w:t>底泥重金属土壤污染风险低，表明对土壤生态环境影响的风险低。</w:t>
            </w:r>
          </w:p>
          <w:p>
            <w:pPr>
              <w:adjustRightInd w:val="0"/>
              <w:snapToGrid w:val="0"/>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6、土壤环境质量</w:t>
            </w:r>
          </w:p>
          <w:p>
            <w:pPr>
              <w:widowControl w:val="0"/>
              <w:tabs>
                <w:tab w:val="left" w:pos="420"/>
                <w:tab w:val="left" w:pos="870"/>
                <w:tab w:val="left" w:pos="3150"/>
              </w:tabs>
              <w:adjustRightInd w:val="0"/>
              <w:snapToGrid w:val="0"/>
              <w:spacing w:after="0" w:line="360" w:lineRule="auto"/>
              <w:ind w:left="0" w:leftChars="0" w:firstLine="480" w:firstLineChars="200"/>
              <w:jc w:val="both"/>
              <w:rPr>
                <w:rFonts w:hint="eastAsia"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bCs/>
                <w:color w:val="auto"/>
                <w:sz w:val="24"/>
                <w:szCs w:val="24"/>
              </w:rPr>
              <w:t>本项目为堤防建设与河道治理报告表项目，</w:t>
            </w:r>
            <w:r>
              <w:rPr>
                <w:rFonts w:hint="default" w:ascii="Times New Roman" w:hAnsi="Times New Roman" w:eastAsia="宋体" w:cs="Times New Roman"/>
                <w:bCs/>
                <w:color w:val="auto"/>
                <w:sz w:val="24"/>
                <w:szCs w:val="24"/>
                <w:lang w:val="en-US" w:eastAsia="zh-CN"/>
              </w:rPr>
              <w:t>根据《关于印发&lt;建设项目环境影响报告表&gt;内容、格式及编制技术指南的通知》（环办环评〔2021〕33号）可知，本项目</w:t>
            </w:r>
            <w:r>
              <w:rPr>
                <w:rFonts w:hint="default" w:ascii="Times New Roman" w:hAnsi="Times New Roman" w:eastAsia="宋体" w:cs="Times New Roman"/>
                <w:bCs/>
                <w:color w:val="auto"/>
                <w:sz w:val="24"/>
                <w:szCs w:val="24"/>
              </w:rPr>
              <w:t>无需对</w:t>
            </w:r>
            <w:r>
              <w:rPr>
                <w:rFonts w:hint="eastAsia" w:ascii="Times New Roman" w:hAnsi="Times New Roman" w:eastAsia="宋体" w:cs="Times New Roman"/>
                <w:bCs/>
                <w:color w:val="auto"/>
                <w:sz w:val="24"/>
                <w:szCs w:val="24"/>
                <w:lang w:val="en-US" w:eastAsia="zh-CN"/>
              </w:rPr>
              <w:t>土壤</w:t>
            </w:r>
            <w:r>
              <w:rPr>
                <w:rFonts w:hint="default" w:ascii="Times New Roman" w:hAnsi="Times New Roman" w:eastAsia="宋体" w:cs="Times New Roman"/>
                <w:bCs/>
                <w:color w:val="auto"/>
                <w:sz w:val="24"/>
                <w:szCs w:val="24"/>
              </w:rPr>
              <w:t>开展现状调查</w:t>
            </w:r>
            <w:r>
              <w:rPr>
                <w:rFonts w:hint="eastAsia" w:ascii="Times New Roman" w:hAnsi="Times New Roman" w:eastAsia="宋体" w:cs="Times New Roman"/>
                <w:bCs/>
                <w:color w:val="auto"/>
                <w:sz w:val="24"/>
                <w:szCs w:val="24"/>
                <w:lang w:eastAsia="zh-CN"/>
              </w:rPr>
              <w:t>。</w:t>
            </w:r>
          </w:p>
          <w:p>
            <w:pPr>
              <w:keepNext w:val="0"/>
              <w:keepLines w:val="0"/>
              <w:pageBreakBefore w:val="0"/>
              <w:widowControl w:val="0"/>
              <w:kinsoku/>
              <w:wordWrap/>
              <w:overflowPunct/>
              <w:topLinePunct w:val="0"/>
              <w:bidi w:val="0"/>
              <w:adjustRightInd w:val="0"/>
              <w:snapToGrid w:val="0"/>
              <w:spacing w:line="360" w:lineRule="auto"/>
              <w:ind w:firstLine="482" w:firstLineChars="200"/>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7</w:t>
            </w:r>
            <w:r>
              <w:rPr>
                <w:rFonts w:hint="default" w:ascii="Times New Roman" w:hAnsi="Times New Roman" w:eastAsia="宋体" w:cs="Times New Roman"/>
                <w:b/>
                <w:bCs/>
                <w:color w:val="auto"/>
                <w:sz w:val="24"/>
                <w:szCs w:val="24"/>
              </w:rPr>
              <w:t>、地下水环境质量</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leftChars="0" w:right="0" w:firstLine="480" w:firstLineChars="200"/>
              <w:rPr>
                <w:rFonts w:hint="eastAsia" w:eastAsia="宋体"/>
                <w:lang w:eastAsia="zh-CN"/>
              </w:rPr>
            </w:pPr>
            <w:r>
              <w:rPr>
                <w:rFonts w:hint="default" w:ascii="Times New Roman" w:hAnsi="Times New Roman" w:eastAsia="宋体" w:cs="Times New Roman"/>
                <w:bCs/>
                <w:color w:val="auto"/>
                <w:sz w:val="24"/>
                <w:szCs w:val="24"/>
              </w:rPr>
              <w:t>本项目为堤防建设与河道治理报告表项目，</w:t>
            </w:r>
            <w:r>
              <w:rPr>
                <w:rFonts w:hint="default" w:ascii="Times New Roman" w:hAnsi="Times New Roman" w:eastAsia="宋体" w:cs="Times New Roman"/>
                <w:bCs/>
                <w:color w:val="auto"/>
                <w:sz w:val="24"/>
                <w:szCs w:val="24"/>
                <w:lang w:val="en-US" w:eastAsia="zh-CN"/>
              </w:rPr>
              <w:t>根据《关于印发&lt;建设项目环境影响报告表&gt;内容、格式及编制技术指南的通知》（环办环评〔2021〕33号）可知，本项目</w:t>
            </w:r>
            <w:r>
              <w:rPr>
                <w:rFonts w:hint="default" w:ascii="Times New Roman" w:hAnsi="Times New Roman" w:eastAsia="宋体" w:cs="Times New Roman"/>
                <w:bCs/>
                <w:color w:val="auto"/>
                <w:sz w:val="24"/>
                <w:szCs w:val="24"/>
              </w:rPr>
              <w:t>无需对地下水开展现状调查</w:t>
            </w:r>
            <w:r>
              <w:rPr>
                <w:rFonts w:hint="eastAsia" w:cs="Times New Roman"/>
                <w:bCs/>
                <w:color w:val="auto"/>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2"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bCs/>
                <w:sz w:val="24"/>
                <w:szCs w:val="24"/>
              </w:rPr>
              <w:t>与项目有关的原有环境污染和生态破坏问题</w:t>
            </w:r>
          </w:p>
        </w:tc>
        <w:tc>
          <w:tcPr>
            <w:tcW w:w="44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FF"/>
                <w:kern w:val="0"/>
                <w:sz w:val="24"/>
                <w:szCs w:val="24"/>
              </w:rPr>
            </w:pPr>
            <w:r>
              <w:rPr>
                <w:rFonts w:hint="default" w:ascii="Times New Roman" w:hAnsi="Times New Roman" w:eastAsia="宋体" w:cs="Times New Roman"/>
                <w:color w:val="auto"/>
                <w:kern w:val="0"/>
                <w:sz w:val="24"/>
                <w:szCs w:val="24"/>
              </w:rPr>
              <w:t>本项目为新建项目，无与本项目有关的原有污染情况。工程保护区河段现状除部分河段建有零星土堤或卵石堤堆外，大部分河段现状无堤防保护，无防洪工程措施，沿岸基本上都属自然河岸，防洪标准低，其洪灾威胁已成为制约当地经济发展的重要因素之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62" w:hRule="atLeast"/>
          <w:jc w:val="center"/>
        </w:trPr>
        <w:tc>
          <w:tcPr>
            <w:tcW w:w="512"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生态环境保护目标</w:t>
            </w:r>
          </w:p>
        </w:tc>
        <w:tc>
          <w:tcPr>
            <w:tcW w:w="44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highlight w:val="none"/>
                <w:lang w:val="en-US" w:eastAsia="zh-CN"/>
              </w:rPr>
              <w:t>项目第一段疏浚（临右0+156）东北侧约5m-500m有50户周桃枝家居民；第二段护岸（临右1+100）西北侧34m~500m有20户居民；第二段疏浚（临右1+800）北侧约64m~500m有80户平兴村居民、50户李村居民；第二段疏浚（临右1+700）西南侧约57m~500m有130户游坝村居民，第二段疏浚（临右2+170）南侧约71m~500m有45户游坝村居民，第二段疏浚（临右2+618）东南侧约82m~500m有12户居民；第三段疏浚（临左2+900）西北侧约10m~500m有100户冯堰碥居民，第三段疏浚（临左3+500）西北侧约30m~500m有80户陈坝村居民；第三段护岸（临左5+100）西北侧约9m~500m有17户三圣村居民；第二段加固（临右5+400）南侧约12m~500m有110户胡村居民；第三段加固（临右5+800）南侧约20m~500m有40户夏村居民；第四段疏浚（临右6+287）西北侧约9m~500m有20户三圣村居民；第三段加固（临右6+078）东</w:t>
            </w:r>
            <w:r>
              <w:rPr>
                <w:rFonts w:hint="default" w:ascii="Times New Roman" w:hAnsi="Times New Roman" w:eastAsia="宋体" w:cs="Times New Roman"/>
                <w:color w:val="auto"/>
                <w:kern w:val="0"/>
                <w:sz w:val="24"/>
                <w:lang w:val="en-US" w:eastAsia="zh-CN"/>
              </w:rPr>
              <w:t>侧约246m~500m有50户平兴镇居民。</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color w:val="auto"/>
                <w:kern w:val="0"/>
                <w:sz w:val="24"/>
              </w:rPr>
              <w:t>根据现场调查，</w:t>
            </w:r>
            <w:r>
              <w:rPr>
                <w:rFonts w:hint="default" w:ascii="Times New Roman" w:hAnsi="Times New Roman" w:eastAsia="宋体" w:cs="Times New Roman"/>
                <w:bCs/>
                <w:color w:val="auto"/>
                <w:sz w:val="24"/>
              </w:rPr>
              <w:t>项目所在地无重</w:t>
            </w:r>
            <w:r>
              <w:rPr>
                <w:rFonts w:hint="default" w:ascii="Times New Roman" w:hAnsi="Times New Roman" w:eastAsia="宋体" w:cs="Times New Roman"/>
                <w:bCs/>
                <w:color w:val="auto"/>
                <w:sz w:val="24"/>
                <w:highlight w:val="none"/>
              </w:rPr>
              <w:t>点文物保护单位，未发现名胜古迹、珍稀野生动植物等重大环境敏感点</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lang w:val="en-US" w:eastAsia="zh-CN"/>
              </w:rPr>
              <w:t>项目生态环境保护目标见下表。</w:t>
            </w:r>
          </w:p>
          <w:p>
            <w:pPr>
              <w:pStyle w:val="22"/>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outlineLvl w:val="9"/>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表3-</w:t>
            </w:r>
            <w:r>
              <w:rPr>
                <w:rFonts w:hint="eastAsia" w:cs="Times New Roman"/>
                <w:b/>
                <w:bCs w:val="0"/>
                <w:color w:val="auto"/>
                <w:sz w:val="21"/>
                <w:szCs w:val="21"/>
                <w:highlight w:val="none"/>
                <w:lang w:val="en-US" w:eastAsia="zh-CN"/>
              </w:rPr>
              <w:t>10</w:t>
            </w:r>
            <w:r>
              <w:rPr>
                <w:rFonts w:hint="default" w:ascii="Times New Roman" w:hAnsi="Times New Roman" w:eastAsia="宋体" w:cs="Times New Roman"/>
                <w:b/>
                <w:bCs w:val="0"/>
                <w:color w:val="auto"/>
                <w:sz w:val="21"/>
                <w:szCs w:val="21"/>
                <w:highlight w:val="none"/>
                <w:lang w:val="en-US" w:eastAsia="zh-CN"/>
              </w:rPr>
              <w:t xml:space="preserve">  生态环境保护目标一览表</w:t>
            </w:r>
          </w:p>
          <w:tbl>
            <w:tblPr>
              <w:tblStyle w:val="4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12"/>
              <w:gridCol w:w="1590"/>
              <w:gridCol w:w="2749"/>
              <w:gridCol w:w="1285"/>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82"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944"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保护目标</w:t>
                  </w:r>
                </w:p>
              </w:tc>
              <w:tc>
                <w:tcPr>
                  <w:tcW w:w="1632"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方位、距离</w:t>
                  </w:r>
                </w:p>
              </w:tc>
              <w:tc>
                <w:tcPr>
                  <w:tcW w:w="763"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规模</w:t>
                  </w:r>
                </w:p>
              </w:tc>
              <w:tc>
                <w:tcPr>
                  <w:tcW w:w="1178"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环境功能及要求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3" w:hRule="atLeast"/>
                <w:jc w:val="center"/>
              </w:trPr>
              <w:tc>
                <w:tcPr>
                  <w:tcW w:w="482"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地表水环境</w:t>
                  </w:r>
                </w:p>
              </w:tc>
              <w:tc>
                <w:tcPr>
                  <w:tcW w:w="944"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临江河</w:t>
                  </w:r>
                </w:p>
              </w:tc>
              <w:tc>
                <w:tcPr>
                  <w:tcW w:w="1632"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763"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小</w:t>
                  </w:r>
                  <w:r>
                    <w:rPr>
                      <w:rFonts w:hint="default" w:ascii="Times New Roman" w:hAnsi="Times New Roman" w:eastAsia="宋体" w:cs="Times New Roman"/>
                      <w:color w:val="auto"/>
                      <w:sz w:val="21"/>
                      <w:szCs w:val="21"/>
                    </w:rPr>
                    <w:t>河，灌溉、行洪</w:t>
                  </w:r>
                </w:p>
              </w:tc>
              <w:tc>
                <w:tcPr>
                  <w:tcW w:w="1178"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《地表水环境质量标准》</w:t>
                  </w:r>
                  <w:r>
                    <w:rPr>
                      <w:rFonts w:hint="eastAsia" w:cs="Times New Roman"/>
                      <w:bCs/>
                      <w:color w:val="auto"/>
                      <w:sz w:val="21"/>
                      <w:szCs w:val="21"/>
                      <w:lang w:eastAsia="zh-CN"/>
                    </w:rPr>
                    <w:t>（</w:t>
                  </w:r>
                  <w:r>
                    <w:rPr>
                      <w:rFonts w:hint="default" w:ascii="Times New Roman" w:hAnsi="Times New Roman" w:eastAsia="宋体" w:cs="Times New Roman"/>
                      <w:bCs/>
                      <w:color w:val="auto"/>
                      <w:sz w:val="21"/>
                      <w:szCs w:val="21"/>
                    </w:rPr>
                    <w:t>GB3838-</w:t>
                  </w:r>
                  <w:r>
                    <w:rPr>
                      <w:rFonts w:hint="default" w:ascii="Times New Roman" w:hAnsi="Times New Roman" w:eastAsia="宋体" w:cs="Times New Roman"/>
                      <w:color w:val="auto"/>
                      <w:sz w:val="21"/>
                      <w:szCs w:val="21"/>
                    </w:rPr>
                    <w:t>2002</w:t>
                  </w:r>
                  <w:r>
                    <w:rPr>
                      <w:rFonts w:hint="eastAsia" w:cs="Times New Roman"/>
                      <w:bCs/>
                      <w:color w:val="auto"/>
                      <w:sz w:val="21"/>
                      <w:szCs w:val="21"/>
                      <w:lang w:eastAsia="zh-CN"/>
                    </w:rPr>
                    <w:t>）</w:t>
                  </w:r>
                  <w:r>
                    <w:rPr>
                      <w:rFonts w:hint="default" w:ascii="Times New Roman" w:hAnsi="Times New Roman" w:eastAsia="宋体" w:cs="Times New Roman"/>
                      <w:color w:val="auto"/>
                      <w:sz w:val="21"/>
                      <w:szCs w:val="21"/>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7" w:hRule="atLeast"/>
                <w:jc w:val="center"/>
              </w:trPr>
              <w:tc>
                <w:tcPr>
                  <w:tcW w:w="482" w:type="pct"/>
                  <w:vMerge w:val="restar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声环境</w:t>
                  </w:r>
                </w:p>
              </w:tc>
              <w:tc>
                <w:tcPr>
                  <w:tcW w:w="944"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周桃枝家居民</w:t>
                  </w:r>
                </w:p>
              </w:tc>
              <w:tc>
                <w:tcPr>
                  <w:tcW w:w="1632"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default" w:ascii="Times New Roman" w:hAnsi="Times New Roman" w:eastAsia="宋体" w:cs="Times New Roman"/>
                      <w:color w:val="auto"/>
                      <w:sz w:val="21"/>
                      <w:szCs w:val="21"/>
                      <w:lang w:val="en-US"/>
                    </w:rPr>
                  </w:pPr>
                  <w:r>
                    <w:rPr>
                      <w:rFonts w:hint="eastAsia" w:eastAsia="宋体" w:cs="Times New Roman"/>
                      <w:color w:val="auto"/>
                      <w:sz w:val="21"/>
                      <w:szCs w:val="21"/>
                      <w:lang w:val="en-US" w:eastAsia="zh-CN"/>
                    </w:rPr>
                    <w:t>第一段疏浚（临右0+156）东北侧约</w:t>
                  </w:r>
                  <w:r>
                    <w:rPr>
                      <w:rFonts w:hint="eastAsia" w:cs="Times New Roman"/>
                      <w:color w:val="auto"/>
                      <w:sz w:val="21"/>
                      <w:szCs w:val="21"/>
                      <w:lang w:val="en-US" w:eastAsia="zh-CN"/>
                    </w:rPr>
                    <w:t>5</w:t>
                  </w:r>
                  <w:r>
                    <w:rPr>
                      <w:rFonts w:hint="eastAsia" w:eastAsia="宋体" w:cs="Times New Roman"/>
                      <w:color w:val="auto"/>
                      <w:sz w:val="21"/>
                      <w:szCs w:val="21"/>
                      <w:lang w:val="en-US" w:eastAsia="zh-CN"/>
                    </w:rPr>
                    <w:t>m-50m</w:t>
                  </w:r>
                </w:p>
              </w:tc>
              <w:tc>
                <w:tcPr>
                  <w:tcW w:w="763"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3户，9人</w:t>
                  </w:r>
                </w:p>
              </w:tc>
              <w:tc>
                <w:tcPr>
                  <w:tcW w:w="1178" w:type="pct"/>
                  <w:vMerge w:val="restar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《声环境质量标准》</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GB 3096-2008</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2类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7" w:hRule="atLeast"/>
                <w:jc w:val="center"/>
              </w:trPr>
              <w:tc>
                <w:tcPr>
                  <w:tcW w:w="482" w:type="pct"/>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b/>
                      <w:bCs/>
                      <w:sz w:val="21"/>
                      <w:szCs w:val="21"/>
                    </w:rPr>
                  </w:pPr>
                </w:p>
              </w:tc>
              <w:tc>
                <w:tcPr>
                  <w:tcW w:w="944"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default" w:eastAsia="宋体" w:cs="Times New Roman"/>
                      <w:color w:val="auto"/>
                      <w:sz w:val="21"/>
                      <w:szCs w:val="21"/>
                      <w:lang w:val="en-US" w:eastAsia="zh-CN"/>
                    </w:rPr>
                  </w:pPr>
                  <w:r>
                    <w:rPr>
                      <w:rFonts w:hint="eastAsia" w:cs="Times New Roman"/>
                      <w:color w:val="auto"/>
                      <w:sz w:val="21"/>
                      <w:szCs w:val="21"/>
                      <w:lang w:val="en-US" w:eastAsia="zh-CN"/>
                    </w:rPr>
                    <w:t>居民</w:t>
                  </w:r>
                </w:p>
              </w:tc>
              <w:tc>
                <w:tcPr>
                  <w:tcW w:w="1632"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default" w:eastAsia="宋体" w:cs="Times New Roman"/>
                      <w:color w:val="auto"/>
                      <w:sz w:val="21"/>
                      <w:szCs w:val="21"/>
                      <w:lang w:val="en-US" w:eastAsia="zh-CN"/>
                    </w:rPr>
                  </w:pPr>
                  <w:r>
                    <w:rPr>
                      <w:rFonts w:hint="default" w:eastAsia="宋体" w:cs="Times New Roman"/>
                      <w:color w:val="auto"/>
                      <w:sz w:val="21"/>
                      <w:szCs w:val="21"/>
                      <w:lang w:val="en-US" w:eastAsia="zh-CN"/>
                    </w:rPr>
                    <w:t>第二段护岸（临右1+100）西北侧34m~50m</w:t>
                  </w:r>
                </w:p>
              </w:tc>
              <w:tc>
                <w:tcPr>
                  <w:tcW w:w="763"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3户，9人</w:t>
                  </w:r>
                </w:p>
              </w:tc>
              <w:tc>
                <w:tcPr>
                  <w:tcW w:w="1178" w:type="pct"/>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7" w:hRule="atLeast"/>
                <w:jc w:val="center"/>
              </w:trPr>
              <w:tc>
                <w:tcPr>
                  <w:tcW w:w="482" w:type="pct"/>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b/>
                      <w:bCs/>
                      <w:color w:val="auto"/>
                      <w:sz w:val="21"/>
                      <w:szCs w:val="21"/>
                      <w:lang w:val="en-US" w:eastAsia="zh-CN"/>
                    </w:rPr>
                  </w:pPr>
                </w:p>
              </w:tc>
              <w:tc>
                <w:tcPr>
                  <w:tcW w:w="944"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冯堰碥居民</w:t>
                  </w:r>
                </w:p>
              </w:tc>
              <w:tc>
                <w:tcPr>
                  <w:tcW w:w="1632"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第三段疏浚（临左2+900）西北侧约</w:t>
                  </w:r>
                  <w:r>
                    <w:rPr>
                      <w:rFonts w:hint="eastAsia" w:cs="Times New Roman"/>
                      <w:color w:val="auto"/>
                      <w:sz w:val="21"/>
                      <w:szCs w:val="21"/>
                      <w:lang w:val="en-US" w:eastAsia="zh-CN"/>
                    </w:rPr>
                    <w:t>10</w:t>
                  </w:r>
                  <w:r>
                    <w:rPr>
                      <w:rFonts w:hint="eastAsia" w:eastAsia="宋体" w:cs="Times New Roman"/>
                      <w:color w:val="auto"/>
                      <w:sz w:val="21"/>
                      <w:szCs w:val="21"/>
                      <w:lang w:val="en-US" w:eastAsia="zh-CN"/>
                    </w:rPr>
                    <w:t>m-50m</w:t>
                  </w:r>
                </w:p>
              </w:tc>
              <w:tc>
                <w:tcPr>
                  <w:tcW w:w="763"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default" w:eastAsia="宋体" w:cs="Times New Roman"/>
                      <w:color w:val="auto"/>
                      <w:sz w:val="21"/>
                      <w:szCs w:val="21"/>
                      <w:lang w:val="en-US" w:eastAsia="zh-CN"/>
                    </w:rPr>
                  </w:pPr>
                  <w:r>
                    <w:rPr>
                      <w:rFonts w:hint="eastAsia" w:cs="Times New Roman"/>
                      <w:color w:val="auto"/>
                      <w:sz w:val="21"/>
                      <w:szCs w:val="21"/>
                      <w:lang w:val="en-US" w:eastAsia="zh-CN"/>
                    </w:rPr>
                    <w:t>5</w:t>
                  </w:r>
                  <w:r>
                    <w:rPr>
                      <w:rFonts w:hint="eastAsia" w:eastAsia="宋体" w:cs="Times New Roman"/>
                      <w:color w:val="auto"/>
                      <w:sz w:val="21"/>
                      <w:szCs w:val="21"/>
                      <w:lang w:val="en-US" w:eastAsia="zh-CN"/>
                    </w:rPr>
                    <w:t>户，</w:t>
                  </w:r>
                  <w:r>
                    <w:rPr>
                      <w:rFonts w:hint="eastAsia" w:cs="Times New Roman"/>
                      <w:color w:val="auto"/>
                      <w:sz w:val="21"/>
                      <w:szCs w:val="21"/>
                      <w:lang w:val="en-US" w:eastAsia="zh-CN"/>
                    </w:rPr>
                    <w:t>15</w:t>
                  </w:r>
                  <w:r>
                    <w:rPr>
                      <w:rFonts w:hint="eastAsia" w:eastAsia="宋体" w:cs="Times New Roman"/>
                      <w:color w:val="auto"/>
                      <w:sz w:val="21"/>
                      <w:szCs w:val="21"/>
                      <w:lang w:val="en-US" w:eastAsia="zh-CN"/>
                    </w:rPr>
                    <w:t>人</w:t>
                  </w:r>
                </w:p>
              </w:tc>
              <w:tc>
                <w:tcPr>
                  <w:tcW w:w="1178" w:type="pct"/>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7" w:hRule="atLeast"/>
                <w:jc w:val="center"/>
              </w:trPr>
              <w:tc>
                <w:tcPr>
                  <w:tcW w:w="482" w:type="pct"/>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b/>
                      <w:bCs/>
                      <w:color w:val="auto"/>
                      <w:sz w:val="21"/>
                      <w:szCs w:val="21"/>
                      <w:lang w:val="en-US" w:eastAsia="zh-CN"/>
                    </w:rPr>
                  </w:pPr>
                </w:p>
              </w:tc>
              <w:tc>
                <w:tcPr>
                  <w:tcW w:w="944"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陈坝村居民</w:t>
                  </w:r>
                </w:p>
              </w:tc>
              <w:tc>
                <w:tcPr>
                  <w:tcW w:w="1632"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第三段疏浚（临左3+500）西北侧约30m~50m</w:t>
                  </w:r>
                </w:p>
              </w:tc>
              <w:tc>
                <w:tcPr>
                  <w:tcW w:w="763"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default" w:eastAsia="宋体" w:cs="Times New Roman"/>
                      <w:color w:val="auto"/>
                      <w:sz w:val="21"/>
                      <w:szCs w:val="21"/>
                      <w:lang w:val="en-US" w:eastAsia="zh-CN"/>
                    </w:rPr>
                  </w:pPr>
                  <w:r>
                    <w:rPr>
                      <w:rFonts w:hint="eastAsia" w:cs="Times New Roman"/>
                      <w:color w:val="auto"/>
                      <w:sz w:val="21"/>
                      <w:szCs w:val="21"/>
                      <w:lang w:val="en-US" w:eastAsia="zh-CN"/>
                    </w:rPr>
                    <w:t>3户，9人</w:t>
                  </w:r>
                </w:p>
              </w:tc>
              <w:tc>
                <w:tcPr>
                  <w:tcW w:w="1178" w:type="pct"/>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7" w:hRule="atLeast"/>
                <w:jc w:val="center"/>
              </w:trPr>
              <w:tc>
                <w:tcPr>
                  <w:tcW w:w="482" w:type="pct"/>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b/>
                      <w:bCs/>
                      <w:color w:val="auto"/>
                      <w:sz w:val="21"/>
                      <w:szCs w:val="21"/>
                      <w:lang w:val="en-US" w:eastAsia="zh-CN"/>
                    </w:rPr>
                  </w:pPr>
                </w:p>
              </w:tc>
              <w:tc>
                <w:tcPr>
                  <w:tcW w:w="944"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三圣村居民</w:t>
                  </w:r>
                </w:p>
              </w:tc>
              <w:tc>
                <w:tcPr>
                  <w:tcW w:w="1632"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第三段护岸（临左</w:t>
                  </w:r>
                  <w:r>
                    <w:rPr>
                      <w:rFonts w:hint="eastAsia" w:cs="Times New Roman"/>
                      <w:color w:val="auto"/>
                      <w:sz w:val="21"/>
                      <w:szCs w:val="21"/>
                      <w:lang w:val="en-US" w:eastAsia="zh-CN"/>
                    </w:rPr>
                    <w:t>5+100</w:t>
                  </w:r>
                  <w:r>
                    <w:rPr>
                      <w:rFonts w:hint="eastAsia" w:eastAsia="宋体" w:cs="Times New Roman"/>
                      <w:color w:val="auto"/>
                      <w:sz w:val="21"/>
                      <w:szCs w:val="21"/>
                      <w:lang w:val="en-US" w:eastAsia="zh-CN"/>
                    </w:rPr>
                    <w:t>）西北侧约9m-50m</w:t>
                  </w:r>
                </w:p>
              </w:tc>
              <w:tc>
                <w:tcPr>
                  <w:tcW w:w="763"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2户，6人</w:t>
                  </w:r>
                </w:p>
              </w:tc>
              <w:tc>
                <w:tcPr>
                  <w:tcW w:w="1178" w:type="pct"/>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7" w:hRule="atLeast"/>
                <w:jc w:val="center"/>
              </w:trPr>
              <w:tc>
                <w:tcPr>
                  <w:tcW w:w="482" w:type="pct"/>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b/>
                      <w:bCs/>
                      <w:color w:val="auto"/>
                      <w:sz w:val="21"/>
                      <w:szCs w:val="21"/>
                      <w:lang w:val="en-US" w:eastAsia="zh-CN"/>
                    </w:rPr>
                  </w:pPr>
                </w:p>
              </w:tc>
              <w:tc>
                <w:tcPr>
                  <w:tcW w:w="944"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default" w:eastAsia="宋体" w:cs="Times New Roman"/>
                      <w:color w:val="auto"/>
                      <w:sz w:val="21"/>
                      <w:szCs w:val="21"/>
                      <w:lang w:val="en-US" w:eastAsia="zh-CN"/>
                    </w:rPr>
                  </w:pPr>
                  <w:r>
                    <w:rPr>
                      <w:rFonts w:hint="eastAsia" w:cs="Times New Roman"/>
                      <w:color w:val="auto"/>
                      <w:sz w:val="21"/>
                      <w:szCs w:val="21"/>
                      <w:lang w:val="en-US" w:eastAsia="zh-CN"/>
                    </w:rPr>
                    <w:t>胡村</w:t>
                  </w:r>
                  <w:r>
                    <w:rPr>
                      <w:rFonts w:hint="eastAsia" w:eastAsia="宋体" w:cs="Times New Roman"/>
                      <w:color w:val="auto"/>
                      <w:sz w:val="21"/>
                      <w:szCs w:val="21"/>
                      <w:lang w:val="en-US" w:eastAsia="zh-CN"/>
                    </w:rPr>
                    <w:t>居民</w:t>
                  </w:r>
                </w:p>
              </w:tc>
              <w:tc>
                <w:tcPr>
                  <w:tcW w:w="1632"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第二段加固（临右5+400）南侧约12m-50m</w:t>
                  </w:r>
                </w:p>
              </w:tc>
              <w:tc>
                <w:tcPr>
                  <w:tcW w:w="763"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1户，3人</w:t>
                  </w:r>
                </w:p>
              </w:tc>
              <w:tc>
                <w:tcPr>
                  <w:tcW w:w="1178" w:type="pct"/>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7" w:hRule="atLeast"/>
                <w:jc w:val="center"/>
              </w:trPr>
              <w:tc>
                <w:tcPr>
                  <w:tcW w:w="482" w:type="pct"/>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b/>
                      <w:bCs/>
                      <w:color w:val="auto"/>
                      <w:sz w:val="21"/>
                      <w:szCs w:val="21"/>
                      <w:lang w:val="en-US" w:eastAsia="zh-CN"/>
                    </w:rPr>
                  </w:pPr>
                </w:p>
              </w:tc>
              <w:tc>
                <w:tcPr>
                  <w:tcW w:w="944"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原夏村居民</w:t>
                  </w:r>
                </w:p>
              </w:tc>
              <w:tc>
                <w:tcPr>
                  <w:tcW w:w="1632"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第三段加固（临右5+800）南侧约20m-50m</w:t>
                  </w:r>
                </w:p>
              </w:tc>
              <w:tc>
                <w:tcPr>
                  <w:tcW w:w="763"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4户，12人</w:t>
                  </w:r>
                </w:p>
              </w:tc>
              <w:tc>
                <w:tcPr>
                  <w:tcW w:w="1178" w:type="pct"/>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7" w:hRule="atLeast"/>
                <w:jc w:val="center"/>
              </w:trPr>
              <w:tc>
                <w:tcPr>
                  <w:tcW w:w="482" w:type="pct"/>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b/>
                      <w:bCs/>
                      <w:color w:val="auto"/>
                      <w:sz w:val="21"/>
                      <w:szCs w:val="21"/>
                      <w:lang w:val="en-US" w:eastAsia="zh-CN"/>
                    </w:rPr>
                  </w:pPr>
                </w:p>
              </w:tc>
              <w:tc>
                <w:tcPr>
                  <w:tcW w:w="944"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三圣村居民</w:t>
                  </w:r>
                </w:p>
              </w:tc>
              <w:tc>
                <w:tcPr>
                  <w:tcW w:w="1632"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第四段疏浚（临右6+</w:t>
                  </w:r>
                  <w:r>
                    <w:rPr>
                      <w:rFonts w:hint="eastAsia" w:cs="Times New Roman"/>
                      <w:color w:val="auto"/>
                      <w:sz w:val="21"/>
                      <w:szCs w:val="21"/>
                      <w:lang w:val="en-US" w:eastAsia="zh-CN"/>
                    </w:rPr>
                    <w:t>287</w:t>
                  </w:r>
                  <w:r>
                    <w:rPr>
                      <w:rFonts w:hint="eastAsia" w:eastAsia="宋体" w:cs="Times New Roman"/>
                      <w:color w:val="auto"/>
                      <w:sz w:val="21"/>
                      <w:szCs w:val="21"/>
                      <w:lang w:val="en-US" w:eastAsia="zh-CN"/>
                    </w:rPr>
                    <w:t>）西北侧约9m-50m</w:t>
                  </w:r>
                </w:p>
              </w:tc>
              <w:tc>
                <w:tcPr>
                  <w:tcW w:w="763"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3户，9人</w:t>
                  </w:r>
                </w:p>
              </w:tc>
              <w:tc>
                <w:tcPr>
                  <w:tcW w:w="1178" w:type="pct"/>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8" w:hRule="atLeast"/>
                <w:jc w:val="center"/>
              </w:trPr>
              <w:tc>
                <w:tcPr>
                  <w:tcW w:w="482" w:type="pct"/>
                  <w:vMerge w:val="restar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环境空气</w:t>
                  </w:r>
                </w:p>
              </w:tc>
              <w:tc>
                <w:tcPr>
                  <w:tcW w:w="944"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周桃枝家居民</w:t>
                  </w:r>
                </w:p>
              </w:tc>
              <w:tc>
                <w:tcPr>
                  <w:tcW w:w="1632"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第一段疏浚（临右0+156）东</w:t>
                  </w:r>
                  <w:r>
                    <w:rPr>
                      <w:rFonts w:hint="eastAsia" w:cs="Times New Roman"/>
                      <w:color w:val="auto"/>
                      <w:sz w:val="21"/>
                      <w:szCs w:val="21"/>
                      <w:lang w:val="en-US" w:eastAsia="zh-CN"/>
                    </w:rPr>
                    <w:t>北</w:t>
                  </w:r>
                  <w:r>
                    <w:rPr>
                      <w:rFonts w:hint="eastAsia" w:eastAsia="宋体" w:cs="Times New Roman"/>
                      <w:color w:val="auto"/>
                      <w:sz w:val="21"/>
                      <w:szCs w:val="21"/>
                      <w:lang w:val="en-US" w:eastAsia="zh-CN"/>
                    </w:rPr>
                    <w:t>侧约</w:t>
                  </w:r>
                  <w:r>
                    <w:rPr>
                      <w:rFonts w:hint="eastAsia" w:cs="Times New Roman"/>
                      <w:color w:val="auto"/>
                      <w:sz w:val="21"/>
                      <w:szCs w:val="21"/>
                      <w:lang w:val="en-US" w:eastAsia="zh-CN"/>
                    </w:rPr>
                    <w:t>5</w:t>
                  </w:r>
                  <w:r>
                    <w:rPr>
                      <w:rFonts w:hint="eastAsia" w:eastAsia="宋体" w:cs="Times New Roman"/>
                      <w:color w:val="auto"/>
                      <w:sz w:val="21"/>
                      <w:szCs w:val="21"/>
                      <w:lang w:val="en-US" w:eastAsia="zh-CN"/>
                    </w:rPr>
                    <w:t>m-500m</w:t>
                  </w:r>
                </w:p>
              </w:tc>
              <w:tc>
                <w:tcPr>
                  <w:tcW w:w="763"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50户，150人</w:t>
                  </w:r>
                </w:p>
              </w:tc>
              <w:tc>
                <w:tcPr>
                  <w:tcW w:w="1178" w:type="pct"/>
                  <w:vMerge w:val="restar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color w:val="auto"/>
                      <w:sz w:val="21"/>
                      <w:szCs w:val="21"/>
                      <w:lang w:val="en-US" w:eastAsia="zh-CN"/>
                    </w:rPr>
                  </w:pPr>
                  <w:r>
                    <w:rPr>
                      <w:rFonts w:hint="default" w:ascii="Times New Roman" w:hAnsi="Times New Roman" w:eastAsia="宋体" w:cs="Times New Roman"/>
                      <w:bCs/>
                      <w:color w:val="auto"/>
                      <w:sz w:val="21"/>
                      <w:szCs w:val="21"/>
                    </w:rPr>
                    <w:t>环境空气质量标准》（GB</w:t>
                  </w:r>
                  <w:r>
                    <w:rPr>
                      <w:rFonts w:hint="default" w:ascii="Times New Roman" w:hAnsi="Times New Roman" w:eastAsia="宋体" w:cs="Times New Roman"/>
                      <w:color w:val="auto"/>
                      <w:sz w:val="21"/>
                      <w:szCs w:val="21"/>
                    </w:rPr>
                    <w:t>3095</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color w:val="auto"/>
                      <w:sz w:val="21"/>
                      <w:szCs w:val="21"/>
                    </w:rPr>
                    <w:t>2012</w:t>
                  </w:r>
                  <w:r>
                    <w:rPr>
                      <w:rFonts w:hint="default" w:ascii="Times New Roman" w:hAnsi="Times New Roman" w:eastAsia="宋体" w:cs="Times New Roman"/>
                      <w:bCs/>
                      <w:color w:val="auto"/>
                      <w:sz w:val="21"/>
                      <w:szCs w:val="21"/>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8" w:hRule="atLeast"/>
                <w:jc w:val="center"/>
              </w:trPr>
              <w:tc>
                <w:tcPr>
                  <w:tcW w:w="482" w:type="pct"/>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pPr>
                </w:p>
              </w:tc>
              <w:tc>
                <w:tcPr>
                  <w:tcW w:w="944"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default" w:eastAsia="宋体" w:cs="Times New Roman"/>
                      <w:color w:val="auto"/>
                      <w:sz w:val="21"/>
                      <w:szCs w:val="21"/>
                      <w:lang w:val="en-US" w:eastAsia="zh-CN"/>
                    </w:rPr>
                  </w:pPr>
                  <w:r>
                    <w:rPr>
                      <w:rFonts w:hint="eastAsia" w:cs="Times New Roman"/>
                      <w:color w:val="auto"/>
                      <w:sz w:val="21"/>
                      <w:szCs w:val="21"/>
                      <w:lang w:val="en-US" w:eastAsia="zh-CN"/>
                    </w:rPr>
                    <w:t>居民</w:t>
                  </w:r>
                </w:p>
              </w:tc>
              <w:tc>
                <w:tcPr>
                  <w:tcW w:w="1632"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第二段护岸（临右1+100）西北侧34m~5</w:t>
                  </w:r>
                  <w:r>
                    <w:rPr>
                      <w:rFonts w:hint="eastAsia" w:cs="Times New Roman"/>
                      <w:color w:val="auto"/>
                      <w:sz w:val="21"/>
                      <w:szCs w:val="21"/>
                      <w:lang w:val="en-US" w:eastAsia="zh-CN"/>
                    </w:rPr>
                    <w:t>0</w:t>
                  </w:r>
                  <w:r>
                    <w:rPr>
                      <w:rFonts w:hint="eastAsia" w:eastAsia="宋体" w:cs="Times New Roman"/>
                      <w:color w:val="auto"/>
                      <w:sz w:val="21"/>
                      <w:szCs w:val="21"/>
                      <w:lang w:val="en-US" w:eastAsia="zh-CN"/>
                    </w:rPr>
                    <w:t>0m</w:t>
                  </w:r>
                </w:p>
              </w:tc>
              <w:tc>
                <w:tcPr>
                  <w:tcW w:w="763"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default" w:eastAsia="宋体" w:cs="Times New Roman"/>
                      <w:color w:val="auto"/>
                      <w:sz w:val="21"/>
                      <w:szCs w:val="21"/>
                      <w:lang w:val="en-US" w:eastAsia="zh-CN"/>
                    </w:rPr>
                  </w:pPr>
                  <w:r>
                    <w:rPr>
                      <w:rFonts w:hint="eastAsia" w:cs="Times New Roman"/>
                      <w:color w:val="auto"/>
                      <w:sz w:val="21"/>
                      <w:szCs w:val="21"/>
                      <w:lang w:val="en-US" w:eastAsia="zh-CN"/>
                    </w:rPr>
                    <w:t>20户，60人</w:t>
                  </w:r>
                </w:p>
              </w:tc>
              <w:tc>
                <w:tcPr>
                  <w:tcW w:w="1178" w:type="pct"/>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8" w:hRule="atLeast"/>
                <w:jc w:val="center"/>
              </w:trPr>
              <w:tc>
                <w:tcPr>
                  <w:tcW w:w="482" w:type="pct"/>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color w:val="auto"/>
                      <w:sz w:val="21"/>
                      <w:szCs w:val="21"/>
                      <w:lang w:val="en-US" w:eastAsia="zh-CN"/>
                    </w:rPr>
                  </w:pPr>
                </w:p>
              </w:tc>
              <w:tc>
                <w:tcPr>
                  <w:tcW w:w="944"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平兴村</w:t>
                  </w:r>
                  <w:r>
                    <w:rPr>
                      <w:rFonts w:hint="eastAsia" w:cs="Times New Roman"/>
                      <w:color w:val="auto"/>
                      <w:sz w:val="21"/>
                      <w:szCs w:val="21"/>
                      <w:lang w:val="en-US" w:eastAsia="zh-CN"/>
                    </w:rPr>
                    <w:t>、李村</w:t>
                  </w:r>
                  <w:r>
                    <w:rPr>
                      <w:rFonts w:hint="eastAsia" w:eastAsia="宋体" w:cs="Times New Roman"/>
                      <w:color w:val="auto"/>
                      <w:sz w:val="21"/>
                      <w:szCs w:val="21"/>
                      <w:lang w:val="en-US" w:eastAsia="zh-CN"/>
                    </w:rPr>
                    <w:t>居民</w:t>
                  </w:r>
                </w:p>
              </w:tc>
              <w:tc>
                <w:tcPr>
                  <w:tcW w:w="1632"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第二段疏浚（临左1+</w:t>
                  </w:r>
                  <w:r>
                    <w:rPr>
                      <w:rFonts w:hint="eastAsia" w:cs="Times New Roman"/>
                      <w:color w:val="auto"/>
                      <w:sz w:val="21"/>
                      <w:szCs w:val="21"/>
                      <w:lang w:val="en-US" w:eastAsia="zh-CN"/>
                    </w:rPr>
                    <w:t>900</w:t>
                  </w:r>
                  <w:r>
                    <w:rPr>
                      <w:rFonts w:hint="eastAsia" w:eastAsia="宋体" w:cs="Times New Roman"/>
                      <w:color w:val="auto"/>
                      <w:sz w:val="21"/>
                      <w:szCs w:val="21"/>
                      <w:lang w:val="en-US" w:eastAsia="zh-CN"/>
                    </w:rPr>
                    <w:t>）北侧约</w:t>
                  </w:r>
                  <w:r>
                    <w:rPr>
                      <w:rFonts w:hint="eastAsia" w:cs="Times New Roman"/>
                      <w:color w:val="auto"/>
                      <w:sz w:val="21"/>
                      <w:szCs w:val="21"/>
                      <w:lang w:val="en-US" w:eastAsia="zh-CN"/>
                    </w:rPr>
                    <w:t>64</w:t>
                  </w:r>
                  <w:r>
                    <w:rPr>
                      <w:rFonts w:hint="eastAsia" w:eastAsia="宋体" w:cs="Times New Roman"/>
                      <w:color w:val="auto"/>
                      <w:sz w:val="21"/>
                      <w:szCs w:val="21"/>
                      <w:lang w:val="en-US" w:eastAsia="zh-CN"/>
                    </w:rPr>
                    <w:t>m-500m</w:t>
                  </w:r>
                </w:p>
              </w:tc>
              <w:tc>
                <w:tcPr>
                  <w:tcW w:w="763"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130户，390人</w:t>
                  </w:r>
                </w:p>
              </w:tc>
              <w:tc>
                <w:tcPr>
                  <w:tcW w:w="1178" w:type="pct"/>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8" w:hRule="atLeast"/>
                <w:jc w:val="center"/>
              </w:trPr>
              <w:tc>
                <w:tcPr>
                  <w:tcW w:w="482" w:type="pct"/>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color w:val="auto"/>
                      <w:sz w:val="21"/>
                      <w:szCs w:val="21"/>
                      <w:lang w:val="en-US" w:eastAsia="zh-CN"/>
                    </w:rPr>
                  </w:pPr>
                </w:p>
              </w:tc>
              <w:tc>
                <w:tcPr>
                  <w:tcW w:w="944"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游坝村居民</w:t>
                  </w:r>
                </w:p>
              </w:tc>
              <w:tc>
                <w:tcPr>
                  <w:tcW w:w="1632"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第二段疏浚（临右1+700）西南侧约57m~500m</w:t>
                  </w:r>
                </w:p>
              </w:tc>
              <w:tc>
                <w:tcPr>
                  <w:tcW w:w="763"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130户，390人</w:t>
                  </w:r>
                </w:p>
              </w:tc>
              <w:tc>
                <w:tcPr>
                  <w:tcW w:w="1178" w:type="pct"/>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8" w:hRule="atLeast"/>
                <w:jc w:val="center"/>
              </w:trPr>
              <w:tc>
                <w:tcPr>
                  <w:tcW w:w="482" w:type="pct"/>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color w:val="auto"/>
                      <w:sz w:val="21"/>
                      <w:szCs w:val="21"/>
                      <w:lang w:val="en-US" w:eastAsia="zh-CN"/>
                    </w:rPr>
                  </w:pPr>
                </w:p>
              </w:tc>
              <w:tc>
                <w:tcPr>
                  <w:tcW w:w="944"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游坝村居民</w:t>
                  </w:r>
                </w:p>
              </w:tc>
              <w:tc>
                <w:tcPr>
                  <w:tcW w:w="1632"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第二段疏浚（临右2+170）南侧约71m~500m</w:t>
                  </w:r>
                </w:p>
              </w:tc>
              <w:tc>
                <w:tcPr>
                  <w:tcW w:w="763"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45户，135人</w:t>
                  </w:r>
                </w:p>
              </w:tc>
              <w:tc>
                <w:tcPr>
                  <w:tcW w:w="1178" w:type="pct"/>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8" w:hRule="atLeast"/>
                <w:jc w:val="center"/>
              </w:trPr>
              <w:tc>
                <w:tcPr>
                  <w:tcW w:w="482" w:type="pct"/>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color w:val="auto"/>
                      <w:sz w:val="21"/>
                      <w:szCs w:val="21"/>
                      <w:lang w:val="en-US" w:eastAsia="zh-CN"/>
                    </w:rPr>
                  </w:pPr>
                </w:p>
              </w:tc>
              <w:tc>
                <w:tcPr>
                  <w:tcW w:w="1590" w:type="dxa"/>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居民</w:t>
                  </w:r>
                </w:p>
              </w:tc>
              <w:tc>
                <w:tcPr>
                  <w:tcW w:w="2749" w:type="dxa"/>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第二段疏浚（临右2+618）东南侧约82m~500m</w:t>
                  </w:r>
                </w:p>
              </w:tc>
              <w:tc>
                <w:tcPr>
                  <w:tcW w:w="1285" w:type="dxa"/>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12户，36人</w:t>
                  </w:r>
                </w:p>
              </w:tc>
              <w:tc>
                <w:tcPr>
                  <w:tcW w:w="1178" w:type="pct"/>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8" w:hRule="atLeast"/>
                <w:jc w:val="center"/>
              </w:trPr>
              <w:tc>
                <w:tcPr>
                  <w:tcW w:w="482" w:type="pct"/>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color w:val="auto"/>
                      <w:sz w:val="21"/>
                      <w:szCs w:val="21"/>
                      <w:lang w:val="en-US" w:eastAsia="zh-CN"/>
                    </w:rPr>
                  </w:pPr>
                </w:p>
              </w:tc>
              <w:tc>
                <w:tcPr>
                  <w:tcW w:w="944"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冯堰碥居民</w:t>
                  </w:r>
                </w:p>
              </w:tc>
              <w:tc>
                <w:tcPr>
                  <w:tcW w:w="1632"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第三段疏浚（临左2+900）西北侧约10m~500m</w:t>
                  </w:r>
                </w:p>
              </w:tc>
              <w:tc>
                <w:tcPr>
                  <w:tcW w:w="763"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default" w:eastAsia="宋体" w:cs="Times New Roman"/>
                      <w:color w:val="auto"/>
                      <w:sz w:val="21"/>
                      <w:szCs w:val="21"/>
                      <w:lang w:val="en-US" w:eastAsia="zh-CN"/>
                    </w:rPr>
                  </w:pPr>
                  <w:r>
                    <w:rPr>
                      <w:rFonts w:hint="eastAsia" w:cs="Times New Roman"/>
                      <w:color w:val="auto"/>
                      <w:sz w:val="21"/>
                      <w:szCs w:val="21"/>
                      <w:lang w:val="en-US" w:eastAsia="zh-CN"/>
                    </w:rPr>
                    <w:t>100户，300人</w:t>
                  </w:r>
                </w:p>
              </w:tc>
              <w:tc>
                <w:tcPr>
                  <w:tcW w:w="1178" w:type="pct"/>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8" w:hRule="atLeast"/>
                <w:jc w:val="center"/>
              </w:trPr>
              <w:tc>
                <w:tcPr>
                  <w:tcW w:w="482" w:type="pct"/>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color w:val="auto"/>
                      <w:sz w:val="21"/>
                      <w:szCs w:val="21"/>
                      <w:lang w:val="en-US" w:eastAsia="zh-CN"/>
                    </w:rPr>
                  </w:pPr>
                </w:p>
              </w:tc>
              <w:tc>
                <w:tcPr>
                  <w:tcW w:w="944"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陈坝村居民</w:t>
                  </w:r>
                </w:p>
              </w:tc>
              <w:tc>
                <w:tcPr>
                  <w:tcW w:w="1632"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第三段疏浚（临左3+500）西北侧约30m~500m</w:t>
                  </w:r>
                </w:p>
              </w:tc>
              <w:tc>
                <w:tcPr>
                  <w:tcW w:w="763"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default" w:eastAsia="宋体" w:cs="Times New Roman"/>
                      <w:color w:val="auto"/>
                      <w:sz w:val="21"/>
                      <w:szCs w:val="21"/>
                      <w:lang w:val="en-US" w:eastAsia="zh-CN"/>
                    </w:rPr>
                  </w:pPr>
                  <w:r>
                    <w:rPr>
                      <w:rFonts w:hint="eastAsia" w:cs="Times New Roman"/>
                      <w:color w:val="auto"/>
                      <w:sz w:val="21"/>
                      <w:szCs w:val="21"/>
                      <w:lang w:val="en-US" w:eastAsia="zh-CN"/>
                    </w:rPr>
                    <w:t>80户，240人</w:t>
                  </w:r>
                </w:p>
              </w:tc>
              <w:tc>
                <w:tcPr>
                  <w:tcW w:w="1178" w:type="pct"/>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8" w:hRule="atLeast"/>
                <w:jc w:val="center"/>
              </w:trPr>
              <w:tc>
                <w:tcPr>
                  <w:tcW w:w="482" w:type="pct"/>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color w:val="auto"/>
                      <w:sz w:val="21"/>
                      <w:szCs w:val="21"/>
                      <w:lang w:val="en-US" w:eastAsia="zh-CN"/>
                    </w:rPr>
                  </w:pPr>
                </w:p>
              </w:tc>
              <w:tc>
                <w:tcPr>
                  <w:tcW w:w="944"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color w:val="auto"/>
                      <w:sz w:val="21"/>
                      <w:szCs w:val="21"/>
                      <w:lang w:val="en-US" w:eastAsia="zh-CN"/>
                    </w:rPr>
                  </w:pPr>
                  <w:r>
                    <w:rPr>
                      <w:rFonts w:hint="eastAsia" w:cs="Times New Roman"/>
                      <w:color w:val="auto"/>
                      <w:sz w:val="21"/>
                      <w:szCs w:val="21"/>
                      <w:lang w:val="en-US" w:eastAsia="zh-CN"/>
                    </w:rPr>
                    <w:t>三圣村</w:t>
                  </w:r>
                  <w:r>
                    <w:rPr>
                      <w:rFonts w:hint="eastAsia" w:eastAsia="宋体" w:cs="Times New Roman"/>
                      <w:color w:val="auto"/>
                      <w:sz w:val="21"/>
                      <w:szCs w:val="21"/>
                      <w:lang w:val="en-US" w:eastAsia="zh-CN"/>
                    </w:rPr>
                    <w:t>居民</w:t>
                  </w:r>
                </w:p>
              </w:tc>
              <w:tc>
                <w:tcPr>
                  <w:tcW w:w="1632"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第三段护岸（临左5+100）西北侧约9m~500m</w:t>
                  </w:r>
                </w:p>
              </w:tc>
              <w:tc>
                <w:tcPr>
                  <w:tcW w:w="763"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17户，51人</w:t>
                  </w:r>
                </w:p>
              </w:tc>
              <w:tc>
                <w:tcPr>
                  <w:tcW w:w="1178" w:type="pct"/>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8" w:hRule="atLeast"/>
                <w:jc w:val="center"/>
              </w:trPr>
              <w:tc>
                <w:tcPr>
                  <w:tcW w:w="482" w:type="pct"/>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color w:val="auto"/>
                      <w:sz w:val="21"/>
                      <w:szCs w:val="21"/>
                      <w:lang w:val="en-US" w:eastAsia="zh-CN"/>
                    </w:rPr>
                  </w:pPr>
                </w:p>
              </w:tc>
              <w:tc>
                <w:tcPr>
                  <w:tcW w:w="944"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胡村居民</w:t>
                  </w:r>
                </w:p>
              </w:tc>
              <w:tc>
                <w:tcPr>
                  <w:tcW w:w="1632"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第二段加固（临右5+400）南侧约12m~500m</w:t>
                  </w:r>
                </w:p>
              </w:tc>
              <w:tc>
                <w:tcPr>
                  <w:tcW w:w="763"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110户，330人</w:t>
                  </w:r>
                </w:p>
              </w:tc>
              <w:tc>
                <w:tcPr>
                  <w:tcW w:w="1178" w:type="pct"/>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8" w:hRule="atLeast"/>
                <w:jc w:val="center"/>
              </w:trPr>
              <w:tc>
                <w:tcPr>
                  <w:tcW w:w="482" w:type="pct"/>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color w:val="auto"/>
                      <w:sz w:val="21"/>
                      <w:szCs w:val="21"/>
                      <w:lang w:val="en-US" w:eastAsia="zh-CN"/>
                    </w:rPr>
                  </w:pPr>
                </w:p>
              </w:tc>
              <w:tc>
                <w:tcPr>
                  <w:tcW w:w="944"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夏村居民</w:t>
                  </w:r>
                </w:p>
              </w:tc>
              <w:tc>
                <w:tcPr>
                  <w:tcW w:w="1632"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第三段加固（临右5+800）南侧约20m~500m</w:t>
                  </w:r>
                </w:p>
              </w:tc>
              <w:tc>
                <w:tcPr>
                  <w:tcW w:w="763"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40户，120人</w:t>
                  </w:r>
                </w:p>
              </w:tc>
              <w:tc>
                <w:tcPr>
                  <w:tcW w:w="1178" w:type="pct"/>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8" w:hRule="atLeast"/>
                <w:jc w:val="center"/>
              </w:trPr>
              <w:tc>
                <w:tcPr>
                  <w:tcW w:w="482" w:type="pct"/>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color w:val="auto"/>
                      <w:sz w:val="21"/>
                      <w:szCs w:val="21"/>
                      <w:lang w:val="en-US" w:eastAsia="zh-CN"/>
                    </w:rPr>
                  </w:pPr>
                </w:p>
              </w:tc>
              <w:tc>
                <w:tcPr>
                  <w:tcW w:w="1590" w:type="dxa"/>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cs="Times New Roman"/>
                      <w:color w:val="auto"/>
                      <w:sz w:val="21"/>
                      <w:szCs w:val="21"/>
                      <w:lang w:val="en-US" w:eastAsia="zh-CN"/>
                    </w:rPr>
                  </w:pPr>
                  <w:r>
                    <w:rPr>
                      <w:rFonts w:hint="eastAsia" w:cs="Times New Roman"/>
                      <w:color w:val="auto"/>
                      <w:sz w:val="21"/>
                      <w:szCs w:val="21"/>
                      <w:lang w:val="en-US" w:eastAsia="zh-CN"/>
                    </w:rPr>
                    <w:t>三圣村</w:t>
                  </w:r>
                  <w:r>
                    <w:rPr>
                      <w:rFonts w:hint="eastAsia" w:eastAsia="宋体" w:cs="Times New Roman"/>
                      <w:color w:val="auto"/>
                      <w:sz w:val="21"/>
                      <w:szCs w:val="21"/>
                      <w:lang w:val="en-US" w:eastAsia="zh-CN"/>
                    </w:rPr>
                    <w:t>居民</w:t>
                  </w:r>
                </w:p>
              </w:tc>
              <w:tc>
                <w:tcPr>
                  <w:tcW w:w="2749" w:type="dxa"/>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第四段疏浚（临右6+287）西北侧约9m~500m</w:t>
                  </w:r>
                </w:p>
              </w:tc>
              <w:tc>
                <w:tcPr>
                  <w:tcW w:w="1285" w:type="dxa"/>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20户，60人</w:t>
                  </w:r>
                </w:p>
              </w:tc>
              <w:tc>
                <w:tcPr>
                  <w:tcW w:w="1178" w:type="pct"/>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8" w:hRule="atLeast"/>
                <w:jc w:val="center"/>
              </w:trPr>
              <w:tc>
                <w:tcPr>
                  <w:tcW w:w="482" w:type="pct"/>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color w:val="auto"/>
                      <w:sz w:val="21"/>
                      <w:szCs w:val="21"/>
                      <w:lang w:val="en-US" w:eastAsia="zh-CN"/>
                    </w:rPr>
                  </w:pPr>
                </w:p>
              </w:tc>
              <w:tc>
                <w:tcPr>
                  <w:tcW w:w="944"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平兴镇居民</w:t>
                  </w:r>
                </w:p>
              </w:tc>
              <w:tc>
                <w:tcPr>
                  <w:tcW w:w="1632"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第三段加固（临右6+078）东侧约246m~500m有50户</w:t>
                  </w:r>
                </w:p>
              </w:tc>
              <w:tc>
                <w:tcPr>
                  <w:tcW w:w="763"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default" w:eastAsia="宋体" w:cs="Times New Roman"/>
                      <w:color w:val="auto"/>
                      <w:sz w:val="21"/>
                      <w:szCs w:val="21"/>
                      <w:lang w:val="en-US" w:eastAsia="zh-CN"/>
                    </w:rPr>
                  </w:pPr>
                  <w:r>
                    <w:rPr>
                      <w:rFonts w:hint="eastAsia" w:cs="Times New Roman"/>
                      <w:color w:val="auto"/>
                      <w:sz w:val="21"/>
                      <w:szCs w:val="21"/>
                      <w:lang w:val="en-US" w:eastAsia="zh-CN"/>
                    </w:rPr>
                    <w:t>50户，150人</w:t>
                  </w:r>
                </w:p>
              </w:tc>
              <w:tc>
                <w:tcPr>
                  <w:tcW w:w="1178" w:type="pct"/>
                  <w:vMerge w:val="continue"/>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8" w:hRule="atLeast"/>
                <w:jc w:val="center"/>
              </w:trPr>
              <w:tc>
                <w:tcPr>
                  <w:tcW w:w="482" w:type="pct"/>
                  <w:noWrap w:val="0"/>
                  <w:vAlign w:val="center"/>
                </w:tcPr>
                <w:p>
                  <w:pPr>
                    <w:pStyle w:val="54"/>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color w:val="auto"/>
                      <w:sz w:val="21"/>
                      <w:szCs w:val="21"/>
                      <w:lang w:val="en-US" w:eastAsia="zh-CN"/>
                    </w:rPr>
                  </w:pPr>
                  <w:r>
                    <w:rPr>
                      <w:rFonts w:hint="default" w:ascii="Times New Roman" w:hAnsi="Times New Roman" w:eastAsia="宋体" w:cs="Times New Roman"/>
                      <w:b/>
                      <w:bCs/>
                      <w:color w:val="auto"/>
                      <w:sz w:val="21"/>
                      <w:szCs w:val="21"/>
                    </w:rPr>
                    <w:t>生态环境</w:t>
                  </w:r>
                </w:p>
              </w:tc>
              <w:tc>
                <w:tcPr>
                  <w:tcW w:w="3339" w:type="pct"/>
                  <w:gridSpan w:val="3"/>
                  <w:noWrap w:val="0"/>
                  <w:vAlign w:val="center"/>
                </w:tcPr>
                <w:p>
                  <w:pPr>
                    <w:pStyle w:val="54"/>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color w:val="auto"/>
                      <w:sz w:val="21"/>
                      <w:szCs w:val="21"/>
                      <w:lang w:val="en-US" w:eastAsia="zh-CN"/>
                    </w:rPr>
                  </w:pPr>
                  <w:r>
                    <w:rPr>
                      <w:rFonts w:hint="eastAsia" w:ascii="Times New Roman" w:eastAsia="宋体" w:cs="Times New Roman"/>
                      <w:color w:val="auto"/>
                      <w:sz w:val="21"/>
                      <w:szCs w:val="21"/>
                      <w:lang w:val="en-US" w:eastAsia="zh-CN"/>
                    </w:rPr>
                    <w:t>临江河</w:t>
                  </w:r>
                  <w:r>
                    <w:rPr>
                      <w:rFonts w:hint="default" w:ascii="Times New Roman" w:hAnsi="Times New Roman" w:eastAsia="宋体" w:cs="Times New Roman"/>
                      <w:color w:val="auto"/>
                      <w:sz w:val="21"/>
                      <w:szCs w:val="21"/>
                      <w:lang w:val="en-US" w:eastAsia="zh-CN"/>
                    </w:rPr>
                    <w:t>河道内及施工周边</w:t>
                  </w:r>
                </w:p>
              </w:tc>
              <w:tc>
                <w:tcPr>
                  <w:tcW w:w="1178" w:type="pct"/>
                  <w:noWrap w:val="0"/>
                  <w:vAlign w:val="center"/>
                </w:tcPr>
                <w:p>
                  <w:pPr>
                    <w:keepNext w:val="0"/>
                    <w:keepLines w:val="0"/>
                    <w:pageBreakBefore w:val="0"/>
                    <w:widowControl w:val="0"/>
                    <w:kinsoku/>
                    <w:wordWrap/>
                    <w:overflowPunct/>
                    <w:topLinePunct w:val="0"/>
                    <w:bidi w:val="0"/>
                    <w:adjustRightInd w:val="0"/>
                    <w:snapToGrid w:val="0"/>
                    <w:jc w:val="center"/>
                    <w:textAlignment w:val="auto"/>
                    <w:outlineLvl w:val="9"/>
                    <w:rPr>
                      <w:rFonts w:hint="eastAsia" w:eastAsia="宋体" w:cs="Times New Roman"/>
                      <w:color w:val="auto"/>
                      <w:sz w:val="21"/>
                      <w:szCs w:val="21"/>
                      <w:lang w:val="en-US" w:eastAsia="zh-CN"/>
                    </w:rPr>
                  </w:pPr>
                  <w:r>
                    <w:rPr>
                      <w:rFonts w:hint="default" w:ascii="Times New Roman" w:hAnsi="Times New Roman" w:eastAsia="宋体" w:cs="Times New Roman"/>
                      <w:color w:val="auto"/>
                      <w:kern w:val="0"/>
                      <w:sz w:val="21"/>
                      <w:szCs w:val="21"/>
                    </w:rPr>
                    <w:t>生态环境以不减少区内濒危珍稀动植物和不破坏生态系统完整性为标准，水土流失以不改变土壤侵蚀类型为标准</w:t>
                  </w:r>
                </w:p>
              </w:tc>
            </w:tr>
          </w:tbl>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color w:val="0000FF"/>
                <w:kern w:val="0"/>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2"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评价标准</w:t>
            </w:r>
          </w:p>
        </w:tc>
        <w:tc>
          <w:tcPr>
            <w:tcW w:w="44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outlineLvl w:val="9"/>
              <w:rPr>
                <w:rFonts w:hint="default" w:ascii="Times New Roman" w:hAnsi="Times New Roman" w:eastAsia="宋体" w:cs="Times New Roman"/>
                <w:b/>
                <w:bCs/>
                <w:color w:val="auto"/>
                <w:kern w:val="0"/>
                <w:sz w:val="24"/>
                <w:szCs w:val="24"/>
                <w:lang w:val="en-US" w:eastAsia="zh-CN"/>
              </w:rPr>
            </w:pPr>
            <w:r>
              <w:rPr>
                <w:rFonts w:hint="default" w:ascii="Times New Roman" w:hAnsi="Times New Roman" w:eastAsia="宋体" w:cs="Times New Roman"/>
                <w:b/>
                <w:bCs/>
                <w:color w:val="auto"/>
                <w:kern w:val="0"/>
                <w:sz w:val="24"/>
                <w:szCs w:val="24"/>
                <w:lang w:val="en-US" w:eastAsia="zh-CN"/>
              </w:rPr>
              <w:t>1、环境质量标准</w:t>
            </w:r>
          </w:p>
          <w:p>
            <w:pPr>
              <w:adjustRightInd w:val="0"/>
              <w:snapToGrid w:val="0"/>
              <w:spacing w:line="360" w:lineRule="auto"/>
              <w:ind w:firstLine="480" w:firstLineChars="200"/>
              <w:jc w:val="left"/>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环境空气质量</w:t>
            </w:r>
          </w:p>
          <w:p>
            <w:pPr>
              <w:adjustRightInd w:val="0"/>
              <w:snapToGrid w:val="0"/>
              <w:spacing w:line="360" w:lineRule="auto"/>
              <w:ind w:firstLine="480" w:firstLineChars="200"/>
              <w:jc w:val="left"/>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rPr>
              <w:t>项目所在地周围大气环境执行《环境空气质量标准》</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GB3095-2012</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中的二级标准，详</w:t>
            </w:r>
            <w:r>
              <w:rPr>
                <w:rFonts w:hint="default" w:ascii="Times New Roman" w:hAnsi="Times New Roman" w:eastAsia="宋体" w:cs="Times New Roman"/>
                <w:color w:val="auto"/>
                <w:sz w:val="24"/>
                <w:szCs w:val="24"/>
                <w:highlight w:val="none"/>
              </w:rPr>
              <w:t>见下表</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rPr>
              <w:t>。</w:t>
            </w:r>
          </w:p>
          <w:p>
            <w:pPr>
              <w:adjustRightInd w:val="0"/>
              <w:snapToGrid w:val="0"/>
              <w:spacing w:line="360" w:lineRule="auto"/>
              <w:jc w:val="center"/>
              <w:textAlignment w:val="baseline"/>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rPr>
              <w:t>-</w:t>
            </w:r>
            <w:r>
              <w:rPr>
                <w:rFonts w:hint="eastAsia" w:cs="Times New Roman"/>
                <w:b/>
                <w:bCs/>
                <w:color w:val="auto"/>
                <w:sz w:val="21"/>
                <w:szCs w:val="21"/>
                <w:highlight w:val="none"/>
                <w:lang w:val="en-US" w:eastAsia="zh-CN"/>
              </w:rPr>
              <w:t>11</w:t>
            </w:r>
            <w:r>
              <w:rPr>
                <w:rFonts w:hint="default" w:ascii="Times New Roman" w:hAnsi="Times New Roman" w:eastAsia="宋体" w:cs="Times New Roman"/>
                <w:b/>
                <w:bCs/>
                <w:color w:val="auto"/>
                <w:sz w:val="21"/>
                <w:szCs w:val="21"/>
                <w:highlight w:val="none"/>
              </w:rPr>
              <w:t xml:space="preserve">  各项污染物的浓度限值  单位：μg/m</w:t>
            </w:r>
            <w:r>
              <w:rPr>
                <w:rFonts w:hint="default" w:ascii="Times New Roman" w:hAnsi="Times New Roman" w:eastAsia="宋体" w:cs="Times New Roman"/>
                <w:b/>
                <w:bCs/>
                <w:color w:val="auto"/>
                <w:sz w:val="21"/>
                <w:szCs w:val="21"/>
                <w:highlight w:val="none"/>
                <w:vertAlign w:val="superscript"/>
              </w:rPr>
              <w:t>3</w:t>
            </w:r>
          </w:p>
          <w:tbl>
            <w:tblPr>
              <w:tblStyle w:val="4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5"/>
              <w:gridCol w:w="1520"/>
              <w:gridCol w:w="1671"/>
              <w:gridCol w:w="1172"/>
              <w:gridCol w:w="2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pct"/>
                  <w:vMerge w:val="restart"/>
                  <w:noWrap w:val="0"/>
                  <w:vAlign w:val="center"/>
                </w:tcPr>
                <w:p>
                  <w:pPr>
                    <w:adjustRightInd w:val="0"/>
                    <w:snapToGrid w:val="0"/>
                    <w:jc w:val="center"/>
                    <w:outlineLvl w:val="9"/>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污染物</w:t>
                  </w:r>
                </w:p>
              </w:tc>
              <w:tc>
                <w:tcPr>
                  <w:tcW w:w="2590" w:type="pct"/>
                  <w:gridSpan w:val="3"/>
                  <w:noWrap w:val="0"/>
                  <w:vAlign w:val="center"/>
                </w:tcPr>
                <w:p>
                  <w:pPr>
                    <w:adjustRightInd w:val="0"/>
                    <w:snapToGrid w:val="0"/>
                    <w:jc w:val="center"/>
                    <w:outlineLvl w:val="9"/>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污染物的浓度限值（ug/m</w:t>
                  </w:r>
                  <w:r>
                    <w:rPr>
                      <w:rFonts w:hint="default" w:ascii="Times New Roman" w:hAnsi="Times New Roman" w:eastAsia="宋体" w:cs="Times New Roman"/>
                      <w:b/>
                      <w:bCs/>
                      <w:color w:val="auto"/>
                      <w:szCs w:val="21"/>
                      <w:vertAlign w:val="superscript"/>
                    </w:rPr>
                    <w:t>3</w:t>
                  </w:r>
                  <w:r>
                    <w:rPr>
                      <w:rFonts w:hint="default" w:ascii="Times New Roman" w:hAnsi="Times New Roman" w:eastAsia="宋体" w:cs="Times New Roman"/>
                      <w:b/>
                      <w:bCs/>
                      <w:color w:val="auto"/>
                      <w:szCs w:val="21"/>
                    </w:rPr>
                    <w:t>）</w:t>
                  </w:r>
                </w:p>
              </w:tc>
              <w:tc>
                <w:tcPr>
                  <w:tcW w:w="1271" w:type="pct"/>
                  <w:vMerge w:val="restart"/>
                  <w:noWrap w:val="0"/>
                  <w:vAlign w:val="center"/>
                </w:tcPr>
                <w:p>
                  <w:pPr>
                    <w:adjustRightInd w:val="0"/>
                    <w:snapToGrid w:val="0"/>
                    <w:jc w:val="center"/>
                    <w:outlineLvl w:val="9"/>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pct"/>
                  <w:vMerge w:val="continue"/>
                  <w:noWrap w:val="0"/>
                  <w:vAlign w:val="center"/>
                </w:tcPr>
                <w:p>
                  <w:pPr>
                    <w:adjustRightInd w:val="0"/>
                    <w:snapToGrid w:val="0"/>
                    <w:jc w:val="center"/>
                    <w:outlineLvl w:val="9"/>
                    <w:rPr>
                      <w:rFonts w:hint="default" w:ascii="Times New Roman" w:hAnsi="Times New Roman" w:eastAsia="宋体" w:cs="Times New Roman"/>
                      <w:color w:val="auto"/>
                      <w:szCs w:val="21"/>
                    </w:rPr>
                  </w:pPr>
                </w:p>
              </w:tc>
              <w:tc>
                <w:tcPr>
                  <w:tcW w:w="902" w:type="pct"/>
                  <w:noWrap w:val="0"/>
                  <w:vAlign w:val="center"/>
                </w:tcPr>
                <w:p>
                  <w:pPr>
                    <w:adjustRightInd w:val="0"/>
                    <w:snapToGrid w:val="0"/>
                    <w:jc w:val="center"/>
                    <w:outlineLvl w:val="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1小时平均</w:t>
                  </w:r>
                </w:p>
              </w:tc>
              <w:tc>
                <w:tcPr>
                  <w:tcW w:w="992" w:type="pct"/>
                  <w:noWrap w:val="0"/>
                  <w:vAlign w:val="center"/>
                </w:tcPr>
                <w:p>
                  <w:pPr>
                    <w:adjustRightInd w:val="0"/>
                    <w:snapToGrid w:val="0"/>
                    <w:jc w:val="center"/>
                    <w:outlineLvl w:val="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24小时平均值</w:t>
                  </w:r>
                </w:p>
              </w:tc>
              <w:tc>
                <w:tcPr>
                  <w:tcW w:w="695" w:type="pct"/>
                  <w:noWrap w:val="0"/>
                  <w:vAlign w:val="center"/>
                </w:tcPr>
                <w:p>
                  <w:pPr>
                    <w:adjustRightInd w:val="0"/>
                    <w:snapToGrid w:val="0"/>
                    <w:jc w:val="center"/>
                    <w:outlineLvl w:val="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年平均</w:t>
                  </w:r>
                </w:p>
              </w:tc>
              <w:tc>
                <w:tcPr>
                  <w:tcW w:w="1271" w:type="pct"/>
                  <w:vMerge w:val="continue"/>
                  <w:noWrap w:val="0"/>
                  <w:vAlign w:val="center"/>
                </w:tcPr>
                <w:p>
                  <w:pPr>
                    <w:adjustRightInd w:val="0"/>
                    <w:snapToGrid w:val="0"/>
                    <w:jc w:val="center"/>
                    <w:outlineLvl w:val="9"/>
                    <w:rPr>
                      <w:rFonts w:hint="default"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pct"/>
                  <w:noWrap w:val="0"/>
                  <w:vAlign w:val="center"/>
                </w:tcPr>
                <w:p>
                  <w:pPr>
                    <w:adjustRightInd w:val="0"/>
                    <w:snapToGrid w:val="0"/>
                    <w:jc w:val="center"/>
                    <w:outlineLvl w:val="9"/>
                    <w:rPr>
                      <w:rFonts w:hint="default" w:ascii="Times New Roman" w:hAnsi="Times New Roman" w:eastAsia="宋体" w:cs="Times New Roman"/>
                      <w:color w:val="auto"/>
                      <w:szCs w:val="21"/>
                      <w:vertAlign w:val="subscript"/>
                    </w:rPr>
                  </w:pPr>
                  <w:r>
                    <w:rPr>
                      <w:rFonts w:hint="default" w:ascii="Times New Roman" w:hAnsi="Times New Roman" w:eastAsia="宋体" w:cs="Times New Roman"/>
                      <w:color w:val="auto"/>
                      <w:szCs w:val="21"/>
                    </w:rPr>
                    <w:t>SO</w:t>
                  </w:r>
                  <w:r>
                    <w:rPr>
                      <w:rFonts w:hint="default" w:ascii="Times New Roman" w:hAnsi="Times New Roman" w:eastAsia="宋体" w:cs="Times New Roman"/>
                      <w:color w:val="auto"/>
                      <w:szCs w:val="21"/>
                      <w:vertAlign w:val="subscript"/>
                    </w:rPr>
                    <w:t>2</w:t>
                  </w:r>
                </w:p>
              </w:tc>
              <w:tc>
                <w:tcPr>
                  <w:tcW w:w="902" w:type="pct"/>
                  <w:noWrap w:val="0"/>
                  <w:vAlign w:val="center"/>
                </w:tcPr>
                <w:p>
                  <w:pPr>
                    <w:adjustRightInd w:val="0"/>
                    <w:snapToGrid w:val="0"/>
                    <w:jc w:val="center"/>
                    <w:outlineLvl w:val="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500</w:t>
                  </w:r>
                </w:p>
              </w:tc>
              <w:tc>
                <w:tcPr>
                  <w:tcW w:w="992" w:type="pct"/>
                  <w:noWrap w:val="0"/>
                  <w:vAlign w:val="center"/>
                </w:tcPr>
                <w:p>
                  <w:pPr>
                    <w:adjustRightInd w:val="0"/>
                    <w:snapToGrid w:val="0"/>
                    <w:jc w:val="center"/>
                    <w:outlineLvl w:val="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150</w:t>
                  </w:r>
                </w:p>
              </w:tc>
              <w:tc>
                <w:tcPr>
                  <w:tcW w:w="695" w:type="pct"/>
                  <w:noWrap w:val="0"/>
                  <w:vAlign w:val="center"/>
                </w:tcPr>
                <w:p>
                  <w:pPr>
                    <w:adjustRightInd w:val="0"/>
                    <w:snapToGrid w:val="0"/>
                    <w:jc w:val="center"/>
                    <w:outlineLvl w:val="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60</w:t>
                  </w:r>
                </w:p>
              </w:tc>
              <w:tc>
                <w:tcPr>
                  <w:tcW w:w="1271" w:type="pct"/>
                  <w:vMerge w:val="restart"/>
                  <w:noWrap w:val="0"/>
                  <w:vAlign w:val="center"/>
                </w:tcPr>
                <w:p>
                  <w:pPr>
                    <w:adjustRightInd w:val="0"/>
                    <w:snapToGrid w:val="0"/>
                    <w:jc w:val="center"/>
                    <w:outlineLvl w:val="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《环境空气质量标准》（GB3095-2012）中的二级标准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pct"/>
                  <w:noWrap w:val="0"/>
                  <w:vAlign w:val="center"/>
                </w:tcPr>
                <w:p>
                  <w:pPr>
                    <w:adjustRightInd w:val="0"/>
                    <w:snapToGrid w:val="0"/>
                    <w:jc w:val="center"/>
                    <w:outlineLvl w:val="9"/>
                    <w:rPr>
                      <w:rFonts w:hint="default" w:ascii="Times New Roman" w:hAnsi="Times New Roman" w:eastAsia="宋体" w:cs="Times New Roman"/>
                      <w:color w:val="auto"/>
                      <w:szCs w:val="21"/>
                      <w:vertAlign w:val="subscript"/>
                    </w:rPr>
                  </w:pPr>
                  <w:r>
                    <w:rPr>
                      <w:rFonts w:hint="default" w:ascii="Times New Roman" w:hAnsi="Times New Roman" w:eastAsia="宋体" w:cs="Times New Roman"/>
                      <w:color w:val="auto"/>
                      <w:szCs w:val="21"/>
                    </w:rPr>
                    <w:t>NO</w:t>
                  </w:r>
                  <w:r>
                    <w:rPr>
                      <w:rFonts w:hint="default" w:ascii="Times New Roman" w:hAnsi="Times New Roman" w:eastAsia="宋体" w:cs="Times New Roman"/>
                      <w:color w:val="auto"/>
                      <w:szCs w:val="21"/>
                      <w:vertAlign w:val="subscript"/>
                    </w:rPr>
                    <w:t>2</w:t>
                  </w:r>
                </w:p>
              </w:tc>
              <w:tc>
                <w:tcPr>
                  <w:tcW w:w="902" w:type="pct"/>
                  <w:noWrap w:val="0"/>
                  <w:vAlign w:val="center"/>
                </w:tcPr>
                <w:p>
                  <w:pPr>
                    <w:adjustRightInd w:val="0"/>
                    <w:snapToGrid w:val="0"/>
                    <w:jc w:val="center"/>
                    <w:outlineLvl w:val="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200</w:t>
                  </w:r>
                </w:p>
              </w:tc>
              <w:tc>
                <w:tcPr>
                  <w:tcW w:w="992" w:type="pct"/>
                  <w:noWrap w:val="0"/>
                  <w:vAlign w:val="center"/>
                </w:tcPr>
                <w:p>
                  <w:pPr>
                    <w:adjustRightInd w:val="0"/>
                    <w:snapToGrid w:val="0"/>
                    <w:jc w:val="center"/>
                    <w:outlineLvl w:val="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80</w:t>
                  </w:r>
                </w:p>
              </w:tc>
              <w:tc>
                <w:tcPr>
                  <w:tcW w:w="695" w:type="pct"/>
                  <w:noWrap w:val="0"/>
                  <w:vAlign w:val="center"/>
                </w:tcPr>
                <w:p>
                  <w:pPr>
                    <w:adjustRightInd w:val="0"/>
                    <w:snapToGrid w:val="0"/>
                    <w:jc w:val="center"/>
                    <w:outlineLvl w:val="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40</w:t>
                  </w:r>
                </w:p>
              </w:tc>
              <w:tc>
                <w:tcPr>
                  <w:tcW w:w="1271" w:type="pct"/>
                  <w:vMerge w:val="continue"/>
                  <w:noWrap w:val="0"/>
                  <w:vAlign w:val="center"/>
                </w:tcPr>
                <w:p>
                  <w:pPr>
                    <w:adjustRightInd w:val="0"/>
                    <w:snapToGrid w:val="0"/>
                    <w:jc w:val="center"/>
                    <w:outlineLvl w:val="9"/>
                    <w:rPr>
                      <w:rFonts w:hint="default"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pct"/>
                  <w:noWrap w:val="0"/>
                  <w:vAlign w:val="center"/>
                </w:tcPr>
                <w:p>
                  <w:pPr>
                    <w:adjustRightInd w:val="0"/>
                    <w:snapToGrid w:val="0"/>
                    <w:jc w:val="center"/>
                    <w:outlineLvl w:val="9"/>
                    <w:rPr>
                      <w:rFonts w:hint="default" w:ascii="Times New Roman" w:hAnsi="Times New Roman" w:eastAsia="宋体" w:cs="Times New Roman"/>
                      <w:color w:val="auto"/>
                      <w:szCs w:val="21"/>
                      <w:vertAlign w:val="subscript"/>
                    </w:rPr>
                  </w:pPr>
                  <w:r>
                    <w:rPr>
                      <w:rFonts w:hint="default" w:ascii="Times New Roman" w:hAnsi="Times New Roman" w:eastAsia="宋体" w:cs="Times New Roman"/>
                      <w:color w:val="auto"/>
                      <w:szCs w:val="21"/>
                    </w:rPr>
                    <w:t>PM</w:t>
                  </w:r>
                  <w:r>
                    <w:rPr>
                      <w:rFonts w:hint="default" w:ascii="Times New Roman" w:hAnsi="Times New Roman" w:eastAsia="宋体" w:cs="Times New Roman"/>
                      <w:color w:val="auto"/>
                      <w:szCs w:val="21"/>
                      <w:vertAlign w:val="subscript"/>
                    </w:rPr>
                    <w:t>10</w:t>
                  </w:r>
                </w:p>
              </w:tc>
              <w:tc>
                <w:tcPr>
                  <w:tcW w:w="902" w:type="pct"/>
                  <w:noWrap w:val="0"/>
                  <w:vAlign w:val="center"/>
                </w:tcPr>
                <w:p>
                  <w:pPr>
                    <w:adjustRightInd w:val="0"/>
                    <w:snapToGrid w:val="0"/>
                    <w:jc w:val="center"/>
                    <w:outlineLvl w:val="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992" w:type="pct"/>
                  <w:noWrap w:val="0"/>
                  <w:vAlign w:val="center"/>
                </w:tcPr>
                <w:p>
                  <w:pPr>
                    <w:adjustRightInd w:val="0"/>
                    <w:snapToGrid w:val="0"/>
                    <w:jc w:val="center"/>
                    <w:outlineLvl w:val="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150</w:t>
                  </w:r>
                </w:p>
              </w:tc>
              <w:tc>
                <w:tcPr>
                  <w:tcW w:w="695" w:type="pct"/>
                  <w:noWrap w:val="0"/>
                  <w:vAlign w:val="center"/>
                </w:tcPr>
                <w:p>
                  <w:pPr>
                    <w:adjustRightInd w:val="0"/>
                    <w:snapToGrid w:val="0"/>
                    <w:jc w:val="center"/>
                    <w:outlineLvl w:val="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70</w:t>
                  </w:r>
                </w:p>
              </w:tc>
              <w:tc>
                <w:tcPr>
                  <w:tcW w:w="1271" w:type="pct"/>
                  <w:vMerge w:val="continue"/>
                  <w:noWrap w:val="0"/>
                  <w:vAlign w:val="center"/>
                </w:tcPr>
                <w:p>
                  <w:pPr>
                    <w:adjustRightInd w:val="0"/>
                    <w:snapToGrid w:val="0"/>
                    <w:jc w:val="center"/>
                    <w:outlineLvl w:val="9"/>
                    <w:rPr>
                      <w:rFonts w:hint="default"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pct"/>
                  <w:noWrap w:val="0"/>
                  <w:vAlign w:val="center"/>
                </w:tcPr>
                <w:p>
                  <w:pPr>
                    <w:adjustRightInd w:val="0"/>
                    <w:snapToGrid w:val="0"/>
                    <w:jc w:val="center"/>
                    <w:outlineLvl w:val="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PM</w:t>
                  </w:r>
                  <w:r>
                    <w:rPr>
                      <w:rFonts w:hint="default" w:ascii="Times New Roman" w:hAnsi="Times New Roman" w:eastAsia="宋体" w:cs="Times New Roman"/>
                      <w:color w:val="auto"/>
                      <w:szCs w:val="21"/>
                      <w:vertAlign w:val="subscript"/>
                    </w:rPr>
                    <w:t>2.5</w:t>
                  </w:r>
                </w:p>
              </w:tc>
              <w:tc>
                <w:tcPr>
                  <w:tcW w:w="902" w:type="pct"/>
                  <w:noWrap w:val="0"/>
                  <w:vAlign w:val="center"/>
                </w:tcPr>
                <w:p>
                  <w:pPr>
                    <w:adjustRightInd w:val="0"/>
                    <w:snapToGrid w:val="0"/>
                    <w:jc w:val="center"/>
                    <w:outlineLvl w:val="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992" w:type="pct"/>
                  <w:noWrap w:val="0"/>
                  <w:vAlign w:val="center"/>
                </w:tcPr>
                <w:p>
                  <w:pPr>
                    <w:adjustRightInd w:val="0"/>
                    <w:snapToGrid w:val="0"/>
                    <w:jc w:val="center"/>
                    <w:outlineLvl w:val="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75</w:t>
                  </w:r>
                </w:p>
              </w:tc>
              <w:tc>
                <w:tcPr>
                  <w:tcW w:w="695" w:type="pct"/>
                  <w:noWrap w:val="0"/>
                  <w:vAlign w:val="center"/>
                </w:tcPr>
                <w:p>
                  <w:pPr>
                    <w:adjustRightInd w:val="0"/>
                    <w:snapToGrid w:val="0"/>
                    <w:jc w:val="center"/>
                    <w:outlineLvl w:val="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35</w:t>
                  </w:r>
                </w:p>
              </w:tc>
              <w:tc>
                <w:tcPr>
                  <w:tcW w:w="1271" w:type="pct"/>
                  <w:vMerge w:val="continue"/>
                  <w:noWrap w:val="0"/>
                  <w:vAlign w:val="center"/>
                </w:tcPr>
                <w:p>
                  <w:pPr>
                    <w:adjustRightInd w:val="0"/>
                    <w:snapToGrid w:val="0"/>
                    <w:jc w:val="center"/>
                    <w:outlineLvl w:val="9"/>
                    <w:rPr>
                      <w:rFonts w:hint="default"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pct"/>
                  <w:noWrap w:val="0"/>
                  <w:vAlign w:val="center"/>
                </w:tcPr>
                <w:p>
                  <w:pPr>
                    <w:adjustRightInd w:val="0"/>
                    <w:snapToGrid w:val="0"/>
                    <w:jc w:val="center"/>
                    <w:outlineLvl w:val="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CO</w:t>
                  </w:r>
                </w:p>
              </w:tc>
              <w:tc>
                <w:tcPr>
                  <w:tcW w:w="902" w:type="pct"/>
                  <w:noWrap w:val="0"/>
                  <w:vAlign w:val="center"/>
                </w:tcPr>
                <w:p>
                  <w:pPr>
                    <w:adjustRightInd w:val="0"/>
                    <w:snapToGrid w:val="0"/>
                    <w:jc w:val="center"/>
                    <w:outlineLvl w:val="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10000</w:t>
                  </w:r>
                </w:p>
              </w:tc>
              <w:tc>
                <w:tcPr>
                  <w:tcW w:w="992" w:type="pct"/>
                  <w:noWrap w:val="0"/>
                  <w:vAlign w:val="center"/>
                </w:tcPr>
                <w:p>
                  <w:pPr>
                    <w:adjustRightInd w:val="0"/>
                    <w:snapToGrid w:val="0"/>
                    <w:jc w:val="center"/>
                    <w:outlineLvl w:val="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4000</w:t>
                  </w:r>
                </w:p>
              </w:tc>
              <w:tc>
                <w:tcPr>
                  <w:tcW w:w="695" w:type="pct"/>
                  <w:noWrap w:val="0"/>
                  <w:vAlign w:val="center"/>
                </w:tcPr>
                <w:p>
                  <w:pPr>
                    <w:adjustRightInd w:val="0"/>
                    <w:snapToGrid w:val="0"/>
                    <w:jc w:val="center"/>
                    <w:outlineLvl w:val="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271" w:type="pct"/>
                  <w:vMerge w:val="continue"/>
                  <w:noWrap w:val="0"/>
                  <w:vAlign w:val="center"/>
                </w:tcPr>
                <w:p>
                  <w:pPr>
                    <w:adjustRightInd w:val="0"/>
                    <w:snapToGrid w:val="0"/>
                    <w:jc w:val="center"/>
                    <w:outlineLvl w:val="9"/>
                    <w:rPr>
                      <w:rFonts w:hint="default" w:ascii="Times New Roman" w:hAnsi="Times New Roman" w:eastAsia="宋体"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pct"/>
                  <w:noWrap w:val="0"/>
                  <w:vAlign w:val="center"/>
                </w:tcPr>
                <w:p>
                  <w:pPr>
                    <w:adjustRightInd w:val="0"/>
                    <w:snapToGrid w:val="0"/>
                    <w:jc w:val="center"/>
                    <w:outlineLvl w:val="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O</w:t>
                  </w:r>
                  <w:r>
                    <w:rPr>
                      <w:rFonts w:hint="default" w:ascii="Times New Roman" w:hAnsi="Times New Roman" w:eastAsia="宋体" w:cs="Times New Roman"/>
                      <w:color w:val="auto"/>
                      <w:szCs w:val="21"/>
                      <w:vertAlign w:val="subscript"/>
                    </w:rPr>
                    <w:t>3</w:t>
                  </w:r>
                </w:p>
              </w:tc>
              <w:tc>
                <w:tcPr>
                  <w:tcW w:w="902" w:type="pct"/>
                  <w:noWrap w:val="0"/>
                  <w:vAlign w:val="center"/>
                </w:tcPr>
                <w:p>
                  <w:pPr>
                    <w:adjustRightInd w:val="0"/>
                    <w:snapToGrid w:val="0"/>
                    <w:jc w:val="center"/>
                    <w:outlineLvl w:val="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200</w:t>
                  </w:r>
                </w:p>
              </w:tc>
              <w:tc>
                <w:tcPr>
                  <w:tcW w:w="992" w:type="pct"/>
                  <w:noWrap w:val="0"/>
                  <w:vAlign w:val="center"/>
                </w:tcPr>
                <w:p>
                  <w:pPr>
                    <w:adjustRightInd w:val="0"/>
                    <w:snapToGrid w:val="0"/>
                    <w:jc w:val="center"/>
                    <w:outlineLvl w:val="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160</w:t>
                  </w:r>
                </w:p>
              </w:tc>
              <w:tc>
                <w:tcPr>
                  <w:tcW w:w="695" w:type="pct"/>
                  <w:noWrap w:val="0"/>
                  <w:vAlign w:val="center"/>
                </w:tcPr>
                <w:p>
                  <w:pPr>
                    <w:adjustRightInd w:val="0"/>
                    <w:snapToGrid w:val="0"/>
                    <w:jc w:val="center"/>
                    <w:outlineLvl w:val="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271" w:type="pct"/>
                  <w:vMerge w:val="continue"/>
                  <w:noWrap w:val="0"/>
                  <w:vAlign w:val="center"/>
                </w:tcPr>
                <w:p>
                  <w:pPr>
                    <w:adjustRightInd w:val="0"/>
                    <w:snapToGrid w:val="0"/>
                    <w:jc w:val="center"/>
                    <w:outlineLvl w:val="9"/>
                    <w:rPr>
                      <w:rFonts w:hint="default" w:ascii="Times New Roman" w:hAnsi="Times New Roman" w:eastAsia="宋体" w:cs="Times New Roman"/>
                      <w:color w:val="auto"/>
                      <w:szCs w:val="21"/>
                    </w:rPr>
                  </w:pPr>
                </w:p>
              </w:tc>
            </w:tr>
          </w:tbl>
          <w:p>
            <w:pPr>
              <w:adjustRightInd w:val="0"/>
              <w:snapToGrid w:val="0"/>
              <w:spacing w:line="360" w:lineRule="auto"/>
              <w:ind w:firstLine="480" w:firstLineChars="200"/>
              <w:jc w:val="left"/>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地表水环境质量</w:t>
            </w:r>
          </w:p>
          <w:p>
            <w:pPr>
              <w:adjustRightInd w:val="0"/>
              <w:snapToGrid w:val="0"/>
              <w:spacing w:line="360" w:lineRule="auto"/>
              <w:ind w:firstLine="480" w:firstLineChars="200"/>
              <w:jc w:val="left"/>
              <w:outlineLvl w:val="9"/>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本项目最终受纳水体水质执行国家《地表水环境质量标准》（GB3838-2002）中Ⅲ类标准，详见下表</w:t>
            </w:r>
            <w:r>
              <w:rPr>
                <w:rFonts w:hint="default"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w:t>
            </w:r>
            <w:r>
              <w:rPr>
                <w:rFonts w:hint="eastAsia" w:cs="Times New Roman"/>
                <w:color w:val="auto"/>
                <w:sz w:val="24"/>
                <w:lang w:val="en-US" w:eastAsia="zh-CN"/>
              </w:rPr>
              <w:t>12</w:t>
            </w:r>
            <w:r>
              <w:rPr>
                <w:rFonts w:hint="default" w:ascii="Times New Roman" w:hAnsi="Times New Roman" w:eastAsia="宋体" w:cs="Times New Roman"/>
                <w:color w:val="auto"/>
                <w:sz w:val="24"/>
              </w:rPr>
              <w:t>。</w:t>
            </w:r>
          </w:p>
          <w:p>
            <w:pPr>
              <w:adjustRightInd w:val="0"/>
              <w:snapToGrid w:val="0"/>
              <w:spacing w:line="360" w:lineRule="auto"/>
              <w:jc w:val="center"/>
              <w:textAlignment w:val="baseline"/>
              <w:outlineLvl w:val="9"/>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w:t>
            </w:r>
            <w:r>
              <w:rPr>
                <w:rFonts w:hint="default" w:ascii="Times New Roman" w:hAnsi="Times New Roman" w:eastAsia="宋体" w:cs="Times New Roman"/>
                <w:b/>
                <w:bCs/>
                <w:color w:val="auto"/>
                <w:szCs w:val="21"/>
                <w:lang w:val="en-US" w:eastAsia="zh-CN"/>
              </w:rPr>
              <w:t>3</w:t>
            </w:r>
            <w:r>
              <w:rPr>
                <w:rFonts w:hint="default" w:ascii="Times New Roman" w:hAnsi="Times New Roman" w:eastAsia="宋体" w:cs="Times New Roman"/>
                <w:b/>
                <w:bCs/>
                <w:color w:val="auto"/>
                <w:szCs w:val="21"/>
              </w:rPr>
              <w:t>-</w:t>
            </w:r>
            <w:r>
              <w:rPr>
                <w:rFonts w:hint="eastAsia" w:cs="Times New Roman"/>
                <w:b/>
                <w:bCs/>
                <w:color w:val="auto"/>
                <w:szCs w:val="21"/>
                <w:lang w:val="en-US" w:eastAsia="zh-CN"/>
              </w:rPr>
              <w:t>12</w:t>
            </w:r>
            <w:r>
              <w:rPr>
                <w:rFonts w:hint="default" w:ascii="Times New Roman" w:hAnsi="Times New Roman" w:eastAsia="宋体" w:cs="Times New Roman"/>
                <w:b/>
                <w:bCs/>
                <w:color w:val="auto"/>
                <w:szCs w:val="21"/>
              </w:rPr>
              <w:t xml:space="preserve">  各项污染物的浓度限值  单位：mg/L</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7"/>
              <w:gridCol w:w="1808"/>
              <w:gridCol w:w="1254"/>
              <w:gridCol w:w="1274"/>
              <w:gridCol w:w="1294"/>
              <w:gridCol w:w="1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7" w:type="dxa"/>
                  <w:noWrap w:val="0"/>
                  <w:vAlign w:val="center"/>
                </w:tcPr>
                <w:p>
                  <w:pPr>
                    <w:adjustRightInd w:val="0"/>
                    <w:snapToGrid w:val="0"/>
                    <w:jc w:val="center"/>
                    <w:outlineLvl w:val="9"/>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监测项目</w:t>
                  </w:r>
                </w:p>
              </w:tc>
              <w:tc>
                <w:tcPr>
                  <w:tcW w:w="1808" w:type="dxa"/>
                  <w:noWrap w:val="0"/>
                  <w:vAlign w:val="center"/>
                </w:tcPr>
                <w:p>
                  <w:pPr>
                    <w:adjustRightInd w:val="0"/>
                    <w:snapToGrid w:val="0"/>
                    <w:jc w:val="center"/>
                    <w:outlineLvl w:val="9"/>
                    <w:rPr>
                      <w:rFonts w:hint="default" w:ascii="Times New Roman" w:hAnsi="Times New Roman" w:eastAsia="宋体" w:cs="Times New Roman"/>
                      <w:b/>
                      <w:bCs/>
                      <w:color w:val="auto"/>
                    </w:rPr>
                  </w:pPr>
                  <w:r>
                    <w:rPr>
                      <w:rFonts w:hint="default" w:ascii="Times New Roman" w:hAnsi="Times New Roman" w:eastAsia="宋体" w:cs="Times New Roman"/>
                      <w:b/>
                      <w:bCs/>
                      <w:color w:val="auto"/>
                    </w:rPr>
                    <w:t>pH（无量纲）</w:t>
                  </w:r>
                </w:p>
              </w:tc>
              <w:tc>
                <w:tcPr>
                  <w:tcW w:w="1254" w:type="dxa"/>
                  <w:noWrap w:val="0"/>
                  <w:vAlign w:val="center"/>
                </w:tcPr>
                <w:p>
                  <w:pPr>
                    <w:adjustRightInd w:val="0"/>
                    <w:snapToGrid w:val="0"/>
                    <w:jc w:val="center"/>
                    <w:outlineLvl w:val="9"/>
                    <w:rPr>
                      <w:rFonts w:hint="default" w:ascii="Times New Roman" w:hAnsi="Times New Roman" w:eastAsia="宋体" w:cs="Times New Roman"/>
                      <w:b/>
                      <w:bCs/>
                      <w:color w:val="auto"/>
                    </w:rPr>
                  </w:pPr>
                  <w:r>
                    <w:rPr>
                      <w:rFonts w:hint="default" w:ascii="Times New Roman" w:hAnsi="Times New Roman" w:eastAsia="宋体" w:cs="Times New Roman"/>
                      <w:b/>
                      <w:bCs/>
                      <w:color w:val="auto"/>
                    </w:rPr>
                    <w:t>COD</w:t>
                  </w:r>
                </w:p>
              </w:tc>
              <w:tc>
                <w:tcPr>
                  <w:tcW w:w="1274" w:type="dxa"/>
                  <w:noWrap w:val="0"/>
                  <w:vAlign w:val="center"/>
                </w:tcPr>
                <w:p>
                  <w:pPr>
                    <w:adjustRightInd w:val="0"/>
                    <w:snapToGrid w:val="0"/>
                    <w:jc w:val="center"/>
                    <w:outlineLvl w:val="9"/>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氨氮</w:t>
                  </w:r>
                </w:p>
              </w:tc>
              <w:tc>
                <w:tcPr>
                  <w:tcW w:w="1294" w:type="dxa"/>
                  <w:noWrap w:val="0"/>
                  <w:vAlign w:val="center"/>
                </w:tcPr>
                <w:p>
                  <w:pPr>
                    <w:adjustRightInd w:val="0"/>
                    <w:snapToGrid w:val="0"/>
                    <w:jc w:val="center"/>
                    <w:outlineLvl w:val="9"/>
                    <w:rPr>
                      <w:rFonts w:hint="default" w:ascii="Times New Roman" w:hAnsi="Times New Roman" w:eastAsia="宋体" w:cs="Times New Roman"/>
                      <w:b/>
                      <w:bCs/>
                      <w:color w:val="auto"/>
                    </w:rPr>
                  </w:pPr>
                  <w:r>
                    <w:rPr>
                      <w:rFonts w:hint="default" w:ascii="Times New Roman" w:hAnsi="Times New Roman" w:eastAsia="宋体" w:cs="Times New Roman"/>
                      <w:b/>
                      <w:bCs/>
                      <w:color w:val="auto"/>
                    </w:rPr>
                    <w:t>BOD</w:t>
                  </w:r>
                  <w:r>
                    <w:rPr>
                      <w:rFonts w:hint="default" w:ascii="Times New Roman" w:hAnsi="Times New Roman" w:eastAsia="宋体" w:cs="Times New Roman"/>
                      <w:b/>
                      <w:bCs/>
                      <w:color w:val="auto"/>
                      <w:vertAlign w:val="subscript"/>
                    </w:rPr>
                    <w:t>5</w:t>
                  </w:r>
                </w:p>
              </w:tc>
              <w:tc>
                <w:tcPr>
                  <w:tcW w:w="1605" w:type="dxa"/>
                  <w:noWrap w:val="0"/>
                  <w:vAlign w:val="center"/>
                </w:tcPr>
                <w:p>
                  <w:pPr>
                    <w:adjustRightInd w:val="0"/>
                    <w:snapToGrid w:val="0"/>
                    <w:jc w:val="center"/>
                    <w:outlineLvl w:val="9"/>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7" w:type="dxa"/>
                  <w:noWrap w:val="0"/>
                  <w:vAlign w:val="center"/>
                </w:tcPr>
                <w:p>
                  <w:pPr>
                    <w:adjustRightInd w:val="0"/>
                    <w:snapToGrid w:val="0"/>
                    <w:jc w:val="center"/>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t>标准值</w:t>
                  </w:r>
                </w:p>
              </w:tc>
              <w:tc>
                <w:tcPr>
                  <w:tcW w:w="1808" w:type="dxa"/>
                  <w:noWrap w:val="0"/>
                  <w:vAlign w:val="center"/>
                </w:tcPr>
                <w:p>
                  <w:pPr>
                    <w:adjustRightInd w:val="0"/>
                    <w:snapToGrid w:val="0"/>
                    <w:jc w:val="center"/>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t>6-9</w:t>
                  </w:r>
                </w:p>
              </w:tc>
              <w:tc>
                <w:tcPr>
                  <w:tcW w:w="1254" w:type="dxa"/>
                  <w:noWrap w:val="0"/>
                  <w:vAlign w:val="center"/>
                </w:tcPr>
                <w:p>
                  <w:pPr>
                    <w:adjustRightInd w:val="0"/>
                    <w:snapToGrid w:val="0"/>
                    <w:jc w:val="center"/>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t>≤20</w:t>
                  </w:r>
                </w:p>
              </w:tc>
              <w:tc>
                <w:tcPr>
                  <w:tcW w:w="1274" w:type="dxa"/>
                  <w:noWrap w:val="0"/>
                  <w:vAlign w:val="center"/>
                </w:tcPr>
                <w:p>
                  <w:pPr>
                    <w:adjustRightInd w:val="0"/>
                    <w:snapToGrid w:val="0"/>
                    <w:jc w:val="center"/>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t>≤1.0</w:t>
                  </w:r>
                </w:p>
              </w:tc>
              <w:tc>
                <w:tcPr>
                  <w:tcW w:w="1294" w:type="dxa"/>
                  <w:noWrap w:val="0"/>
                  <w:vAlign w:val="center"/>
                </w:tcPr>
                <w:p>
                  <w:pPr>
                    <w:adjustRightInd w:val="0"/>
                    <w:snapToGrid w:val="0"/>
                    <w:jc w:val="center"/>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t>≤4.0</w:t>
                  </w:r>
                </w:p>
              </w:tc>
              <w:tc>
                <w:tcPr>
                  <w:tcW w:w="1605" w:type="dxa"/>
                  <w:noWrap w:val="0"/>
                  <w:vAlign w:val="center"/>
                </w:tcPr>
                <w:p>
                  <w:pPr>
                    <w:adjustRightInd w:val="0"/>
                    <w:snapToGrid w:val="0"/>
                    <w:jc w:val="center"/>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t>≤0.05</w:t>
                  </w:r>
                </w:p>
              </w:tc>
            </w:tr>
          </w:tbl>
          <w:p>
            <w:pPr>
              <w:adjustRightInd w:val="0"/>
              <w:snapToGrid w:val="0"/>
              <w:spacing w:line="360" w:lineRule="auto"/>
              <w:ind w:firstLine="480" w:firstLineChars="200"/>
              <w:jc w:val="left"/>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声环境质量</w:t>
            </w:r>
          </w:p>
          <w:p>
            <w:pPr>
              <w:adjustRightInd w:val="0"/>
              <w:snapToGrid w:val="0"/>
              <w:spacing w:line="360" w:lineRule="auto"/>
              <w:ind w:firstLine="480" w:firstLineChars="200"/>
              <w:jc w:val="left"/>
              <w:outlineLvl w:val="9"/>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声环境执行国家《声环境质量标准》GB3096-2008中2类标准，标准限值见下表</w:t>
            </w:r>
            <w:r>
              <w:rPr>
                <w:rFonts w:hint="default"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1</w:t>
            </w:r>
            <w:r>
              <w:rPr>
                <w:rFonts w:hint="eastAsia" w:cs="Times New Roman"/>
                <w:color w:val="auto"/>
                <w:sz w:val="24"/>
                <w:lang w:val="en-US" w:eastAsia="zh-CN"/>
              </w:rPr>
              <w:t>3</w:t>
            </w:r>
            <w:r>
              <w:rPr>
                <w:rFonts w:hint="default" w:ascii="Times New Roman" w:hAnsi="Times New Roman" w:eastAsia="宋体" w:cs="Times New Roman"/>
                <w:color w:val="auto"/>
                <w:sz w:val="24"/>
              </w:rPr>
              <w:t>。</w:t>
            </w:r>
          </w:p>
          <w:p>
            <w:pPr>
              <w:adjustRightInd w:val="0"/>
              <w:snapToGrid w:val="0"/>
              <w:spacing w:line="360" w:lineRule="auto"/>
              <w:jc w:val="center"/>
              <w:textAlignment w:val="baseline"/>
              <w:outlineLvl w:val="9"/>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w:t>
            </w:r>
            <w:r>
              <w:rPr>
                <w:rFonts w:hint="default" w:ascii="Times New Roman" w:hAnsi="Times New Roman" w:eastAsia="宋体" w:cs="Times New Roman"/>
                <w:b/>
                <w:bCs/>
                <w:color w:val="auto"/>
                <w:szCs w:val="21"/>
                <w:lang w:val="en-US" w:eastAsia="zh-CN"/>
              </w:rPr>
              <w:t>3</w:t>
            </w:r>
            <w:r>
              <w:rPr>
                <w:rFonts w:hint="default" w:ascii="Times New Roman" w:hAnsi="Times New Roman" w:eastAsia="宋体" w:cs="Times New Roman"/>
                <w:b/>
                <w:bCs/>
                <w:color w:val="auto"/>
                <w:szCs w:val="21"/>
              </w:rPr>
              <w:t>-</w:t>
            </w:r>
            <w:r>
              <w:rPr>
                <w:rFonts w:hint="default" w:ascii="Times New Roman" w:hAnsi="Times New Roman" w:eastAsia="宋体" w:cs="Times New Roman"/>
                <w:b/>
                <w:bCs/>
                <w:color w:val="auto"/>
                <w:szCs w:val="21"/>
                <w:lang w:val="en-US" w:eastAsia="zh-CN"/>
              </w:rPr>
              <w:t>1</w:t>
            </w:r>
            <w:r>
              <w:rPr>
                <w:rFonts w:hint="eastAsia" w:cs="Times New Roman"/>
                <w:b/>
                <w:bCs/>
                <w:color w:val="auto"/>
                <w:szCs w:val="21"/>
                <w:lang w:val="en-US" w:eastAsia="zh-CN"/>
              </w:rPr>
              <w:t>3</w:t>
            </w:r>
            <w:r>
              <w:rPr>
                <w:rFonts w:hint="default" w:ascii="Times New Roman" w:hAnsi="Times New Roman" w:eastAsia="宋体" w:cs="Times New Roman"/>
                <w:b/>
                <w:bCs/>
                <w:color w:val="auto"/>
                <w:szCs w:val="21"/>
              </w:rPr>
              <w:t xml:space="preserve">  声环境标准限值等效声级LAeq：dB（A）</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3"/>
              <w:gridCol w:w="3016"/>
              <w:gridCol w:w="3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13" w:type="dxa"/>
                  <w:noWrap w:val="0"/>
                  <w:vAlign w:val="center"/>
                </w:tcPr>
                <w:p>
                  <w:pPr>
                    <w:tabs>
                      <w:tab w:val="left" w:pos="2592"/>
                    </w:tabs>
                    <w:adjustRightInd w:val="0"/>
                    <w:snapToGrid w:val="0"/>
                    <w:jc w:val="center"/>
                    <w:outlineLvl w:val="9"/>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类别</w:t>
                  </w:r>
                </w:p>
              </w:tc>
              <w:tc>
                <w:tcPr>
                  <w:tcW w:w="3016" w:type="dxa"/>
                  <w:noWrap w:val="0"/>
                  <w:vAlign w:val="center"/>
                </w:tcPr>
                <w:p>
                  <w:pPr>
                    <w:tabs>
                      <w:tab w:val="left" w:pos="2592"/>
                    </w:tabs>
                    <w:adjustRightInd w:val="0"/>
                    <w:snapToGrid w:val="0"/>
                    <w:jc w:val="center"/>
                    <w:outlineLvl w:val="9"/>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昼间</w:t>
                  </w:r>
                </w:p>
              </w:tc>
              <w:tc>
                <w:tcPr>
                  <w:tcW w:w="3016" w:type="dxa"/>
                  <w:noWrap w:val="0"/>
                  <w:vAlign w:val="center"/>
                </w:tcPr>
                <w:p>
                  <w:pPr>
                    <w:tabs>
                      <w:tab w:val="left" w:pos="2592"/>
                    </w:tabs>
                    <w:adjustRightInd w:val="0"/>
                    <w:snapToGrid w:val="0"/>
                    <w:jc w:val="center"/>
                    <w:outlineLvl w:val="9"/>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3013" w:type="dxa"/>
                  <w:noWrap w:val="0"/>
                  <w:vAlign w:val="center"/>
                </w:tcPr>
                <w:p>
                  <w:pPr>
                    <w:tabs>
                      <w:tab w:val="left" w:pos="2592"/>
                    </w:tabs>
                    <w:adjustRightInd w:val="0"/>
                    <w:snapToGrid w:val="0"/>
                    <w:jc w:val="center"/>
                    <w:outlineLvl w:val="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2类</w:t>
                  </w:r>
                </w:p>
              </w:tc>
              <w:tc>
                <w:tcPr>
                  <w:tcW w:w="3016" w:type="dxa"/>
                  <w:noWrap w:val="0"/>
                  <w:vAlign w:val="center"/>
                </w:tcPr>
                <w:p>
                  <w:pPr>
                    <w:tabs>
                      <w:tab w:val="left" w:pos="2592"/>
                    </w:tabs>
                    <w:adjustRightInd w:val="0"/>
                    <w:snapToGrid w:val="0"/>
                    <w:jc w:val="center"/>
                    <w:outlineLvl w:val="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60</w:t>
                  </w:r>
                </w:p>
              </w:tc>
              <w:tc>
                <w:tcPr>
                  <w:tcW w:w="3016" w:type="dxa"/>
                  <w:noWrap w:val="0"/>
                  <w:vAlign w:val="center"/>
                </w:tcPr>
                <w:p>
                  <w:pPr>
                    <w:tabs>
                      <w:tab w:val="left" w:pos="2592"/>
                    </w:tabs>
                    <w:adjustRightInd w:val="0"/>
                    <w:snapToGrid w:val="0"/>
                    <w:jc w:val="center"/>
                    <w:outlineLvl w:val="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50</w:t>
                  </w:r>
                </w:p>
              </w:tc>
            </w:tr>
          </w:tbl>
          <w:p>
            <w:pPr>
              <w:spacing w:line="360" w:lineRule="auto"/>
              <w:ind w:right="41" w:rightChars="17" w:firstLine="480" w:firstLineChars="200"/>
              <w:jc w:val="left"/>
              <w:outlineLvl w:val="9"/>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eastAsia="zh-CN" w:bidi="ar"/>
              </w:rPr>
              <w:t>（</w:t>
            </w:r>
            <w:r>
              <w:rPr>
                <w:rFonts w:hint="default" w:ascii="Times New Roman" w:hAnsi="Times New Roman" w:eastAsia="宋体" w:cs="Times New Roman"/>
                <w:color w:val="auto"/>
                <w:kern w:val="0"/>
                <w:sz w:val="24"/>
                <w:szCs w:val="24"/>
                <w:lang w:val="en-US" w:eastAsia="zh-CN" w:bidi="ar"/>
              </w:rPr>
              <w:t>4</w:t>
            </w:r>
            <w:r>
              <w:rPr>
                <w:rFonts w:hint="default" w:ascii="Times New Roman" w:hAnsi="Times New Roman" w:eastAsia="宋体" w:cs="Times New Roman"/>
                <w:color w:val="auto"/>
                <w:kern w:val="0"/>
                <w:sz w:val="24"/>
                <w:szCs w:val="24"/>
                <w:lang w:eastAsia="zh-CN" w:bidi="ar"/>
              </w:rPr>
              <w:t>）</w:t>
            </w:r>
            <w:r>
              <w:rPr>
                <w:rFonts w:hint="default" w:ascii="Times New Roman" w:hAnsi="Times New Roman" w:eastAsia="宋体" w:cs="Times New Roman"/>
                <w:color w:val="auto"/>
                <w:kern w:val="0"/>
                <w:sz w:val="24"/>
                <w:szCs w:val="24"/>
                <w:lang w:bidi="ar"/>
              </w:rPr>
              <w:t>生态环境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 w:val="24"/>
                <w:lang w:bidi="ar"/>
              </w:rPr>
              <w:t>以不减少区域内濒危珍稀动植物和不破坏当地生态系统完整性为标准。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outlineLvl w:val="9"/>
              <w:rPr>
                <w:rFonts w:hint="default" w:ascii="Times New Roman" w:hAnsi="Times New Roman" w:eastAsia="宋体" w:cs="Times New Roman"/>
                <w:b/>
                <w:bCs/>
                <w:color w:val="auto"/>
                <w:kern w:val="0"/>
                <w:sz w:val="24"/>
                <w:szCs w:val="24"/>
                <w:lang w:val="en-US" w:eastAsia="zh-CN"/>
              </w:rPr>
            </w:pPr>
            <w:r>
              <w:rPr>
                <w:rFonts w:hint="default" w:ascii="Times New Roman" w:hAnsi="Times New Roman" w:eastAsia="宋体" w:cs="Times New Roman"/>
                <w:b/>
                <w:bCs/>
                <w:color w:val="auto"/>
                <w:kern w:val="0"/>
                <w:sz w:val="24"/>
                <w:szCs w:val="24"/>
                <w:lang w:val="en-US" w:eastAsia="zh-CN"/>
              </w:rPr>
              <w:t>2、污染物排放标准</w:t>
            </w:r>
          </w:p>
          <w:p>
            <w:pPr>
              <w:adjustRightInd w:val="0"/>
              <w:snapToGrid w:val="0"/>
              <w:spacing w:line="360" w:lineRule="auto"/>
              <w:ind w:firstLine="480" w:firstLineChars="200"/>
              <w:jc w:val="left"/>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废气排放标准</w:t>
            </w:r>
          </w:p>
          <w:p>
            <w:pPr>
              <w:adjustRightInd w:val="0"/>
              <w:snapToGrid w:val="0"/>
              <w:spacing w:line="360" w:lineRule="auto"/>
              <w:ind w:firstLine="480" w:firstLineChars="200"/>
              <w:jc w:val="both"/>
              <w:outlineLvl w:val="9"/>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w:t>
            </w:r>
            <w:r>
              <w:rPr>
                <w:rFonts w:hint="default" w:ascii="Times New Roman" w:hAnsi="Times New Roman" w:eastAsia="宋体" w:cs="Times New Roman"/>
                <w:color w:val="auto"/>
                <w:sz w:val="24"/>
                <w:lang w:val="en-US" w:eastAsia="zh-CN"/>
              </w:rPr>
              <w:t>施工期废气排放执行</w:t>
            </w:r>
            <w:r>
              <w:rPr>
                <w:rFonts w:hint="default" w:ascii="Times New Roman" w:hAnsi="Times New Roman" w:eastAsia="宋体" w:cs="Times New Roman"/>
                <w:color w:val="auto"/>
                <w:sz w:val="24"/>
              </w:rPr>
              <w:t>《四川省施工场地扬尘排放标准》（DB51</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2682-2020）中规定的各施工阶段的废气限值标准。具体标准值见表</w:t>
            </w:r>
            <w:r>
              <w:rPr>
                <w:rFonts w:hint="default"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1</w:t>
            </w:r>
            <w:r>
              <w:rPr>
                <w:rFonts w:hint="eastAsia" w:cs="Times New Roman"/>
                <w:color w:val="auto"/>
                <w:sz w:val="24"/>
                <w:lang w:val="en-US" w:eastAsia="zh-CN"/>
              </w:rPr>
              <w:t>4</w:t>
            </w:r>
            <w:r>
              <w:rPr>
                <w:rFonts w:hint="default" w:ascii="Times New Roman" w:hAnsi="Times New Roman" w:eastAsia="宋体" w:cs="Times New Roman"/>
                <w:color w:val="auto"/>
                <w:sz w:val="24"/>
              </w:rPr>
              <w:t>。</w:t>
            </w:r>
          </w:p>
          <w:p>
            <w:pPr>
              <w:widowControl w:val="0"/>
              <w:spacing w:after="120"/>
              <w:ind w:left="0" w:leftChars="0" w:firstLine="0" w:firstLineChars="0"/>
              <w:jc w:val="center"/>
              <w:outlineLvl w:val="9"/>
              <w:rPr>
                <w:rFonts w:hint="default" w:ascii="Times New Roman" w:hAnsi="Times New Roman" w:eastAsia="宋体" w:cs="Times New Roman"/>
                <w:b/>
                <w:bCs/>
                <w:color w:val="auto"/>
                <w:kern w:val="2"/>
                <w:sz w:val="18"/>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表3-1</w:t>
            </w:r>
            <w:r>
              <w:rPr>
                <w:rFonts w:hint="eastAsia" w:cs="Times New Roman"/>
                <w:b/>
                <w:bCs/>
                <w:color w:val="auto"/>
                <w:kern w:val="2"/>
                <w:sz w:val="21"/>
                <w:szCs w:val="21"/>
                <w:lang w:val="en-US" w:eastAsia="zh-CN" w:bidi="ar-SA"/>
              </w:rPr>
              <w:t>4</w:t>
            </w:r>
            <w:r>
              <w:rPr>
                <w:rFonts w:hint="default" w:ascii="Times New Roman" w:hAnsi="Times New Roman" w:eastAsia="宋体" w:cs="Times New Roman"/>
                <w:b/>
                <w:bCs/>
                <w:color w:val="auto"/>
                <w:kern w:val="2"/>
                <w:sz w:val="21"/>
                <w:szCs w:val="21"/>
                <w:lang w:val="en-US" w:eastAsia="zh-CN" w:bidi="ar-SA"/>
              </w:rPr>
              <w:t xml:space="preserve">  四川省施工场地扬尘排放标准  单位：μg/m</w:t>
            </w:r>
            <w:r>
              <w:rPr>
                <w:rFonts w:hint="default" w:ascii="Times New Roman" w:hAnsi="Times New Roman" w:eastAsia="宋体" w:cs="Times New Roman"/>
                <w:b/>
                <w:bCs/>
                <w:color w:val="auto"/>
                <w:kern w:val="2"/>
                <w:sz w:val="21"/>
                <w:szCs w:val="21"/>
                <w:vertAlign w:val="superscript"/>
                <w:lang w:val="en-US" w:eastAsia="zh-CN" w:bidi="ar-SA"/>
              </w:rPr>
              <w:t>3</w:t>
            </w:r>
          </w:p>
          <w:tbl>
            <w:tblPr>
              <w:tblStyle w:val="4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1469"/>
              <w:gridCol w:w="2087"/>
              <w:gridCol w:w="1981"/>
              <w:gridCol w:w="1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right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监测项目</w:t>
                  </w:r>
                </w:p>
              </w:tc>
              <w:tc>
                <w:tcPr>
                  <w:tcW w:w="87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right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区域</w:t>
                  </w:r>
                </w:p>
              </w:tc>
              <w:tc>
                <w:tcPr>
                  <w:tcW w:w="12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right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施工阶段</w:t>
                  </w:r>
                </w:p>
              </w:tc>
              <w:tc>
                <w:tcPr>
                  <w:tcW w:w="11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right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监测点排放现状（ug/m</w:t>
                  </w:r>
                  <w:r>
                    <w:rPr>
                      <w:rFonts w:hint="default" w:ascii="Times New Roman" w:hAnsi="Times New Roman" w:eastAsia="宋体" w:cs="Times New Roman"/>
                      <w:b/>
                      <w:bCs/>
                      <w:color w:val="auto"/>
                      <w:sz w:val="21"/>
                      <w:szCs w:val="21"/>
                      <w:vertAlign w:val="superscript"/>
                      <w:lang w:val="en-US" w:eastAsia="zh-CN"/>
                    </w:rPr>
                    <w:t>3</w:t>
                  </w:r>
                  <w:r>
                    <w:rPr>
                      <w:rFonts w:hint="default" w:ascii="Times New Roman" w:hAnsi="Times New Roman" w:eastAsia="宋体" w:cs="Times New Roman"/>
                      <w:b/>
                      <w:bCs/>
                      <w:color w:val="auto"/>
                      <w:sz w:val="21"/>
                      <w:szCs w:val="21"/>
                      <w:vertAlign w:val="baseline"/>
                      <w:lang w:val="en-US" w:eastAsia="zh-CN"/>
                    </w:rPr>
                    <w:t>）</w:t>
                  </w:r>
                </w:p>
              </w:tc>
              <w:tc>
                <w:tcPr>
                  <w:tcW w:w="8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rightChars="0"/>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总悬浮颗粒物（TSP）</w:t>
                  </w:r>
                </w:p>
              </w:tc>
              <w:tc>
                <w:tcPr>
                  <w:tcW w:w="87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eastAsia="宋体" w:cs="Times New Roman"/>
                      <w:color w:val="auto"/>
                      <w:sz w:val="21"/>
                      <w:szCs w:val="21"/>
                      <w:vertAlign w:val="baseline"/>
                      <w:lang w:val="en-US" w:eastAsia="zh-CN"/>
                    </w:rPr>
                    <w:t>乐山市</w:t>
                  </w:r>
                </w:p>
              </w:tc>
              <w:tc>
                <w:tcPr>
                  <w:tcW w:w="12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拆除工程/土方开挖/土方回填阶段</w:t>
                  </w:r>
                </w:p>
              </w:tc>
              <w:tc>
                <w:tcPr>
                  <w:tcW w:w="11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600</w:t>
                  </w:r>
                </w:p>
              </w:tc>
              <w:tc>
                <w:tcPr>
                  <w:tcW w:w="87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自监测起持续15分钟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rightChars="0"/>
                    <w:jc w:val="center"/>
                    <w:textAlignment w:val="auto"/>
                    <w:outlineLvl w:val="9"/>
                    <w:rPr>
                      <w:rFonts w:hint="default" w:ascii="Times New Roman" w:hAnsi="Times New Roman" w:eastAsia="宋体" w:cs="Times New Roman"/>
                      <w:color w:val="auto"/>
                    </w:rPr>
                  </w:pPr>
                </w:p>
              </w:tc>
              <w:tc>
                <w:tcPr>
                  <w:tcW w:w="87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rightChars="0"/>
                    <w:jc w:val="center"/>
                    <w:textAlignment w:val="auto"/>
                    <w:outlineLvl w:val="9"/>
                    <w:rPr>
                      <w:rFonts w:hint="default" w:ascii="Times New Roman" w:hAnsi="Times New Roman" w:eastAsia="宋体" w:cs="Times New Roman"/>
                      <w:color w:val="auto"/>
                    </w:rPr>
                  </w:pPr>
                </w:p>
              </w:tc>
              <w:tc>
                <w:tcPr>
                  <w:tcW w:w="12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其他工程阶段</w:t>
                  </w:r>
                </w:p>
              </w:tc>
              <w:tc>
                <w:tcPr>
                  <w:tcW w:w="11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250</w:t>
                  </w:r>
                </w:p>
              </w:tc>
              <w:tc>
                <w:tcPr>
                  <w:tcW w:w="87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FF"/>
                <w:kern w:val="0"/>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废水排放标准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FF"/>
                <w:kern w:val="0"/>
                <w:sz w:val="24"/>
                <w:szCs w:val="24"/>
              </w:rPr>
            </w:pPr>
            <w:r>
              <w:rPr>
                <w:rFonts w:hint="default" w:ascii="Times New Roman" w:hAnsi="Times New Roman" w:eastAsia="宋体" w:cs="Times New Roman"/>
                <w:color w:val="auto"/>
                <w:sz w:val="24"/>
                <w:szCs w:val="24"/>
              </w:rPr>
              <w:t>项目</w:t>
            </w:r>
            <w:r>
              <w:rPr>
                <w:rFonts w:hint="default" w:ascii="Times New Roman" w:hAnsi="Times New Roman" w:eastAsia="宋体" w:cs="Times New Roman"/>
                <w:color w:val="auto"/>
                <w:sz w:val="24"/>
                <w:szCs w:val="24"/>
                <w:lang w:val="en-US" w:eastAsia="zh-CN"/>
              </w:rPr>
              <w:t>施工期</w:t>
            </w:r>
            <w:r>
              <w:rPr>
                <w:rFonts w:hint="default" w:ascii="Times New Roman" w:hAnsi="Times New Roman" w:eastAsia="宋体" w:cs="Times New Roman"/>
                <w:color w:val="auto"/>
                <w:sz w:val="24"/>
                <w:szCs w:val="24"/>
                <w:highlight w:val="none"/>
                <w:lang w:val="en-US" w:eastAsia="zh-CN"/>
              </w:rPr>
              <w:t>基坑废水经沉淀池沉淀后上清液排入</w:t>
            </w:r>
            <w:r>
              <w:rPr>
                <w:rFonts w:hint="eastAsia" w:cs="Times New Roman"/>
                <w:color w:val="auto"/>
                <w:sz w:val="24"/>
                <w:szCs w:val="24"/>
                <w:highlight w:val="none"/>
                <w:lang w:val="en-US" w:eastAsia="zh-CN"/>
              </w:rPr>
              <w:t>临江</w:t>
            </w:r>
            <w:r>
              <w:rPr>
                <w:rFonts w:hint="default" w:ascii="Times New Roman" w:hAnsi="Times New Roman" w:eastAsia="宋体" w:cs="Times New Roman"/>
                <w:color w:val="auto"/>
                <w:sz w:val="24"/>
                <w:szCs w:val="24"/>
                <w:highlight w:val="none"/>
                <w:lang w:val="en-US" w:eastAsia="zh-CN"/>
              </w:rPr>
              <w:t>河；设备</w:t>
            </w:r>
            <w:r>
              <w:rPr>
                <w:rFonts w:hint="default" w:ascii="Times New Roman" w:hAnsi="Times New Roman" w:eastAsia="宋体" w:cs="Times New Roman"/>
                <w:color w:val="auto"/>
                <w:sz w:val="24"/>
                <w:szCs w:val="24"/>
                <w:highlight w:val="none"/>
              </w:rPr>
              <w:t>冲洗</w:t>
            </w:r>
            <w:r>
              <w:rPr>
                <w:rFonts w:hint="default" w:ascii="Times New Roman" w:hAnsi="Times New Roman" w:eastAsia="宋体" w:cs="Times New Roman"/>
                <w:color w:val="auto"/>
                <w:sz w:val="24"/>
                <w:szCs w:val="24"/>
                <w:highlight w:val="none"/>
                <w:lang w:val="en-US" w:eastAsia="zh-CN"/>
              </w:rPr>
              <w:t>废水经</w:t>
            </w:r>
            <w:r>
              <w:rPr>
                <w:rFonts w:hint="default" w:ascii="Times New Roman" w:hAnsi="Times New Roman" w:eastAsia="宋体" w:cs="Times New Roman"/>
                <w:color w:val="auto"/>
                <w:sz w:val="24"/>
                <w:szCs w:val="24"/>
                <w:highlight w:val="none"/>
              </w:rPr>
              <w:t>沉淀池（</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vertAlign w:val="baseline"/>
                <w:lang w:eastAsia="zh-CN"/>
              </w:rPr>
              <w:t>，</w:t>
            </w:r>
            <w:r>
              <w:rPr>
                <w:rFonts w:hint="default" w:ascii="Times New Roman" w:hAnsi="Times New Roman" w:eastAsia="宋体" w:cs="Times New Roman"/>
                <w:color w:val="auto"/>
                <w:sz w:val="24"/>
                <w:szCs w:val="24"/>
                <w:highlight w:val="none"/>
                <w:vertAlign w:val="baseline"/>
                <w:lang w:val="en-US" w:eastAsia="zh-CN"/>
              </w:rPr>
              <w:t>共2个</w:t>
            </w:r>
            <w:r>
              <w:rPr>
                <w:rFonts w:hint="default" w:ascii="Times New Roman" w:hAnsi="Times New Roman" w:eastAsia="宋体" w:cs="Times New Roman"/>
                <w:color w:val="auto"/>
                <w:sz w:val="24"/>
                <w:szCs w:val="24"/>
                <w:highlight w:val="none"/>
              </w:rPr>
              <w:t>）处理后回用</w:t>
            </w:r>
            <w:r>
              <w:rPr>
                <w:rFonts w:hint="default" w:ascii="Times New Roman" w:hAnsi="Times New Roman" w:eastAsia="宋体" w:cs="Times New Roman"/>
                <w:color w:val="auto"/>
                <w:sz w:val="24"/>
                <w:szCs w:val="24"/>
                <w:highlight w:val="none"/>
                <w:lang w:eastAsia="zh-CN"/>
              </w:rPr>
              <w:t>；拌</w:t>
            </w:r>
            <w:r>
              <w:rPr>
                <w:rFonts w:hint="eastAsia" w:cs="Times New Roman"/>
                <w:color w:val="auto"/>
                <w:sz w:val="24"/>
                <w:szCs w:val="24"/>
                <w:highlight w:val="none"/>
                <w:lang w:val="en-US" w:eastAsia="zh-CN"/>
              </w:rPr>
              <w:t>合</w:t>
            </w:r>
            <w:r>
              <w:rPr>
                <w:rFonts w:hint="default" w:ascii="Times New Roman" w:hAnsi="Times New Roman" w:eastAsia="宋体" w:cs="Times New Roman"/>
                <w:color w:val="auto"/>
                <w:sz w:val="24"/>
                <w:szCs w:val="24"/>
                <w:highlight w:val="none"/>
                <w:lang w:val="en-US" w:eastAsia="zh-CN"/>
              </w:rPr>
              <w:t>机清洗废水经</w:t>
            </w:r>
            <w:r>
              <w:rPr>
                <w:rFonts w:hint="default" w:ascii="Times New Roman" w:hAnsi="Times New Roman" w:eastAsia="宋体" w:cs="Times New Roman"/>
                <w:color w:val="auto"/>
                <w:sz w:val="24"/>
                <w:szCs w:val="24"/>
                <w:highlight w:val="none"/>
              </w:rPr>
              <w:t>沉淀池（</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vertAlign w:val="baseline"/>
                <w:lang w:eastAsia="zh-CN"/>
              </w:rPr>
              <w:t>，</w:t>
            </w:r>
            <w:r>
              <w:rPr>
                <w:rFonts w:hint="default" w:ascii="Times New Roman" w:hAnsi="Times New Roman" w:eastAsia="宋体" w:cs="Times New Roman"/>
                <w:color w:val="auto"/>
                <w:sz w:val="24"/>
                <w:szCs w:val="24"/>
                <w:highlight w:val="none"/>
                <w:vertAlign w:val="baseline"/>
                <w:lang w:val="en-US" w:eastAsia="zh-CN"/>
              </w:rPr>
              <w:t>共2个</w:t>
            </w:r>
            <w:r>
              <w:rPr>
                <w:rFonts w:hint="default" w:ascii="Times New Roman" w:hAnsi="Times New Roman" w:eastAsia="宋体" w:cs="Times New Roman"/>
                <w:color w:val="auto"/>
                <w:sz w:val="24"/>
                <w:szCs w:val="24"/>
                <w:highlight w:val="none"/>
              </w:rPr>
              <w:t>）处理后回用</w:t>
            </w:r>
            <w:r>
              <w:rPr>
                <w:rFonts w:hint="default" w:ascii="Times New Roman" w:hAnsi="Times New Roman" w:eastAsia="宋体" w:cs="Times New Roman"/>
                <w:color w:val="auto"/>
                <w:sz w:val="24"/>
                <w:szCs w:val="24"/>
                <w:highlight w:val="none"/>
                <w:lang w:eastAsia="zh-CN"/>
              </w:rPr>
              <w:t>；上下游疏浚段设置2套废水处理设施</w:t>
            </w:r>
            <w:r>
              <w:rPr>
                <w:rFonts w:hint="eastAsia" w:cs="Times New Roman"/>
                <w:color w:val="auto"/>
                <w:sz w:val="24"/>
                <w:szCs w:val="24"/>
                <w:highlight w:val="none"/>
                <w:lang w:eastAsia="zh-CN"/>
              </w:rPr>
              <w:t>；生产生活工区设2处简易防渗旱厕，</w:t>
            </w:r>
            <w:r>
              <w:rPr>
                <w:rFonts w:hint="eastAsia" w:cs="Times New Roman"/>
                <w:color w:val="auto"/>
                <w:sz w:val="24"/>
                <w:szCs w:val="24"/>
                <w:highlight w:val="none"/>
                <w:lang w:val="en-US" w:eastAsia="zh-CN"/>
              </w:rPr>
              <w:t>经处理后用于周边土地施肥，</w:t>
            </w:r>
            <w:r>
              <w:rPr>
                <w:rFonts w:hint="eastAsia" w:cs="Times New Roman"/>
                <w:color w:val="auto"/>
                <w:sz w:val="24"/>
                <w:szCs w:val="24"/>
                <w:highlight w:val="none"/>
                <w:lang w:eastAsia="zh-CN"/>
              </w:rPr>
              <w:t>待施工完毕将其拆除，洒上生石灰后作卫生填埋处理，视其情况填埋后可种上植被</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噪声排放标准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执行国家《建筑施工场界环境噪声排放标准》（GB12523-2011）标准。标准限值见下表</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1</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rPr>
              <w:t>。</w:t>
            </w:r>
          </w:p>
          <w:p>
            <w:pPr>
              <w:adjustRightInd w:val="0"/>
              <w:snapToGrid w:val="0"/>
              <w:spacing w:line="360" w:lineRule="auto"/>
              <w:jc w:val="center"/>
              <w:textAlignment w:val="baseline"/>
              <w:outlineLvl w:val="9"/>
              <w:rPr>
                <w:rFonts w:hint="eastAsia"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rPr>
              <w:t>表</w:t>
            </w:r>
            <w:r>
              <w:rPr>
                <w:rFonts w:hint="default" w:ascii="Times New Roman" w:hAnsi="Times New Roman" w:eastAsia="宋体" w:cs="Times New Roman"/>
                <w:b/>
                <w:bCs/>
                <w:color w:val="auto"/>
                <w:szCs w:val="21"/>
                <w:lang w:val="en-US" w:eastAsia="zh-CN"/>
              </w:rPr>
              <w:t>3</w:t>
            </w:r>
            <w:r>
              <w:rPr>
                <w:rFonts w:hint="default" w:ascii="Times New Roman" w:hAnsi="Times New Roman" w:eastAsia="宋体" w:cs="Times New Roman"/>
                <w:b/>
                <w:bCs/>
                <w:color w:val="auto"/>
                <w:szCs w:val="21"/>
              </w:rPr>
              <w:t>-</w:t>
            </w:r>
            <w:r>
              <w:rPr>
                <w:rFonts w:hint="default" w:ascii="Times New Roman" w:hAnsi="Times New Roman" w:eastAsia="宋体" w:cs="Times New Roman"/>
                <w:b/>
                <w:bCs/>
                <w:color w:val="auto"/>
                <w:szCs w:val="21"/>
                <w:lang w:val="en-US" w:eastAsia="zh-CN"/>
              </w:rPr>
              <w:t>1</w:t>
            </w:r>
            <w:r>
              <w:rPr>
                <w:rFonts w:hint="eastAsia" w:cs="Times New Roman"/>
                <w:b/>
                <w:bCs/>
                <w:color w:val="auto"/>
                <w:szCs w:val="21"/>
                <w:lang w:val="en-US" w:eastAsia="zh-CN"/>
              </w:rPr>
              <w:t>5</w:t>
            </w:r>
            <w:r>
              <w:rPr>
                <w:rFonts w:hint="default" w:ascii="Times New Roman" w:hAnsi="Times New Roman" w:eastAsia="宋体" w:cs="Times New Roman"/>
                <w:b/>
                <w:bCs/>
                <w:color w:val="auto"/>
                <w:szCs w:val="21"/>
              </w:rPr>
              <w:t xml:space="preserve">  建筑施工场界环境噪声排放标准  单位：dB</w:t>
            </w:r>
            <w:r>
              <w:rPr>
                <w:rFonts w:hint="eastAsia" w:cs="Times New Roman"/>
                <w:b/>
                <w:bCs/>
                <w:color w:val="auto"/>
                <w:szCs w:val="21"/>
                <w:lang w:eastAsia="zh-CN"/>
              </w:rPr>
              <w:t>（</w:t>
            </w:r>
            <w:r>
              <w:rPr>
                <w:rFonts w:hint="default" w:ascii="Times New Roman" w:hAnsi="Times New Roman" w:eastAsia="宋体" w:cs="Times New Roman"/>
                <w:b/>
                <w:bCs/>
                <w:color w:val="auto"/>
                <w:szCs w:val="21"/>
              </w:rPr>
              <w:t>A</w:t>
            </w:r>
            <w:r>
              <w:rPr>
                <w:rFonts w:hint="eastAsia" w:cs="Times New Roman"/>
                <w:b/>
                <w:bCs/>
                <w:color w:val="auto"/>
                <w:szCs w:val="21"/>
                <w:lang w:eastAsia="zh-CN"/>
              </w:rPr>
              <w:t>）</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1"/>
              <w:gridCol w:w="4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21" w:type="dxa"/>
                  <w:noWrap w:val="0"/>
                  <w:vAlign w:val="center"/>
                </w:tcPr>
                <w:p>
                  <w:pPr>
                    <w:tabs>
                      <w:tab w:val="left" w:pos="2592"/>
                    </w:tabs>
                    <w:jc w:val="center"/>
                    <w:outlineLvl w:val="9"/>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昼间</w:t>
                  </w:r>
                </w:p>
              </w:tc>
              <w:tc>
                <w:tcPr>
                  <w:tcW w:w="4524" w:type="dxa"/>
                  <w:noWrap w:val="0"/>
                  <w:vAlign w:val="center"/>
                </w:tcPr>
                <w:p>
                  <w:pPr>
                    <w:tabs>
                      <w:tab w:val="left" w:pos="2592"/>
                    </w:tabs>
                    <w:jc w:val="center"/>
                    <w:outlineLvl w:val="9"/>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1" w:type="dxa"/>
                  <w:noWrap w:val="0"/>
                  <w:vAlign w:val="center"/>
                </w:tcPr>
                <w:p>
                  <w:pPr>
                    <w:tabs>
                      <w:tab w:val="left" w:pos="2592"/>
                    </w:tabs>
                    <w:jc w:val="center"/>
                    <w:outlineLvl w:val="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70</w:t>
                  </w:r>
                </w:p>
              </w:tc>
              <w:tc>
                <w:tcPr>
                  <w:tcW w:w="4524" w:type="dxa"/>
                  <w:noWrap w:val="0"/>
                  <w:vAlign w:val="center"/>
                </w:tcPr>
                <w:p>
                  <w:pPr>
                    <w:tabs>
                      <w:tab w:val="left" w:pos="2592"/>
                    </w:tabs>
                    <w:jc w:val="center"/>
                    <w:outlineLvl w:val="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55</w:t>
                  </w:r>
                </w:p>
              </w:tc>
            </w:tr>
          </w:tbl>
          <w:p>
            <w:pPr>
              <w:keepNext w:val="0"/>
              <w:spacing w:line="360" w:lineRule="auto"/>
              <w:ind w:firstLine="480" w:firstLineChars="200"/>
              <w:outlineLvl w:val="9"/>
              <w:rPr>
                <w:rFonts w:hint="default" w:ascii="Times New Roman" w:hAnsi="Times New Roman" w:eastAsia="宋体" w:cs="Times New Roman"/>
                <w:b w:val="0"/>
                <w:bCs/>
                <w:color w:val="auto"/>
                <w:sz w:val="24"/>
                <w:szCs w:val="24"/>
              </w:rPr>
            </w:pPr>
            <w:bookmarkStart w:id="16" w:name="_Toc1539"/>
            <w:r>
              <w:rPr>
                <w:rFonts w:hint="default" w:ascii="Times New Roman" w:hAnsi="Times New Roman" w:eastAsia="宋体" w:cs="Times New Roman"/>
                <w:b w:val="0"/>
                <w:bCs/>
                <w:color w:val="auto"/>
                <w:sz w:val="24"/>
                <w:szCs w:val="24"/>
                <w:lang w:eastAsia="zh-CN"/>
              </w:rPr>
              <w:t>（</w:t>
            </w:r>
            <w:r>
              <w:rPr>
                <w:rFonts w:hint="default" w:ascii="Times New Roman" w:hAnsi="Times New Roman" w:eastAsia="宋体" w:cs="Times New Roman"/>
                <w:b w:val="0"/>
                <w:bCs/>
                <w:color w:val="auto"/>
                <w:sz w:val="24"/>
                <w:szCs w:val="24"/>
                <w:lang w:val="en-US" w:eastAsia="zh-CN"/>
              </w:rPr>
              <w:t>4</w:t>
            </w:r>
            <w:r>
              <w:rPr>
                <w:rFonts w:hint="default" w:ascii="Times New Roman" w:hAnsi="Times New Roman" w:eastAsia="宋体" w:cs="Times New Roman"/>
                <w:b w:val="0"/>
                <w:bCs/>
                <w:color w:val="auto"/>
                <w:sz w:val="24"/>
                <w:szCs w:val="24"/>
                <w:lang w:eastAsia="zh-CN"/>
              </w:rPr>
              <w:t>）</w:t>
            </w:r>
            <w:r>
              <w:rPr>
                <w:rFonts w:hint="default" w:ascii="Times New Roman" w:hAnsi="Times New Roman" w:eastAsia="宋体" w:cs="Times New Roman"/>
                <w:b w:val="0"/>
                <w:bCs/>
                <w:color w:val="auto"/>
                <w:sz w:val="24"/>
                <w:szCs w:val="24"/>
              </w:rPr>
              <w:t>固废</w:t>
            </w:r>
            <w:bookmarkEnd w:id="16"/>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FF"/>
                <w:kern w:val="0"/>
                <w:sz w:val="24"/>
                <w:szCs w:val="24"/>
              </w:rPr>
            </w:pPr>
            <w:r>
              <w:rPr>
                <w:rFonts w:hint="default" w:ascii="Times New Roman" w:hAnsi="Times New Roman" w:eastAsia="宋体" w:cs="Times New Roman"/>
                <w:color w:val="auto"/>
                <w:sz w:val="24"/>
              </w:rPr>
              <w:t>执行《一般工业固体废物贮存</w:t>
            </w:r>
            <w:r>
              <w:rPr>
                <w:rFonts w:hint="default" w:ascii="Times New Roman" w:hAnsi="Times New Roman" w:eastAsia="宋体" w:cs="Times New Roman"/>
                <w:color w:val="auto"/>
                <w:sz w:val="24"/>
                <w:lang w:val="en-US" w:eastAsia="zh-CN"/>
              </w:rPr>
              <w:t>和填埋</w:t>
            </w:r>
            <w:r>
              <w:rPr>
                <w:rFonts w:hint="default" w:ascii="Times New Roman" w:hAnsi="Times New Roman" w:eastAsia="宋体" w:cs="Times New Roman"/>
                <w:color w:val="auto"/>
                <w:sz w:val="24"/>
              </w:rPr>
              <w:t>污染控制标准》（GB18599-20</w:t>
            </w:r>
            <w:r>
              <w:rPr>
                <w:rFonts w:hint="default" w:ascii="Times New Roman" w:hAnsi="Times New Roman" w:eastAsia="宋体" w:cs="Times New Roman"/>
                <w:color w:val="auto"/>
                <w:sz w:val="24"/>
                <w:lang w:val="en-US" w:eastAsia="zh-CN"/>
              </w:rPr>
              <w:t>20</w:t>
            </w:r>
            <w:r>
              <w:rPr>
                <w:rFonts w:hint="default" w:ascii="Times New Roman" w:hAnsi="Times New Roman" w:eastAsia="宋体" w:cs="Times New Roman"/>
                <w:color w:val="auto"/>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2"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其他</w:t>
            </w:r>
          </w:p>
        </w:tc>
        <w:tc>
          <w:tcPr>
            <w:tcW w:w="4487" w:type="pct"/>
            <w:noWrap w:val="0"/>
            <w:vAlign w:val="center"/>
          </w:tcPr>
          <w:p>
            <w:pPr>
              <w:autoSpaceDE w:val="0"/>
              <w:autoSpaceDN w:val="0"/>
              <w:adjustRightInd w:val="0"/>
              <w:spacing w:line="360" w:lineRule="auto"/>
              <w:ind w:firstLine="480" w:firstLineChars="200"/>
              <w:outlineLvl w:val="9"/>
              <w:rPr>
                <w:rFonts w:hint="default" w:ascii="Times New Roman" w:hAnsi="Times New Roman" w:eastAsia="宋体" w:cs="Times New Roman"/>
                <w:color w:val="0000FF"/>
                <w:kern w:val="0"/>
                <w:sz w:val="24"/>
                <w:szCs w:val="24"/>
              </w:rPr>
            </w:pPr>
            <w:r>
              <w:rPr>
                <w:rFonts w:hint="default" w:ascii="Times New Roman" w:hAnsi="Times New Roman" w:eastAsia="宋体" w:cs="Times New Roman"/>
                <w:color w:val="auto"/>
                <w:sz w:val="24"/>
              </w:rPr>
              <w:t>本项目属非污染类项目，</w:t>
            </w:r>
            <w:r>
              <w:rPr>
                <w:rFonts w:hint="eastAsia" w:eastAsia="宋体" w:cs="Times New Roman"/>
                <w:color w:val="auto"/>
                <w:sz w:val="24"/>
                <w:lang w:val="en-US" w:eastAsia="zh-CN"/>
              </w:rPr>
              <w:t>故</w:t>
            </w:r>
            <w:r>
              <w:rPr>
                <w:rFonts w:hint="default" w:ascii="Times New Roman" w:hAnsi="Times New Roman" w:eastAsia="宋体" w:cs="Times New Roman"/>
                <w:color w:val="auto"/>
                <w:sz w:val="24"/>
              </w:rPr>
              <w:t>不设置总量控制指标。</w:t>
            </w:r>
          </w:p>
        </w:tc>
      </w:tr>
    </w:tbl>
    <w:p>
      <w:pPr>
        <w:sectPr>
          <w:pgSz w:w="11906" w:h="16838"/>
          <w:pgMar w:top="1440" w:right="1242" w:bottom="1440" w:left="1242"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7"/>
        <w:keepNext w:val="0"/>
        <w:keepLines w:val="0"/>
        <w:pageBreakBefore w:val="0"/>
        <w:widowControl/>
        <w:kinsoku/>
        <w:wordWrap/>
        <w:overflowPunct/>
        <w:topLinePunct w:val="0"/>
        <w:autoSpaceDE/>
        <w:autoSpaceDN/>
        <w:bidi w:val="0"/>
        <w:adjustRightInd w:val="0"/>
        <w:snapToGrid w:val="0"/>
        <w:jc w:val="center"/>
        <w:textAlignment w:val="auto"/>
        <w:outlineLvl w:val="0"/>
        <w:rPr>
          <w:rFonts w:ascii="黑体" w:hAnsi="黑体" w:eastAsia="黑体"/>
          <w:snapToGrid w:val="0"/>
          <w:sz w:val="30"/>
          <w:szCs w:val="30"/>
        </w:rPr>
      </w:pPr>
      <w:r>
        <w:rPr>
          <w:rFonts w:hint="eastAsia" w:ascii="黑体" w:hAnsi="黑体" w:eastAsia="黑体"/>
          <w:snapToGrid w:val="0"/>
          <w:sz w:val="30"/>
          <w:szCs w:val="30"/>
        </w:rPr>
        <w:t>四、生态环境影响分析</w:t>
      </w:r>
    </w:p>
    <w:tbl>
      <w:tblPr>
        <w:tblStyle w:val="41"/>
        <w:tblW w:w="504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5"/>
        <w:gridCol w:w="919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231" w:type="pct"/>
            <w:noWrap w:val="0"/>
            <w:tcMar>
              <w:left w:w="28" w:type="dxa"/>
              <w:right w:w="28" w:type="dxa"/>
            </w:tcMar>
            <w:vAlign w:val="center"/>
          </w:tcPr>
          <w:p>
            <w:pPr>
              <w:pStyle w:val="37"/>
              <w:keepNext w:val="0"/>
              <w:keepLines w:val="0"/>
              <w:pageBreakBefore w:val="0"/>
              <w:kinsoku/>
              <w:wordWrap/>
              <w:overflowPunct/>
              <w:topLinePunct w:val="0"/>
              <w:bidi w:val="0"/>
              <w:adjustRightInd w:val="0"/>
              <w:snapToGrid w:val="0"/>
              <w:spacing w:before="0" w:beforeAutospacing="0" w:after="0" w:afterAutospacing="0"/>
              <w:jc w:val="center"/>
              <w:textAlignment w:val="auto"/>
              <w:rPr>
                <w:rFonts w:cs="宋体"/>
                <w:bCs/>
                <w:kern w:val="2"/>
                <w:sz w:val="24"/>
                <w:szCs w:val="24"/>
              </w:rPr>
            </w:pPr>
            <w:bookmarkStart w:id="17" w:name="_Hlk49796138"/>
            <w:r>
              <w:rPr>
                <w:rFonts w:hint="eastAsia" w:cs="宋体"/>
                <w:bCs/>
                <w:spacing w:val="10"/>
                <w:kern w:val="2"/>
                <w:sz w:val="24"/>
                <w:szCs w:val="24"/>
              </w:rPr>
              <w:t>施工期生态环境影响分析</w:t>
            </w:r>
            <w:bookmarkEnd w:id="17"/>
          </w:p>
        </w:tc>
        <w:tc>
          <w:tcPr>
            <w:tcW w:w="4768"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leftChars="0" w:firstLine="482" w:firstLineChars="200"/>
              <w:jc w:val="left"/>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bCs w:val="0"/>
                <w:color w:val="auto"/>
                <w:kern w:val="0"/>
                <w:sz w:val="24"/>
                <w:szCs w:val="24"/>
                <w:lang w:val="en-US" w:eastAsia="zh-CN" w:bidi="ar"/>
              </w:rPr>
              <w:t>1、</w:t>
            </w:r>
            <w:r>
              <w:rPr>
                <w:rFonts w:hint="default" w:ascii="Times New Roman" w:hAnsi="Times New Roman" w:eastAsia="宋体" w:cs="Times New Roman"/>
                <w:b/>
                <w:bCs w:val="0"/>
                <w:color w:val="auto"/>
                <w:kern w:val="0"/>
                <w:sz w:val="24"/>
                <w:szCs w:val="24"/>
                <w:lang w:bidi="ar"/>
              </w:rPr>
              <w:t>生态环境影响分析</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kern w:val="0"/>
                <w:sz w:val="24"/>
                <w:szCs w:val="24"/>
                <w:lang w:eastAsia="zh-CN" w:bidi="ar"/>
              </w:rPr>
              <w:t>（</w:t>
            </w:r>
            <w:r>
              <w:rPr>
                <w:rFonts w:hint="default" w:ascii="Times New Roman" w:hAnsi="Times New Roman" w:eastAsia="宋体" w:cs="Times New Roman"/>
                <w:bCs/>
                <w:color w:val="auto"/>
                <w:kern w:val="0"/>
                <w:sz w:val="24"/>
                <w:szCs w:val="24"/>
                <w:lang w:val="en-US" w:eastAsia="zh-CN" w:bidi="ar"/>
              </w:rPr>
              <w:t>1</w:t>
            </w:r>
            <w:r>
              <w:rPr>
                <w:rFonts w:hint="default" w:ascii="Times New Roman" w:hAnsi="Times New Roman" w:eastAsia="宋体" w:cs="Times New Roman"/>
                <w:bCs/>
                <w:color w:val="auto"/>
                <w:kern w:val="0"/>
                <w:sz w:val="24"/>
                <w:szCs w:val="24"/>
                <w:lang w:eastAsia="zh-CN" w:bidi="ar"/>
              </w:rPr>
              <w:t>）</w:t>
            </w:r>
            <w:r>
              <w:rPr>
                <w:rFonts w:hint="default" w:ascii="Times New Roman" w:hAnsi="Times New Roman" w:eastAsia="宋体" w:cs="Times New Roman"/>
                <w:bCs/>
                <w:color w:val="auto"/>
                <w:kern w:val="0"/>
                <w:sz w:val="24"/>
                <w:szCs w:val="24"/>
                <w:lang w:bidi="ar"/>
              </w:rPr>
              <w:t>对陆</w:t>
            </w:r>
            <w:r>
              <w:rPr>
                <w:rFonts w:hint="default" w:ascii="Times New Roman" w:hAnsi="Times New Roman" w:eastAsia="宋体" w:cs="Times New Roman"/>
                <w:bCs/>
                <w:color w:val="auto"/>
                <w:kern w:val="0"/>
                <w:sz w:val="24"/>
                <w:szCs w:val="24"/>
                <w:lang w:val="en-US" w:eastAsia="zh-CN" w:bidi="ar"/>
              </w:rPr>
              <w:t>生</w:t>
            </w:r>
            <w:r>
              <w:rPr>
                <w:rFonts w:hint="default" w:ascii="Times New Roman" w:hAnsi="Times New Roman" w:eastAsia="宋体" w:cs="Times New Roman"/>
                <w:bCs/>
                <w:color w:val="auto"/>
                <w:kern w:val="0"/>
                <w:sz w:val="24"/>
                <w:szCs w:val="24"/>
                <w:lang w:bidi="ar"/>
              </w:rPr>
              <w:t>生态的影响</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kern w:val="0"/>
                <w:sz w:val="24"/>
                <w:szCs w:val="24"/>
                <w:lang w:val="en-US" w:eastAsia="zh-CN" w:bidi="ar"/>
              </w:rPr>
              <w:t>1）</w:t>
            </w:r>
            <w:r>
              <w:rPr>
                <w:rFonts w:hint="default" w:ascii="Times New Roman" w:hAnsi="Times New Roman" w:eastAsia="宋体" w:cs="Times New Roman"/>
                <w:bCs/>
                <w:color w:val="auto"/>
                <w:kern w:val="0"/>
                <w:sz w:val="24"/>
                <w:szCs w:val="24"/>
                <w:lang w:bidi="ar"/>
              </w:rPr>
              <w:t>土地利用形式的改变</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kern w:val="0"/>
                <w:sz w:val="24"/>
                <w:szCs w:val="24"/>
                <w:lang w:bidi="ar"/>
              </w:rPr>
              <w:t>工程对土地利用形式变化的影响主要为对永久占地的影响。本工程永久占地包括防洪堤工程及管理范围、河道部分及其河段管理范围。</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bCs/>
                <w:color w:val="auto"/>
                <w:kern w:val="0"/>
                <w:sz w:val="24"/>
                <w:szCs w:val="24"/>
                <w:lang w:bidi="ar"/>
              </w:rPr>
            </w:pPr>
            <w:r>
              <w:rPr>
                <w:rFonts w:hint="default" w:ascii="Times New Roman" w:hAnsi="Times New Roman" w:eastAsia="宋体" w:cs="Times New Roman"/>
                <w:bCs/>
                <w:color w:val="auto"/>
                <w:kern w:val="0"/>
                <w:sz w:val="24"/>
                <w:lang w:val="en-US" w:eastAsia="zh-CN" w:bidi="ar"/>
              </w:rPr>
              <w:t>本工程建设区总占地面积为97.81亩，其中永久占地82.71亩</w:t>
            </w:r>
            <w:r>
              <w:rPr>
                <w:rFonts w:hint="eastAsia" w:eastAsia="宋体" w:cs="Times New Roman"/>
                <w:bCs/>
                <w:color w:val="auto"/>
                <w:kern w:val="0"/>
                <w:sz w:val="24"/>
                <w:lang w:val="en-US" w:eastAsia="zh-CN" w:bidi="ar"/>
              </w:rPr>
              <w:t>，</w:t>
            </w:r>
            <w:r>
              <w:rPr>
                <w:rFonts w:hint="default" w:ascii="Times New Roman" w:hAnsi="Times New Roman" w:eastAsia="宋体" w:cs="Times New Roman"/>
                <w:bCs/>
                <w:color w:val="auto"/>
                <w:kern w:val="0"/>
                <w:sz w:val="24"/>
                <w:lang w:val="en-US" w:eastAsia="zh-CN" w:bidi="ar"/>
              </w:rPr>
              <w:t>施工临时道路占地9.40亩</w:t>
            </w:r>
            <w:r>
              <w:rPr>
                <w:rFonts w:hint="eastAsia" w:eastAsia="宋体" w:cs="Times New Roman"/>
                <w:bCs/>
                <w:color w:val="auto"/>
                <w:kern w:val="0"/>
                <w:sz w:val="24"/>
                <w:lang w:val="en-US" w:eastAsia="zh-CN" w:bidi="ar"/>
              </w:rPr>
              <w:t>，</w:t>
            </w:r>
            <w:r>
              <w:rPr>
                <w:rFonts w:hint="default" w:ascii="Times New Roman" w:hAnsi="Times New Roman" w:eastAsia="宋体" w:cs="Times New Roman"/>
                <w:bCs/>
                <w:color w:val="auto"/>
                <w:kern w:val="0"/>
                <w:sz w:val="24"/>
                <w:lang w:val="en-US" w:eastAsia="zh-CN" w:bidi="ar"/>
              </w:rPr>
              <w:t>临时施工区占地0.3亩，渣场区占地5.4亩</w:t>
            </w:r>
            <w:r>
              <w:rPr>
                <w:rFonts w:hint="default" w:ascii="Times New Roman" w:hAnsi="Times New Roman" w:eastAsia="宋体" w:cs="Times New Roman"/>
                <w:bCs/>
                <w:color w:val="auto"/>
                <w:kern w:val="0"/>
                <w:sz w:val="24"/>
                <w:szCs w:val="24"/>
                <w:lang w:bidi="ar"/>
              </w:rPr>
              <w:t>。项目占地破坏了原地表植被</w:t>
            </w:r>
            <w:r>
              <w:rPr>
                <w:rFonts w:hint="default" w:ascii="Times New Roman" w:hAnsi="Times New Roman" w:eastAsia="宋体" w:cs="Times New Roman"/>
                <w:color w:val="auto"/>
                <w:sz w:val="24"/>
                <w:szCs w:val="24"/>
              </w:rPr>
              <w:t>，对该地区生态环境造成一定的破坏，同时使自然状况下的土体稳定和土壤结构遭到破坏，土体疏松，土壤可蚀性增加，水土流失增加</w:t>
            </w:r>
            <w:r>
              <w:rPr>
                <w:rFonts w:hint="default" w:ascii="Times New Roman" w:hAnsi="Times New Roman" w:eastAsia="宋体" w:cs="Times New Roman"/>
                <w:bCs/>
                <w:color w:val="auto"/>
                <w:kern w:val="0"/>
                <w:sz w:val="24"/>
                <w:szCs w:val="24"/>
                <w:lang w:bidi="ar"/>
              </w:rPr>
              <w:t>。本项目防洪堤和其他工程措施的实施，减少</w:t>
            </w:r>
            <w:r>
              <w:rPr>
                <w:rFonts w:hint="default" w:ascii="Times New Roman" w:hAnsi="Times New Roman" w:eastAsia="宋体" w:cs="Times New Roman"/>
                <w:bCs/>
                <w:color w:val="auto"/>
                <w:kern w:val="0"/>
                <w:sz w:val="24"/>
                <w:szCs w:val="24"/>
                <w:lang w:val="en-US" w:eastAsia="zh-CN" w:bidi="ar"/>
              </w:rPr>
              <w:t>了</w:t>
            </w:r>
            <w:r>
              <w:rPr>
                <w:rFonts w:hint="eastAsia" w:cs="Times New Roman"/>
                <w:bCs/>
                <w:color w:val="auto"/>
                <w:kern w:val="0"/>
                <w:sz w:val="24"/>
                <w:szCs w:val="24"/>
                <w:lang w:val="en-US" w:eastAsia="zh-CN" w:bidi="ar"/>
              </w:rPr>
              <w:t>临江河</w:t>
            </w:r>
            <w:r>
              <w:rPr>
                <w:rFonts w:hint="default" w:ascii="Times New Roman" w:hAnsi="Times New Roman" w:eastAsia="宋体" w:cs="Times New Roman"/>
                <w:bCs/>
                <w:color w:val="auto"/>
                <w:kern w:val="0"/>
                <w:sz w:val="24"/>
                <w:szCs w:val="24"/>
                <w:lang w:bidi="ar"/>
              </w:rPr>
              <w:t>对河岸的冲刷，这部分土地的水土流失量反而会减少。</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imes New Roman" w:hAnsi="Times New Roman" w:eastAsia="宋体" w:cs="Times New Roman"/>
                <w:bCs/>
                <w:color w:val="auto"/>
                <w:kern w:val="0"/>
                <w:sz w:val="24"/>
                <w:szCs w:val="24"/>
                <w:lang w:bidi="ar"/>
              </w:rPr>
            </w:pPr>
            <w:r>
              <w:rPr>
                <w:rFonts w:hint="eastAsia" w:ascii="Times New Roman" w:hAnsi="Times New Roman" w:eastAsia="宋体" w:cs="Times New Roman"/>
                <w:bCs/>
                <w:color w:val="auto"/>
                <w:kern w:val="0"/>
                <w:sz w:val="24"/>
                <w:szCs w:val="24"/>
                <w:lang w:val="en-US" w:eastAsia="zh-CN" w:bidi="ar"/>
              </w:rPr>
              <w:t>2）</w:t>
            </w:r>
            <w:r>
              <w:rPr>
                <w:rFonts w:hint="eastAsia" w:ascii="Times New Roman" w:hAnsi="Times New Roman" w:eastAsia="宋体" w:cs="Times New Roman"/>
                <w:bCs/>
                <w:color w:val="auto"/>
                <w:kern w:val="0"/>
                <w:sz w:val="24"/>
                <w:szCs w:val="24"/>
                <w:lang w:bidi="ar"/>
              </w:rPr>
              <w:t>植被损失及对动物生境的影响</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imes New Roman" w:hAnsi="Times New Roman" w:eastAsia="宋体" w:cs="Times New Roman"/>
                <w:bCs/>
                <w:color w:val="auto"/>
                <w:kern w:val="0"/>
                <w:sz w:val="24"/>
                <w:szCs w:val="24"/>
                <w:lang w:bidi="ar"/>
              </w:rPr>
            </w:pPr>
            <w:r>
              <w:rPr>
                <w:rFonts w:hint="eastAsia" w:ascii="Times New Roman" w:hAnsi="Times New Roman" w:eastAsia="宋体" w:cs="Times New Roman"/>
                <w:bCs/>
                <w:color w:val="auto"/>
                <w:kern w:val="0"/>
                <w:sz w:val="24"/>
                <w:szCs w:val="24"/>
                <w:lang w:bidi="ar"/>
              </w:rPr>
              <w:t>堤岸修筑过程中，施工地带中的现有植被受到破坏。经调查</w:t>
            </w:r>
            <w:r>
              <w:rPr>
                <w:rFonts w:hint="eastAsia" w:ascii="Times New Roman" w:hAnsi="Times New Roman" w:eastAsia="宋体" w:cs="Times New Roman"/>
                <w:bCs/>
                <w:color w:val="auto"/>
                <w:kern w:val="0"/>
                <w:sz w:val="24"/>
                <w:szCs w:val="24"/>
                <w:lang w:val="en-US" w:eastAsia="zh-CN" w:bidi="ar"/>
              </w:rPr>
              <w:t>与查阅相关资料</w:t>
            </w:r>
            <w:r>
              <w:rPr>
                <w:rFonts w:hint="eastAsia" w:ascii="Times New Roman" w:hAnsi="Times New Roman" w:eastAsia="宋体" w:cs="Times New Roman"/>
                <w:bCs/>
                <w:color w:val="auto"/>
                <w:kern w:val="0"/>
                <w:sz w:val="24"/>
                <w:szCs w:val="24"/>
                <w:lang w:bidi="ar"/>
              </w:rPr>
              <w:t>，在评价范围内没有古树名木。因此本工程建设</w:t>
            </w:r>
            <w:r>
              <w:rPr>
                <w:rFonts w:hint="eastAsia" w:ascii="Times New Roman" w:hAnsi="Times New Roman" w:eastAsia="宋体" w:cs="Times New Roman"/>
                <w:bCs/>
                <w:color w:val="auto"/>
                <w:kern w:val="0"/>
                <w:sz w:val="24"/>
                <w:szCs w:val="24"/>
                <w:lang w:val="en-US" w:eastAsia="zh-CN" w:bidi="ar"/>
              </w:rPr>
              <w:t>没有</w:t>
            </w:r>
            <w:r>
              <w:rPr>
                <w:rFonts w:hint="eastAsia" w:ascii="Times New Roman" w:hAnsi="Times New Roman" w:eastAsia="宋体" w:cs="Times New Roman"/>
                <w:bCs/>
                <w:color w:val="auto"/>
                <w:kern w:val="0"/>
                <w:sz w:val="24"/>
                <w:szCs w:val="24"/>
                <w:lang w:bidi="ar"/>
              </w:rPr>
              <w:t>对沿线植被产生长远的破坏性影响。同时，项目在占地处实施绿地迹地恢复，在一定程度上补偿</w:t>
            </w:r>
            <w:r>
              <w:rPr>
                <w:rFonts w:hint="eastAsia" w:ascii="Times New Roman" w:hAnsi="Times New Roman" w:eastAsia="宋体" w:cs="Times New Roman"/>
                <w:bCs/>
                <w:color w:val="auto"/>
                <w:kern w:val="0"/>
                <w:sz w:val="24"/>
                <w:szCs w:val="24"/>
                <w:lang w:val="en-US" w:eastAsia="zh-CN" w:bidi="ar"/>
              </w:rPr>
              <w:t>了</w:t>
            </w:r>
            <w:r>
              <w:rPr>
                <w:rFonts w:hint="eastAsia" w:ascii="Times New Roman" w:hAnsi="Times New Roman" w:eastAsia="宋体" w:cs="Times New Roman"/>
                <w:bCs/>
                <w:color w:val="auto"/>
                <w:kern w:val="0"/>
                <w:sz w:val="24"/>
                <w:szCs w:val="24"/>
                <w:lang w:bidi="ar"/>
              </w:rPr>
              <w:t>因施工破坏的原有植被，也具有景观改造、优化环境质量的作用。</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imes New Roman" w:hAnsi="Times New Roman" w:eastAsia="宋体" w:cs="Times New Roman"/>
                <w:bCs/>
                <w:color w:val="auto"/>
                <w:kern w:val="0"/>
                <w:sz w:val="24"/>
                <w:szCs w:val="24"/>
                <w:lang w:bidi="ar"/>
              </w:rPr>
            </w:pPr>
            <w:r>
              <w:rPr>
                <w:rFonts w:hint="eastAsia" w:ascii="Times New Roman" w:hAnsi="Times New Roman" w:eastAsia="宋体" w:cs="Times New Roman"/>
                <w:bCs/>
                <w:color w:val="auto"/>
                <w:kern w:val="0"/>
                <w:sz w:val="24"/>
                <w:szCs w:val="24"/>
                <w:lang w:bidi="ar"/>
              </w:rPr>
              <w:t>项目工程区不存在大型的动物。一般来说，即使存在大型动物，也会自行</w:t>
            </w:r>
            <w:r>
              <w:rPr>
                <w:rFonts w:hint="eastAsia" w:cs="Times New Roman"/>
                <w:bCs/>
                <w:color w:val="auto"/>
                <w:kern w:val="0"/>
                <w:sz w:val="24"/>
                <w:szCs w:val="24"/>
                <w:lang w:val="en-US" w:eastAsia="zh-CN" w:bidi="ar"/>
              </w:rPr>
              <w:t>迁徙</w:t>
            </w:r>
            <w:r>
              <w:rPr>
                <w:rFonts w:hint="eastAsia" w:ascii="Times New Roman" w:hAnsi="Times New Roman" w:eastAsia="宋体" w:cs="Times New Roman"/>
                <w:bCs/>
                <w:color w:val="auto"/>
                <w:kern w:val="0"/>
                <w:sz w:val="24"/>
                <w:szCs w:val="24"/>
                <w:lang w:bidi="ar"/>
              </w:rPr>
              <w:t xml:space="preserve">，因此只有地表及地下浅层的小型动物受到损失，工程建设对动物生境影响较小。 </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imes New Roman" w:hAnsi="Times New Roman" w:eastAsia="宋体" w:cs="Times New Roman"/>
                <w:bCs/>
                <w:color w:val="auto"/>
                <w:kern w:val="0"/>
                <w:sz w:val="24"/>
                <w:szCs w:val="24"/>
                <w:lang w:bidi="ar"/>
              </w:rPr>
            </w:pPr>
            <w:r>
              <w:rPr>
                <w:rFonts w:hint="eastAsia" w:ascii="Times New Roman" w:hAnsi="Times New Roman" w:eastAsia="宋体" w:cs="Times New Roman"/>
                <w:bCs/>
                <w:color w:val="auto"/>
                <w:kern w:val="0"/>
                <w:sz w:val="24"/>
                <w:szCs w:val="24"/>
                <w:lang w:eastAsia="zh-CN" w:bidi="ar"/>
              </w:rPr>
              <w:t>（</w:t>
            </w:r>
            <w:r>
              <w:rPr>
                <w:rFonts w:hint="eastAsia" w:ascii="Times New Roman" w:hAnsi="Times New Roman" w:eastAsia="宋体" w:cs="Times New Roman"/>
                <w:bCs/>
                <w:color w:val="auto"/>
                <w:kern w:val="0"/>
                <w:sz w:val="24"/>
                <w:szCs w:val="24"/>
                <w:lang w:val="en-US" w:eastAsia="zh-CN" w:bidi="ar"/>
              </w:rPr>
              <w:t>2</w:t>
            </w:r>
            <w:r>
              <w:rPr>
                <w:rFonts w:hint="eastAsia" w:ascii="Times New Roman" w:hAnsi="Times New Roman" w:eastAsia="宋体" w:cs="Times New Roman"/>
                <w:bCs/>
                <w:color w:val="auto"/>
                <w:kern w:val="0"/>
                <w:sz w:val="24"/>
                <w:szCs w:val="24"/>
                <w:lang w:eastAsia="zh-CN" w:bidi="ar"/>
              </w:rPr>
              <w:t>）</w:t>
            </w:r>
            <w:r>
              <w:rPr>
                <w:rFonts w:hint="eastAsia" w:ascii="Times New Roman" w:hAnsi="Times New Roman" w:eastAsia="宋体" w:cs="Times New Roman"/>
                <w:bCs/>
                <w:color w:val="auto"/>
                <w:kern w:val="0"/>
                <w:sz w:val="24"/>
                <w:szCs w:val="24"/>
                <w:lang w:bidi="ar"/>
              </w:rPr>
              <w:t xml:space="preserve">对水域生态的影响 </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imes New Roman" w:hAnsi="Times New Roman" w:eastAsia="宋体" w:cs="Times New Roman"/>
                <w:bCs/>
                <w:color w:val="auto"/>
                <w:kern w:val="0"/>
                <w:sz w:val="24"/>
                <w:szCs w:val="24"/>
                <w:lang w:bidi="ar"/>
              </w:rPr>
            </w:pPr>
            <w:r>
              <w:rPr>
                <w:rFonts w:hint="eastAsia" w:ascii="Times New Roman" w:hAnsi="Times New Roman" w:eastAsia="宋体" w:cs="Times New Roman"/>
                <w:bCs/>
                <w:color w:val="auto"/>
                <w:kern w:val="0"/>
                <w:sz w:val="24"/>
                <w:szCs w:val="24"/>
                <w:lang w:val="en-US" w:eastAsia="zh-CN" w:bidi="ar"/>
              </w:rPr>
              <w:t>1）</w:t>
            </w:r>
            <w:r>
              <w:rPr>
                <w:rFonts w:hint="eastAsia" w:ascii="Times New Roman" w:hAnsi="Times New Roman" w:eastAsia="宋体" w:cs="Times New Roman"/>
                <w:bCs/>
                <w:color w:val="auto"/>
                <w:kern w:val="0"/>
                <w:sz w:val="24"/>
                <w:szCs w:val="24"/>
                <w:lang w:bidi="ar"/>
              </w:rPr>
              <w:t xml:space="preserve">施工期对水生生态系统的影响 </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imes New Roman" w:hAnsi="Times New Roman" w:eastAsia="宋体" w:cs="Times New Roman"/>
                <w:bCs/>
                <w:color w:val="auto"/>
                <w:kern w:val="0"/>
                <w:sz w:val="24"/>
                <w:szCs w:val="24"/>
                <w:lang w:bidi="ar"/>
              </w:rPr>
            </w:pPr>
            <w:r>
              <w:rPr>
                <w:rFonts w:hint="eastAsia" w:ascii="Times New Roman" w:hAnsi="Times New Roman" w:eastAsia="宋体" w:cs="Times New Roman"/>
                <w:bCs/>
                <w:color w:val="auto"/>
                <w:kern w:val="0"/>
                <w:sz w:val="24"/>
                <w:szCs w:val="24"/>
                <w:lang w:val="en-US" w:eastAsia="zh-CN" w:bidi="ar"/>
              </w:rPr>
              <w:t>①</w:t>
            </w:r>
            <w:r>
              <w:rPr>
                <w:rFonts w:hint="eastAsia" w:ascii="Times New Roman" w:hAnsi="Times New Roman" w:eastAsia="宋体" w:cs="Times New Roman"/>
                <w:bCs/>
                <w:color w:val="auto"/>
                <w:kern w:val="0"/>
                <w:sz w:val="24"/>
                <w:szCs w:val="24"/>
                <w:lang w:bidi="ar"/>
              </w:rPr>
              <w:t xml:space="preserve">施工对水体的影响 </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imes New Roman" w:hAnsi="Times New Roman" w:eastAsia="宋体" w:cs="Times New Roman"/>
                <w:bCs/>
                <w:color w:val="auto"/>
                <w:kern w:val="0"/>
                <w:sz w:val="24"/>
                <w:szCs w:val="24"/>
                <w:lang w:bidi="ar"/>
              </w:rPr>
            </w:pPr>
            <w:r>
              <w:rPr>
                <w:rFonts w:hint="eastAsia" w:ascii="Times New Roman" w:hAnsi="Times New Roman" w:eastAsia="宋体" w:cs="Times New Roman"/>
                <w:bCs/>
                <w:color w:val="auto"/>
                <w:kern w:val="0"/>
                <w:sz w:val="24"/>
                <w:szCs w:val="24"/>
                <w:lang w:bidi="ar"/>
              </w:rPr>
              <w:t>开挖、挡墙、土石填筑等施工时，扰动河水使底泥浮起，造成局部河段悬浮物增加，河水</w:t>
            </w:r>
            <w:r>
              <w:rPr>
                <w:rFonts w:hint="eastAsia" w:cs="Times New Roman"/>
                <w:bCs/>
                <w:color w:val="auto"/>
                <w:kern w:val="0"/>
                <w:sz w:val="24"/>
                <w:szCs w:val="24"/>
                <w:lang w:val="en-US" w:eastAsia="zh-CN" w:bidi="ar"/>
              </w:rPr>
              <w:t>浑浊</w:t>
            </w:r>
            <w:r>
              <w:rPr>
                <w:rFonts w:hint="eastAsia" w:ascii="Times New Roman" w:hAnsi="Times New Roman" w:eastAsia="宋体" w:cs="Times New Roman"/>
                <w:bCs/>
                <w:color w:val="auto"/>
                <w:kern w:val="0"/>
                <w:sz w:val="24"/>
                <w:szCs w:val="24"/>
                <w:lang w:bidi="ar"/>
              </w:rPr>
              <w:t xml:space="preserve">。 </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imes New Roman" w:hAnsi="Times New Roman" w:eastAsia="宋体" w:cs="Times New Roman"/>
                <w:bCs/>
                <w:color w:val="auto"/>
                <w:kern w:val="0"/>
                <w:sz w:val="24"/>
                <w:szCs w:val="24"/>
                <w:lang w:bidi="ar"/>
              </w:rPr>
            </w:pPr>
            <w:r>
              <w:rPr>
                <w:rFonts w:hint="eastAsia" w:ascii="Times New Roman" w:hAnsi="Times New Roman" w:eastAsia="宋体" w:cs="Times New Roman"/>
                <w:bCs/>
                <w:color w:val="auto"/>
                <w:kern w:val="0"/>
                <w:sz w:val="24"/>
                <w:szCs w:val="24"/>
                <w:lang w:val="en-US" w:eastAsia="zh-CN" w:bidi="ar"/>
              </w:rPr>
              <w:t>②</w:t>
            </w:r>
            <w:r>
              <w:rPr>
                <w:rFonts w:hint="eastAsia" w:ascii="Times New Roman" w:hAnsi="Times New Roman" w:eastAsia="宋体" w:cs="Times New Roman"/>
                <w:bCs/>
                <w:color w:val="auto"/>
                <w:kern w:val="0"/>
                <w:sz w:val="24"/>
                <w:szCs w:val="24"/>
                <w:lang w:bidi="ar"/>
              </w:rPr>
              <w:t xml:space="preserve">施工对水生生物生境的影响 </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imes New Roman" w:hAnsi="Times New Roman" w:eastAsia="宋体" w:cs="Times New Roman"/>
                <w:bCs/>
                <w:color w:val="auto"/>
                <w:kern w:val="0"/>
                <w:sz w:val="24"/>
                <w:szCs w:val="24"/>
                <w:lang w:bidi="ar"/>
              </w:rPr>
            </w:pPr>
            <w:r>
              <w:rPr>
                <w:rFonts w:hint="eastAsia" w:ascii="Times New Roman" w:hAnsi="Times New Roman" w:eastAsia="宋体" w:cs="Times New Roman"/>
                <w:bCs/>
                <w:color w:val="auto"/>
                <w:kern w:val="0"/>
                <w:sz w:val="24"/>
                <w:szCs w:val="24"/>
                <w:lang w:bidi="ar"/>
              </w:rPr>
              <w:t>岸边土石、垃圾清理及河道挡墙、土石填筑等施工作业中，水体被搅混，影响水生生物的栖息环境，或者将鱼虾吓跑，影响正常的活动路线；对河岸的开挖</w:t>
            </w:r>
            <w:r>
              <w:rPr>
                <w:rFonts w:hint="eastAsia" w:ascii="Times New Roman" w:hAnsi="Times New Roman" w:eastAsia="宋体" w:cs="Times New Roman"/>
                <w:bCs/>
                <w:color w:val="auto"/>
                <w:kern w:val="0"/>
                <w:sz w:val="24"/>
                <w:szCs w:val="24"/>
                <w:lang w:eastAsia="zh-CN" w:bidi="ar"/>
              </w:rPr>
              <w:t>、</w:t>
            </w:r>
            <w:r>
              <w:rPr>
                <w:rFonts w:hint="eastAsia" w:ascii="Times New Roman" w:hAnsi="Times New Roman" w:eastAsia="宋体" w:cs="Times New Roman"/>
                <w:bCs/>
                <w:color w:val="auto"/>
                <w:kern w:val="0"/>
                <w:sz w:val="24"/>
                <w:szCs w:val="24"/>
                <w:lang w:bidi="ar"/>
              </w:rPr>
              <w:t>围堰</w:t>
            </w:r>
            <w:r>
              <w:rPr>
                <w:rFonts w:hint="eastAsia" w:ascii="Times New Roman" w:hAnsi="Times New Roman" w:eastAsia="宋体" w:cs="Times New Roman"/>
                <w:bCs/>
                <w:color w:val="auto"/>
                <w:kern w:val="0"/>
                <w:sz w:val="24"/>
                <w:szCs w:val="24"/>
                <w:lang w:val="en-US" w:eastAsia="zh-CN" w:bidi="ar"/>
              </w:rPr>
              <w:t>和疏浚</w:t>
            </w:r>
            <w:r>
              <w:rPr>
                <w:rFonts w:hint="eastAsia" w:ascii="Times New Roman" w:hAnsi="Times New Roman" w:eastAsia="宋体" w:cs="Times New Roman"/>
                <w:bCs/>
                <w:color w:val="auto"/>
                <w:kern w:val="0"/>
                <w:sz w:val="24"/>
                <w:szCs w:val="24"/>
                <w:lang w:bidi="ar"/>
              </w:rPr>
              <w:t xml:space="preserve">，破坏河漫滩地的水生植物群落，从而影响植食性水生动物的觅食。 </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imes New Roman" w:hAnsi="Times New Roman" w:eastAsia="宋体" w:cs="Times New Roman"/>
                <w:bCs/>
                <w:color w:val="auto"/>
                <w:kern w:val="0"/>
                <w:sz w:val="24"/>
                <w:szCs w:val="24"/>
                <w:lang w:bidi="ar"/>
              </w:rPr>
            </w:pPr>
            <w:r>
              <w:rPr>
                <w:rFonts w:hint="eastAsia" w:ascii="Times New Roman" w:hAnsi="Times New Roman" w:eastAsia="宋体" w:cs="Times New Roman"/>
                <w:bCs/>
                <w:color w:val="auto"/>
                <w:kern w:val="0"/>
                <w:sz w:val="24"/>
                <w:szCs w:val="24"/>
                <w:lang w:val="en-US" w:eastAsia="zh-CN" w:bidi="ar"/>
              </w:rPr>
              <w:t>③</w:t>
            </w:r>
            <w:r>
              <w:rPr>
                <w:rFonts w:hint="eastAsia" w:ascii="Times New Roman" w:hAnsi="Times New Roman" w:eastAsia="宋体" w:cs="Times New Roman"/>
                <w:bCs/>
                <w:color w:val="auto"/>
                <w:kern w:val="0"/>
                <w:sz w:val="24"/>
                <w:szCs w:val="24"/>
                <w:lang w:bidi="ar"/>
              </w:rPr>
              <w:t xml:space="preserve">施工废物对水体的污染 </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imes New Roman" w:hAnsi="Times New Roman" w:eastAsia="宋体" w:cs="Times New Roman"/>
                <w:bCs/>
                <w:color w:val="auto"/>
                <w:kern w:val="0"/>
                <w:sz w:val="24"/>
                <w:szCs w:val="24"/>
                <w:lang w:bidi="ar"/>
              </w:rPr>
            </w:pPr>
            <w:r>
              <w:rPr>
                <w:rFonts w:hint="eastAsia" w:ascii="Times New Roman" w:hAnsi="Times New Roman" w:eastAsia="宋体" w:cs="Times New Roman"/>
                <w:bCs/>
                <w:color w:val="auto"/>
                <w:kern w:val="0"/>
                <w:sz w:val="24"/>
                <w:szCs w:val="24"/>
                <w:lang w:bidi="ar"/>
              </w:rPr>
              <w:t>由于工程规模不大，历时不长，所需施工人员数量不多，施工人员生活污水经管理控制不直接排河内，对水体的水质影响</w:t>
            </w:r>
            <w:r>
              <w:rPr>
                <w:rFonts w:hint="eastAsia" w:ascii="Times New Roman" w:hAnsi="Times New Roman" w:eastAsia="宋体" w:cs="Times New Roman"/>
                <w:bCs/>
                <w:color w:val="auto"/>
                <w:kern w:val="0"/>
                <w:sz w:val="24"/>
                <w:szCs w:val="24"/>
                <w:lang w:val="en-US" w:eastAsia="zh-CN" w:bidi="ar"/>
              </w:rPr>
              <w:t>较小</w:t>
            </w:r>
            <w:r>
              <w:rPr>
                <w:rFonts w:hint="eastAsia" w:ascii="Times New Roman" w:hAnsi="Times New Roman" w:eastAsia="宋体" w:cs="Times New Roman"/>
                <w:bCs/>
                <w:color w:val="auto"/>
                <w:kern w:val="0"/>
                <w:sz w:val="24"/>
                <w:szCs w:val="24"/>
                <w:lang w:bidi="ar"/>
              </w:rPr>
              <w:t>；施工机械的冲洗</w:t>
            </w:r>
            <w:r>
              <w:rPr>
                <w:rFonts w:hint="eastAsia" w:ascii="Times New Roman" w:hAnsi="Times New Roman" w:eastAsia="宋体" w:cs="Times New Roman"/>
                <w:bCs/>
                <w:color w:val="auto"/>
                <w:kern w:val="0"/>
                <w:sz w:val="24"/>
                <w:szCs w:val="24"/>
                <w:lang w:val="en-US" w:eastAsia="zh-CN" w:bidi="ar"/>
              </w:rPr>
              <w:t>废</w:t>
            </w:r>
            <w:r>
              <w:rPr>
                <w:rFonts w:hint="eastAsia" w:ascii="Times New Roman" w:hAnsi="Times New Roman" w:eastAsia="宋体" w:cs="Times New Roman"/>
                <w:bCs/>
                <w:color w:val="auto"/>
                <w:kern w:val="0"/>
                <w:sz w:val="24"/>
                <w:szCs w:val="24"/>
                <w:lang w:bidi="ar"/>
              </w:rPr>
              <w:t>水经处理后回用</w:t>
            </w:r>
            <w:r>
              <w:rPr>
                <w:rFonts w:hint="eastAsia" w:ascii="Times New Roman" w:hAnsi="Times New Roman" w:eastAsia="宋体" w:cs="Times New Roman"/>
                <w:bCs/>
                <w:color w:val="auto"/>
                <w:kern w:val="0"/>
                <w:sz w:val="24"/>
                <w:szCs w:val="24"/>
                <w:lang w:eastAsia="zh-CN" w:bidi="ar"/>
              </w:rPr>
              <w:t>，</w:t>
            </w:r>
            <w:r>
              <w:rPr>
                <w:rFonts w:hint="eastAsia" w:ascii="Times New Roman" w:hAnsi="Times New Roman" w:eastAsia="宋体" w:cs="Times New Roman"/>
                <w:bCs/>
                <w:color w:val="auto"/>
                <w:kern w:val="0"/>
                <w:sz w:val="24"/>
                <w:szCs w:val="24"/>
                <w:lang w:val="en-US" w:eastAsia="zh-CN" w:bidi="ar"/>
              </w:rPr>
              <w:t>基坑废水经沉淀池沉淀后上清液排入周围地表水</w:t>
            </w:r>
            <w:r>
              <w:rPr>
                <w:rFonts w:hint="eastAsia" w:ascii="Times New Roman" w:hAnsi="Times New Roman" w:eastAsia="宋体" w:cs="Times New Roman"/>
                <w:bCs/>
                <w:color w:val="auto"/>
                <w:kern w:val="0"/>
                <w:sz w:val="24"/>
                <w:szCs w:val="24"/>
                <w:lang w:bidi="ar"/>
              </w:rPr>
              <w:t>，</w:t>
            </w:r>
            <w:r>
              <w:rPr>
                <w:rFonts w:hint="eastAsia" w:ascii="Times New Roman" w:hAnsi="Times New Roman" w:eastAsia="宋体" w:cs="Times New Roman"/>
                <w:bCs/>
                <w:color w:val="auto"/>
                <w:kern w:val="0"/>
                <w:sz w:val="24"/>
                <w:szCs w:val="24"/>
                <w:lang w:val="en-US" w:eastAsia="zh-CN" w:bidi="ar"/>
              </w:rPr>
              <w:t>对周围地表水水环境影响较小</w:t>
            </w:r>
            <w:r>
              <w:rPr>
                <w:rFonts w:hint="eastAsia" w:ascii="Times New Roman" w:hAnsi="Times New Roman" w:eastAsia="宋体" w:cs="Times New Roman"/>
                <w:bCs/>
                <w:color w:val="auto"/>
                <w:kern w:val="0"/>
                <w:sz w:val="24"/>
                <w:szCs w:val="24"/>
                <w:lang w:bidi="ar"/>
              </w:rPr>
              <w:t xml:space="preserve">。 </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imes New Roman" w:hAnsi="Times New Roman" w:eastAsia="宋体" w:cs="Times New Roman"/>
                <w:bCs/>
                <w:color w:val="auto"/>
                <w:kern w:val="0"/>
                <w:sz w:val="24"/>
                <w:szCs w:val="24"/>
                <w:lang w:bidi="ar"/>
              </w:rPr>
            </w:pPr>
            <w:r>
              <w:rPr>
                <w:rFonts w:hint="eastAsia" w:ascii="Times New Roman" w:hAnsi="Times New Roman" w:eastAsia="宋体" w:cs="Times New Roman"/>
                <w:bCs/>
                <w:color w:val="auto"/>
                <w:kern w:val="0"/>
                <w:sz w:val="24"/>
                <w:szCs w:val="24"/>
                <w:lang w:val="en-US" w:eastAsia="zh-CN" w:bidi="ar"/>
              </w:rPr>
              <w:t>④</w:t>
            </w:r>
            <w:r>
              <w:rPr>
                <w:rFonts w:hint="eastAsia" w:ascii="Times New Roman" w:hAnsi="Times New Roman" w:eastAsia="宋体" w:cs="Times New Roman"/>
                <w:bCs/>
                <w:color w:val="auto"/>
                <w:kern w:val="0"/>
                <w:sz w:val="24"/>
                <w:szCs w:val="24"/>
                <w:lang w:bidi="ar"/>
              </w:rPr>
              <w:t>对水生生态的影响</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imes New Roman" w:hAnsi="Times New Roman" w:eastAsia="宋体" w:cs="Times New Roman"/>
                <w:bCs/>
                <w:color w:val="auto"/>
                <w:kern w:val="0"/>
                <w:sz w:val="24"/>
                <w:szCs w:val="24"/>
                <w:lang w:bidi="ar"/>
              </w:rPr>
            </w:pPr>
            <w:r>
              <w:rPr>
                <w:rFonts w:hint="eastAsia" w:ascii="Times New Roman" w:hAnsi="Times New Roman" w:eastAsia="宋体" w:cs="Times New Roman"/>
                <w:bCs/>
                <w:color w:val="auto"/>
                <w:kern w:val="0"/>
                <w:sz w:val="24"/>
                <w:szCs w:val="24"/>
                <w:lang w:bidi="ar"/>
              </w:rPr>
              <w:t>根据现场调查，本项目施工区域不涉及重要水生动物的洄游通道、重点保护鱼类及保护区。</w:t>
            </w:r>
            <w:r>
              <w:rPr>
                <w:rFonts w:hint="eastAsia" w:ascii="Times New Roman" w:hAnsi="Times New Roman" w:eastAsia="宋体" w:cs="Times New Roman"/>
                <w:bCs/>
                <w:color w:val="auto"/>
                <w:kern w:val="0"/>
                <w:sz w:val="24"/>
                <w:szCs w:val="24"/>
                <w:lang w:eastAsia="zh-CN" w:bidi="ar"/>
              </w:rPr>
              <w:t>本工程</w:t>
            </w:r>
            <w:r>
              <w:rPr>
                <w:rFonts w:hint="eastAsia" w:ascii="Times New Roman" w:hAnsi="Times New Roman" w:eastAsia="宋体" w:cs="Times New Roman"/>
                <w:bCs/>
                <w:color w:val="auto"/>
                <w:kern w:val="0"/>
                <w:sz w:val="24"/>
                <w:szCs w:val="24"/>
                <w:lang w:val="en-US" w:eastAsia="zh-CN" w:bidi="ar"/>
              </w:rPr>
              <w:t>主要是围堰与疏浚对水域进行扰动，</w:t>
            </w:r>
            <w:r>
              <w:rPr>
                <w:rFonts w:hint="eastAsia" w:ascii="Times New Roman" w:hAnsi="Times New Roman" w:eastAsia="宋体" w:cs="Times New Roman"/>
                <w:bCs/>
                <w:color w:val="auto"/>
                <w:kern w:val="0"/>
                <w:sz w:val="24"/>
                <w:szCs w:val="24"/>
                <w:lang w:bidi="ar"/>
              </w:rPr>
              <w:t>带来的影响主要表现为水中悬浮物浓度升高，从水生生态学角度来看，水中悬浮物浓度增大，导致水体透明度降低，影响藻类的光合作用，从而使浮游植物生物量下降，影响生态系统食物链的传递，进而影响整个生态系统。</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bCs/>
                <w:color w:val="auto"/>
                <w:kern w:val="0"/>
                <w:sz w:val="24"/>
                <w:szCs w:val="24"/>
                <w:lang w:val="en-US" w:eastAsia="zh-CN" w:bidi="ar"/>
              </w:rPr>
            </w:pPr>
            <w:r>
              <w:rPr>
                <w:rFonts w:hint="default" w:ascii="Times New Roman" w:hAnsi="Times New Roman" w:eastAsia="宋体" w:cs="Times New Roman"/>
                <w:color w:val="auto"/>
                <w:sz w:val="24"/>
                <w:szCs w:val="24"/>
                <w:lang w:val="en-US" w:eastAsia="zh-CN"/>
              </w:rPr>
              <w:t>项</w:t>
            </w:r>
            <w:r>
              <w:rPr>
                <w:rFonts w:hint="default" w:ascii="Times New Roman" w:hAnsi="Times New Roman" w:eastAsia="宋体" w:cs="Times New Roman"/>
                <w:bCs/>
                <w:color w:val="auto"/>
                <w:kern w:val="0"/>
                <w:sz w:val="24"/>
                <w:szCs w:val="24"/>
                <w:lang w:val="en-US" w:eastAsia="zh-CN" w:bidi="ar"/>
              </w:rPr>
              <w:t>目施工时采取围堰施工，并在枯月施工，通过采取洒水降尘，围栏等措施后，项目施工对</w:t>
            </w:r>
            <w:r>
              <w:rPr>
                <w:rFonts w:hint="eastAsia" w:ascii="Times New Roman" w:hAnsi="Times New Roman" w:eastAsia="宋体" w:cs="Times New Roman"/>
                <w:bCs/>
                <w:color w:val="auto"/>
                <w:kern w:val="0"/>
                <w:sz w:val="24"/>
                <w:szCs w:val="24"/>
                <w:lang w:val="en-US" w:eastAsia="zh-CN" w:bidi="ar"/>
              </w:rPr>
              <w:t>临江</w:t>
            </w:r>
            <w:r>
              <w:rPr>
                <w:rFonts w:hint="default" w:ascii="Times New Roman" w:hAnsi="Times New Roman" w:eastAsia="宋体" w:cs="Times New Roman"/>
                <w:bCs/>
                <w:color w:val="auto"/>
                <w:kern w:val="0"/>
                <w:sz w:val="24"/>
                <w:szCs w:val="24"/>
                <w:lang w:val="en-US" w:eastAsia="zh-CN" w:bidi="ar"/>
              </w:rPr>
              <w:t>水质影响较小。</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b w:val="0"/>
                <w:bCs/>
                <w:color w:val="auto"/>
                <w:kern w:val="0"/>
                <w:sz w:val="24"/>
                <w:szCs w:val="24"/>
                <w:lang w:val="en-US" w:eastAsia="zh-CN" w:bidi="ar"/>
              </w:rPr>
            </w:pPr>
            <w:r>
              <w:rPr>
                <w:rFonts w:hint="default" w:ascii="Times New Roman" w:hAnsi="Times New Roman" w:eastAsia="宋体" w:cs="Times New Roman"/>
                <w:b w:val="0"/>
                <w:bCs/>
                <w:color w:val="auto"/>
                <w:kern w:val="0"/>
                <w:sz w:val="24"/>
                <w:szCs w:val="24"/>
                <w:lang w:val="en-US" w:eastAsia="zh-CN" w:bidi="ar"/>
              </w:rPr>
              <w:t>综上，项目施工对区域水生生态影响较小。</w:t>
            </w:r>
          </w:p>
          <w:p>
            <w:pPr>
              <w:widowControl/>
              <w:spacing w:line="360" w:lineRule="auto"/>
              <w:ind w:firstLine="482" w:firstLineChars="200"/>
              <w:jc w:val="left"/>
              <w:rPr>
                <w:rFonts w:hint="default" w:ascii="Times New Roman" w:hAnsi="Times New Roman" w:eastAsia="宋体" w:cs="Times New Roman"/>
                <w:b/>
                <w:bCs w:val="0"/>
                <w:color w:val="auto"/>
                <w:kern w:val="0"/>
                <w:sz w:val="24"/>
                <w:lang w:val="en-US" w:eastAsia="zh-CN" w:bidi="ar"/>
              </w:rPr>
            </w:pPr>
            <w:r>
              <w:rPr>
                <w:rFonts w:hint="default" w:ascii="Times New Roman" w:hAnsi="Times New Roman" w:eastAsia="宋体" w:cs="Times New Roman"/>
                <w:b/>
                <w:bCs w:val="0"/>
                <w:color w:val="auto"/>
                <w:kern w:val="0"/>
                <w:sz w:val="24"/>
                <w:lang w:val="en-US" w:eastAsia="zh-CN" w:bidi="ar"/>
              </w:rPr>
              <w:t>2、施工期大气环境影响分析</w:t>
            </w:r>
          </w:p>
          <w:p>
            <w:pPr>
              <w:widowControl/>
              <w:spacing w:line="360" w:lineRule="auto"/>
              <w:ind w:firstLine="480" w:firstLineChars="200"/>
              <w:jc w:val="left"/>
              <w:rPr>
                <w:rFonts w:hint="default" w:ascii="Times New Roman" w:hAnsi="Times New Roman" w:eastAsia="宋体" w:cs="Times New Roman"/>
                <w:bCs/>
                <w:color w:val="auto"/>
              </w:rPr>
            </w:pPr>
            <w:r>
              <w:rPr>
                <w:rFonts w:hint="default" w:ascii="Times New Roman" w:hAnsi="Times New Roman" w:eastAsia="宋体" w:cs="Times New Roman"/>
                <w:bCs/>
                <w:color w:val="auto"/>
                <w:kern w:val="0"/>
                <w:sz w:val="24"/>
                <w:lang w:bidi="ar"/>
              </w:rPr>
              <w:t>（1）</w:t>
            </w:r>
            <w:r>
              <w:rPr>
                <w:rFonts w:hint="default" w:ascii="Times New Roman" w:hAnsi="Times New Roman" w:eastAsia="宋体" w:cs="Times New Roman"/>
                <w:bCs/>
                <w:color w:val="auto"/>
                <w:kern w:val="0"/>
                <w:sz w:val="24"/>
                <w:lang w:val="en-US" w:eastAsia="zh-CN" w:bidi="ar"/>
              </w:rPr>
              <w:t>施工</w:t>
            </w:r>
            <w:r>
              <w:rPr>
                <w:rFonts w:hint="default" w:ascii="Times New Roman" w:hAnsi="Times New Roman" w:eastAsia="宋体" w:cs="Times New Roman"/>
                <w:bCs/>
                <w:color w:val="auto"/>
                <w:kern w:val="0"/>
                <w:sz w:val="24"/>
                <w:lang w:bidi="ar"/>
              </w:rPr>
              <w:t>扬尘</w:t>
            </w:r>
          </w:p>
          <w:p>
            <w:pPr>
              <w:widowControl/>
              <w:spacing w:line="360" w:lineRule="auto"/>
              <w:ind w:firstLine="480" w:firstLineChars="200"/>
              <w:jc w:val="left"/>
              <w:rPr>
                <w:rFonts w:hint="default" w:ascii="Times New Roman" w:hAnsi="Times New Roman" w:eastAsia="宋体" w:cs="Times New Roman"/>
                <w:color w:val="auto"/>
                <w:kern w:val="0"/>
                <w:sz w:val="24"/>
                <w:lang w:val="en-US" w:eastAsia="zh-CN" w:bidi="ar"/>
              </w:rPr>
            </w:pPr>
            <w:r>
              <w:rPr>
                <w:rFonts w:hint="default" w:ascii="Times New Roman" w:hAnsi="Times New Roman" w:eastAsia="宋体" w:cs="Times New Roman"/>
                <w:color w:val="auto"/>
                <w:kern w:val="0"/>
                <w:sz w:val="24"/>
                <w:lang w:val="en-US" w:eastAsia="zh-CN" w:bidi="ar"/>
              </w:rPr>
              <w:t>1</w:t>
            </w:r>
            <w:r>
              <w:rPr>
                <w:rFonts w:hint="default" w:ascii="Times New Roman" w:hAnsi="Times New Roman" w:eastAsia="宋体" w:cs="Times New Roman"/>
                <w:color w:val="auto"/>
                <w:kern w:val="0"/>
                <w:sz w:val="24"/>
                <w:lang w:eastAsia="zh-CN" w:bidi="ar"/>
              </w:rPr>
              <w:t>）</w:t>
            </w:r>
            <w:r>
              <w:rPr>
                <w:rFonts w:hint="default" w:ascii="Times New Roman" w:hAnsi="Times New Roman" w:eastAsia="宋体" w:cs="Times New Roman"/>
                <w:color w:val="auto"/>
                <w:kern w:val="0"/>
                <w:sz w:val="24"/>
                <w:lang w:val="en-US" w:eastAsia="zh-CN" w:bidi="ar"/>
              </w:rPr>
              <w:t>主体工程区施工扬尘</w:t>
            </w:r>
          </w:p>
          <w:p>
            <w:pPr>
              <w:widowControl/>
              <w:spacing w:line="360" w:lineRule="auto"/>
              <w:ind w:firstLine="480" w:firstLineChars="200"/>
              <w:jc w:val="left"/>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lang w:bidi="ar"/>
              </w:rPr>
              <w:t>本项目施工会对周围大气环境产生短期的干扰和影响，而大气污染物主要为TSP，主要来自建筑材料（水泥、砂子、石子等）的搬运及堆放；土方填挖及现场堆放；施工材料的堆放及清理；弃土回填；施工期运输车辆运行等，施工中不可避免的将新增“二次扬尘”污染源。参照同类型施工场地设置的扬尘监测数据进行类比分析，结果详见下表4</w:t>
            </w:r>
            <w:r>
              <w:rPr>
                <w:rFonts w:hint="default" w:ascii="Times New Roman" w:hAnsi="Times New Roman" w:eastAsia="TimesNewRomanPSMT" w:cs="Times New Roman"/>
                <w:color w:val="auto"/>
                <w:kern w:val="0"/>
                <w:sz w:val="24"/>
                <w:lang w:bidi="ar"/>
              </w:rPr>
              <w:t>-1</w:t>
            </w:r>
            <w:r>
              <w:rPr>
                <w:rFonts w:hint="default" w:ascii="Times New Roman" w:hAnsi="Times New Roman" w:eastAsia="宋体" w:cs="Times New Roman"/>
                <w:color w:val="auto"/>
                <w:kern w:val="0"/>
                <w:sz w:val="24"/>
                <w:lang w:bidi="ar"/>
              </w:rPr>
              <w:t xml:space="preserve">。 </w:t>
            </w:r>
          </w:p>
          <w:p>
            <w:pPr>
              <w:widowControl/>
              <w:spacing w:line="360" w:lineRule="auto"/>
              <w:jc w:val="center"/>
              <w:rPr>
                <w:rFonts w:hint="default" w:ascii="Times New Roman" w:hAnsi="Times New Roman" w:eastAsia="宋体" w:cs="Times New Roman"/>
                <w:b/>
                <w:bCs w:val="0"/>
                <w:color w:val="auto"/>
                <w:szCs w:val="21"/>
              </w:rPr>
            </w:pPr>
            <w:r>
              <w:rPr>
                <w:rFonts w:hint="default" w:ascii="Times New Roman" w:hAnsi="Times New Roman" w:eastAsia="宋体" w:cs="Times New Roman"/>
                <w:b/>
                <w:bCs w:val="0"/>
                <w:color w:val="auto"/>
                <w:kern w:val="0"/>
                <w:szCs w:val="21"/>
                <w:lang w:bidi="ar"/>
              </w:rPr>
              <w:t>表4-1  施工期扬尘类比监测结果</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7"/>
              <w:gridCol w:w="1621"/>
              <w:gridCol w:w="746"/>
              <w:gridCol w:w="746"/>
              <w:gridCol w:w="791"/>
              <w:gridCol w:w="791"/>
              <w:gridCol w:w="777"/>
              <w:gridCol w:w="825"/>
              <w:gridCol w:w="1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690" w:type="pct"/>
                  <w:vMerge w:val="restart"/>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工程段</w:t>
                  </w:r>
                </w:p>
              </w:tc>
              <w:tc>
                <w:tcPr>
                  <w:tcW w:w="904" w:type="pct"/>
                  <w:vMerge w:val="restart"/>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围栏情况</w:t>
                  </w:r>
                </w:p>
              </w:tc>
              <w:tc>
                <w:tcPr>
                  <w:tcW w:w="2607" w:type="pct"/>
                  <w:gridSpan w:val="6"/>
                  <w:noWrap w:val="0"/>
                  <w:vAlign w:val="center"/>
                </w:tcPr>
                <w:p>
                  <w:pPr>
                    <w:adjustRightInd w:val="0"/>
                    <w:snapToGrid w:val="0"/>
                    <w:jc w:val="center"/>
                    <w:rPr>
                      <w:rFonts w:hint="eastAsia"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rPr>
                    <w:t>施工场地下风向距离Xm处TSP浓度</w:t>
                  </w:r>
                  <w:r>
                    <w:rPr>
                      <w:rFonts w:hint="eastAsia" w:cs="Times New Roman"/>
                      <w:b/>
                      <w:bCs/>
                      <w:color w:val="auto"/>
                      <w:szCs w:val="21"/>
                      <w:lang w:eastAsia="zh-CN"/>
                    </w:rPr>
                    <w:t>（</w:t>
                  </w:r>
                  <w:r>
                    <w:rPr>
                      <w:rFonts w:hint="default" w:ascii="Times New Roman" w:hAnsi="Times New Roman" w:eastAsia="宋体" w:cs="Times New Roman"/>
                      <w:b/>
                      <w:bCs/>
                      <w:color w:val="auto"/>
                      <w:szCs w:val="21"/>
                    </w:rPr>
                    <w:t>mg/m</w:t>
                  </w:r>
                  <w:r>
                    <w:rPr>
                      <w:rFonts w:hint="default" w:ascii="Times New Roman" w:hAnsi="Times New Roman" w:eastAsia="宋体" w:cs="Times New Roman"/>
                      <w:b/>
                      <w:bCs/>
                      <w:color w:val="auto"/>
                      <w:szCs w:val="21"/>
                      <w:vertAlign w:val="superscript"/>
                    </w:rPr>
                    <w:t>3</w:t>
                  </w:r>
                  <w:r>
                    <w:rPr>
                      <w:rFonts w:hint="eastAsia" w:cs="Times New Roman"/>
                      <w:b/>
                      <w:bCs/>
                      <w:color w:val="auto"/>
                      <w:szCs w:val="21"/>
                      <w:lang w:eastAsia="zh-CN"/>
                    </w:rPr>
                    <w:t>）</w:t>
                  </w:r>
                </w:p>
              </w:tc>
              <w:tc>
                <w:tcPr>
                  <w:tcW w:w="797" w:type="pct"/>
                  <w:noWrap w:val="0"/>
                  <w:vAlign w:val="center"/>
                </w:tcPr>
                <w:p>
                  <w:pPr>
                    <w:adjustRightInd w:val="0"/>
                    <w:snapToGrid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上风向对照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690" w:type="pct"/>
                  <w:vMerge w:val="continue"/>
                  <w:noWrap w:val="0"/>
                  <w:vAlign w:val="center"/>
                </w:tcPr>
                <w:p>
                  <w:pPr>
                    <w:adjustRightInd w:val="0"/>
                    <w:snapToGrid w:val="0"/>
                    <w:jc w:val="center"/>
                    <w:rPr>
                      <w:rFonts w:hint="default" w:ascii="Times New Roman" w:hAnsi="Times New Roman" w:eastAsia="宋体" w:cs="Times New Roman"/>
                      <w:b/>
                      <w:bCs/>
                      <w:color w:val="auto"/>
                      <w:szCs w:val="21"/>
                    </w:rPr>
                  </w:pPr>
                </w:p>
              </w:tc>
              <w:tc>
                <w:tcPr>
                  <w:tcW w:w="904" w:type="pct"/>
                  <w:vMerge w:val="continue"/>
                  <w:noWrap w:val="0"/>
                  <w:vAlign w:val="center"/>
                </w:tcPr>
                <w:p>
                  <w:pPr>
                    <w:adjustRightInd w:val="0"/>
                    <w:snapToGrid w:val="0"/>
                    <w:jc w:val="center"/>
                    <w:rPr>
                      <w:rFonts w:hint="default" w:ascii="Times New Roman" w:hAnsi="Times New Roman" w:eastAsia="宋体" w:cs="Times New Roman"/>
                      <w:b/>
                      <w:bCs/>
                      <w:color w:val="auto"/>
                      <w:szCs w:val="21"/>
                    </w:rPr>
                  </w:pPr>
                </w:p>
              </w:tc>
              <w:tc>
                <w:tcPr>
                  <w:tcW w:w="416" w:type="pct"/>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20m</w:t>
                  </w:r>
                </w:p>
              </w:tc>
              <w:tc>
                <w:tcPr>
                  <w:tcW w:w="416" w:type="pct"/>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50m</w:t>
                  </w:r>
                </w:p>
              </w:tc>
              <w:tc>
                <w:tcPr>
                  <w:tcW w:w="441" w:type="pct"/>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100m</w:t>
                  </w:r>
                </w:p>
              </w:tc>
              <w:tc>
                <w:tcPr>
                  <w:tcW w:w="441" w:type="pct"/>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150m</w:t>
                  </w:r>
                </w:p>
              </w:tc>
              <w:tc>
                <w:tcPr>
                  <w:tcW w:w="433" w:type="pct"/>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200m</w:t>
                  </w:r>
                </w:p>
              </w:tc>
              <w:tc>
                <w:tcPr>
                  <w:tcW w:w="458" w:type="pct"/>
                  <w:noWrap w:val="0"/>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250m</w:t>
                  </w:r>
                </w:p>
              </w:tc>
              <w:tc>
                <w:tcPr>
                  <w:tcW w:w="797" w:type="pct"/>
                  <w:noWrap w:val="0"/>
                  <w:vAlign w:val="center"/>
                </w:tcPr>
                <w:p>
                  <w:pPr>
                    <w:adjustRightInd w:val="0"/>
                    <w:snapToGrid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点浓度值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690"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主干工程</w:t>
                  </w:r>
                </w:p>
              </w:tc>
              <w:tc>
                <w:tcPr>
                  <w:tcW w:w="904" w:type="pct"/>
                  <w:vMerge w:val="restar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无</w:t>
                  </w:r>
                </w:p>
              </w:tc>
              <w:tc>
                <w:tcPr>
                  <w:tcW w:w="416" w:type="pct"/>
                  <w:noWrap w:val="0"/>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1.540</w:t>
                  </w:r>
                </w:p>
              </w:tc>
              <w:tc>
                <w:tcPr>
                  <w:tcW w:w="416"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0.991</w:t>
                  </w:r>
                </w:p>
              </w:tc>
              <w:tc>
                <w:tcPr>
                  <w:tcW w:w="441"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0.535</w:t>
                  </w:r>
                </w:p>
              </w:tc>
              <w:tc>
                <w:tcPr>
                  <w:tcW w:w="441"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0.511</w:t>
                  </w:r>
                </w:p>
              </w:tc>
              <w:tc>
                <w:tcPr>
                  <w:tcW w:w="433"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0.504</w:t>
                  </w:r>
                </w:p>
              </w:tc>
              <w:tc>
                <w:tcPr>
                  <w:tcW w:w="458" w:type="pct"/>
                  <w:noWrap w:val="0"/>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0.401</w:t>
                  </w:r>
                </w:p>
              </w:tc>
              <w:tc>
                <w:tcPr>
                  <w:tcW w:w="797" w:type="pct"/>
                  <w:vMerge w:val="restart"/>
                  <w:noWrap w:val="0"/>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0.419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690"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支段工程</w:t>
                  </w:r>
                </w:p>
              </w:tc>
              <w:tc>
                <w:tcPr>
                  <w:tcW w:w="904" w:type="pct"/>
                  <w:vMerge w:val="continue"/>
                  <w:noWrap w:val="0"/>
                  <w:vAlign w:val="center"/>
                </w:tcPr>
                <w:p>
                  <w:pPr>
                    <w:adjustRightInd w:val="0"/>
                    <w:snapToGrid w:val="0"/>
                    <w:jc w:val="center"/>
                    <w:rPr>
                      <w:rFonts w:hint="default" w:ascii="Times New Roman" w:hAnsi="Times New Roman" w:eastAsia="宋体" w:cs="Times New Roman"/>
                      <w:color w:val="auto"/>
                      <w:szCs w:val="21"/>
                    </w:rPr>
                  </w:pPr>
                </w:p>
              </w:tc>
              <w:tc>
                <w:tcPr>
                  <w:tcW w:w="416" w:type="pct"/>
                  <w:noWrap w:val="0"/>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1.457</w:t>
                  </w:r>
                </w:p>
              </w:tc>
              <w:tc>
                <w:tcPr>
                  <w:tcW w:w="416"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0.963</w:t>
                  </w:r>
                </w:p>
              </w:tc>
              <w:tc>
                <w:tcPr>
                  <w:tcW w:w="441"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0.568</w:t>
                  </w:r>
                </w:p>
              </w:tc>
              <w:tc>
                <w:tcPr>
                  <w:tcW w:w="441"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0.540</w:t>
                  </w:r>
                </w:p>
              </w:tc>
              <w:tc>
                <w:tcPr>
                  <w:tcW w:w="433"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0.519</w:t>
                  </w:r>
                </w:p>
              </w:tc>
              <w:tc>
                <w:tcPr>
                  <w:tcW w:w="458" w:type="pct"/>
                  <w:noWrap w:val="0"/>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0.41l</w:t>
                  </w:r>
                </w:p>
              </w:tc>
              <w:tc>
                <w:tcPr>
                  <w:tcW w:w="797" w:type="pct"/>
                  <w:vMerge w:val="continue"/>
                  <w:noWrap w:val="0"/>
                  <w:vAlign w:val="center"/>
                </w:tcPr>
                <w:p>
                  <w:pPr>
                    <w:adjustRightInd w:val="0"/>
                    <w:snapToGrid w:val="0"/>
                    <w:jc w:val="center"/>
                    <w:rPr>
                      <w:rFonts w:hint="default" w:ascii="Times New Roman" w:hAnsi="Times New Roman" w:eastAsia="宋体"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0"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平均</w:t>
                  </w:r>
                </w:p>
              </w:tc>
              <w:tc>
                <w:tcPr>
                  <w:tcW w:w="904" w:type="pct"/>
                  <w:vMerge w:val="continue"/>
                  <w:noWrap w:val="0"/>
                  <w:vAlign w:val="center"/>
                </w:tcPr>
                <w:p>
                  <w:pPr>
                    <w:adjustRightInd w:val="0"/>
                    <w:snapToGrid w:val="0"/>
                    <w:jc w:val="center"/>
                    <w:rPr>
                      <w:rFonts w:hint="default" w:ascii="Times New Roman" w:hAnsi="Times New Roman" w:eastAsia="宋体" w:cs="Times New Roman"/>
                      <w:color w:val="auto"/>
                      <w:szCs w:val="21"/>
                    </w:rPr>
                  </w:pPr>
                </w:p>
              </w:tc>
              <w:tc>
                <w:tcPr>
                  <w:tcW w:w="416" w:type="pct"/>
                  <w:noWrap w:val="0"/>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1.503</w:t>
                  </w:r>
                </w:p>
              </w:tc>
              <w:tc>
                <w:tcPr>
                  <w:tcW w:w="416"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0.922</w:t>
                  </w:r>
                </w:p>
              </w:tc>
              <w:tc>
                <w:tcPr>
                  <w:tcW w:w="441"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0.592</w:t>
                  </w:r>
                </w:p>
              </w:tc>
              <w:tc>
                <w:tcPr>
                  <w:tcW w:w="441"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0.561</w:t>
                  </w:r>
                </w:p>
              </w:tc>
              <w:tc>
                <w:tcPr>
                  <w:tcW w:w="433"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0.512</w:t>
                  </w:r>
                </w:p>
              </w:tc>
              <w:tc>
                <w:tcPr>
                  <w:tcW w:w="458" w:type="pct"/>
                  <w:noWrap w:val="0"/>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0.406</w:t>
                  </w:r>
                </w:p>
              </w:tc>
              <w:tc>
                <w:tcPr>
                  <w:tcW w:w="797" w:type="pct"/>
                  <w:vMerge w:val="continue"/>
                  <w:noWrap w:val="0"/>
                  <w:vAlign w:val="center"/>
                </w:tcPr>
                <w:p>
                  <w:pPr>
                    <w:adjustRightInd w:val="0"/>
                    <w:snapToGrid w:val="0"/>
                    <w:jc w:val="center"/>
                    <w:rPr>
                      <w:rFonts w:hint="default" w:ascii="Times New Roman" w:hAnsi="Times New Roman" w:eastAsia="宋体"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0"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主干工程</w:t>
                  </w:r>
                </w:p>
              </w:tc>
              <w:tc>
                <w:tcPr>
                  <w:tcW w:w="904" w:type="pct"/>
                  <w:vMerge w:val="restart"/>
                  <w:noWrap w:val="0"/>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围金属板</w:t>
                  </w:r>
                </w:p>
                <w:p>
                  <w:pPr>
                    <w:widowControl/>
                    <w:adjustRightInd w:val="0"/>
                    <w:snapToGrid w:val="0"/>
                    <w:jc w:val="center"/>
                    <w:rPr>
                      <w:rFonts w:hint="eastAsia" w:ascii="Times New Roman" w:hAnsi="Times New Roman" w:eastAsia="宋体" w:cs="Times New Roman"/>
                      <w:color w:val="auto"/>
                      <w:szCs w:val="21"/>
                      <w:lang w:eastAsia="zh-CN"/>
                    </w:rPr>
                  </w:pPr>
                  <w:r>
                    <w:rPr>
                      <w:rFonts w:hint="eastAsia" w:cs="Times New Roman"/>
                      <w:color w:val="auto"/>
                      <w:kern w:val="0"/>
                      <w:szCs w:val="21"/>
                      <w:lang w:eastAsia="zh-CN" w:bidi="ar"/>
                    </w:rPr>
                    <w:t>（</w:t>
                  </w:r>
                  <w:r>
                    <w:rPr>
                      <w:rFonts w:hint="default" w:ascii="Times New Roman" w:hAnsi="Times New Roman" w:eastAsia="宋体" w:cs="Times New Roman"/>
                      <w:color w:val="auto"/>
                      <w:kern w:val="0"/>
                      <w:szCs w:val="21"/>
                      <w:lang w:bidi="ar"/>
                    </w:rPr>
                    <w:t>H=1.5～2.0m</w:t>
                  </w:r>
                  <w:r>
                    <w:rPr>
                      <w:rFonts w:hint="eastAsia" w:cs="Times New Roman"/>
                      <w:color w:val="auto"/>
                      <w:kern w:val="0"/>
                      <w:szCs w:val="21"/>
                      <w:lang w:eastAsia="zh-CN" w:bidi="ar"/>
                    </w:rPr>
                    <w:t>）</w:t>
                  </w:r>
                </w:p>
              </w:tc>
              <w:tc>
                <w:tcPr>
                  <w:tcW w:w="416" w:type="pct"/>
                  <w:noWrap w:val="0"/>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1.105</w:t>
                  </w:r>
                </w:p>
              </w:tc>
              <w:tc>
                <w:tcPr>
                  <w:tcW w:w="416"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0.674</w:t>
                  </w:r>
                </w:p>
              </w:tc>
              <w:tc>
                <w:tcPr>
                  <w:tcW w:w="441"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0.453</w:t>
                  </w:r>
                </w:p>
              </w:tc>
              <w:tc>
                <w:tcPr>
                  <w:tcW w:w="441"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0.424</w:t>
                  </w:r>
                </w:p>
              </w:tc>
              <w:tc>
                <w:tcPr>
                  <w:tcW w:w="433"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0.421</w:t>
                  </w:r>
                </w:p>
              </w:tc>
              <w:tc>
                <w:tcPr>
                  <w:tcW w:w="458" w:type="pct"/>
                  <w:noWrap w:val="0"/>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0.420</w:t>
                  </w:r>
                </w:p>
              </w:tc>
              <w:tc>
                <w:tcPr>
                  <w:tcW w:w="797" w:type="pct"/>
                  <w:vMerge w:val="restart"/>
                  <w:noWrap w:val="0"/>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0.404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0"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支段工程</w:t>
                  </w:r>
                </w:p>
              </w:tc>
              <w:tc>
                <w:tcPr>
                  <w:tcW w:w="904" w:type="pct"/>
                  <w:vMerge w:val="continue"/>
                  <w:noWrap w:val="0"/>
                  <w:vAlign w:val="center"/>
                </w:tcPr>
                <w:p>
                  <w:pPr>
                    <w:adjustRightInd w:val="0"/>
                    <w:snapToGrid w:val="0"/>
                    <w:jc w:val="center"/>
                    <w:rPr>
                      <w:rFonts w:hint="default" w:ascii="Times New Roman" w:hAnsi="Times New Roman" w:eastAsia="宋体" w:cs="Times New Roman"/>
                      <w:color w:val="auto"/>
                      <w:szCs w:val="21"/>
                    </w:rPr>
                  </w:pPr>
                </w:p>
              </w:tc>
              <w:tc>
                <w:tcPr>
                  <w:tcW w:w="416" w:type="pct"/>
                  <w:noWrap w:val="0"/>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0.943</w:t>
                  </w:r>
                </w:p>
              </w:tc>
              <w:tc>
                <w:tcPr>
                  <w:tcW w:w="416"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0.577</w:t>
                  </w:r>
                </w:p>
              </w:tc>
              <w:tc>
                <w:tcPr>
                  <w:tcW w:w="441"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0.416</w:t>
                  </w:r>
                </w:p>
              </w:tc>
              <w:tc>
                <w:tcPr>
                  <w:tcW w:w="441"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0.420</w:t>
                  </w:r>
                </w:p>
              </w:tc>
              <w:tc>
                <w:tcPr>
                  <w:tcW w:w="433"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0.417</w:t>
                  </w:r>
                </w:p>
              </w:tc>
              <w:tc>
                <w:tcPr>
                  <w:tcW w:w="458" w:type="pct"/>
                  <w:noWrap w:val="0"/>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0.417</w:t>
                  </w:r>
                </w:p>
              </w:tc>
              <w:tc>
                <w:tcPr>
                  <w:tcW w:w="797" w:type="pct"/>
                  <w:vMerge w:val="continue"/>
                  <w:noWrap w:val="0"/>
                  <w:vAlign w:val="top"/>
                </w:tcPr>
                <w:p>
                  <w:pPr>
                    <w:adjustRightInd w:val="0"/>
                    <w:snapToGrid w:val="0"/>
                    <w:rPr>
                      <w:rFonts w:hint="default" w:ascii="Times New Roman" w:hAnsi="Times New Roman" w:eastAsia="宋体"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0"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平均</w:t>
                  </w:r>
                </w:p>
              </w:tc>
              <w:tc>
                <w:tcPr>
                  <w:tcW w:w="904" w:type="pct"/>
                  <w:vMerge w:val="continue"/>
                  <w:noWrap w:val="0"/>
                  <w:vAlign w:val="center"/>
                </w:tcPr>
                <w:p>
                  <w:pPr>
                    <w:adjustRightInd w:val="0"/>
                    <w:snapToGrid w:val="0"/>
                    <w:jc w:val="center"/>
                    <w:rPr>
                      <w:rFonts w:hint="default" w:ascii="Times New Roman" w:hAnsi="Times New Roman" w:eastAsia="宋体" w:cs="Times New Roman"/>
                      <w:color w:val="auto"/>
                      <w:szCs w:val="21"/>
                    </w:rPr>
                  </w:pPr>
                </w:p>
              </w:tc>
              <w:tc>
                <w:tcPr>
                  <w:tcW w:w="416" w:type="pct"/>
                  <w:noWrap w:val="0"/>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1.024</w:t>
                  </w:r>
                </w:p>
              </w:tc>
              <w:tc>
                <w:tcPr>
                  <w:tcW w:w="416"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0.626</w:t>
                  </w:r>
                </w:p>
              </w:tc>
              <w:tc>
                <w:tcPr>
                  <w:tcW w:w="441"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0.435</w:t>
                  </w:r>
                </w:p>
              </w:tc>
              <w:tc>
                <w:tcPr>
                  <w:tcW w:w="441"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0.42l</w:t>
                  </w:r>
                </w:p>
              </w:tc>
              <w:tc>
                <w:tcPr>
                  <w:tcW w:w="433"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0.419</w:t>
                  </w:r>
                </w:p>
              </w:tc>
              <w:tc>
                <w:tcPr>
                  <w:tcW w:w="458" w:type="pct"/>
                  <w:noWrap w:val="0"/>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0.419</w:t>
                  </w:r>
                </w:p>
              </w:tc>
              <w:tc>
                <w:tcPr>
                  <w:tcW w:w="797" w:type="pct"/>
                  <w:vMerge w:val="continue"/>
                  <w:noWrap w:val="0"/>
                  <w:vAlign w:val="top"/>
                </w:tcPr>
                <w:p>
                  <w:pPr>
                    <w:adjustRightInd w:val="0"/>
                    <w:snapToGrid w:val="0"/>
                    <w:rPr>
                      <w:rFonts w:hint="default" w:ascii="Times New Roman" w:hAnsi="Times New Roman" w:eastAsia="宋体" w:cs="Times New Roman"/>
                      <w:color w:val="auto"/>
                    </w:rPr>
                  </w:pPr>
                </w:p>
              </w:tc>
            </w:tr>
          </w:tbl>
          <w:p>
            <w:pPr>
              <w:widowControl/>
              <w:adjustRightInd w:val="0"/>
              <w:snapToGrid w:val="0"/>
              <w:spacing w:line="360" w:lineRule="auto"/>
              <w:ind w:firstLine="480" w:firstLineChars="200"/>
              <w:jc w:val="left"/>
              <w:rPr>
                <w:rFonts w:hint="default" w:ascii="Times New Roman" w:hAnsi="Times New Roman" w:eastAsia="宋体" w:cs="Times New Roman"/>
                <w:bCs/>
                <w:color w:val="auto"/>
                <w:sz w:val="24"/>
              </w:rPr>
            </w:pPr>
            <w:r>
              <w:rPr>
                <w:rFonts w:hint="default" w:ascii="Times New Roman" w:hAnsi="Times New Roman" w:eastAsia="宋体" w:cs="Times New Roman"/>
                <w:color w:val="auto"/>
                <w:kern w:val="0"/>
                <w:sz w:val="24"/>
                <w:lang w:bidi="ar"/>
              </w:rPr>
              <w:t>根据</w:t>
            </w:r>
            <w:r>
              <w:rPr>
                <w:rFonts w:hint="default" w:ascii="Times New Roman" w:hAnsi="Times New Roman" w:eastAsia="宋体" w:cs="Times New Roman"/>
                <w:color w:val="auto"/>
                <w:sz w:val="24"/>
              </w:rPr>
              <w:t>《四川省施工场地扬尘排放标准》（DB51/2682-2020）中规定的各施工阶段的废气限值标准600ug/m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kern w:val="0"/>
                <w:sz w:val="24"/>
                <w:lang w:bidi="ar"/>
              </w:rPr>
              <w:t>作为参考标准，根据上表4-1可知，本项目对施工现场20m范围内环境敏感目标影响最大，20-50m范围内的环境敏感目标影响较大，100m后对周围环境敏感目标影响较小。</w:t>
            </w:r>
            <w:r>
              <w:rPr>
                <w:rFonts w:hint="default" w:ascii="Times New Roman" w:hAnsi="Times New Roman" w:eastAsia="宋体" w:cs="Times New Roman"/>
                <w:bCs/>
                <w:color w:val="auto"/>
                <w:kern w:val="0"/>
                <w:sz w:val="24"/>
                <w:lang w:bidi="ar"/>
              </w:rPr>
              <w:t>项目施工期的环境空气影响是暂时且可以接受的。</w:t>
            </w:r>
          </w:p>
          <w:p>
            <w:pPr>
              <w:widowControl/>
              <w:adjustRightInd w:val="0"/>
              <w:snapToGrid w:val="0"/>
              <w:spacing w:line="360" w:lineRule="auto"/>
              <w:ind w:firstLine="480" w:firstLineChars="200"/>
              <w:jc w:val="left"/>
              <w:rPr>
                <w:rFonts w:hint="default" w:ascii="Times New Roman" w:hAnsi="Times New Roman" w:eastAsia="宋体" w:cs="Times New Roman"/>
                <w:bCs/>
                <w:color w:val="auto"/>
                <w:kern w:val="0"/>
                <w:sz w:val="24"/>
                <w:lang w:val="en-US" w:eastAsia="zh-CN" w:bidi="ar"/>
              </w:rPr>
            </w:pPr>
            <w:r>
              <w:rPr>
                <w:rFonts w:hint="default" w:ascii="Times New Roman" w:hAnsi="Times New Roman" w:eastAsia="宋体" w:cs="Times New Roman"/>
                <w:bCs/>
                <w:color w:val="auto"/>
                <w:kern w:val="0"/>
                <w:sz w:val="24"/>
                <w:lang w:val="en-US" w:eastAsia="zh-CN" w:bidi="ar"/>
              </w:rPr>
              <w:t>2）混凝土拌</w:t>
            </w:r>
            <w:r>
              <w:rPr>
                <w:rFonts w:hint="eastAsia" w:cs="Times New Roman"/>
                <w:bCs/>
                <w:color w:val="auto"/>
                <w:kern w:val="0"/>
                <w:sz w:val="24"/>
                <w:lang w:val="en-US" w:eastAsia="zh-CN" w:bidi="ar"/>
              </w:rPr>
              <w:t>合</w:t>
            </w:r>
            <w:r>
              <w:rPr>
                <w:rFonts w:hint="default" w:ascii="Times New Roman" w:hAnsi="Times New Roman" w:eastAsia="宋体" w:cs="Times New Roman"/>
                <w:bCs/>
                <w:color w:val="auto"/>
                <w:kern w:val="0"/>
                <w:sz w:val="24"/>
                <w:lang w:val="en-US" w:eastAsia="zh-CN" w:bidi="ar"/>
              </w:rPr>
              <w:t>机扬尘</w:t>
            </w:r>
          </w:p>
          <w:p>
            <w:pPr>
              <w:widowControl/>
              <w:adjustRightInd w:val="0"/>
              <w:snapToGrid w:val="0"/>
              <w:spacing w:line="360" w:lineRule="auto"/>
              <w:ind w:firstLine="480" w:firstLineChars="200"/>
              <w:jc w:val="left"/>
              <w:rPr>
                <w:rFonts w:hint="default" w:ascii="Times New Roman" w:hAnsi="Times New Roman" w:eastAsia="宋体" w:cs="Times New Roman"/>
                <w:bCs/>
                <w:color w:val="auto"/>
                <w:kern w:val="0"/>
                <w:sz w:val="24"/>
                <w:lang w:bidi="ar"/>
              </w:rPr>
            </w:pPr>
            <w:r>
              <w:rPr>
                <w:rFonts w:hint="default" w:ascii="Times New Roman" w:hAnsi="Times New Roman" w:eastAsia="宋体" w:cs="Times New Roman"/>
                <w:color w:val="auto"/>
                <w:sz w:val="24"/>
                <w:szCs w:val="24"/>
                <w:lang w:val="en-US" w:eastAsia="zh-CN"/>
              </w:rPr>
              <w:t>混凝土、</w:t>
            </w:r>
            <w:r>
              <w:rPr>
                <w:rFonts w:hint="default" w:ascii="Times New Roman" w:hAnsi="Times New Roman" w:eastAsia="宋体" w:cs="Times New Roman"/>
                <w:color w:val="auto"/>
                <w:sz w:val="24"/>
                <w:szCs w:val="24"/>
              </w:rPr>
              <w:t>灰土、</w:t>
            </w:r>
            <w:r>
              <w:rPr>
                <w:rFonts w:hint="default" w:ascii="Times New Roman" w:hAnsi="Times New Roman" w:eastAsia="宋体" w:cs="Times New Roman"/>
                <w:color w:val="auto"/>
                <w:sz w:val="24"/>
                <w:szCs w:val="24"/>
                <w:lang w:eastAsia="zh-CN"/>
              </w:rPr>
              <w:t>水泥</w:t>
            </w:r>
            <w:r>
              <w:rPr>
                <w:rFonts w:hint="default" w:ascii="Times New Roman" w:hAnsi="Times New Roman" w:eastAsia="宋体" w:cs="Times New Roman"/>
                <w:color w:val="auto"/>
                <w:sz w:val="24"/>
                <w:szCs w:val="24"/>
              </w:rPr>
              <w:t>等物料在</w:t>
            </w:r>
            <w:r>
              <w:rPr>
                <w:rFonts w:hint="eastAsia" w:cs="Times New Roman"/>
                <w:color w:val="auto"/>
                <w:sz w:val="24"/>
                <w:szCs w:val="24"/>
                <w:lang w:val="en-US" w:eastAsia="zh-CN"/>
              </w:rPr>
              <w:t>拌合</w:t>
            </w:r>
            <w:r>
              <w:rPr>
                <w:rFonts w:hint="default" w:ascii="Times New Roman" w:hAnsi="Times New Roman" w:eastAsia="宋体" w:cs="Times New Roman"/>
                <w:color w:val="auto"/>
                <w:sz w:val="24"/>
                <w:szCs w:val="24"/>
              </w:rPr>
              <w:t>过程中均易起尘。</w:t>
            </w:r>
            <w:r>
              <w:rPr>
                <w:rFonts w:hint="default" w:ascii="Times New Roman" w:hAnsi="Times New Roman" w:eastAsia="宋体" w:cs="Times New Roman"/>
                <w:color w:val="auto"/>
                <w:sz w:val="24"/>
                <w:szCs w:val="24"/>
                <w:lang w:val="en-US" w:eastAsia="zh-CN"/>
              </w:rPr>
              <w:t>本项目为固定式</w:t>
            </w:r>
            <w:r>
              <w:rPr>
                <w:rFonts w:hint="eastAsia" w:cs="Times New Roman"/>
                <w:color w:val="auto"/>
                <w:sz w:val="24"/>
                <w:szCs w:val="24"/>
                <w:lang w:val="en-US" w:eastAsia="zh-CN"/>
              </w:rPr>
              <w:t>拌合</w:t>
            </w:r>
            <w:r>
              <w:rPr>
                <w:rFonts w:hint="default" w:ascii="Times New Roman" w:hAnsi="Times New Roman" w:eastAsia="宋体" w:cs="Times New Roman"/>
                <w:color w:val="auto"/>
                <w:sz w:val="24"/>
                <w:szCs w:val="24"/>
                <w:lang w:val="en-US" w:eastAsia="zh-CN"/>
              </w:rPr>
              <w:t>机，扬尘对环境空气的影响较为集中，尤其是</w:t>
            </w:r>
            <w:r>
              <w:rPr>
                <w:rFonts w:hint="eastAsia" w:cs="Times New Roman"/>
                <w:color w:val="auto"/>
                <w:sz w:val="24"/>
                <w:szCs w:val="24"/>
                <w:lang w:val="en-US" w:eastAsia="zh-CN"/>
              </w:rPr>
              <w:t>拌合</w:t>
            </w:r>
            <w:r>
              <w:rPr>
                <w:rFonts w:hint="default" w:ascii="Times New Roman" w:hAnsi="Times New Roman" w:eastAsia="宋体" w:cs="Times New Roman"/>
                <w:color w:val="auto"/>
                <w:sz w:val="24"/>
                <w:szCs w:val="24"/>
                <w:lang w:val="en-US" w:eastAsia="zh-CN"/>
              </w:rPr>
              <w:t>机下风向受污染的可能性更大，但便于管理，采取防尘措施后可有效地控制扬尘污染</w:t>
            </w:r>
            <w:r>
              <w:rPr>
                <w:rFonts w:hint="default" w:ascii="Times New Roman" w:hAnsi="Times New Roman" w:eastAsia="宋体" w:cs="Times New Roman"/>
                <w:color w:val="auto"/>
                <w:sz w:val="24"/>
                <w:szCs w:val="24"/>
                <w:lang w:eastAsia="zh-CN"/>
              </w:rPr>
              <w:t>。</w:t>
            </w:r>
          </w:p>
          <w:p>
            <w:pPr>
              <w:widowControl/>
              <w:adjustRightInd w:val="0"/>
              <w:snapToGrid w:val="0"/>
              <w:spacing w:line="360" w:lineRule="auto"/>
              <w:ind w:firstLine="480" w:firstLineChars="200"/>
              <w:jc w:val="left"/>
              <w:rPr>
                <w:rFonts w:hint="default" w:ascii="Times New Roman" w:hAnsi="Times New Roman" w:eastAsia="宋体" w:cs="Times New Roman"/>
                <w:bCs/>
                <w:color w:val="auto"/>
                <w:sz w:val="24"/>
              </w:rPr>
            </w:pPr>
            <w:r>
              <w:rPr>
                <w:rFonts w:hint="default" w:ascii="Times New Roman" w:hAnsi="Times New Roman" w:eastAsia="宋体" w:cs="Times New Roman"/>
                <w:bCs/>
                <w:color w:val="auto"/>
                <w:kern w:val="0"/>
                <w:sz w:val="24"/>
                <w:lang w:bidi="ar"/>
              </w:rPr>
              <w:t>（2）燃油机械废气</w:t>
            </w:r>
          </w:p>
          <w:p>
            <w:pPr>
              <w:widowControl/>
              <w:adjustRightInd w:val="0"/>
              <w:snapToGrid w:val="0"/>
              <w:spacing w:line="360" w:lineRule="auto"/>
              <w:ind w:firstLine="480" w:firstLineChars="200"/>
              <w:jc w:val="left"/>
              <w:rPr>
                <w:rFonts w:hint="default" w:ascii="Times New Roman" w:hAnsi="Times New Roman" w:eastAsia="宋体" w:cs="Times New Roman"/>
                <w:bCs/>
                <w:color w:val="auto"/>
                <w:sz w:val="24"/>
              </w:rPr>
            </w:pPr>
            <w:r>
              <w:rPr>
                <w:rFonts w:hint="default" w:ascii="Times New Roman" w:hAnsi="Times New Roman" w:eastAsia="宋体" w:cs="Times New Roman"/>
                <w:color w:val="auto"/>
                <w:kern w:val="0"/>
                <w:sz w:val="24"/>
                <w:lang w:bidi="ar"/>
              </w:rPr>
              <w:t>由于施工场地车辆和各种燃油机械比较集中，尾气排放源强相对较大，主要污染因子以CO、NO</w:t>
            </w:r>
            <w:r>
              <w:rPr>
                <w:rFonts w:hint="default" w:ascii="Times New Roman" w:hAnsi="Times New Roman" w:eastAsia="宋体" w:cs="Times New Roman"/>
                <w:color w:val="auto"/>
                <w:kern w:val="0"/>
                <w:sz w:val="24"/>
                <w:vertAlign w:val="subscript"/>
                <w:lang w:bidi="ar"/>
              </w:rPr>
              <w:t>X</w:t>
            </w:r>
            <w:r>
              <w:rPr>
                <w:rFonts w:hint="default" w:ascii="Times New Roman" w:hAnsi="Times New Roman" w:eastAsia="宋体" w:cs="Times New Roman"/>
                <w:color w:val="auto"/>
                <w:kern w:val="0"/>
                <w:sz w:val="24"/>
                <w:lang w:bidi="ar"/>
              </w:rPr>
              <w:t>、C</w:t>
            </w:r>
            <w:r>
              <w:rPr>
                <w:rFonts w:hint="default" w:ascii="Times New Roman" w:hAnsi="Times New Roman" w:eastAsia="宋体" w:cs="Times New Roman"/>
                <w:color w:val="auto"/>
                <w:kern w:val="0"/>
                <w:sz w:val="24"/>
                <w:vertAlign w:val="subscript"/>
                <w:lang w:bidi="ar"/>
              </w:rPr>
              <w:t>n</w:t>
            </w:r>
            <w:r>
              <w:rPr>
                <w:rFonts w:hint="default" w:ascii="Times New Roman" w:hAnsi="Times New Roman" w:eastAsia="宋体" w:cs="Times New Roman"/>
                <w:color w:val="auto"/>
                <w:kern w:val="0"/>
                <w:sz w:val="24"/>
                <w:lang w:bidi="ar"/>
              </w:rPr>
              <w:t>H</w:t>
            </w:r>
            <w:r>
              <w:rPr>
                <w:rFonts w:hint="default" w:ascii="Times New Roman" w:hAnsi="Times New Roman" w:eastAsia="宋体" w:cs="Times New Roman"/>
                <w:color w:val="auto"/>
                <w:kern w:val="0"/>
                <w:sz w:val="24"/>
                <w:vertAlign w:val="subscript"/>
                <w:lang w:bidi="ar"/>
              </w:rPr>
              <w:t>m</w:t>
            </w:r>
            <w:r>
              <w:rPr>
                <w:rFonts w:hint="default" w:ascii="Times New Roman" w:hAnsi="Times New Roman" w:eastAsia="宋体" w:cs="Times New Roman"/>
                <w:color w:val="auto"/>
                <w:kern w:val="0"/>
                <w:sz w:val="24"/>
                <w:lang w:bidi="ar"/>
              </w:rPr>
              <w:t>以及铅化合物等为主，为非连续间歇式排放。根据现场调查，项目施工场地较空旷，空气流通较好，因此项目施工场地车辆、燃油机械尾气排放对区域大气环境影响较小。</w:t>
            </w:r>
            <w:r>
              <w:rPr>
                <w:rFonts w:hint="default" w:ascii="Times New Roman" w:hAnsi="Times New Roman" w:eastAsia="宋体" w:cs="Times New Roman"/>
                <w:bCs/>
                <w:color w:val="auto"/>
                <w:kern w:val="0"/>
                <w:sz w:val="24"/>
                <w:lang w:bidi="ar"/>
              </w:rPr>
              <w:t>项目施工期将会对项目所在地环境空气质量造成一定影响，但这些影响随着施工期的结束也会结束。因此，项目施工期不会造成项目所在地环境空气质量明显恶化。</w:t>
            </w:r>
          </w:p>
          <w:p>
            <w:pPr>
              <w:widowControl/>
              <w:adjustRightInd w:val="0"/>
              <w:snapToGrid w:val="0"/>
              <w:spacing w:line="360" w:lineRule="auto"/>
              <w:ind w:firstLine="482" w:firstLineChars="200"/>
              <w:jc w:val="left"/>
              <w:rPr>
                <w:rFonts w:hint="default" w:ascii="Times New Roman" w:hAnsi="Times New Roman" w:eastAsia="宋体" w:cs="Times New Roman"/>
                <w:b/>
                <w:bCs w:val="0"/>
                <w:color w:val="auto"/>
                <w:sz w:val="24"/>
              </w:rPr>
            </w:pPr>
            <w:r>
              <w:rPr>
                <w:rFonts w:hint="default" w:ascii="Times New Roman" w:hAnsi="Times New Roman" w:eastAsia="宋体" w:cs="Times New Roman"/>
                <w:b/>
                <w:bCs w:val="0"/>
                <w:color w:val="auto"/>
                <w:kern w:val="0"/>
                <w:sz w:val="24"/>
                <w:lang w:val="en-US" w:eastAsia="zh-CN" w:bidi="ar"/>
              </w:rPr>
              <w:t>3</w:t>
            </w:r>
            <w:r>
              <w:rPr>
                <w:rFonts w:hint="default" w:ascii="Times New Roman" w:hAnsi="Times New Roman" w:eastAsia="宋体" w:cs="Times New Roman"/>
                <w:b/>
                <w:bCs w:val="0"/>
                <w:color w:val="auto"/>
                <w:kern w:val="0"/>
                <w:sz w:val="24"/>
                <w:lang w:bidi="ar"/>
              </w:rPr>
              <w:t>、</w:t>
            </w:r>
            <w:r>
              <w:rPr>
                <w:rFonts w:hint="default" w:ascii="Times New Roman" w:hAnsi="Times New Roman" w:eastAsia="宋体" w:cs="Times New Roman"/>
                <w:b/>
                <w:bCs w:val="0"/>
                <w:color w:val="auto"/>
                <w:kern w:val="0"/>
                <w:sz w:val="24"/>
                <w:lang w:val="en-US" w:eastAsia="zh-CN" w:bidi="ar"/>
              </w:rPr>
              <w:t>施工期</w:t>
            </w:r>
            <w:r>
              <w:rPr>
                <w:rFonts w:hint="default" w:ascii="Times New Roman" w:hAnsi="Times New Roman" w:eastAsia="宋体" w:cs="Times New Roman"/>
                <w:b/>
                <w:bCs w:val="0"/>
                <w:color w:val="auto"/>
                <w:kern w:val="0"/>
                <w:sz w:val="24"/>
                <w:lang w:bidi="ar"/>
              </w:rPr>
              <w:t xml:space="preserve">地表水环境影响分析 </w:t>
            </w:r>
          </w:p>
          <w:p>
            <w:pPr>
              <w:widowControl/>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lang w:bidi="ar"/>
              </w:rPr>
              <w:t>本项目施工过程中的水污染物主要来自施工人员生活污水及车辆、机械设备冲洗废水。</w:t>
            </w:r>
          </w:p>
          <w:p>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（1）疏浚</w:t>
            </w:r>
            <w:r>
              <w:rPr>
                <w:rFonts w:hint="default" w:ascii="Times New Roman" w:hAnsi="Times New Roman" w:eastAsia="宋体" w:cs="Times New Roman"/>
                <w:color w:val="auto"/>
                <w:sz w:val="24"/>
                <w:lang w:val="en-US" w:eastAsia="zh-CN"/>
              </w:rPr>
              <w:t>与围堰</w:t>
            </w:r>
            <w:r>
              <w:rPr>
                <w:rFonts w:hint="default" w:ascii="Times New Roman" w:hAnsi="Times New Roman" w:eastAsia="宋体" w:cs="Times New Roman"/>
                <w:color w:val="auto"/>
                <w:sz w:val="24"/>
              </w:rPr>
              <w:t>对水环境的影响</w:t>
            </w:r>
          </w:p>
          <w:p>
            <w:pPr>
              <w:adjustRightInd w:val="0"/>
              <w:snapToGrid w:val="0"/>
              <w:spacing w:line="360" w:lineRule="auto"/>
              <w:ind w:firstLine="480" w:firstLineChars="200"/>
              <w:rPr>
                <w:rFonts w:hint="default" w:ascii="Times New Roman" w:hAnsi="Times New Roman" w:eastAsia="宋体" w:cs="Times New Roman"/>
                <w:color w:val="auto"/>
                <w:kern w:val="0"/>
                <w:sz w:val="24"/>
                <w:lang w:bidi="ar"/>
              </w:rPr>
            </w:pPr>
            <w:r>
              <w:rPr>
                <w:rFonts w:hint="default" w:ascii="Times New Roman" w:hAnsi="Times New Roman" w:eastAsia="宋体" w:cs="Times New Roman"/>
                <w:color w:val="auto"/>
                <w:sz w:val="24"/>
              </w:rPr>
              <w:t>本工程河道疏浚</w:t>
            </w:r>
            <w:r>
              <w:rPr>
                <w:rFonts w:hint="default" w:ascii="Times New Roman" w:hAnsi="Times New Roman" w:eastAsia="宋体" w:cs="Times New Roman"/>
                <w:color w:val="auto"/>
                <w:sz w:val="24"/>
                <w:lang w:val="en-US" w:eastAsia="zh-CN"/>
              </w:rPr>
              <w:t>与围堰</w:t>
            </w:r>
            <w:r>
              <w:rPr>
                <w:rFonts w:hint="default" w:ascii="Times New Roman" w:hAnsi="Times New Roman" w:eastAsia="宋体" w:cs="Times New Roman"/>
                <w:color w:val="auto"/>
                <w:sz w:val="24"/>
              </w:rPr>
              <w:t>过程中将导致施工区域局部水体悬浮物浓度增加，对施工段水质产生一定影响。项目清淤</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围堰</w:t>
            </w:r>
            <w:r>
              <w:rPr>
                <w:rFonts w:hint="default" w:ascii="Times New Roman" w:hAnsi="Times New Roman" w:eastAsia="宋体" w:cs="Times New Roman"/>
                <w:color w:val="auto"/>
                <w:sz w:val="24"/>
              </w:rPr>
              <w:t>工程量较小，工期短，其影响范围和程度有限，随着施工结束，该类影响也随之消失，对周围环境影响较小。</w:t>
            </w:r>
          </w:p>
          <w:p>
            <w:pPr>
              <w:widowControl/>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lang w:bidi="ar"/>
              </w:rPr>
              <w:t>（2）生活污水</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imes New Roman" w:hAnsi="Times New Roman" w:eastAsia="宋体" w:cs="Times New Roman"/>
                <w:bCs/>
                <w:color w:val="auto"/>
                <w:kern w:val="0"/>
                <w:sz w:val="24"/>
                <w:szCs w:val="24"/>
                <w:lang w:bidi="ar"/>
              </w:rPr>
            </w:pPr>
            <w:r>
              <w:rPr>
                <w:rFonts w:hint="default" w:ascii="Times New Roman" w:hAnsi="Times New Roman" w:eastAsia="宋体" w:cs="Times New Roman"/>
                <w:color w:val="auto"/>
                <w:kern w:val="0"/>
                <w:sz w:val="24"/>
                <w:lang w:bidi="ar"/>
              </w:rPr>
              <w:t>施工期生活污水来自施工人员的日常生活污水</w:t>
            </w:r>
            <w:r>
              <w:rPr>
                <w:rFonts w:hint="default" w:ascii="Times New Roman" w:hAnsi="Times New Roman" w:eastAsia="宋体" w:cs="Times New Roman"/>
                <w:color w:val="auto"/>
                <w:kern w:val="0"/>
                <w:sz w:val="24"/>
                <w:lang w:eastAsia="zh-CN" w:bidi="ar"/>
              </w:rPr>
              <w:t>。</w:t>
            </w:r>
            <w:r>
              <w:rPr>
                <w:rFonts w:hint="default" w:ascii="Times New Roman" w:hAnsi="Times New Roman" w:eastAsia="宋体" w:cs="Times New Roman"/>
                <w:color w:val="auto"/>
                <w:kern w:val="0"/>
                <w:sz w:val="24"/>
                <w:lang w:bidi="ar"/>
              </w:rPr>
              <w:t>本工程在施工过程中，高峰期施工人数</w:t>
            </w:r>
            <w:r>
              <w:rPr>
                <w:rFonts w:hint="eastAsia" w:eastAsia="宋体" w:cs="Times New Roman"/>
                <w:color w:val="auto"/>
                <w:kern w:val="0"/>
                <w:sz w:val="24"/>
                <w:lang w:val="en-US" w:eastAsia="zh-CN" w:bidi="ar"/>
              </w:rPr>
              <w:t>12</w:t>
            </w:r>
            <w:r>
              <w:rPr>
                <w:rFonts w:hint="default" w:ascii="Times New Roman" w:hAnsi="Times New Roman" w:eastAsia="宋体" w:cs="Times New Roman"/>
                <w:color w:val="auto"/>
                <w:kern w:val="0"/>
                <w:sz w:val="24"/>
                <w:lang w:val="en-US" w:eastAsia="zh-CN" w:bidi="ar"/>
              </w:rPr>
              <w:t>0</w:t>
            </w:r>
            <w:r>
              <w:rPr>
                <w:rFonts w:hint="default" w:ascii="Times New Roman" w:hAnsi="Times New Roman" w:eastAsia="宋体" w:cs="Times New Roman"/>
                <w:color w:val="auto"/>
                <w:kern w:val="0"/>
                <w:sz w:val="24"/>
                <w:lang w:bidi="ar"/>
              </w:rPr>
              <w:t>人</w:t>
            </w:r>
            <w:r>
              <w:rPr>
                <w:rFonts w:hint="default" w:ascii="Times New Roman" w:hAnsi="Times New Roman" w:eastAsia="宋体" w:cs="Times New Roman"/>
                <w:color w:val="auto"/>
                <w:kern w:val="0"/>
                <w:sz w:val="24"/>
                <w:lang w:eastAsia="zh-CN" w:bidi="ar"/>
              </w:rPr>
              <w:t>，</w:t>
            </w:r>
            <w:r>
              <w:rPr>
                <w:rFonts w:hint="default" w:ascii="Times New Roman" w:hAnsi="Times New Roman" w:eastAsia="宋体" w:cs="Times New Roman"/>
                <w:color w:val="auto"/>
                <w:kern w:val="0"/>
                <w:sz w:val="24"/>
                <w:lang w:bidi="ar"/>
              </w:rPr>
              <w:t>生活污水</w:t>
            </w:r>
            <w:r>
              <w:rPr>
                <w:rFonts w:hint="default" w:ascii="Times New Roman" w:hAnsi="Times New Roman" w:eastAsia="宋体" w:cs="Times New Roman"/>
                <w:color w:val="auto"/>
                <w:kern w:val="0"/>
                <w:sz w:val="24"/>
                <w:lang w:val="en-US" w:eastAsia="zh-CN" w:bidi="ar"/>
              </w:rPr>
              <w:t>5</w:t>
            </w:r>
            <w:r>
              <w:rPr>
                <w:rFonts w:hint="default" w:ascii="Times New Roman" w:hAnsi="Times New Roman" w:eastAsia="宋体" w:cs="Times New Roman"/>
                <w:color w:val="auto"/>
                <w:kern w:val="0"/>
                <w:sz w:val="24"/>
                <w:lang w:bidi="ar"/>
              </w:rPr>
              <w:t>0L/d·人计，排放系数按0.9计，则生活污水量为</w:t>
            </w:r>
            <w:r>
              <w:rPr>
                <w:rFonts w:hint="eastAsia" w:eastAsia="宋体" w:cs="Times New Roman"/>
                <w:color w:val="auto"/>
                <w:kern w:val="0"/>
                <w:sz w:val="24"/>
                <w:lang w:val="en-US" w:eastAsia="zh-CN" w:bidi="ar"/>
              </w:rPr>
              <w:t>5.4</w:t>
            </w:r>
            <w:r>
              <w:rPr>
                <w:rFonts w:hint="default" w:ascii="Times New Roman" w:hAnsi="Times New Roman" w:eastAsia="宋体" w:cs="Times New Roman"/>
                <w:color w:val="auto"/>
                <w:kern w:val="0"/>
                <w:sz w:val="24"/>
                <w:lang w:bidi="ar"/>
              </w:rPr>
              <w:t>m</w:t>
            </w:r>
            <w:r>
              <w:rPr>
                <w:rFonts w:hint="default" w:ascii="Times New Roman" w:hAnsi="Times New Roman" w:eastAsia="宋体" w:cs="Times New Roman"/>
                <w:color w:val="auto"/>
                <w:kern w:val="0"/>
                <w:sz w:val="24"/>
                <w:vertAlign w:val="superscript"/>
                <w:lang w:bidi="ar"/>
              </w:rPr>
              <w:t>3</w:t>
            </w:r>
            <w:r>
              <w:rPr>
                <w:rFonts w:hint="default" w:ascii="Times New Roman" w:hAnsi="Times New Roman" w:eastAsia="宋体" w:cs="Times New Roman"/>
                <w:color w:val="auto"/>
                <w:kern w:val="0"/>
                <w:sz w:val="24"/>
                <w:lang w:bidi="ar"/>
              </w:rPr>
              <w:t>/d</w:t>
            </w:r>
            <w:r>
              <w:rPr>
                <w:rFonts w:hint="default" w:ascii="Times New Roman" w:hAnsi="Times New Roman" w:eastAsia="宋体" w:cs="Times New Roman"/>
                <w:color w:val="auto"/>
                <w:kern w:val="0"/>
                <w:sz w:val="24"/>
                <w:lang w:eastAsia="zh-CN" w:bidi="ar"/>
              </w:rPr>
              <w:t>。</w:t>
            </w:r>
            <w:r>
              <w:rPr>
                <w:rFonts w:hint="default" w:ascii="Times New Roman" w:hAnsi="Times New Roman" w:eastAsia="宋体" w:cs="Times New Roman"/>
                <w:color w:val="auto"/>
                <w:kern w:val="0"/>
                <w:sz w:val="24"/>
                <w:lang w:val="en-US" w:eastAsia="zh-CN" w:bidi="ar"/>
              </w:rPr>
              <w:t>施工期为</w:t>
            </w:r>
            <w:r>
              <w:rPr>
                <w:rFonts w:hint="eastAsia" w:eastAsia="宋体" w:cs="Times New Roman"/>
                <w:color w:val="auto"/>
                <w:kern w:val="0"/>
                <w:sz w:val="24"/>
                <w:lang w:val="en-US" w:eastAsia="zh-CN" w:bidi="ar"/>
              </w:rPr>
              <w:t>7</w:t>
            </w:r>
            <w:r>
              <w:rPr>
                <w:rFonts w:hint="default" w:ascii="Times New Roman" w:hAnsi="Times New Roman" w:eastAsia="宋体" w:cs="Times New Roman"/>
                <w:color w:val="auto"/>
                <w:kern w:val="0"/>
                <w:sz w:val="24"/>
                <w:lang w:val="en-US" w:eastAsia="zh-CN" w:bidi="ar"/>
              </w:rPr>
              <w:t>个月，</w:t>
            </w:r>
            <w:r>
              <w:rPr>
                <w:rFonts w:hint="default" w:ascii="Times New Roman" w:hAnsi="Times New Roman" w:eastAsia="宋体" w:cs="Times New Roman"/>
                <w:color w:val="auto"/>
                <w:kern w:val="0"/>
                <w:sz w:val="24"/>
                <w:lang w:bidi="ar"/>
              </w:rPr>
              <w:t>生活污水</w:t>
            </w:r>
            <w:r>
              <w:rPr>
                <w:rFonts w:hint="default" w:ascii="Times New Roman" w:hAnsi="Times New Roman" w:eastAsia="宋体" w:cs="Times New Roman"/>
                <w:color w:val="auto"/>
                <w:kern w:val="0"/>
                <w:sz w:val="24"/>
                <w:lang w:val="en-US" w:eastAsia="zh-CN" w:bidi="ar"/>
              </w:rPr>
              <w:t>总</w:t>
            </w:r>
            <w:r>
              <w:rPr>
                <w:rFonts w:hint="default" w:ascii="Times New Roman" w:hAnsi="Times New Roman" w:eastAsia="宋体" w:cs="Times New Roman"/>
                <w:color w:val="auto"/>
                <w:kern w:val="0"/>
                <w:sz w:val="24"/>
                <w:lang w:bidi="ar"/>
              </w:rPr>
              <w:t>量为</w:t>
            </w:r>
            <w:r>
              <w:rPr>
                <w:rFonts w:hint="eastAsia" w:eastAsia="宋体" w:cs="Times New Roman"/>
                <w:color w:val="auto"/>
                <w:kern w:val="0"/>
                <w:sz w:val="24"/>
                <w:lang w:val="en-US" w:eastAsia="zh-CN" w:bidi="ar"/>
              </w:rPr>
              <w:t>1134</w:t>
            </w:r>
            <w:r>
              <w:rPr>
                <w:rFonts w:hint="default" w:ascii="Times New Roman" w:hAnsi="Times New Roman" w:eastAsia="宋体" w:cs="Times New Roman"/>
                <w:color w:val="auto"/>
                <w:kern w:val="0"/>
                <w:sz w:val="24"/>
                <w:lang w:bidi="ar"/>
              </w:rPr>
              <w:t>m</w:t>
            </w:r>
            <w:r>
              <w:rPr>
                <w:rFonts w:hint="default" w:ascii="Times New Roman" w:hAnsi="Times New Roman" w:eastAsia="宋体" w:cs="Times New Roman"/>
                <w:color w:val="auto"/>
                <w:kern w:val="0"/>
                <w:sz w:val="24"/>
                <w:vertAlign w:val="superscript"/>
                <w:lang w:bidi="ar"/>
              </w:rPr>
              <w:t>3</w:t>
            </w:r>
            <w:r>
              <w:rPr>
                <w:rFonts w:hint="default" w:ascii="Times New Roman" w:hAnsi="Times New Roman" w:eastAsia="宋体" w:cs="Times New Roman"/>
                <w:color w:val="auto"/>
                <w:kern w:val="0"/>
                <w:sz w:val="24"/>
                <w:lang w:bidi="ar"/>
              </w:rPr>
              <w:t>。废水中COD</w:t>
            </w:r>
            <w:r>
              <w:rPr>
                <w:rFonts w:hint="default" w:ascii="Times New Roman" w:hAnsi="Times New Roman" w:eastAsia="宋体" w:cs="Times New Roman"/>
                <w:color w:val="auto"/>
                <w:kern w:val="0"/>
                <w:sz w:val="24"/>
                <w:vertAlign w:val="subscript"/>
                <w:lang w:bidi="ar"/>
              </w:rPr>
              <w:t>Cr</w:t>
            </w:r>
            <w:r>
              <w:rPr>
                <w:rFonts w:hint="default" w:ascii="Times New Roman" w:hAnsi="Times New Roman" w:eastAsia="宋体" w:cs="Times New Roman"/>
                <w:color w:val="auto"/>
                <w:kern w:val="0"/>
                <w:sz w:val="24"/>
                <w:lang w:bidi="ar"/>
              </w:rPr>
              <w:t>浓度约为250~350mg/L（以300mg/L计），BOD</w:t>
            </w:r>
            <w:r>
              <w:rPr>
                <w:rFonts w:hint="default" w:ascii="Times New Roman" w:hAnsi="Times New Roman" w:eastAsia="宋体" w:cs="Times New Roman"/>
                <w:color w:val="auto"/>
                <w:kern w:val="0"/>
                <w:sz w:val="24"/>
                <w:vertAlign w:val="subscript"/>
                <w:lang w:bidi="ar"/>
              </w:rPr>
              <w:t>5</w:t>
            </w:r>
            <w:r>
              <w:rPr>
                <w:rFonts w:hint="default" w:ascii="Times New Roman" w:hAnsi="Times New Roman" w:eastAsia="宋体" w:cs="Times New Roman"/>
                <w:color w:val="auto"/>
                <w:kern w:val="0"/>
                <w:sz w:val="24"/>
                <w:lang w:bidi="ar"/>
              </w:rPr>
              <w:t>浓度约为150~250mg/L（以200mg/L计），NH</w:t>
            </w:r>
            <w:r>
              <w:rPr>
                <w:rFonts w:hint="default" w:ascii="Times New Roman" w:hAnsi="Times New Roman" w:eastAsia="宋体" w:cs="Times New Roman"/>
                <w:color w:val="auto"/>
                <w:kern w:val="0"/>
                <w:sz w:val="24"/>
                <w:vertAlign w:val="subscript"/>
                <w:lang w:bidi="ar"/>
              </w:rPr>
              <w:t>3</w:t>
            </w:r>
            <w:r>
              <w:rPr>
                <w:rFonts w:hint="default" w:ascii="Times New Roman" w:hAnsi="Times New Roman" w:eastAsia="宋体" w:cs="Times New Roman"/>
                <w:color w:val="auto"/>
                <w:kern w:val="0"/>
                <w:sz w:val="24"/>
                <w:lang w:bidi="ar"/>
              </w:rPr>
              <w:t>-N浓度约为15~35mg/L（以35mg/L计），SS浓度约为150~200mg/L（以200mg/L计）。</w:t>
            </w:r>
            <w:r>
              <w:rPr>
                <w:rFonts w:hint="default" w:ascii="Times New Roman" w:hAnsi="Times New Roman" w:eastAsia="宋体" w:cs="Times New Roman"/>
                <w:color w:val="auto"/>
                <w:kern w:val="0"/>
                <w:sz w:val="24"/>
                <w:lang w:eastAsia="zh-CN" w:bidi="ar"/>
              </w:rPr>
              <w:t>生产生活工区设2处简易防渗旱厕，</w:t>
            </w:r>
            <w:r>
              <w:rPr>
                <w:rFonts w:hint="default" w:ascii="Times New Roman" w:hAnsi="Times New Roman" w:eastAsia="宋体" w:cs="Times New Roman"/>
                <w:color w:val="auto"/>
                <w:kern w:val="0"/>
                <w:sz w:val="24"/>
                <w:lang w:val="en-US" w:eastAsia="zh-CN" w:bidi="ar"/>
              </w:rPr>
              <w:t>经处理后用于周边土地施肥，</w:t>
            </w:r>
            <w:r>
              <w:rPr>
                <w:rFonts w:hint="default" w:ascii="Times New Roman" w:hAnsi="Times New Roman" w:eastAsia="宋体" w:cs="Times New Roman"/>
                <w:color w:val="auto"/>
                <w:kern w:val="0"/>
                <w:sz w:val="24"/>
                <w:lang w:eastAsia="zh-CN" w:bidi="ar"/>
              </w:rPr>
              <w:t>待施工完毕将其拆除，洒上生石灰后作卫生填埋处理，视其情况填埋后可种上植被</w:t>
            </w:r>
            <w:r>
              <w:rPr>
                <w:rFonts w:hint="default" w:ascii="Times New Roman" w:hAnsi="Times New Roman" w:eastAsia="宋体" w:cs="Times New Roman"/>
                <w:color w:val="auto"/>
                <w:kern w:val="0"/>
                <w:sz w:val="24"/>
                <w:lang w:val="en-US" w:eastAsia="zh-CN" w:bidi="ar"/>
              </w:rPr>
              <w:t>，</w:t>
            </w:r>
            <w:r>
              <w:rPr>
                <w:rFonts w:hint="default" w:ascii="Times New Roman" w:hAnsi="Times New Roman" w:eastAsia="宋体" w:cs="Times New Roman"/>
                <w:color w:val="auto"/>
                <w:kern w:val="0"/>
                <w:sz w:val="24"/>
                <w:lang w:bidi="ar"/>
              </w:rPr>
              <w:t>对</w:t>
            </w:r>
            <w:r>
              <w:rPr>
                <w:rFonts w:hint="default" w:ascii="Times New Roman" w:hAnsi="Times New Roman" w:eastAsia="宋体" w:cs="Times New Roman"/>
                <w:color w:val="auto"/>
                <w:kern w:val="0"/>
                <w:sz w:val="24"/>
                <w:lang w:val="en-US" w:eastAsia="zh-CN" w:bidi="ar"/>
              </w:rPr>
              <w:t>周围地表水环境影响较小</w:t>
            </w:r>
            <w:r>
              <w:rPr>
                <w:rFonts w:hint="default" w:ascii="Times New Roman" w:hAnsi="Times New Roman" w:eastAsia="宋体" w:cs="Times New Roman"/>
                <w:color w:val="auto"/>
                <w:kern w:val="0"/>
                <w:sz w:val="24"/>
                <w:lang w:bidi="ar"/>
              </w:rPr>
              <w:t>。</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imes New Roman" w:hAnsi="Times New Roman" w:eastAsia="宋体" w:cs="Times New Roman"/>
                <w:bCs/>
                <w:color w:val="auto"/>
                <w:kern w:val="0"/>
                <w:sz w:val="24"/>
                <w:szCs w:val="24"/>
                <w:lang w:bidi="ar"/>
              </w:rPr>
            </w:pPr>
            <w:r>
              <w:rPr>
                <w:rFonts w:hint="eastAsia" w:ascii="Times New Roman" w:hAnsi="Times New Roman" w:eastAsia="宋体" w:cs="Times New Roman"/>
                <w:bCs/>
                <w:color w:val="auto"/>
                <w:kern w:val="0"/>
                <w:sz w:val="24"/>
                <w:szCs w:val="24"/>
                <w:lang w:bidi="ar"/>
              </w:rPr>
              <w:t>（3）施工废水</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imes New Roman" w:hAnsi="Times New Roman" w:eastAsia="宋体" w:cs="Times New Roman"/>
                <w:bCs/>
                <w:color w:val="auto"/>
                <w:kern w:val="0"/>
                <w:sz w:val="24"/>
                <w:szCs w:val="24"/>
                <w:lang w:bidi="ar"/>
              </w:rPr>
            </w:pPr>
            <w:r>
              <w:rPr>
                <w:rFonts w:hint="eastAsia" w:ascii="Times New Roman" w:hAnsi="Times New Roman" w:eastAsia="宋体" w:cs="Times New Roman"/>
                <w:bCs/>
                <w:color w:val="auto"/>
                <w:kern w:val="0"/>
                <w:sz w:val="24"/>
                <w:szCs w:val="24"/>
                <w:lang w:bidi="ar"/>
              </w:rPr>
              <w:t>本项目施工废水主要为施工车辆、机械设备的冲洗废水、</w:t>
            </w:r>
            <w:r>
              <w:rPr>
                <w:rFonts w:hint="eastAsia" w:cs="Times New Roman"/>
                <w:bCs/>
                <w:color w:val="auto"/>
                <w:kern w:val="0"/>
                <w:sz w:val="24"/>
                <w:szCs w:val="24"/>
                <w:lang w:val="en-US" w:eastAsia="zh-CN" w:bidi="ar"/>
              </w:rPr>
              <w:t>拌合</w:t>
            </w:r>
            <w:r>
              <w:rPr>
                <w:rFonts w:hint="eastAsia" w:ascii="Times New Roman" w:hAnsi="Times New Roman" w:eastAsia="宋体" w:cs="Times New Roman"/>
                <w:bCs/>
                <w:color w:val="auto"/>
                <w:kern w:val="0"/>
                <w:sz w:val="24"/>
                <w:szCs w:val="24"/>
                <w:lang w:val="en-US" w:eastAsia="zh-CN" w:bidi="ar"/>
              </w:rPr>
              <w:t>机</w:t>
            </w:r>
            <w:r>
              <w:rPr>
                <w:rFonts w:hint="eastAsia" w:ascii="Times New Roman" w:hAnsi="Times New Roman" w:eastAsia="宋体" w:cs="Times New Roman"/>
                <w:bCs/>
                <w:color w:val="auto"/>
                <w:kern w:val="0"/>
                <w:sz w:val="24"/>
                <w:szCs w:val="24"/>
                <w:lang w:bidi="ar"/>
              </w:rPr>
              <w:t>清洗废水，主要污染因子以SS为主。</w:t>
            </w:r>
            <w:r>
              <w:rPr>
                <w:rFonts w:hint="eastAsia" w:eastAsia="宋体" w:cs="Times New Roman"/>
                <w:bCs/>
                <w:color w:val="auto"/>
                <w:kern w:val="0"/>
                <w:sz w:val="24"/>
                <w:szCs w:val="24"/>
                <w:lang w:val="en-US" w:eastAsia="zh-CN" w:bidi="ar"/>
              </w:rPr>
              <w:t>施工期间产生的</w:t>
            </w:r>
            <w:r>
              <w:rPr>
                <w:rFonts w:hint="default" w:ascii="Times New Roman" w:hAnsi="Times New Roman" w:eastAsia="宋体" w:cs="Times New Roman"/>
                <w:color w:val="auto"/>
                <w:sz w:val="24"/>
                <w:szCs w:val="24"/>
                <w:highlight w:val="none"/>
                <w:lang w:val="en-US" w:eastAsia="zh-CN"/>
              </w:rPr>
              <w:t>基坑废水经沉淀池沉淀后上清液排入</w:t>
            </w:r>
            <w:r>
              <w:rPr>
                <w:rFonts w:hint="eastAsia" w:cs="Times New Roman"/>
                <w:color w:val="auto"/>
                <w:sz w:val="24"/>
                <w:szCs w:val="24"/>
                <w:highlight w:val="none"/>
                <w:lang w:val="en-US" w:eastAsia="zh-CN"/>
              </w:rPr>
              <w:t>临江</w:t>
            </w:r>
            <w:r>
              <w:rPr>
                <w:rFonts w:hint="default" w:ascii="Times New Roman" w:hAnsi="Times New Roman" w:eastAsia="宋体" w:cs="Times New Roman"/>
                <w:color w:val="auto"/>
                <w:sz w:val="24"/>
                <w:szCs w:val="24"/>
                <w:highlight w:val="none"/>
                <w:lang w:val="en-US" w:eastAsia="zh-CN"/>
              </w:rPr>
              <w:t>河；设备</w:t>
            </w:r>
            <w:r>
              <w:rPr>
                <w:rFonts w:hint="default" w:ascii="Times New Roman" w:hAnsi="Times New Roman" w:eastAsia="宋体" w:cs="Times New Roman"/>
                <w:color w:val="auto"/>
                <w:sz w:val="24"/>
                <w:szCs w:val="24"/>
                <w:highlight w:val="none"/>
              </w:rPr>
              <w:t>冲洗</w:t>
            </w:r>
            <w:r>
              <w:rPr>
                <w:rFonts w:hint="default" w:ascii="Times New Roman" w:hAnsi="Times New Roman" w:eastAsia="宋体" w:cs="Times New Roman"/>
                <w:color w:val="auto"/>
                <w:sz w:val="24"/>
                <w:szCs w:val="24"/>
                <w:highlight w:val="none"/>
                <w:lang w:val="en-US" w:eastAsia="zh-CN"/>
              </w:rPr>
              <w:t>废水经</w:t>
            </w:r>
            <w:r>
              <w:rPr>
                <w:rFonts w:hint="default" w:ascii="Times New Roman" w:hAnsi="Times New Roman" w:eastAsia="宋体" w:cs="Times New Roman"/>
                <w:color w:val="auto"/>
                <w:sz w:val="24"/>
                <w:szCs w:val="24"/>
                <w:highlight w:val="none"/>
              </w:rPr>
              <w:t>沉淀池（</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vertAlign w:val="baseline"/>
                <w:lang w:eastAsia="zh-CN"/>
              </w:rPr>
              <w:t>，</w:t>
            </w:r>
            <w:r>
              <w:rPr>
                <w:rFonts w:hint="default" w:ascii="Times New Roman" w:hAnsi="Times New Roman" w:eastAsia="宋体" w:cs="Times New Roman"/>
                <w:color w:val="auto"/>
                <w:sz w:val="24"/>
                <w:szCs w:val="24"/>
                <w:highlight w:val="none"/>
                <w:vertAlign w:val="baseline"/>
                <w:lang w:val="en-US" w:eastAsia="zh-CN"/>
              </w:rPr>
              <w:t>共2个</w:t>
            </w:r>
            <w:r>
              <w:rPr>
                <w:rFonts w:hint="default" w:ascii="Times New Roman" w:hAnsi="Times New Roman" w:eastAsia="宋体" w:cs="Times New Roman"/>
                <w:color w:val="auto"/>
                <w:sz w:val="24"/>
                <w:szCs w:val="24"/>
                <w:highlight w:val="none"/>
              </w:rPr>
              <w:t>）处理后回用</w:t>
            </w:r>
            <w:r>
              <w:rPr>
                <w:rFonts w:hint="default"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eastAsia="zh-CN"/>
              </w:rPr>
              <w:t>拌合</w:t>
            </w:r>
            <w:r>
              <w:rPr>
                <w:rFonts w:hint="default" w:ascii="Times New Roman" w:hAnsi="Times New Roman" w:eastAsia="宋体" w:cs="Times New Roman"/>
                <w:color w:val="auto"/>
                <w:sz w:val="24"/>
                <w:szCs w:val="24"/>
                <w:highlight w:val="none"/>
                <w:lang w:val="en-US" w:eastAsia="zh-CN"/>
              </w:rPr>
              <w:t>机清洗废水经</w:t>
            </w:r>
            <w:r>
              <w:rPr>
                <w:rFonts w:hint="default" w:ascii="Times New Roman" w:hAnsi="Times New Roman" w:eastAsia="宋体" w:cs="Times New Roman"/>
                <w:color w:val="auto"/>
                <w:sz w:val="24"/>
                <w:szCs w:val="24"/>
                <w:highlight w:val="none"/>
              </w:rPr>
              <w:t>沉淀池（</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vertAlign w:val="baseline"/>
                <w:lang w:eastAsia="zh-CN"/>
              </w:rPr>
              <w:t>，</w:t>
            </w:r>
            <w:r>
              <w:rPr>
                <w:rFonts w:hint="default" w:ascii="Times New Roman" w:hAnsi="Times New Roman" w:eastAsia="宋体" w:cs="Times New Roman"/>
                <w:color w:val="auto"/>
                <w:sz w:val="24"/>
                <w:szCs w:val="24"/>
                <w:highlight w:val="none"/>
                <w:vertAlign w:val="baseline"/>
                <w:lang w:val="en-US" w:eastAsia="zh-CN"/>
              </w:rPr>
              <w:t>共2个</w:t>
            </w:r>
            <w:r>
              <w:rPr>
                <w:rFonts w:hint="default" w:ascii="Times New Roman" w:hAnsi="Times New Roman" w:eastAsia="宋体" w:cs="Times New Roman"/>
                <w:color w:val="auto"/>
                <w:sz w:val="24"/>
                <w:szCs w:val="24"/>
                <w:highlight w:val="none"/>
              </w:rPr>
              <w:t>）处理后回用</w:t>
            </w:r>
            <w:r>
              <w:rPr>
                <w:rFonts w:hint="default" w:ascii="Times New Roman" w:hAnsi="Times New Roman" w:eastAsia="宋体" w:cs="Times New Roman"/>
                <w:color w:val="auto"/>
                <w:sz w:val="24"/>
                <w:szCs w:val="24"/>
                <w:highlight w:val="none"/>
                <w:lang w:eastAsia="zh-CN"/>
              </w:rPr>
              <w:t>；上下游疏浚段设置2套废水处理设施</w:t>
            </w:r>
            <w:r>
              <w:rPr>
                <w:rFonts w:hint="eastAsia" w:eastAsia="宋体" w:cs="Times New Roman"/>
                <w:color w:val="auto"/>
                <w:sz w:val="24"/>
                <w:szCs w:val="24"/>
                <w:highlight w:val="none"/>
                <w:lang w:eastAsia="zh-CN"/>
              </w:rPr>
              <w:t>。</w:t>
            </w:r>
            <w:r>
              <w:rPr>
                <w:rFonts w:hint="eastAsia" w:eastAsia="宋体" w:cs="Times New Roman"/>
                <w:color w:val="auto"/>
                <w:sz w:val="24"/>
                <w:szCs w:val="24"/>
                <w:highlight w:val="none"/>
                <w:lang w:val="en-US" w:eastAsia="zh-CN"/>
              </w:rPr>
              <w:t>施工废水经合理处置后，不外排，</w:t>
            </w:r>
            <w:r>
              <w:rPr>
                <w:rFonts w:hint="eastAsia" w:ascii="Times New Roman" w:hAnsi="Times New Roman" w:eastAsia="宋体" w:cs="Times New Roman"/>
                <w:bCs/>
                <w:color w:val="auto"/>
                <w:kern w:val="0"/>
                <w:sz w:val="24"/>
                <w:szCs w:val="24"/>
                <w:lang w:bidi="ar"/>
              </w:rPr>
              <w:t>对周围环境影响较小。</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imes New Roman" w:hAnsi="Times New Roman" w:eastAsia="宋体" w:cs="Times New Roman"/>
                <w:bCs/>
                <w:color w:val="auto"/>
                <w:kern w:val="0"/>
                <w:sz w:val="24"/>
                <w:szCs w:val="24"/>
                <w:lang w:bidi="ar"/>
              </w:rPr>
            </w:pPr>
            <w:r>
              <w:rPr>
                <w:rFonts w:hint="eastAsia" w:ascii="Times New Roman" w:hAnsi="Times New Roman" w:eastAsia="宋体" w:cs="Times New Roman"/>
                <w:bCs/>
                <w:color w:val="auto"/>
                <w:kern w:val="0"/>
                <w:sz w:val="24"/>
                <w:szCs w:val="24"/>
                <w:lang w:bidi="ar"/>
              </w:rPr>
              <w:t>（4）基坑排水</w:t>
            </w:r>
          </w:p>
          <w:p>
            <w:pPr>
              <w:widowControl/>
              <w:adjustRightInd w:val="0"/>
              <w:snapToGrid w:val="0"/>
              <w:spacing w:line="360" w:lineRule="auto"/>
              <w:ind w:firstLine="480" w:firstLineChars="200"/>
              <w:jc w:val="left"/>
              <w:rPr>
                <w:rFonts w:hint="default" w:ascii="Times New Roman" w:hAnsi="Times New Roman" w:eastAsia="宋体" w:cs="Times New Roman"/>
                <w:b/>
                <w:bCs w:val="0"/>
                <w:color w:val="auto"/>
                <w:kern w:val="0"/>
                <w:sz w:val="24"/>
                <w:lang w:val="en-US" w:eastAsia="zh-CN" w:bidi="ar"/>
              </w:rPr>
            </w:pPr>
            <w:r>
              <w:rPr>
                <w:rFonts w:ascii="Times New Roman" w:hAnsi="Times New Roman" w:eastAsia="宋体" w:cs="Times New Roman"/>
                <w:sz w:val="24"/>
                <w:szCs w:val="24"/>
              </w:rPr>
              <w:t>基坑集水采用常规的排水沟、集水井和水泵抽排方式进行处理。开挖过程中，结合开挖在基坑靠河一侧布置排水沟</w:t>
            </w:r>
            <w:r>
              <w:rPr>
                <w:rFonts w:hint="eastAsia" w:cs="Times New Roman"/>
                <w:sz w:val="24"/>
                <w:szCs w:val="24"/>
                <w:lang w:eastAsia="zh-CN"/>
              </w:rPr>
              <w:t>（</w:t>
            </w:r>
            <w:r>
              <w:rPr>
                <w:rFonts w:ascii="Times New Roman" w:hAnsi="Times New Roman" w:eastAsia="宋体" w:cs="Times New Roman"/>
                <w:sz w:val="24"/>
                <w:szCs w:val="24"/>
              </w:rPr>
              <w:t>0.6</w:t>
            </w:r>
            <w:r>
              <w:rPr>
                <w:rFonts w:hint="eastAsia" w:ascii="Times New Roman" w:hAnsi="Times New Roman" w:eastAsia="宋体" w:cs="Times New Roman"/>
                <w:sz w:val="24"/>
                <w:szCs w:val="24"/>
              </w:rPr>
              <w:t>m</w:t>
            </w:r>
            <w:r>
              <w:rPr>
                <w:rFonts w:ascii="Times New Roman" w:hAnsi="Times New Roman" w:eastAsia="宋体" w:cs="Times New Roman"/>
                <w:sz w:val="24"/>
                <w:szCs w:val="24"/>
              </w:rPr>
              <w:t>×0.5</w:t>
            </w:r>
            <w:r>
              <w:rPr>
                <w:rFonts w:hint="eastAsia" w:ascii="Times New Roman" w:hAnsi="Times New Roman" w:eastAsia="宋体" w:cs="Times New Roman"/>
                <w:sz w:val="24"/>
                <w:szCs w:val="24"/>
              </w:rPr>
              <w:t>m</w:t>
            </w:r>
            <w:r>
              <w:rPr>
                <w:rFonts w:hint="eastAsia" w:cs="Times New Roman"/>
                <w:sz w:val="24"/>
                <w:szCs w:val="24"/>
                <w:lang w:eastAsia="zh-CN"/>
              </w:rPr>
              <w:t>）</w:t>
            </w:r>
            <w:r>
              <w:rPr>
                <w:rFonts w:ascii="Times New Roman" w:hAnsi="Times New Roman" w:eastAsia="宋体" w:cs="Times New Roman"/>
                <w:sz w:val="24"/>
                <w:szCs w:val="24"/>
              </w:rPr>
              <w:t>，随着开挖工作的进行，逐层布置，排水沟以2</w:t>
            </w:r>
            <w:r>
              <w:rPr>
                <w:rFonts w:hint="eastAsia" w:ascii="Times New Roman" w:hAnsi="Times New Roman" w:eastAsia="宋体" w:cs="Times New Roman"/>
                <w:sz w:val="24"/>
                <w:szCs w:val="24"/>
              </w:rPr>
              <w:t>--</w:t>
            </w:r>
            <w:r>
              <w:rPr>
                <w:rFonts w:ascii="Times New Roman" w:hAnsi="Times New Roman" w:eastAsia="宋体" w:cs="Times New Roman"/>
                <w:sz w:val="24"/>
                <w:szCs w:val="24"/>
              </w:rPr>
              <w:t>3‰的底坡通向集水井，集水井在每段围堰的末端进行布置，在集水井处布置水泵将集水抽出排到河流内</w:t>
            </w:r>
            <w:r>
              <w:rPr>
                <w:rFonts w:hint="eastAsia" w:ascii="Times New Roman" w:hAnsi="Times New Roman" w:eastAsia="宋体" w:cs="Times New Roman"/>
                <w:sz w:val="24"/>
                <w:szCs w:val="24"/>
                <w:lang w:eastAsia="zh-CN"/>
              </w:rPr>
              <w:t>，</w:t>
            </w:r>
            <w:r>
              <w:rPr>
                <w:rFonts w:hint="default" w:ascii="Times New Roman" w:hAnsi="Times New Roman" w:cs="Times New Roman"/>
                <w:color w:val="auto"/>
                <w:kern w:val="0"/>
                <w:sz w:val="24"/>
                <w:lang w:bidi="ar"/>
              </w:rPr>
              <w:t>对地表水环境质量影响较小</w:t>
            </w:r>
            <w:r>
              <w:rPr>
                <w:rFonts w:hint="default" w:ascii="Times New Roman" w:hAnsi="Times New Roman" w:eastAsia="宋体" w:cs="Times New Roman"/>
                <w:color w:val="auto"/>
                <w:kern w:val="0"/>
                <w:sz w:val="24"/>
                <w:lang w:bidi="ar"/>
              </w:rPr>
              <w:t>。</w:t>
            </w:r>
          </w:p>
          <w:p>
            <w:pPr>
              <w:widowControl/>
              <w:adjustRightInd w:val="0"/>
              <w:snapToGrid w:val="0"/>
              <w:spacing w:line="360" w:lineRule="auto"/>
              <w:ind w:firstLine="482" w:firstLineChars="200"/>
              <w:jc w:val="left"/>
              <w:rPr>
                <w:rFonts w:hint="default" w:ascii="Times New Roman" w:hAnsi="Times New Roman" w:eastAsia="宋体" w:cs="Times New Roman"/>
                <w:b/>
                <w:bCs w:val="0"/>
                <w:color w:val="auto"/>
                <w:sz w:val="24"/>
              </w:rPr>
            </w:pPr>
            <w:r>
              <w:rPr>
                <w:rFonts w:hint="default" w:ascii="Times New Roman" w:hAnsi="Times New Roman" w:eastAsia="宋体" w:cs="Times New Roman"/>
                <w:b/>
                <w:bCs w:val="0"/>
                <w:color w:val="auto"/>
                <w:kern w:val="0"/>
                <w:sz w:val="24"/>
                <w:lang w:val="en-US" w:eastAsia="zh-CN" w:bidi="ar"/>
              </w:rPr>
              <w:t>4、施工期</w:t>
            </w:r>
            <w:r>
              <w:rPr>
                <w:rFonts w:hint="default" w:ascii="Times New Roman" w:hAnsi="Times New Roman" w:eastAsia="宋体" w:cs="Times New Roman"/>
                <w:b/>
                <w:bCs w:val="0"/>
                <w:color w:val="auto"/>
                <w:kern w:val="0"/>
                <w:sz w:val="24"/>
                <w:lang w:bidi="ar"/>
              </w:rPr>
              <w:t xml:space="preserve">地下水环境影响分析 </w:t>
            </w:r>
          </w:p>
          <w:p>
            <w:pPr>
              <w:widowControl/>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lang w:bidi="ar"/>
              </w:rPr>
              <w:t>本项目场地地下水主要为岩石裂隙水，岩石裂隙水主要沿岩体裂隙带分布，空间分布不均匀，由大气降水提供补给，水量较小，地下水不发育。项目开挖过程中开挖量及开挖深度小，不会遇到稳定地下水。项目施工期间废水量小，</w:t>
            </w:r>
            <w:r>
              <w:rPr>
                <w:rFonts w:hint="default" w:ascii="Times New Roman" w:hAnsi="Times New Roman" w:eastAsia="宋体" w:cs="Times New Roman"/>
                <w:color w:val="auto"/>
                <w:kern w:val="0"/>
                <w:sz w:val="24"/>
                <w:lang w:val="en-US" w:eastAsia="zh-CN" w:bidi="ar"/>
              </w:rPr>
              <w:t>没有出现</w:t>
            </w:r>
            <w:r>
              <w:rPr>
                <w:rFonts w:hint="default" w:ascii="Times New Roman" w:hAnsi="Times New Roman" w:eastAsia="宋体" w:cs="Times New Roman"/>
                <w:color w:val="auto"/>
                <w:kern w:val="0"/>
                <w:sz w:val="24"/>
                <w:lang w:bidi="ar"/>
              </w:rPr>
              <w:t>大量渗水</w:t>
            </w:r>
            <w:r>
              <w:rPr>
                <w:rFonts w:hint="default" w:ascii="Times New Roman" w:hAnsi="Times New Roman" w:eastAsia="宋体" w:cs="Times New Roman"/>
                <w:color w:val="auto"/>
                <w:kern w:val="0"/>
                <w:sz w:val="24"/>
                <w:lang w:val="en-US" w:eastAsia="zh-CN" w:bidi="ar"/>
              </w:rPr>
              <w:t>的现象</w:t>
            </w:r>
            <w:r>
              <w:rPr>
                <w:rFonts w:hint="default" w:ascii="Times New Roman" w:hAnsi="Times New Roman" w:eastAsia="宋体" w:cs="Times New Roman"/>
                <w:color w:val="auto"/>
                <w:kern w:val="0"/>
                <w:sz w:val="24"/>
                <w:lang w:bidi="ar"/>
              </w:rPr>
              <w:t>。因此，项目施工建设对地下水环境影响较小。</w:t>
            </w:r>
          </w:p>
          <w:p>
            <w:pPr>
              <w:widowControl/>
              <w:adjustRightInd w:val="0"/>
              <w:snapToGrid w:val="0"/>
              <w:spacing w:line="360" w:lineRule="auto"/>
              <w:ind w:firstLine="482" w:firstLineChars="200"/>
              <w:jc w:val="left"/>
              <w:rPr>
                <w:rFonts w:hint="default" w:ascii="Times New Roman" w:hAnsi="Times New Roman" w:eastAsia="宋体" w:cs="Times New Roman"/>
                <w:b/>
                <w:bCs w:val="0"/>
                <w:color w:val="auto"/>
                <w:sz w:val="24"/>
              </w:rPr>
            </w:pPr>
            <w:r>
              <w:rPr>
                <w:rFonts w:hint="default" w:ascii="Times New Roman" w:hAnsi="Times New Roman" w:eastAsia="宋体" w:cs="Times New Roman"/>
                <w:b/>
                <w:bCs w:val="0"/>
                <w:color w:val="auto"/>
                <w:kern w:val="0"/>
                <w:sz w:val="24"/>
                <w:lang w:val="en-US" w:eastAsia="zh-CN" w:bidi="ar"/>
              </w:rPr>
              <w:t>5、</w:t>
            </w:r>
            <w:r>
              <w:rPr>
                <w:rFonts w:hint="default" w:ascii="Times New Roman" w:hAnsi="Times New Roman" w:eastAsia="宋体" w:cs="Times New Roman"/>
                <w:b/>
                <w:bCs w:val="0"/>
                <w:color w:val="auto"/>
                <w:kern w:val="0"/>
                <w:sz w:val="24"/>
                <w:lang w:bidi="ar"/>
              </w:rPr>
              <w:t xml:space="preserve">施工期声环境影响分析 </w:t>
            </w:r>
          </w:p>
          <w:p>
            <w:pPr>
              <w:widowControl/>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lang w:bidi="ar"/>
              </w:rPr>
              <w:t>施工期间，评价主要考虑噪声对各侧环境保护目标的影响。施工期噪声主要可分为施工作业噪声、施工车辆噪声和机械噪声。施工作业噪声主要指施工中发生的零星的敲打声、运输车辆装卸作业时的撞击声、拆装模板的撞击声等，多为瞬间噪声。施工车辆的噪声为运输车辆行驶时发出的噪声，属于交通噪声。机械噪声由各类施工机械产生，如挖土机、电锯等。该类噪声源多为点声源，不同施工阶段和不同施工机械发出的噪声水平不同，且有大量设备交替作业，因此施工作业噪声将会对本项目内外环境带来一定影响。</w:t>
            </w:r>
          </w:p>
          <w:p>
            <w:pPr>
              <w:widowControl/>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lang w:bidi="ar"/>
              </w:rPr>
              <w:t>（1）噪声源强</w:t>
            </w:r>
          </w:p>
          <w:p>
            <w:pPr>
              <w:widowControl/>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lang w:bidi="ar"/>
              </w:rPr>
              <w:t>施工期的噪声主要来源于施工现场的各类机械设备噪声，由于各施工阶段均有大量设备交互作业，这些设备在场地内的位置以及使用率均有较大变化，因此很难计算其确切的施工场界噪声，根据施工量，按经验计算各施工阶段的昼夜的主要噪声源及场界噪声和标准声级见下表。施工期间的场界噪声必须满足《建筑施工场界环境噪声排放标准》（GB12523-2011）标准要求。</w:t>
            </w:r>
          </w:p>
          <w:p>
            <w:pPr>
              <w:widowControl/>
              <w:adjustRightInd w:val="0"/>
              <w:snapToGrid w:val="0"/>
              <w:spacing w:line="360" w:lineRule="auto"/>
              <w:jc w:val="center"/>
              <w:rPr>
                <w:rFonts w:hint="default" w:ascii="Times New Roman" w:hAnsi="Times New Roman" w:eastAsia="宋体" w:cs="Times New Roman"/>
                <w:b/>
                <w:color w:val="auto"/>
                <w:kern w:val="0"/>
                <w:szCs w:val="21"/>
                <w:lang w:bidi="ar"/>
              </w:rPr>
            </w:pPr>
            <w:r>
              <w:rPr>
                <w:rFonts w:hint="default" w:ascii="Times New Roman" w:hAnsi="Times New Roman" w:eastAsia="宋体" w:cs="Times New Roman"/>
                <w:b/>
                <w:color w:val="auto"/>
                <w:kern w:val="0"/>
                <w:szCs w:val="21"/>
                <w:lang w:bidi="ar"/>
              </w:rPr>
              <w:t>表4-2  施工期主要噪声源及其声级值</w:t>
            </w:r>
          </w:p>
          <w:tbl>
            <w:tblPr>
              <w:tblStyle w:val="4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6"/>
              <w:gridCol w:w="2586"/>
              <w:gridCol w:w="2591"/>
              <w:gridCol w:w="2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noWrap w:val="0"/>
                  <w:vAlign w:val="top"/>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序号</w:t>
                  </w:r>
                </w:p>
              </w:tc>
              <w:tc>
                <w:tcPr>
                  <w:tcW w:w="1442" w:type="pct"/>
                  <w:noWrap w:val="0"/>
                  <w:vAlign w:val="top"/>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设备名称</w:t>
                  </w:r>
                </w:p>
              </w:tc>
              <w:tc>
                <w:tcPr>
                  <w:tcW w:w="1445" w:type="pct"/>
                  <w:noWrap w:val="0"/>
                  <w:vAlign w:val="top"/>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规格型号</w:t>
                  </w:r>
                </w:p>
              </w:tc>
              <w:tc>
                <w:tcPr>
                  <w:tcW w:w="1338" w:type="pct"/>
                  <w:noWrap w:val="0"/>
                  <w:vAlign w:val="top"/>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噪声强度dB（A）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noWrap w:val="0"/>
                  <w:vAlign w:val="top"/>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1442"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装载机</w:t>
                  </w:r>
                </w:p>
              </w:tc>
              <w:tc>
                <w:tcPr>
                  <w:tcW w:w="1445"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ZL</w:t>
                  </w:r>
                  <w:r>
                    <w:rPr>
                      <w:rFonts w:hint="default" w:ascii="Times New Roman" w:hAnsi="Times New Roman" w:eastAsia="宋体" w:cs="Times New Roman"/>
                      <w:color w:val="auto"/>
                      <w:szCs w:val="21"/>
                      <w:lang w:val="en-US" w:eastAsia="zh-CN"/>
                    </w:rPr>
                    <w:t>5</w:t>
                  </w:r>
                  <w:r>
                    <w:rPr>
                      <w:rFonts w:hint="default" w:ascii="Times New Roman" w:hAnsi="Times New Roman" w:eastAsia="宋体" w:cs="Times New Roman"/>
                      <w:color w:val="auto"/>
                      <w:szCs w:val="21"/>
                    </w:rPr>
                    <w:t>0</w:t>
                  </w:r>
                </w:p>
              </w:tc>
              <w:tc>
                <w:tcPr>
                  <w:tcW w:w="1338" w:type="pct"/>
                  <w:noWrap w:val="0"/>
                  <w:vAlign w:val="top"/>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noWrap w:val="0"/>
                  <w:vAlign w:val="top"/>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c>
                <w:tcPr>
                  <w:tcW w:w="1442"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highlight w:val="none"/>
                    </w:rPr>
                    <w:t>液压反铲</w:t>
                  </w:r>
                  <w:r>
                    <w:rPr>
                      <w:rFonts w:hint="default" w:ascii="Times New Roman" w:hAnsi="Times New Roman" w:eastAsia="宋体" w:cs="Times New Roman"/>
                      <w:color w:val="auto"/>
                      <w:sz w:val="21"/>
                      <w:szCs w:val="21"/>
                      <w:highlight w:val="none"/>
                      <w:lang w:val="en-US" w:eastAsia="zh-CN"/>
                    </w:rPr>
                    <w:t>挖掘机</w:t>
                  </w:r>
                </w:p>
              </w:tc>
              <w:tc>
                <w:tcPr>
                  <w:tcW w:w="1445"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r>
                    <w:rPr>
                      <w:rFonts w:hint="default" w:ascii="Times New Roman" w:hAnsi="Times New Roman" w:eastAsia="宋体" w:cs="Times New Roman"/>
                      <w:color w:val="auto"/>
                      <w:szCs w:val="21"/>
                      <w:lang w:val="en-US" w:eastAsia="zh-CN"/>
                    </w:rPr>
                    <w:t>.6</w:t>
                  </w: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vertAlign w:val="superscript"/>
                    </w:rPr>
                    <w:t>3</w:t>
                  </w:r>
                </w:p>
              </w:tc>
              <w:tc>
                <w:tcPr>
                  <w:tcW w:w="1338" w:type="pct"/>
                  <w:noWrap w:val="0"/>
                  <w:vAlign w:val="top"/>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noWrap w:val="0"/>
                  <w:vAlign w:val="top"/>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w:t>
                  </w:r>
                </w:p>
              </w:tc>
              <w:tc>
                <w:tcPr>
                  <w:tcW w:w="1442"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推土机</w:t>
                  </w:r>
                </w:p>
              </w:tc>
              <w:tc>
                <w:tcPr>
                  <w:tcW w:w="1445" w:type="pct"/>
                  <w:noWrap w:val="0"/>
                  <w:vAlign w:val="top"/>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仿宋_GB2312" w:cs="Times New Roman"/>
                      <w:color w:val="auto"/>
                      <w:szCs w:val="21"/>
                    </w:rPr>
                    <w:t>74kw</w:t>
                  </w:r>
                </w:p>
              </w:tc>
              <w:tc>
                <w:tcPr>
                  <w:tcW w:w="1338" w:type="pct"/>
                  <w:noWrap w:val="0"/>
                  <w:vAlign w:val="top"/>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noWrap w:val="0"/>
                  <w:vAlign w:val="top"/>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w:t>
                  </w:r>
                </w:p>
              </w:tc>
              <w:tc>
                <w:tcPr>
                  <w:tcW w:w="1442" w:type="pct"/>
                  <w:noWrap w:val="0"/>
                  <w:vAlign w:val="top"/>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振动碾</w:t>
                  </w:r>
                </w:p>
              </w:tc>
              <w:tc>
                <w:tcPr>
                  <w:tcW w:w="1445" w:type="pct"/>
                  <w:noWrap w:val="0"/>
                  <w:vAlign w:val="top"/>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仿宋_GB2312" w:cs="Times New Roman"/>
                      <w:color w:val="auto"/>
                      <w:szCs w:val="21"/>
                      <w:lang w:val="en-US" w:eastAsia="zh-CN"/>
                    </w:rPr>
                    <w:t>20</w:t>
                  </w:r>
                  <w:r>
                    <w:rPr>
                      <w:rFonts w:hint="default" w:ascii="Times New Roman" w:hAnsi="Times New Roman" w:eastAsia="仿宋_GB2312" w:cs="Times New Roman"/>
                      <w:color w:val="auto"/>
                      <w:szCs w:val="21"/>
                    </w:rPr>
                    <w:t>t</w:t>
                  </w:r>
                </w:p>
              </w:tc>
              <w:tc>
                <w:tcPr>
                  <w:tcW w:w="1338" w:type="pct"/>
                  <w:noWrap w:val="0"/>
                  <w:vAlign w:val="top"/>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noWrap w:val="0"/>
                  <w:vAlign w:val="top"/>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w:t>
                  </w:r>
                </w:p>
              </w:tc>
              <w:tc>
                <w:tcPr>
                  <w:tcW w:w="1442"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混凝土</w:t>
                  </w:r>
                  <w:r>
                    <w:rPr>
                      <w:rFonts w:hint="eastAsia" w:cs="Times New Roman"/>
                      <w:color w:val="auto"/>
                      <w:szCs w:val="21"/>
                      <w:lang w:eastAsia="zh-CN"/>
                    </w:rPr>
                    <w:t>拌合</w:t>
                  </w:r>
                  <w:r>
                    <w:rPr>
                      <w:rFonts w:hint="default" w:ascii="Times New Roman" w:hAnsi="Times New Roman" w:eastAsia="宋体" w:cs="Times New Roman"/>
                      <w:color w:val="auto"/>
                      <w:szCs w:val="21"/>
                    </w:rPr>
                    <w:t>机</w:t>
                  </w:r>
                </w:p>
              </w:tc>
              <w:tc>
                <w:tcPr>
                  <w:tcW w:w="1445"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0.8m</w:t>
                  </w:r>
                  <w:r>
                    <w:rPr>
                      <w:rFonts w:hint="default" w:ascii="Times New Roman" w:hAnsi="Times New Roman" w:eastAsia="宋体" w:cs="Times New Roman"/>
                      <w:color w:val="auto"/>
                      <w:szCs w:val="21"/>
                      <w:vertAlign w:val="superscript"/>
                    </w:rPr>
                    <w:t>3</w:t>
                  </w:r>
                </w:p>
              </w:tc>
              <w:tc>
                <w:tcPr>
                  <w:tcW w:w="1338" w:type="pct"/>
                  <w:noWrap w:val="0"/>
                  <w:vAlign w:val="top"/>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noWrap w:val="0"/>
                  <w:vAlign w:val="top"/>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w:t>
                  </w:r>
                </w:p>
              </w:tc>
              <w:tc>
                <w:tcPr>
                  <w:tcW w:w="1442" w:type="pct"/>
                  <w:noWrap w:val="0"/>
                  <w:vAlign w:val="top"/>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插入式振捣器</w:t>
                  </w:r>
                </w:p>
              </w:tc>
              <w:tc>
                <w:tcPr>
                  <w:tcW w:w="1445" w:type="pct"/>
                  <w:noWrap w:val="0"/>
                  <w:vAlign w:val="top"/>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1.1kW</w:t>
                  </w:r>
                </w:p>
              </w:tc>
              <w:tc>
                <w:tcPr>
                  <w:tcW w:w="1338" w:type="pct"/>
                  <w:noWrap w:val="0"/>
                  <w:vAlign w:val="top"/>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noWrap w:val="0"/>
                  <w:vAlign w:val="top"/>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w:t>
                  </w:r>
                </w:p>
              </w:tc>
              <w:tc>
                <w:tcPr>
                  <w:tcW w:w="1442" w:type="pct"/>
                  <w:noWrap w:val="0"/>
                  <w:vAlign w:val="top"/>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自卸汽车</w:t>
                  </w:r>
                </w:p>
              </w:tc>
              <w:tc>
                <w:tcPr>
                  <w:tcW w:w="1445"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338" w:type="pct"/>
                  <w:noWrap w:val="0"/>
                  <w:vAlign w:val="top"/>
                </w:tcPr>
                <w:p>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7</w:t>
                  </w:r>
                  <w:r>
                    <w:rPr>
                      <w:rFonts w:hint="default" w:ascii="Times New Roman" w:hAnsi="Times New Roman" w:eastAsia="宋体" w:cs="Times New Roman"/>
                      <w:color w:val="auto"/>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noWrap w:val="0"/>
                  <w:vAlign w:val="top"/>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w:t>
                  </w:r>
                </w:p>
              </w:tc>
              <w:tc>
                <w:tcPr>
                  <w:tcW w:w="1442" w:type="pct"/>
                  <w:noWrap w:val="0"/>
                  <w:vAlign w:val="top"/>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载重汽车</w:t>
                  </w:r>
                </w:p>
              </w:tc>
              <w:tc>
                <w:tcPr>
                  <w:tcW w:w="1445" w:type="pct"/>
                  <w:noWrap w:val="0"/>
                  <w:vAlign w:val="top"/>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338" w:type="pct"/>
                  <w:noWrap w:val="0"/>
                  <w:vAlign w:val="top"/>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noWrap w:val="0"/>
                  <w:vAlign w:val="top"/>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w:t>
                  </w:r>
                </w:p>
              </w:tc>
              <w:tc>
                <w:tcPr>
                  <w:tcW w:w="1442" w:type="pct"/>
                  <w:noWrap w:val="0"/>
                  <w:vAlign w:val="top"/>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空压机</w:t>
                  </w:r>
                </w:p>
              </w:tc>
              <w:tc>
                <w:tcPr>
                  <w:tcW w:w="1445" w:type="pct"/>
                  <w:noWrap w:val="0"/>
                  <w:vAlign w:val="top"/>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/h</w:t>
                  </w:r>
                </w:p>
              </w:tc>
              <w:tc>
                <w:tcPr>
                  <w:tcW w:w="1338" w:type="pct"/>
                  <w:noWrap w:val="0"/>
                  <w:vAlign w:val="top"/>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noWrap w:val="0"/>
                  <w:vAlign w:val="top"/>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w:t>
                  </w:r>
                </w:p>
              </w:tc>
              <w:tc>
                <w:tcPr>
                  <w:tcW w:w="1442" w:type="pct"/>
                  <w:noWrap w:val="0"/>
                  <w:vAlign w:val="top"/>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水泵</w:t>
                  </w:r>
                </w:p>
              </w:tc>
              <w:tc>
                <w:tcPr>
                  <w:tcW w:w="1445" w:type="pct"/>
                  <w:noWrap w:val="0"/>
                  <w:vAlign w:val="top"/>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338" w:type="pct"/>
                  <w:noWrap w:val="0"/>
                  <w:vAlign w:val="top"/>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90</w:t>
                  </w:r>
                </w:p>
              </w:tc>
            </w:tr>
          </w:tbl>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lang w:bidi="ar"/>
              </w:rPr>
              <w:t>（2）噪声影响预测</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无指向性点声源几何发散衰减的基本公式是</w:t>
            </w:r>
            <w:r>
              <w:rPr>
                <w:rFonts w:hint="default" w:ascii="Times New Roman" w:hAnsi="Times New Roman" w:eastAsia="宋体" w:cs="Times New Roman"/>
                <w:color w:val="auto"/>
                <w:sz w:val="24"/>
                <w:szCs w:val="24"/>
              </w:rPr>
              <w:t>：</w:t>
            </w:r>
          </w:p>
          <w:p>
            <w:pPr>
              <w:tabs>
                <w:tab w:val="center" w:pos="4579"/>
              </w:tabs>
              <w:spacing w:line="360" w:lineRule="auto"/>
              <w:ind w:firstLine="200"/>
              <w:jc w:val="center"/>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position w:val="-14"/>
                <w:sz w:val="24"/>
                <w:szCs w:val="24"/>
                <w:lang w:eastAsia="zh-CN"/>
              </w:rPr>
              <w:object>
                <v:shape id="_x0000_i1032" o:spt="75" type="#_x0000_t75" style="height:19pt;width:136pt;" o:ole="t" filled="f" o:preferrelative="t" stroked="f" coordsize="21600,21600">
                  <v:path/>
                  <v:fill on="f" focussize="0,0"/>
                  <v:stroke on="f"/>
                  <v:imagedata r:id="rId29" o:title=""/>
                  <o:lock v:ext="edit" aspectratio="t"/>
                  <w10:wrap type="none"/>
                  <w10:anchorlock/>
                </v:shape>
                <o:OLEObject Type="Embed" ProgID="Equation.KSEE3" ShapeID="_x0000_i1032" DrawAspect="Content" ObjectID="_1468075728" r:id="rId28">
                  <o:LockedField>false</o:LockedField>
                </o:OLEObject>
              </w:object>
            </w:r>
          </w:p>
          <w:p>
            <w:pPr>
              <w:adjustRightInd w:val="0"/>
              <w:snapToGrid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式中：</w:t>
            </w:r>
            <w:r>
              <w:rPr>
                <w:rFonts w:hint="default" w:ascii="Times New Roman" w:hAnsi="Times New Roman" w:eastAsia="宋体" w:cs="Times New Roman"/>
                <w:color w:val="auto"/>
                <w:sz w:val="24"/>
                <w:szCs w:val="24"/>
                <w:lang w:val="en-US" w:eastAsia="zh-CN"/>
              </w:rPr>
              <w:t>L</w:t>
            </w:r>
            <w:r>
              <w:rPr>
                <w:rFonts w:hint="default" w:ascii="Times New Roman" w:hAnsi="Times New Roman" w:eastAsia="宋体" w:cs="Times New Roman"/>
                <w:color w:val="auto"/>
                <w:sz w:val="24"/>
                <w:szCs w:val="24"/>
                <w:vertAlign w:val="subscript"/>
                <w:lang w:val="en-US" w:eastAsia="zh-CN"/>
              </w:rPr>
              <w:t>p</w:t>
            </w:r>
            <w:r>
              <w:rPr>
                <w:rFonts w:hint="default" w:ascii="Times New Roman" w:hAnsi="Times New Roman" w:eastAsia="宋体" w:cs="Times New Roman"/>
                <w:color w:val="auto"/>
                <w:sz w:val="24"/>
                <w:szCs w:val="24"/>
                <w:lang w:val="en-US" w:eastAsia="zh-CN"/>
              </w:rPr>
              <w:t>(r) ——预测点处声压级，dB；</w:t>
            </w:r>
          </w:p>
          <w:p>
            <w:pPr>
              <w:adjustRightInd w:val="0"/>
              <w:snapToGrid w:val="0"/>
              <w:spacing w:line="360" w:lineRule="auto"/>
              <w:ind w:firstLine="1200" w:firstLineChars="5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L</w:t>
            </w:r>
            <w:r>
              <w:rPr>
                <w:rFonts w:hint="default" w:ascii="Times New Roman" w:hAnsi="Times New Roman" w:eastAsia="宋体" w:cs="Times New Roman"/>
                <w:color w:val="auto"/>
                <w:sz w:val="24"/>
                <w:szCs w:val="24"/>
                <w:vertAlign w:val="subscript"/>
                <w:lang w:val="en-US" w:eastAsia="zh-CN"/>
              </w:rPr>
              <w:t>p</w:t>
            </w:r>
            <w:r>
              <w:rPr>
                <w:rFonts w:hint="default" w:ascii="Times New Roman" w:hAnsi="Times New Roman" w:eastAsia="宋体" w:cs="Times New Roman"/>
                <w:color w:val="auto"/>
                <w:sz w:val="24"/>
                <w:szCs w:val="24"/>
                <w:lang w:val="en-US" w:eastAsia="zh-CN"/>
              </w:rPr>
              <w:t>(r</w:t>
            </w:r>
            <w:r>
              <w:rPr>
                <w:rFonts w:hint="default" w:ascii="Times New Roman" w:hAnsi="Times New Roman" w:eastAsia="宋体" w:cs="Times New Roman"/>
                <w:color w:val="auto"/>
                <w:sz w:val="24"/>
                <w:szCs w:val="24"/>
                <w:vertAlign w:val="subscript"/>
                <w:lang w:val="en-US" w:eastAsia="zh-CN"/>
              </w:rPr>
              <w:t>0</w:t>
            </w:r>
            <w:r>
              <w:rPr>
                <w:rFonts w:hint="default" w:ascii="Times New Roman" w:hAnsi="Times New Roman" w:eastAsia="宋体" w:cs="Times New Roman"/>
                <w:color w:val="auto"/>
                <w:sz w:val="24"/>
                <w:szCs w:val="24"/>
                <w:lang w:val="en-US" w:eastAsia="zh-CN"/>
              </w:rPr>
              <w:t>) ——参考位置r</w:t>
            </w:r>
            <w:r>
              <w:rPr>
                <w:rFonts w:hint="default" w:ascii="Times New Roman" w:hAnsi="Times New Roman" w:eastAsia="宋体" w:cs="Times New Roman"/>
                <w:color w:val="auto"/>
                <w:sz w:val="24"/>
                <w:szCs w:val="24"/>
                <w:vertAlign w:val="subscript"/>
                <w:lang w:val="en-US" w:eastAsia="zh-CN"/>
              </w:rPr>
              <w:t>0</w:t>
            </w:r>
            <w:r>
              <w:rPr>
                <w:rFonts w:hint="default" w:ascii="Times New Roman" w:hAnsi="Times New Roman" w:eastAsia="宋体" w:cs="Times New Roman"/>
                <w:color w:val="auto"/>
                <w:sz w:val="24"/>
                <w:szCs w:val="24"/>
                <w:lang w:val="en-US" w:eastAsia="zh-CN"/>
              </w:rPr>
              <w:t>处的声压级，dB；</w:t>
            </w:r>
          </w:p>
          <w:p>
            <w:pPr>
              <w:adjustRightInd w:val="0"/>
              <w:snapToGrid w:val="0"/>
              <w:spacing w:line="360" w:lineRule="auto"/>
              <w:ind w:firstLine="1200" w:firstLineChars="5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r ——预测点距声源的距离；</w:t>
            </w:r>
          </w:p>
          <w:p>
            <w:pP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r</w:t>
            </w:r>
            <w:r>
              <w:rPr>
                <w:rFonts w:hint="default" w:ascii="Times New Roman" w:hAnsi="Times New Roman" w:eastAsia="宋体" w:cs="Times New Roman"/>
                <w:color w:val="auto"/>
                <w:sz w:val="24"/>
                <w:szCs w:val="24"/>
                <w:vertAlign w:val="subscript"/>
                <w:lang w:val="en-US" w:eastAsia="zh-CN"/>
              </w:rPr>
              <w:t>0</w:t>
            </w:r>
            <w:r>
              <w:rPr>
                <w:rFonts w:hint="default" w:ascii="Times New Roman" w:hAnsi="Times New Roman" w:eastAsia="宋体" w:cs="Times New Roman"/>
                <w:color w:val="auto"/>
                <w:sz w:val="24"/>
                <w:szCs w:val="24"/>
                <w:lang w:val="en-US" w:eastAsia="zh-CN"/>
              </w:rPr>
              <w:t>——参考位置距声源的距离。</w:t>
            </w:r>
          </w:p>
          <w:p>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噪声</w:t>
            </w:r>
            <w:r>
              <w:rPr>
                <w:rFonts w:hint="eastAsia" w:ascii="Times New Roman" w:hAnsi="Times New Roman" w:eastAsia="宋体" w:cs="Times New Roman"/>
                <w:color w:val="auto"/>
                <w:sz w:val="24"/>
                <w:szCs w:val="24"/>
                <w:lang w:val="en-US" w:eastAsia="zh-CN"/>
              </w:rPr>
              <w:t>预测值（L</w:t>
            </w:r>
            <w:r>
              <w:rPr>
                <w:rFonts w:hint="eastAsia" w:ascii="Times New Roman" w:hAnsi="Times New Roman" w:eastAsia="宋体" w:cs="Times New Roman"/>
                <w:color w:val="auto"/>
                <w:sz w:val="24"/>
                <w:szCs w:val="24"/>
                <w:vertAlign w:val="subscript"/>
                <w:lang w:val="en-US" w:eastAsia="zh-CN"/>
              </w:rPr>
              <w:t>eq</w:t>
            </w:r>
            <w:r>
              <w:rPr>
                <w:rFonts w:hint="eastAsia" w:ascii="Times New Roman" w:hAnsi="Times New Roman" w:eastAsia="宋体" w:cs="Times New Roman"/>
                <w:color w:val="auto"/>
                <w:sz w:val="24"/>
                <w:szCs w:val="24"/>
                <w:lang w:val="en-US" w:eastAsia="zh-CN"/>
              </w:rPr>
              <w:t>）计算</w:t>
            </w:r>
            <w:r>
              <w:rPr>
                <w:rFonts w:hint="default" w:ascii="Times New Roman" w:hAnsi="Times New Roman" w:eastAsia="宋体" w:cs="Times New Roman"/>
                <w:color w:val="auto"/>
                <w:sz w:val="24"/>
                <w:szCs w:val="24"/>
              </w:rPr>
              <w:t>公式：</w:t>
            </w:r>
          </w:p>
          <w:p>
            <w:pPr>
              <w:adjustRightInd w:val="0"/>
              <w:snapToGrid w:val="0"/>
              <w:spacing w:line="360" w:lineRule="auto"/>
              <w:jc w:val="center"/>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position w:val="-14"/>
                <w:sz w:val="24"/>
                <w:szCs w:val="24"/>
                <w:lang w:eastAsia="zh-CN"/>
              </w:rPr>
              <w:object>
                <v:shape id="_x0000_i1033" o:spt="75" type="#_x0000_t75" style="height:21pt;width:137pt;" o:ole="t" filled="f" o:preferrelative="t" stroked="f" coordsize="21600,21600">
                  <v:path/>
                  <v:fill on="f" focussize="0,0"/>
                  <v:stroke on="f"/>
                  <v:imagedata r:id="rId31" o:title=""/>
                  <o:lock v:ext="edit" aspectratio="t"/>
                  <w10:wrap type="none"/>
                  <w10:anchorlock/>
                </v:shape>
                <o:OLEObject Type="Embed" ProgID="Equation.KSEE3" ShapeID="_x0000_i1033" DrawAspect="Content" ObjectID="_1468075729" r:id="rId30">
                  <o:LockedField>false</o:LockedField>
                </o:OLEObject>
              </w:object>
            </w:r>
          </w:p>
          <w:p>
            <w:pPr>
              <w:adjustRightInd w:val="0"/>
              <w:snapToGrid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式中：</w:t>
            </w:r>
            <w:r>
              <w:rPr>
                <w:rFonts w:hint="default" w:ascii="Times New Roman" w:hAnsi="Times New Roman" w:eastAsia="宋体" w:cs="Times New Roman"/>
                <w:color w:val="auto"/>
                <w:sz w:val="24"/>
                <w:szCs w:val="24"/>
                <w:lang w:val="en-US" w:eastAsia="zh-CN"/>
              </w:rPr>
              <w:t>L</w:t>
            </w:r>
            <w:r>
              <w:rPr>
                <w:rFonts w:hint="default" w:ascii="Times New Roman" w:hAnsi="Times New Roman" w:eastAsia="宋体" w:cs="Times New Roman"/>
                <w:color w:val="auto"/>
                <w:sz w:val="24"/>
                <w:szCs w:val="24"/>
                <w:vertAlign w:val="subscript"/>
                <w:lang w:val="en-US" w:eastAsia="zh-CN"/>
              </w:rPr>
              <w:t>eq</w:t>
            </w:r>
            <w:r>
              <w:rPr>
                <w:rFonts w:hint="default" w:ascii="Times New Roman" w:hAnsi="Times New Roman" w:eastAsia="宋体" w:cs="Times New Roman"/>
                <w:color w:val="auto"/>
                <w:sz w:val="24"/>
                <w:szCs w:val="24"/>
                <w:lang w:val="en-US" w:eastAsia="zh-CN"/>
              </w:rPr>
              <w:t xml:space="preserve"> ——预测点的噪声预测值，dB；</w:t>
            </w:r>
          </w:p>
          <w:p>
            <w:pPr>
              <w:adjustRightInd w:val="0"/>
              <w:snapToGrid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z w:val="24"/>
                <w:szCs w:val="24"/>
                <w:lang w:val="en-US" w:eastAsia="zh-CN"/>
              </w:rPr>
              <w:t>L</w:t>
            </w:r>
            <w:r>
              <w:rPr>
                <w:rFonts w:hint="default" w:ascii="Times New Roman" w:hAnsi="Times New Roman" w:eastAsia="宋体" w:cs="Times New Roman"/>
                <w:color w:val="auto"/>
                <w:sz w:val="24"/>
                <w:szCs w:val="24"/>
                <w:vertAlign w:val="subscript"/>
                <w:lang w:val="en-US" w:eastAsia="zh-CN"/>
              </w:rPr>
              <w:t>eqg</w:t>
            </w:r>
            <w:r>
              <w:rPr>
                <w:rFonts w:hint="default" w:ascii="Times New Roman" w:hAnsi="Times New Roman" w:eastAsia="宋体" w:cs="Times New Roman"/>
                <w:color w:val="auto"/>
                <w:sz w:val="24"/>
                <w:szCs w:val="24"/>
                <w:lang w:val="en-US" w:eastAsia="zh-CN"/>
              </w:rPr>
              <w:t xml:space="preserve">——建设项目声源在预测点产生的噪声贡献值，dB； </w:t>
            </w:r>
          </w:p>
          <w:p>
            <w:pPr>
              <w:adjustRightInd w:val="0"/>
              <w:snapToGrid w:val="0"/>
              <w:spacing w:line="360" w:lineRule="auto"/>
              <w:ind w:firstLine="1200" w:firstLineChars="5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L</w:t>
            </w:r>
            <w:r>
              <w:rPr>
                <w:rFonts w:hint="default" w:ascii="Times New Roman" w:hAnsi="Times New Roman" w:eastAsia="宋体" w:cs="Times New Roman"/>
                <w:color w:val="auto"/>
                <w:sz w:val="24"/>
                <w:szCs w:val="24"/>
                <w:vertAlign w:val="subscript"/>
                <w:lang w:val="en-US" w:eastAsia="zh-CN"/>
              </w:rPr>
              <w:t>eqb</w:t>
            </w:r>
            <w:r>
              <w:rPr>
                <w:rFonts w:hint="default" w:ascii="Times New Roman" w:hAnsi="Times New Roman" w:eastAsia="宋体" w:cs="Times New Roman"/>
                <w:color w:val="auto"/>
                <w:sz w:val="24"/>
                <w:szCs w:val="24"/>
                <w:lang w:val="en-US" w:eastAsia="zh-CN"/>
              </w:rPr>
              <w:t>——预测点的背景噪声值，dB。</w:t>
            </w:r>
          </w:p>
          <w:p>
            <w:pPr>
              <w:widowControl/>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lang w:bidi="ar"/>
              </w:rPr>
              <w:t>施工期噪声预测结果见下表。</w:t>
            </w:r>
          </w:p>
          <w:p>
            <w:pPr>
              <w:widowControl/>
              <w:adjustRightInd w:val="0"/>
              <w:snapToGrid w:val="0"/>
              <w:spacing w:line="360" w:lineRule="auto"/>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kern w:val="0"/>
                <w:szCs w:val="21"/>
                <w:lang w:bidi="ar"/>
              </w:rPr>
              <w:t>表4-3  施工期噪声预测结果表</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746"/>
              <w:gridCol w:w="746"/>
              <w:gridCol w:w="746"/>
              <w:gridCol w:w="746"/>
              <w:gridCol w:w="746"/>
              <w:gridCol w:w="746"/>
              <w:gridCol w:w="746"/>
              <w:gridCol w:w="751"/>
              <w:gridCol w:w="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restart"/>
                  <w:noWrap w:val="0"/>
                  <w:vAlign w:val="center"/>
                </w:tcPr>
                <w:p>
                  <w:pPr>
                    <w:widowControl/>
                    <w:adjustRightInd w:val="0"/>
                    <w:snapToGrid w:val="0"/>
                    <w:jc w:val="center"/>
                    <w:rPr>
                      <w:rFonts w:hint="default" w:ascii="Times New Roman" w:hAnsi="Times New Roman" w:eastAsia="宋体" w:cs="Times New Roman"/>
                      <w:b/>
                      <w:bCs/>
                      <w:color w:val="auto"/>
                      <w:kern w:val="0"/>
                      <w:szCs w:val="21"/>
                      <w:lang w:bidi="ar"/>
                    </w:rPr>
                  </w:pPr>
                  <w:r>
                    <w:rPr>
                      <w:rFonts w:hint="default" w:ascii="Times New Roman" w:hAnsi="Times New Roman" w:eastAsia="宋体" w:cs="Times New Roman"/>
                      <w:b/>
                      <w:bCs/>
                      <w:color w:val="auto"/>
                      <w:kern w:val="0"/>
                      <w:szCs w:val="21"/>
                      <w:lang w:bidi="ar"/>
                    </w:rPr>
                    <w:t>噪声源强值</w:t>
                  </w:r>
                </w:p>
              </w:tc>
              <w:tc>
                <w:tcPr>
                  <w:tcW w:w="5973" w:type="dxa"/>
                  <w:gridSpan w:val="8"/>
                  <w:noWrap w:val="0"/>
                  <w:vAlign w:val="center"/>
                </w:tcPr>
                <w:p>
                  <w:pPr>
                    <w:widowControl/>
                    <w:adjustRightInd w:val="0"/>
                    <w:snapToGrid w:val="0"/>
                    <w:jc w:val="center"/>
                    <w:rPr>
                      <w:rFonts w:hint="default" w:ascii="Times New Roman" w:hAnsi="Times New Roman" w:eastAsia="宋体" w:cs="Times New Roman"/>
                      <w:b/>
                      <w:bCs/>
                      <w:color w:val="auto"/>
                      <w:kern w:val="0"/>
                      <w:szCs w:val="21"/>
                      <w:lang w:bidi="ar"/>
                    </w:rPr>
                  </w:pPr>
                  <w:r>
                    <w:rPr>
                      <w:rFonts w:hint="default" w:ascii="Times New Roman" w:hAnsi="Times New Roman" w:eastAsia="宋体" w:cs="Times New Roman"/>
                      <w:b/>
                      <w:bCs/>
                      <w:color w:val="auto"/>
                      <w:kern w:val="0"/>
                      <w:szCs w:val="21"/>
                      <w:lang w:bidi="ar"/>
                    </w:rPr>
                    <w:t>预测距离</w:t>
                  </w:r>
                </w:p>
              </w:tc>
              <w:tc>
                <w:tcPr>
                  <w:tcW w:w="895" w:type="dxa"/>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b/>
                      <w:color w:val="auto"/>
                      <w:kern w:val="0"/>
                      <w:szCs w:val="21"/>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noWrap w:val="0"/>
                  <w:vAlign w:val="center"/>
                </w:tcPr>
                <w:p>
                  <w:pPr>
                    <w:widowControl/>
                    <w:adjustRightInd w:val="0"/>
                    <w:snapToGrid w:val="0"/>
                    <w:jc w:val="center"/>
                    <w:rPr>
                      <w:rFonts w:hint="default" w:ascii="Times New Roman" w:hAnsi="Times New Roman" w:eastAsia="宋体" w:cs="Times New Roman"/>
                      <w:b/>
                      <w:bCs/>
                      <w:color w:val="auto"/>
                      <w:kern w:val="0"/>
                      <w:szCs w:val="21"/>
                      <w:lang w:bidi="ar"/>
                    </w:rPr>
                  </w:pPr>
                </w:p>
              </w:tc>
              <w:tc>
                <w:tcPr>
                  <w:tcW w:w="746" w:type="dxa"/>
                  <w:noWrap w:val="0"/>
                  <w:vAlign w:val="center"/>
                </w:tcPr>
                <w:p>
                  <w:pPr>
                    <w:widowControl/>
                    <w:adjustRightInd w:val="0"/>
                    <w:snapToGrid w:val="0"/>
                    <w:jc w:val="center"/>
                    <w:rPr>
                      <w:rFonts w:hint="default" w:ascii="Times New Roman" w:hAnsi="Times New Roman" w:eastAsia="宋体" w:cs="Times New Roman"/>
                      <w:b/>
                      <w:bCs/>
                      <w:color w:val="auto"/>
                      <w:kern w:val="0"/>
                      <w:szCs w:val="21"/>
                      <w:lang w:bidi="ar"/>
                    </w:rPr>
                  </w:pPr>
                  <w:r>
                    <w:rPr>
                      <w:rFonts w:hint="default" w:ascii="Times New Roman" w:hAnsi="Times New Roman" w:eastAsia="宋体" w:cs="Times New Roman"/>
                      <w:b/>
                      <w:bCs/>
                      <w:color w:val="auto"/>
                      <w:kern w:val="0"/>
                      <w:szCs w:val="21"/>
                      <w:lang w:bidi="ar"/>
                    </w:rPr>
                    <w:t>1m</w:t>
                  </w:r>
                </w:p>
              </w:tc>
              <w:tc>
                <w:tcPr>
                  <w:tcW w:w="746" w:type="dxa"/>
                  <w:noWrap w:val="0"/>
                  <w:vAlign w:val="center"/>
                </w:tcPr>
                <w:p>
                  <w:pPr>
                    <w:widowControl/>
                    <w:adjustRightInd w:val="0"/>
                    <w:snapToGrid w:val="0"/>
                    <w:jc w:val="center"/>
                    <w:rPr>
                      <w:rFonts w:hint="default" w:ascii="Times New Roman" w:hAnsi="Times New Roman" w:eastAsia="宋体" w:cs="Times New Roman"/>
                      <w:b/>
                      <w:bCs/>
                      <w:color w:val="auto"/>
                      <w:kern w:val="0"/>
                      <w:szCs w:val="21"/>
                      <w:lang w:bidi="ar"/>
                    </w:rPr>
                  </w:pPr>
                  <w:r>
                    <w:rPr>
                      <w:rFonts w:hint="default" w:ascii="Times New Roman" w:hAnsi="Times New Roman" w:eastAsia="宋体" w:cs="Times New Roman"/>
                      <w:b/>
                      <w:bCs/>
                      <w:color w:val="auto"/>
                      <w:kern w:val="0"/>
                      <w:szCs w:val="21"/>
                      <w:lang w:bidi="ar"/>
                    </w:rPr>
                    <w:t>10m</w:t>
                  </w:r>
                </w:p>
              </w:tc>
              <w:tc>
                <w:tcPr>
                  <w:tcW w:w="746" w:type="dxa"/>
                  <w:noWrap w:val="0"/>
                  <w:vAlign w:val="center"/>
                </w:tcPr>
                <w:p>
                  <w:pPr>
                    <w:widowControl/>
                    <w:adjustRightInd w:val="0"/>
                    <w:snapToGrid w:val="0"/>
                    <w:jc w:val="center"/>
                    <w:rPr>
                      <w:rFonts w:hint="default" w:ascii="Times New Roman" w:hAnsi="Times New Roman" w:eastAsia="宋体" w:cs="Times New Roman"/>
                      <w:b/>
                      <w:bCs/>
                      <w:color w:val="auto"/>
                      <w:kern w:val="0"/>
                      <w:szCs w:val="21"/>
                      <w:lang w:bidi="ar"/>
                    </w:rPr>
                  </w:pPr>
                  <w:r>
                    <w:rPr>
                      <w:rFonts w:hint="default" w:ascii="Times New Roman" w:hAnsi="Times New Roman" w:eastAsia="宋体" w:cs="Times New Roman"/>
                      <w:b/>
                      <w:bCs/>
                      <w:color w:val="auto"/>
                      <w:kern w:val="0"/>
                      <w:szCs w:val="21"/>
                      <w:lang w:bidi="ar"/>
                    </w:rPr>
                    <w:t>20m</w:t>
                  </w:r>
                </w:p>
              </w:tc>
              <w:tc>
                <w:tcPr>
                  <w:tcW w:w="746" w:type="dxa"/>
                  <w:noWrap w:val="0"/>
                  <w:vAlign w:val="center"/>
                </w:tcPr>
                <w:p>
                  <w:pPr>
                    <w:widowControl/>
                    <w:adjustRightInd w:val="0"/>
                    <w:snapToGrid w:val="0"/>
                    <w:jc w:val="center"/>
                    <w:rPr>
                      <w:rFonts w:hint="default" w:ascii="Times New Roman" w:hAnsi="Times New Roman" w:eastAsia="宋体" w:cs="Times New Roman"/>
                      <w:b/>
                      <w:bCs/>
                      <w:color w:val="auto"/>
                      <w:kern w:val="0"/>
                      <w:szCs w:val="21"/>
                      <w:lang w:bidi="ar"/>
                    </w:rPr>
                  </w:pPr>
                  <w:r>
                    <w:rPr>
                      <w:rFonts w:hint="default" w:ascii="Times New Roman" w:hAnsi="Times New Roman" w:eastAsia="宋体" w:cs="Times New Roman"/>
                      <w:b/>
                      <w:bCs/>
                      <w:color w:val="auto"/>
                      <w:kern w:val="0"/>
                      <w:szCs w:val="21"/>
                      <w:lang w:bidi="ar"/>
                    </w:rPr>
                    <w:t>50m</w:t>
                  </w:r>
                </w:p>
              </w:tc>
              <w:tc>
                <w:tcPr>
                  <w:tcW w:w="746" w:type="dxa"/>
                  <w:noWrap w:val="0"/>
                  <w:vAlign w:val="center"/>
                </w:tcPr>
                <w:p>
                  <w:pPr>
                    <w:widowControl/>
                    <w:adjustRightInd w:val="0"/>
                    <w:snapToGrid w:val="0"/>
                    <w:jc w:val="center"/>
                    <w:rPr>
                      <w:rFonts w:hint="default" w:ascii="Times New Roman" w:hAnsi="Times New Roman" w:eastAsia="宋体" w:cs="Times New Roman"/>
                      <w:b/>
                      <w:bCs/>
                      <w:color w:val="auto"/>
                      <w:kern w:val="0"/>
                      <w:szCs w:val="21"/>
                      <w:lang w:bidi="ar"/>
                    </w:rPr>
                  </w:pPr>
                  <w:r>
                    <w:rPr>
                      <w:rFonts w:hint="default" w:ascii="Times New Roman" w:hAnsi="Times New Roman" w:eastAsia="宋体" w:cs="Times New Roman"/>
                      <w:b/>
                      <w:bCs/>
                      <w:color w:val="auto"/>
                      <w:kern w:val="0"/>
                      <w:szCs w:val="21"/>
                      <w:lang w:bidi="ar"/>
                    </w:rPr>
                    <w:t>70m</w:t>
                  </w:r>
                </w:p>
              </w:tc>
              <w:tc>
                <w:tcPr>
                  <w:tcW w:w="746" w:type="dxa"/>
                  <w:noWrap w:val="0"/>
                  <w:vAlign w:val="center"/>
                </w:tcPr>
                <w:p>
                  <w:pPr>
                    <w:widowControl/>
                    <w:adjustRightInd w:val="0"/>
                    <w:snapToGrid w:val="0"/>
                    <w:jc w:val="center"/>
                    <w:rPr>
                      <w:rFonts w:hint="default" w:ascii="Times New Roman" w:hAnsi="Times New Roman" w:eastAsia="宋体" w:cs="Times New Roman"/>
                      <w:b/>
                      <w:bCs/>
                      <w:color w:val="auto"/>
                      <w:kern w:val="0"/>
                      <w:szCs w:val="21"/>
                      <w:lang w:bidi="ar"/>
                    </w:rPr>
                  </w:pPr>
                  <w:r>
                    <w:rPr>
                      <w:rFonts w:hint="default" w:ascii="Times New Roman" w:hAnsi="Times New Roman" w:eastAsia="宋体" w:cs="Times New Roman"/>
                      <w:b/>
                      <w:bCs/>
                      <w:color w:val="auto"/>
                      <w:kern w:val="0"/>
                      <w:szCs w:val="21"/>
                      <w:lang w:bidi="ar"/>
                    </w:rPr>
                    <w:t>100m</w:t>
                  </w:r>
                </w:p>
              </w:tc>
              <w:tc>
                <w:tcPr>
                  <w:tcW w:w="746" w:type="dxa"/>
                  <w:noWrap w:val="0"/>
                  <w:vAlign w:val="center"/>
                </w:tcPr>
                <w:p>
                  <w:pPr>
                    <w:widowControl/>
                    <w:adjustRightInd w:val="0"/>
                    <w:snapToGrid w:val="0"/>
                    <w:jc w:val="center"/>
                    <w:rPr>
                      <w:rFonts w:hint="default" w:ascii="Times New Roman" w:hAnsi="Times New Roman" w:eastAsia="宋体" w:cs="Times New Roman"/>
                      <w:b/>
                      <w:bCs/>
                      <w:color w:val="auto"/>
                      <w:kern w:val="0"/>
                      <w:szCs w:val="21"/>
                      <w:lang w:bidi="ar"/>
                    </w:rPr>
                  </w:pPr>
                  <w:r>
                    <w:rPr>
                      <w:rFonts w:hint="default" w:ascii="Times New Roman" w:hAnsi="Times New Roman" w:eastAsia="宋体" w:cs="Times New Roman"/>
                      <w:b/>
                      <w:bCs/>
                      <w:color w:val="auto"/>
                      <w:kern w:val="0"/>
                      <w:szCs w:val="21"/>
                      <w:lang w:bidi="ar"/>
                    </w:rPr>
                    <w:t>150m</w:t>
                  </w:r>
                </w:p>
              </w:tc>
              <w:tc>
                <w:tcPr>
                  <w:tcW w:w="751" w:type="dxa"/>
                  <w:noWrap w:val="0"/>
                  <w:vAlign w:val="center"/>
                </w:tcPr>
                <w:p>
                  <w:pPr>
                    <w:widowControl/>
                    <w:adjustRightInd w:val="0"/>
                    <w:snapToGrid w:val="0"/>
                    <w:jc w:val="center"/>
                    <w:rPr>
                      <w:rFonts w:hint="default" w:ascii="Times New Roman" w:hAnsi="Times New Roman" w:eastAsia="宋体" w:cs="Times New Roman"/>
                      <w:b/>
                      <w:bCs/>
                      <w:color w:val="auto"/>
                      <w:kern w:val="0"/>
                      <w:szCs w:val="21"/>
                      <w:lang w:bidi="ar"/>
                    </w:rPr>
                  </w:pPr>
                  <w:r>
                    <w:rPr>
                      <w:rFonts w:hint="default" w:ascii="Times New Roman" w:hAnsi="Times New Roman" w:eastAsia="宋体" w:cs="Times New Roman"/>
                      <w:b/>
                      <w:bCs/>
                      <w:color w:val="auto"/>
                      <w:kern w:val="0"/>
                      <w:szCs w:val="21"/>
                      <w:lang w:bidi="ar"/>
                    </w:rPr>
                    <w:t>200m</w:t>
                  </w:r>
                </w:p>
              </w:tc>
              <w:tc>
                <w:tcPr>
                  <w:tcW w:w="895" w:type="dxa"/>
                  <w:vMerge w:val="restart"/>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以施工期最强噪声值预测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装载机</w:t>
                  </w:r>
                </w:p>
              </w:tc>
              <w:tc>
                <w:tcPr>
                  <w:tcW w:w="746" w:type="dxa"/>
                  <w:vMerge w:val="restart"/>
                  <w:noWrap w:val="0"/>
                  <w:vAlign w:val="center"/>
                </w:tcPr>
                <w:p>
                  <w:pPr>
                    <w:adjustRightInd w:val="0"/>
                    <w:snapToGrid w:val="0"/>
                    <w:spacing w:line="240" w:lineRule="auto"/>
                    <w:jc w:val="center"/>
                    <w:rPr>
                      <w:rFonts w:hint="default" w:ascii="Times New Roman" w:hAnsi="Times New Roman" w:eastAsia="宋体" w:cs="Times New Roman"/>
                      <w:color w:val="auto"/>
                      <w:kern w:val="0"/>
                      <w:szCs w:val="21"/>
                      <w:lang w:eastAsia="zh-CN" w:bidi="ar"/>
                    </w:rPr>
                  </w:pPr>
                  <w:r>
                    <w:rPr>
                      <w:rFonts w:hint="eastAsia"/>
                      <w:color w:val="auto"/>
                      <w:lang w:val="en-US" w:eastAsia="zh-CN"/>
                    </w:rPr>
                    <w:t>94.62</w:t>
                  </w:r>
                </w:p>
              </w:tc>
              <w:tc>
                <w:tcPr>
                  <w:tcW w:w="746" w:type="dxa"/>
                  <w:vMerge w:val="restart"/>
                  <w:noWrap w:val="0"/>
                  <w:vAlign w:val="center"/>
                </w:tcPr>
                <w:p>
                  <w:pPr>
                    <w:widowControl/>
                    <w:adjustRightInd w:val="0"/>
                    <w:snapToGrid w:val="0"/>
                    <w:spacing w:line="240" w:lineRule="auto"/>
                    <w:jc w:val="center"/>
                    <w:rPr>
                      <w:rFonts w:hint="default" w:ascii="Times New Roman" w:hAnsi="Times New Roman" w:eastAsia="宋体" w:cs="Times New Roman"/>
                      <w:color w:val="auto"/>
                      <w:kern w:val="0"/>
                      <w:szCs w:val="21"/>
                      <w:lang w:eastAsia="zh-CN" w:bidi="ar"/>
                    </w:rPr>
                  </w:pPr>
                  <w:r>
                    <w:rPr>
                      <w:rFonts w:hint="eastAsia"/>
                      <w:color w:val="auto"/>
                      <w:lang w:val="en-US" w:eastAsia="zh-CN"/>
                    </w:rPr>
                    <w:t>74.62</w:t>
                  </w:r>
                </w:p>
              </w:tc>
              <w:tc>
                <w:tcPr>
                  <w:tcW w:w="746" w:type="dxa"/>
                  <w:vMerge w:val="restart"/>
                  <w:noWrap w:val="0"/>
                  <w:vAlign w:val="center"/>
                </w:tcPr>
                <w:p>
                  <w:pPr>
                    <w:widowControl/>
                    <w:adjustRightInd w:val="0"/>
                    <w:snapToGrid w:val="0"/>
                    <w:spacing w:line="240" w:lineRule="auto"/>
                    <w:jc w:val="center"/>
                    <w:rPr>
                      <w:rFonts w:hint="default" w:ascii="Times New Roman" w:hAnsi="Times New Roman" w:eastAsia="宋体" w:cs="Times New Roman"/>
                      <w:color w:val="auto"/>
                      <w:kern w:val="0"/>
                      <w:szCs w:val="21"/>
                      <w:lang w:bidi="ar"/>
                    </w:rPr>
                  </w:pPr>
                  <w:r>
                    <w:rPr>
                      <w:rFonts w:hint="eastAsia"/>
                      <w:color w:val="auto"/>
                      <w:lang w:val="en-US" w:eastAsia="zh-CN"/>
                    </w:rPr>
                    <w:t>68.60</w:t>
                  </w:r>
                </w:p>
              </w:tc>
              <w:tc>
                <w:tcPr>
                  <w:tcW w:w="746" w:type="dxa"/>
                  <w:vMerge w:val="restart"/>
                  <w:noWrap w:val="0"/>
                  <w:vAlign w:val="center"/>
                </w:tcPr>
                <w:p>
                  <w:pPr>
                    <w:widowControl/>
                    <w:adjustRightInd w:val="0"/>
                    <w:snapToGrid w:val="0"/>
                    <w:spacing w:line="240" w:lineRule="auto"/>
                    <w:jc w:val="center"/>
                    <w:rPr>
                      <w:rFonts w:hint="default" w:ascii="Times New Roman" w:hAnsi="Times New Roman" w:eastAsia="宋体" w:cs="Times New Roman"/>
                      <w:color w:val="auto"/>
                      <w:kern w:val="0"/>
                      <w:szCs w:val="21"/>
                      <w:lang w:bidi="ar"/>
                    </w:rPr>
                  </w:pPr>
                  <w:r>
                    <w:rPr>
                      <w:rFonts w:hint="eastAsia"/>
                      <w:color w:val="auto"/>
                      <w:lang w:val="en-US" w:eastAsia="zh-CN"/>
                    </w:rPr>
                    <w:t>60.15</w:t>
                  </w:r>
                </w:p>
              </w:tc>
              <w:tc>
                <w:tcPr>
                  <w:tcW w:w="746" w:type="dxa"/>
                  <w:vMerge w:val="restart"/>
                  <w:noWrap w:val="0"/>
                  <w:vAlign w:val="center"/>
                </w:tcPr>
                <w:p>
                  <w:pPr>
                    <w:widowControl/>
                    <w:adjustRightInd w:val="0"/>
                    <w:snapToGrid w:val="0"/>
                    <w:spacing w:line="240" w:lineRule="auto"/>
                    <w:jc w:val="center"/>
                    <w:rPr>
                      <w:rFonts w:hint="default" w:ascii="Times New Roman" w:hAnsi="Times New Roman" w:eastAsia="宋体" w:cs="Times New Roman"/>
                      <w:color w:val="auto"/>
                      <w:kern w:val="0"/>
                      <w:szCs w:val="21"/>
                      <w:lang w:bidi="ar"/>
                    </w:rPr>
                  </w:pPr>
                  <w:r>
                    <w:rPr>
                      <w:rFonts w:hint="eastAsia"/>
                      <w:color w:val="auto"/>
                      <w:lang w:val="en-US" w:eastAsia="zh-CN"/>
                    </w:rPr>
                    <w:t>57.72</w:t>
                  </w:r>
                </w:p>
              </w:tc>
              <w:tc>
                <w:tcPr>
                  <w:tcW w:w="746" w:type="dxa"/>
                  <w:vMerge w:val="restart"/>
                  <w:noWrap w:val="0"/>
                  <w:vAlign w:val="center"/>
                </w:tcPr>
                <w:p>
                  <w:pPr>
                    <w:widowControl/>
                    <w:adjustRightInd w:val="0"/>
                    <w:snapToGrid w:val="0"/>
                    <w:spacing w:line="240" w:lineRule="auto"/>
                    <w:jc w:val="center"/>
                    <w:rPr>
                      <w:rFonts w:hint="default" w:ascii="Times New Roman" w:hAnsi="Times New Roman" w:eastAsia="宋体" w:cs="Times New Roman"/>
                      <w:color w:val="auto"/>
                      <w:kern w:val="0"/>
                      <w:szCs w:val="21"/>
                      <w:lang w:eastAsia="zh-CN" w:bidi="ar"/>
                    </w:rPr>
                  </w:pPr>
                  <w:r>
                    <w:rPr>
                      <w:rFonts w:hint="eastAsia"/>
                      <w:color w:val="auto"/>
                      <w:lang w:val="en-US" w:eastAsia="zh-CN"/>
                    </w:rPr>
                    <w:t>54.62</w:t>
                  </w:r>
                </w:p>
              </w:tc>
              <w:tc>
                <w:tcPr>
                  <w:tcW w:w="746" w:type="dxa"/>
                  <w:vMerge w:val="restart"/>
                  <w:noWrap w:val="0"/>
                  <w:vAlign w:val="center"/>
                </w:tcPr>
                <w:p>
                  <w:pPr>
                    <w:widowControl/>
                    <w:adjustRightInd w:val="0"/>
                    <w:snapToGrid w:val="0"/>
                    <w:spacing w:line="240" w:lineRule="auto"/>
                    <w:jc w:val="center"/>
                    <w:rPr>
                      <w:rFonts w:hint="default" w:ascii="Times New Roman" w:hAnsi="Times New Roman" w:eastAsia="宋体" w:cs="Times New Roman"/>
                      <w:color w:val="auto"/>
                      <w:kern w:val="0"/>
                      <w:szCs w:val="21"/>
                      <w:lang w:bidi="ar"/>
                    </w:rPr>
                  </w:pPr>
                  <w:r>
                    <w:rPr>
                      <w:rFonts w:hint="eastAsia" w:eastAsia="宋体"/>
                      <w:color w:val="auto"/>
                      <w:lang w:val="en-US" w:eastAsia="zh-CN"/>
                    </w:rPr>
                    <w:t>51.10</w:t>
                  </w:r>
                </w:p>
              </w:tc>
              <w:tc>
                <w:tcPr>
                  <w:tcW w:w="751" w:type="dxa"/>
                  <w:vMerge w:val="restart"/>
                  <w:noWrap w:val="0"/>
                  <w:vAlign w:val="center"/>
                </w:tcPr>
                <w:p>
                  <w:pPr>
                    <w:widowControl/>
                    <w:adjustRightInd w:val="0"/>
                    <w:snapToGrid w:val="0"/>
                    <w:spacing w:line="240" w:lineRule="auto"/>
                    <w:jc w:val="center"/>
                    <w:rPr>
                      <w:rFonts w:hint="default" w:ascii="Times New Roman" w:hAnsi="Times New Roman" w:eastAsia="宋体" w:cs="Times New Roman"/>
                      <w:color w:val="auto"/>
                      <w:kern w:val="0"/>
                      <w:szCs w:val="21"/>
                      <w:lang w:bidi="ar"/>
                    </w:rPr>
                  </w:pPr>
                  <w:r>
                    <w:rPr>
                      <w:rFonts w:hint="eastAsia"/>
                      <w:color w:val="auto"/>
                      <w:lang w:val="en-US" w:eastAsia="zh-CN"/>
                    </w:rPr>
                    <w:t>48.60</w:t>
                  </w:r>
                </w:p>
              </w:tc>
              <w:tc>
                <w:tcPr>
                  <w:tcW w:w="895"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highlight w:val="none"/>
                    </w:rPr>
                    <w:t>液压反铲</w:t>
                  </w:r>
                  <w:r>
                    <w:rPr>
                      <w:rFonts w:hint="default" w:ascii="Times New Roman" w:hAnsi="Times New Roman" w:eastAsia="宋体" w:cs="Times New Roman"/>
                      <w:color w:val="auto"/>
                      <w:sz w:val="21"/>
                      <w:szCs w:val="21"/>
                      <w:highlight w:val="none"/>
                      <w:lang w:val="en-US" w:eastAsia="zh-CN"/>
                    </w:rPr>
                    <w:t>挖掘机</w:t>
                  </w:r>
                </w:p>
              </w:tc>
              <w:tc>
                <w:tcPr>
                  <w:tcW w:w="746" w:type="dxa"/>
                  <w:vMerge w:val="continue"/>
                  <w:noWrap w:val="0"/>
                  <w:vAlign w:val="center"/>
                </w:tcPr>
                <w:p>
                  <w:pPr>
                    <w:adjustRightInd w:val="0"/>
                    <w:snapToGrid w:val="0"/>
                    <w:jc w:val="center"/>
                    <w:rPr>
                      <w:rFonts w:hint="default" w:ascii="Times New Roman" w:hAnsi="Times New Roman" w:eastAsia="宋体" w:cs="Times New Roman"/>
                      <w:color w:val="auto"/>
                      <w:kern w:val="0"/>
                      <w:szCs w:val="21"/>
                      <w:lang w:bidi="ar"/>
                    </w:rPr>
                  </w:pPr>
                </w:p>
              </w:tc>
              <w:tc>
                <w:tcPr>
                  <w:tcW w:w="746"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c>
                <w:tcPr>
                  <w:tcW w:w="746"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c>
                <w:tcPr>
                  <w:tcW w:w="746"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c>
                <w:tcPr>
                  <w:tcW w:w="746"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c>
                <w:tcPr>
                  <w:tcW w:w="746"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c>
                <w:tcPr>
                  <w:tcW w:w="746"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c>
                <w:tcPr>
                  <w:tcW w:w="751"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c>
                <w:tcPr>
                  <w:tcW w:w="895"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推土机</w:t>
                  </w:r>
                </w:p>
              </w:tc>
              <w:tc>
                <w:tcPr>
                  <w:tcW w:w="746" w:type="dxa"/>
                  <w:vMerge w:val="continue"/>
                  <w:noWrap w:val="0"/>
                  <w:vAlign w:val="center"/>
                </w:tcPr>
                <w:p>
                  <w:pPr>
                    <w:adjustRightInd w:val="0"/>
                    <w:snapToGrid w:val="0"/>
                    <w:jc w:val="center"/>
                    <w:rPr>
                      <w:rFonts w:hint="default" w:ascii="Times New Roman" w:hAnsi="Times New Roman" w:eastAsia="宋体" w:cs="Times New Roman"/>
                      <w:color w:val="auto"/>
                      <w:kern w:val="0"/>
                      <w:szCs w:val="21"/>
                      <w:lang w:bidi="ar"/>
                    </w:rPr>
                  </w:pPr>
                </w:p>
              </w:tc>
              <w:tc>
                <w:tcPr>
                  <w:tcW w:w="746"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c>
                <w:tcPr>
                  <w:tcW w:w="746"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c>
                <w:tcPr>
                  <w:tcW w:w="746"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c>
                <w:tcPr>
                  <w:tcW w:w="746"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c>
                <w:tcPr>
                  <w:tcW w:w="746"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c>
                <w:tcPr>
                  <w:tcW w:w="746"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c>
                <w:tcPr>
                  <w:tcW w:w="751"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c>
                <w:tcPr>
                  <w:tcW w:w="895"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1526" w:type="dxa"/>
                  <w:noWrap w:val="0"/>
                  <w:vAlign w:val="top"/>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振动碾</w:t>
                  </w:r>
                </w:p>
              </w:tc>
              <w:tc>
                <w:tcPr>
                  <w:tcW w:w="746" w:type="dxa"/>
                  <w:vMerge w:val="continue"/>
                  <w:noWrap w:val="0"/>
                  <w:vAlign w:val="center"/>
                </w:tcPr>
                <w:p>
                  <w:pPr>
                    <w:adjustRightInd w:val="0"/>
                    <w:snapToGrid w:val="0"/>
                    <w:jc w:val="center"/>
                    <w:rPr>
                      <w:rFonts w:hint="default" w:ascii="Times New Roman" w:hAnsi="Times New Roman" w:eastAsia="宋体" w:cs="Times New Roman"/>
                      <w:color w:val="auto"/>
                      <w:kern w:val="0"/>
                      <w:szCs w:val="21"/>
                      <w:lang w:bidi="ar"/>
                    </w:rPr>
                  </w:pPr>
                </w:p>
              </w:tc>
              <w:tc>
                <w:tcPr>
                  <w:tcW w:w="746"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c>
                <w:tcPr>
                  <w:tcW w:w="746"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c>
                <w:tcPr>
                  <w:tcW w:w="746"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c>
                <w:tcPr>
                  <w:tcW w:w="746"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c>
                <w:tcPr>
                  <w:tcW w:w="746"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c>
                <w:tcPr>
                  <w:tcW w:w="746"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c>
                <w:tcPr>
                  <w:tcW w:w="751"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c>
                <w:tcPr>
                  <w:tcW w:w="895"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混凝土</w:t>
                  </w:r>
                  <w:r>
                    <w:rPr>
                      <w:rFonts w:hint="eastAsia" w:cs="Times New Roman"/>
                      <w:color w:val="auto"/>
                      <w:szCs w:val="21"/>
                      <w:lang w:eastAsia="zh-CN"/>
                    </w:rPr>
                    <w:t>拌合</w:t>
                  </w:r>
                  <w:r>
                    <w:rPr>
                      <w:rFonts w:hint="default" w:ascii="Times New Roman" w:hAnsi="Times New Roman" w:eastAsia="宋体" w:cs="Times New Roman"/>
                      <w:color w:val="auto"/>
                      <w:szCs w:val="21"/>
                    </w:rPr>
                    <w:t>机</w:t>
                  </w:r>
                </w:p>
              </w:tc>
              <w:tc>
                <w:tcPr>
                  <w:tcW w:w="746" w:type="dxa"/>
                  <w:vMerge w:val="continue"/>
                  <w:noWrap w:val="0"/>
                  <w:vAlign w:val="center"/>
                </w:tcPr>
                <w:p>
                  <w:pPr>
                    <w:adjustRightInd w:val="0"/>
                    <w:snapToGrid w:val="0"/>
                    <w:jc w:val="center"/>
                    <w:rPr>
                      <w:rFonts w:hint="default" w:ascii="Times New Roman" w:hAnsi="Times New Roman" w:eastAsia="宋体" w:cs="Times New Roman"/>
                      <w:color w:val="auto"/>
                      <w:kern w:val="0"/>
                      <w:szCs w:val="21"/>
                      <w:lang w:bidi="ar"/>
                    </w:rPr>
                  </w:pPr>
                </w:p>
              </w:tc>
              <w:tc>
                <w:tcPr>
                  <w:tcW w:w="746"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c>
                <w:tcPr>
                  <w:tcW w:w="746"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c>
                <w:tcPr>
                  <w:tcW w:w="746"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c>
                <w:tcPr>
                  <w:tcW w:w="746"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c>
                <w:tcPr>
                  <w:tcW w:w="746"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c>
                <w:tcPr>
                  <w:tcW w:w="746"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c>
                <w:tcPr>
                  <w:tcW w:w="751"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c>
                <w:tcPr>
                  <w:tcW w:w="895"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top"/>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插入式振捣器</w:t>
                  </w:r>
                </w:p>
              </w:tc>
              <w:tc>
                <w:tcPr>
                  <w:tcW w:w="746" w:type="dxa"/>
                  <w:vMerge w:val="continue"/>
                  <w:noWrap w:val="0"/>
                  <w:vAlign w:val="center"/>
                </w:tcPr>
                <w:p>
                  <w:pPr>
                    <w:adjustRightInd w:val="0"/>
                    <w:snapToGrid w:val="0"/>
                    <w:jc w:val="center"/>
                    <w:rPr>
                      <w:rFonts w:hint="default" w:ascii="Times New Roman" w:hAnsi="Times New Roman" w:eastAsia="宋体" w:cs="Times New Roman"/>
                      <w:color w:val="auto"/>
                      <w:kern w:val="0"/>
                      <w:szCs w:val="21"/>
                      <w:lang w:bidi="ar"/>
                    </w:rPr>
                  </w:pPr>
                </w:p>
              </w:tc>
              <w:tc>
                <w:tcPr>
                  <w:tcW w:w="746"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c>
                <w:tcPr>
                  <w:tcW w:w="746"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c>
                <w:tcPr>
                  <w:tcW w:w="746"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c>
                <w:tcPr>
                  <w:tcW w:w="746"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c>
                <w:tcPr>
                  <w:tcW w:w="746"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c>
                <w:tcPr>
                  <w:tcW w:w="746"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c>
                <w:tcPr>
                  <w:tcW w:w="751"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c>
                <w:tcPr>
                  <w:tcW w:w="895"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top"/>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自卸汽车</w:t>
                  </w:r>
                </w:p>
              </w:tc>
              <w:tc>
                <w:tcPr>
                  <w:tcW w:w="746" w:type="dxa"/>
                  <w:vMerge w:val="continue"/>
                  <w:noWrap w:val="0"/>
                  <w:vAlign w:val="center"/>
                </w:tcPr>
                <w:p>
                  <w:pPr>
                    <w:adjustRightInd w:val="0"/>
                    <w:snapToGrid w:val="0"/>
                    <w:jc w:val="center"/>
                    <w:rPr>
                      <w:rFonts w:hint="default" w:ascii="Times New Roman" w:hAnsi="Times New Roman" w:eastAsia="宋体" w:cs="Times New Roman"/>
                      <w:color w:val="auto"/>
                      <w:kern w:val="0"/>
                      <w:szCs w:val="21"/>
                      <w:lang w:bidi="ar"/>
                    </w:rPr>
                  </w:pPr>
                </w:p>
              </w:tc>
              <w:tc>
                <w:tcPr>
                  <w:tcW w:w="746"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c>
                <w:tcPr>
                  <w:tcW w:w="746"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c>
                <w:tcPr>
                  <w:tcW w:w="746"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c>
                <w:tcPr>
                  <w:tcW w:w="746"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c>
                <w:tcPr>
                  <w:tcW w:w="746"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c>
                <w:tcPr>
                  <w:tcW w:w="746"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c>
                <w:tcPr>
                  <w:tcW w:w="751"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c>
                <w:tcPr>
                  <w:tcW w:w="895"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top"/>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载重汽车</w:t>
                  </w:r>
                </w:p>
              </w:tc>
              <w:tc>
                <w:tcPr>
                  <w:tcW w:w="746" w:type="dxa"/>
                  <w:vMerge w:val="continue"/>
                  <w:noWrap w:val="0"/>
                  <w:vAlign w:val="center"/>
                </w:tcPr>
                <w:p>
                  <w:pPr>
                    <w:adjustRightInd w:val="0"/>
                    <w:snapToGrid w:val="0"/>
                    <w:jc w:val="center"/>
                    <w:rPr>
                      <w:rFonts w:hint="default" w:ascii="Times New Roman" w:hAnsi="Times New Roman" w:eastAsia="宋体" w:cs="Times New Roman"/>
                      <w:color w:val="auto"/>
                      <w:kern w:val="0"/>
                      <w:szCs w:val="21"/>
                      <w:lang w:bidi="ar"/>
                    </w:rPr>
                  </w:pPr>
                </w:p>
              </w:tc>
              <w:tc>
                <w:tcPr>
                  <w:tcW w:w="746"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c>
                <w:tcPr>
                  <w:tcW w:w="746"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c>
                <w:tcPr>
                  <w:tcW w:w="746"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c>
                <w:tcPr>
                  <w:tcW w:w="746"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c>
                <w:tcPr>
                  <w:tcW w:w="746"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c>
                <w:tcPr>
                  <w:tcW w:w="746"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c>
                <w:tcPr>
                  <w:tcW w:w="751"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c>
                <w:tcPr>
                  <w:tcW w:w="895"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top"/>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空压机</w:t>
                  </w:r>
                </w:p>
              </w:tc>
              <w:tc>
                <w:tcPr>
                  <w:tcW w:w="746" w:type="dxa"/>
                  <w:vMerge w:val="continue"/>
                  <w:noWrap w:val="0"/>
                  <w:vAlign w:val="center"/>
                </w:tcPr>
                <w:p>
                  <w:pPr>
                    <w:adjustRightInd w:val="0"/>
                    <w:snapToGrid w:val="0"/>
                    <w:jc w:val="center"/>
                    <w:rPr>
                      <w:rFonts w:hint="default" w:ascii="Times New Roman" w:hAnsi="Times New Roman" w:eastAsia="宋体" w:cs="Times New Roman"/>
                      <w:color w:val="auto"/>
                      <w:kern w:val="0"/>
                      <w:szCs w:val="21"/>
                      <w:lang w:bidi="ar"/>
                    </w:rPr>
                  </w:pPr>
                </w:p>
              </w:tc>
              <w:tc>
                <w:tcPr>
                  <w:tcW w:w="746"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c>
                <w:tcPr>
                  <w:tcW w:w="746"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c>
                <w:tcPr>
                  <w:tcW w:w="746"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c>
                <w:tcPr>
                  <w:tcW w:w="746"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c>
                <w:tcPr>
                  <w:tcW w:w="746"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c>
                <w:tcPr>
                  <w:tcW w:w="746"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c>
                <w:tcPr>
                  <w:tcW w:w="751"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c>
                <w:tcPr>
                  <w:tcW w:w="895"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top"/>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水泵</w:t>
                  </w:r>
                </w:p>
              </w:tc>
              <w:tc>
                <w:tcPr>
                  <w:tcW w:w="746" w:type="dxa"/>
                  <w:vMerge w:val="continue"/>
                  <w:noWrap w:val="0"/>
                  <w:vAlign w:val="center"/>
                </w:tcPr>
                <w:p>
                  <w:pPr>
                    <w:adjustRightInd w:val="0"/>
                    <w:snapToGrid w:val="0"/>
                    <w:jc w:val="center"/>
                    <w:rPr>
                      <w:rFonts w:hint="default" w:ascii="Times New Roman" w:hAnsi="Times New Roman" w:eastAsia="宋体" w:cs="Times New Roman"/>
                      <w:color w:val="auto"/>
                      <w:kern w:val="0"/>
                      <w:szCs w:val="21"/>
                      <w:lang w:bidi="ar"/>
                    </w:rPr>
                  </w:pPr>
                </w:p>
              </w:tc>
              <w:tc>
                <w:tcPr>
                  <w:tcW w:w="746"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c>
                <w:tcPr>
                  <w:tcW w:w="746"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c>
                <w:tcPr>
                  <w:tcW w:w="746"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c>
                <w:tcPr>
                  <w:tcW w:w="746"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c>
                <w:tcPr>
                  <w:tcW w:w="746"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c>
                <w:tcPr>
                  <w:tcW w:w="746"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c>
                <w:tcPr>
                  <w:tcW w:w="751"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c>
                <w:tcPr>
                  <w:tcW w:w="895" w:type="dxa"/>
                  <w:vMerge w:val="continue"/>
                  <w:noWrap w:val="0"/>
                  <w:vAlign w:val="center"/>
                </w:tcPr>
                <w:p>
                  <w:pPr>
                    <w:widowControl/>
                    <w:adjustRightInd w:val="0"/>
                    <w:snapToGrid w:val="0"/>
                    <w:jc w:val="center"/>
                    <w:rPr>
                      <w:rFonts w:hint="default" w:ascii="Times New Roman" w:hAnsi="Times New Roman" w:eastAsia="宋体" w:cs="Times New Roman"/>
                      <w:color w:val="auto"/>
                      <w:kern w:val="0"/>
                      <w:szCs w:val="21"/>
                      <w:lang w:bidi="ar"/>
                    </w:rPr>
                  </w:pPr>
                </w:p>
              </w:tc>
            </w:tr>
          </w:tbl>
          <w:p>
            <w:pPr>
              <w:widowControl/>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lang w:bidi="ar"/>
              </w:rPr>
              <w:t xml:space="preserve">（3）预测评价结果分析 </w:t>
            </w:r>
          </w:p>
          <w:p>
            <w:pPr>
              <w:widowControl/>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lang w:bidi="ar"/>
              </w:rPr>
              <w:t>由上表中的计算结果可知，施工期间产生的施工噪声昼间将对70m范围内，夜间将对2</w:t>
            </w:r>
            <w:r>
              <w:rPr>
                <w:rFonts w:hint="eastAsia" w:cs="Times New Roman"/>
                <w:color w:val="auto"/>
                <w:kern w:val="0"/>
                <w:sz w:val="24"/>
                <w:lang w:val="en-US" w:eastAsia="zh-CN" w:bidi="ar"/>
              </w:rPr>
              <w:t>0</w:t>
            </w:r>
            <w:r>
              <w:rPr>
                <w:rFonts w:hint="default" w:ascii="Times New Roman" w:hAnsi="Times New Roman" w:eastAsia="宋体" w:cs="Times New Roman"/>
                <w:color w:val="auto"/>
                <w:kern w:val="0"/>
                <w:sz w:val="24"/>
                <w:lang w:bidi="ar"/>
              </w:rPr>
              <w:t>0m范围内造成噪声污染。</w:t>
            </w:r>
            <w:r>
              <w:rPr>
                <w:rFonts w:hint="default" w:ascii="Times New Roman" w:hAnsi="Times New Roman" w:eastAsia="宋体" w:cs="Times New Roman"/>
                <w:b/>
                <w:bCs/>
                <w:color w:val="auto"/>
                <w:kern w:val="0"/>
                <w:sz w:val="24"/>
                <w:lang w:bidi="ar"/>
              </w:rPr>
              <w:t>本项目夜间不施工。</w:t>
            </w:r>
          </w:p>
          <w:p>
            <w:pPr>
              <w:widowControl/>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bCs/>
                <w:color w:val="auto"/>
                <w:kern w:val="0"/>
                <w:sz w:val="24"/>
                <w:lang w:bidi="ar"/>
              </w:rPr>
              <w:t>本项目施工期影响是有限的、暂时的，会随着施工期的结束而消失，对周围环境影响较小</w:t>
            </w:r>
            <w:r>
              <w:rPr>
                <w:rFonts w:hint="default" w:ascii="Times New Roman" w:hAnsi="Times New Roman" w:eastAsia="宋体" w:cs="Times New Roman"/>
                <w:color w:val="auto"/>
                <w:kern w:val="0"/>
                <w:sz w:val="24"/>
                <w:lang w:bidi="ar"/>
              </w:rPr>
              <w:t>。</w:t>
            </w:r>
          </w:p>
          <w:p>
            <w:pPr>
              <w:widowControl/>
              <w:adjustRightInd w:val="0"/>
              <w:snapToGrid w:val="0"/>
              <w:spacing w:line="360" w:lineRule="auto"/>
              <w:ind w:firstLine="482" w:firstLineChars="200"/>
              <w:jc w:val="left"/>
              <w:rPr>
                <w:rFonts w:hint="default" w:ascii="Times New Roman" w:hAnsi="Times New Roman" w:eastAsia="宋体" w:cs="Times New Roman"/>
                <w:b/>
                <w:bCs w:val="0"/>
                <w:color w:val="auto"/>
                <w:sz w:val="24"/>
              </w:rPr>
            </w:pPr>
            <w:r>
              <w:rPr>
                <w:rFonts w:hint="eastAsia" w:cs="Times New Roman"/>
                <w:b/>
                <w:bCs w:val="0"/>
                <w:color w:val="auto"/>
                <w:kern w:val="0"/>
                <w:sz w:val="24"/>
                <w:lang w:val="en-US" w:eastAsia="zh-CN" w:bidi="ar"/>
              </w:rPr>
              <w:t>6</w:t>
            </w:r>
            <w:r>
              <w:rPr>
                <w:rFonts w:hint="default" w:ascii="Times New Roman" w:hAnsi="Times New Roman" w:eastAsia="宋体" w:cs="Times New Roman"/>
                <w:b/>
                <w:bCs w:val="0"/>
                <w:color w:val="auto"/>
                <w:kern w:val="0"/>
                <w:sz w:val="24"/>
                <w:lang w:val="en-US" w:eastAsia="zh-CN" w:bidi="ar"/>
              </w:rPr>
              <w:t>、</w:t>
            </w:r>
            <w:r>
              <w:rPr>
                <w:rFonts w:hint="default" w:ascii="Times New Roman" w:hAnsi="Times New Roman" w:eastAsia="宋体" w:cs="Times New Roman"/>
                <w:b/>
                <w:bCs w:val="0"/>
                <w:color w:val="auto"/>
                <w:kern w:val="0"/>
                <w:sz w:val="24"/>
                <w:lang w:bidi="ar"/>
              </w:rPr>
              <w:t>施工期固体废物影响分析</w:t>
            </w:r>
          </w:p>
          <w:p>
            <w:pPr>
              <w:widowControl/>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lang w:bidi="ar"/>
              </w:rPr>
              <w:t>施工期固废主要来源于土石方开挖弃土、施工工程产生的建筑废料、装修过程中产生的装修垃圾以及综合施工场人员产生的生活垃圾。</w:t>
            </w:r>
          </w:p>
          <w:p>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lang w:bidi="ar"/>
              </w:rPr>
            </w:pPr>
            <w:r>
              <w:rPr>
                <w:rFonts w:hint="default" w:ascii="Times New Roman" w:hAnsi="Times New Roman" w:eastAsia="宋体" w:cs="Times New Roman"/>
                <w:color w:val="auto"/>
                <w:kern w:val="0"/>
                <w:sz w:val="24"/>
                <w:lang w:bidi="ar"/>
              </w:rPr>
              <w:t>（1）</w:t>
            </w:r>
            <w:r>
              <w:rPr>
                <w:rFonts w:hint="default" w:ascii="Times New Roman" w:hAnsi="Times New Roman" w:eastAsia="宋体" w:cs="Times New Roman"/>
                <w:color w:val="auto"/>
                <w:kern w:val="0"/>
                <w:sz w:val="24"/>
                <w:lang w:val="en-US" w:eastAsia="zh-CN" w:bidi="ar"/>
              </w:rPr>
              <w:t>土石方</w:t>
            </w:r>
          </w:p>
          <w:p>
            <w:pPr>
              <w:tabs>
                <w:tab w:val="left" w:pos="8505"/>
              </w:tabs>
              <w:snapToGrid w:val="0"/>
              <w:spacing w:line="360" w:lineRule="auto"/>
              <w:ind w:firstLine="480" w:firstLineChars="200"/>
              <w:rPr>
                <w:rFonts w:hint="eastAsia" w:ascii="Times New Roman" w:hAnsi="Times New Roman" w:eastAsia="宋体" w:cs="Times New Roman"/>
                <w:sz w:val="24"/>
                <w:szCs w:val="24"/>
                <w:lang w:eastAsia="zh-CN"/>
              </w:rPr>
            </w:pPr>
            <w:r>
              <w:rPr>
                <w:rFonts w:hint="default" w:ascii="Times New Roman" w:hAnsi="Times New Roman" w:eastAsia="宋体" w:cs="Times New Roman"/>
                <w:color w:val="auto"/>
                <w:sz w:val="24"/>
                <w:szCs w:val="24"/>
                <w:highlight w:val="none"/>
              </w:rPr>
              <w:t>本工程</w:t>
            </w:r>
            <w:r>
              <w:rPr>
                <w:rFonts w:hint="default" w:ascii="Times New Roman" w:hAnsi="Times New Roman" w:eastAsia="宋体" w:cs="Times New Roman"/>
                <w:color w:val="auto"/>
                <w:sz w:val="24"/>
                <w:szCs w:val="24"/>
                <w:highlight w:val="none"/>
                <w:lang w:val="en-US" w:eastAsia="zh-CN"/>
              </w:rPr>
              <w:t>开挖量约94592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eastAsia" w:eastAsia="宋体" w:cs="Times New Roman"/>
                <w:color w:val="auto"/>
                <w:sz w:val="24"/>
                <w:szCs w:val="24"/>
                <w:highlight w:val="none"/>
                <w:vertAlign w:val="baseline"/>
                <w:lang w:eastAsia="zh-CN"/>
              </w:rPr>
              <w:t>（</w:t>
            </w:r>
            <w:r>
              <w:rPr>
                <w:rFonts w:hint="eastAsia" w:cs="Times New Roman"/>
                <w:color w:val="auto"/>
                <w:sz w:val="24"/>
                <w:szCs w:val="24"/>
                <w:highlight w:val="none"/>
                <w:vertAlign w:val="baseline"/>
                <w:lang w:val="en-US" w:eastAsia="zh-CN"/>
              </w:rPr>
              <w:t>其中表土约</w:t>
            </w:r>
            <w:r>
              <w:rPr>
                <w:rFonts w:hint="eastAsia" w:eastAsia="宋体" w:cs="Times New Roman"/>
                <w:color w:val="auto"/>
                <w:sz w:val="24"/>
                <w:szCs w:val="24"/>
                <w:highlight w:val="none"/>
                <w:vertAlign w:val="baseline"/>
                <w:lang w:val="en-US" w:eastAsia="zh-CN"/>
              </w:rPr>
              <w:t>10400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eastAsia" w:eastAsia="宋体" w:cs="Times New Roman"/>
                <w:color w:val="auto"/>
                <w:sz w:val="24"/>
                <w:szCs w:val="24"/>
                <w:highlight w:val="none"/>
                <w:vertAlign w:val="baseline"/>
                <w:lang w:eastAsia="zh-CN"/>
              </w:rPr>
              <w:t>）</w:t>
            </w:r>
            <w:r>
              <w:rPr>
                <w:rFonts w:hint="default" w:ascii="Times New Roman" w:hAnsi="Times New Roman" w:eastAsia="宋体" w:cs="Times New Roman"/>
                <w:color w:val="auto"/>
                <w:sz w:val="24"/>
                <w:szCs w:val="24"/>
                <w:highlight w:val="none"/>
                <w:vertAlign w:val="baseline"/>
                <w:lang w:eastAsia="zh-CN"/>
              </w:rPr>
              <w:t>，</w:t>
            </w:r>
            <w:r>
              <w:rPr>
                <w:rFonts w:hint="default" w:ascii="Times New Roman" w:hAnsi="Times New Roman" w:eastAsia="宋体" w:cs="Times New Roman"/>
                <w:color w:val="auto"/>
                <w:sz w:val="24"/>
                <w:szCs w:val="24"/>
                <w:highlight w:val="none"/>
                <w:lang w:val="en-US" w:eastAsia="zh-CN"/>
              </w:rPr>
              <w:t>其中</w:t>
            </w:r>
            <w:r>
              <w:rPr>
                <w:rFonts w:hint="default" w:ascii="Times New Roman" w:hAnsi="Times New Roman" w:eastAsia="宋体" w:cs="Times New Roman"/>
                <w:color w:val="auto"/>
                <w:sz w:val="24"/>
                <w:szCs w:val="24"/>
                <w:highlight w:val="none"/>
              </w:rPr>
              <w:t>土方开挖量约19605m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石方</w:t>
            </w:r>
            <w:r>
              <w:rPr>
                <w:rFonts w:hint="default" w:ascii="Times New Roman" w:hAnsi="Times New Roman" w:eastAsia="宋体" w:cs="Times New Roman"/>
                <w:color w:val="auto"/>
                <w:sz w:val="24"/>
                <w:szCs w:val="24"/>
                <w:highlight w:val="none"/>
              </w:rPr>
              <w:t>开挖约27089m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疏浚</w:t>
            </w:r>
            <w:r>
              <w:rPr>
                <w:rFonts w:hint="eastAsia" w:eastAsia="宋体" w:cs="Times New Roman"/>
                <w:color w:val="auto"/>
                <w:sz w:val="24"/>
                <w:szCs w:val="24"/>
                <w:highlight w:val="none"/>
                <w:lang w:val="en-US" w:eastAsia="zh-CN"/>
              </w:rPr>
              <w:t>开挖（可利用料）</w:t>
            </w:r>
            <w:r>
              <w:rPr>
                <w:rFonts w:hint="default" w:ascii="Times New Roman" w:hAnsi="Times New Roman" w:eastAsia="宋体" w:cs="Times New Roman"/>
                <w:color w:val="auto"/>
                <w:sz w:val="24"/>
                <w:szCs w:val="24"/>
                <w:highlight w:val="none"/>
                <w:lang w:val="en-US" w:eastAsia="zh-CN"/>
              </w:rPr>
              <w:t>约</w:t>
            </w:r>
            <w:r>
              <w:rPr>
                <w:rFonts w:hint="default" w:ascii="Times New Roman" w:hAnsi="Times New Roman" w:eastAsia="宋体" w:cs="Times New Roman"/>
                <w:color w:val="auto"/>
                <w:sz w:val="24"/>
                <w:szCs w:val="24"/>
                <w:highlight w:val="none"/>
              </w:rPr>
              <w:t>为43070m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vertAlign w:val="baseline"/>
                <w:lang w:eastAsia="zh-CN"/>
              </w:rPr>
              <w:t>。疏浚开挖（土料）</w:t>
            </w:r>
            <w:r>
              <w:rPr>
                <w:rFonts w:hint="default" w:ascii="Times New Roman" w:hAnsi="Times New Roman" w:eastAsia="宋体" w:cs="Times New Roman"/>
                <w:color w:val="auto"/>
                <w:sz w:val="24"/>
                <w:szCs w:val="24"/>
                <w:highlight w:val="none"/>
                <w:lang w:val="en-US" w:eastAsia="zh-CN"/>
              </w:rPr>
              <w:t>约</w:t>
            </w:r>
            <w:r>
              <w:rPr>
                <w:rFonts w:hint="default" w:ascii="Times New Roman" w:hAnsi="Times New Roman" w:eastAsia="宋体" w:cs="Times New Roman"/>
                <w:color w:val="auto"/>
                <w:sz w:val="24"/>
                <w:szCs w:val="24"/>
                <w:highlight w:val="none"/>
              </w:rPr>
              <w:t>为43</w:t>
            </w:r>
            <w:r>
              <w:rPr>
                <w:rFonts w:hint="eastAsia"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eastAsia" w:eastAsia="宋体" w:cs="Times New Roman"/>
                <w:color w:val="auto"/>
                <w:sz w:val="24"/>
                <w:szCs w:val="24"/>
                <w:highlight w:val="none"/>
                <w:vertAlign w:val="baseline"/>
                <w:lang w:eastAsia="zh-CN"/>
              </w:rPr>
              <w:t>，围堰拆除</w:t>
            </w:r>
            <w:r>
              <w:rPr>
                <w:rFonts w:hint="eastAsia" w:eastAsia="宋体" w:cs="Times New Roman"/>
                <w:color w:val="auto"/>
                <w:sz w:val="24"/>
                <w:szCs w:val="24"/>
                <w:highlight w:val="none"/>
                <w:vertAlign w:val="baseline"/>
                <w:lang w:val="en-US" w:eastAsia="zh-CN"/>
              </w:rPr>
              <w:t>约为4393</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eastAsia" w:eastAsia="宋体" w:cs="Times New Roman"/>
                <w:color w:val="auto"/>
                <w:sz w:val="24"/>
                <w:szCs w:val="24"/>
                <w:highlight w:val="none"/>
                <w:vertAlign w:val="baseline"/>
                <w:lang w:eastAsia="zh-CN"/>
              </w:rPr>
              <w:t>，</w:t>
            </w:r>
            <w:r>
              <w:rPr>
                <w:rFonts w:hint="default" w:ascii="Times New Roman" w:hAnsi="Times New Roman" w:eastAsia="宋体" w:cs="Times New Roman"/>
                <w:color w:val="auto"/>
                <w:sz w:val="24"/>
                <w:szCs w:val="24"/>
                <w:highlight w:val="none"/>
                <w:lang w:val="en-US" w:eastAsia="zh-CN"/>
              </w:rPr>
              <w:t>利用方总量约</w:t>
            </w:r>
            <w:r>
              <w:rPr>
                <w:rFonts w:hint="eastAsia" w:eastAsia="宋体" w:cs="Times New Roman"/>
                <w:color w:val="auto"/>
                <w:sz w:val="24"/>
                <w:szCs w:val="24"/>
                <w:highlight w:val="none"/>
                <w:lang w:val="en-US" w:eastAsia="zh-CN"/>
              </w:rPr>
              <w:t>80811</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vertAlign w:val="baseline"/>
                <w:lang w:eastAsia="zh-CN"/>
              </w:rPr>
              <w:t>，</w:t>
            </w:r>
            <w:r>
              <w:rPr>
                <w:rFonts w:hint="default" w:ascii="Times New Roman" w:hAnsi="Times New Roman" w:eastAsia="宋体" w:cs="Times New Roman"/>
                <w:color w:val="auto"/>
                <w:sz w:val="24"/>
                <w:szCs w:val="24"/>
                <w:highlight w:val="none"/>
                <w:vertAlign w:val="baseline"/>
                <w:lang w:val="en-US" w:eastAsia="zh-CN"/>
              </w:rPr>
              <w:t>其中</w:t>
            </w:r>
            <w:r>
              <w:rPr>
                <w:rFonts w:hint="eastAsia" w:cs="Times New Roman"/>
                <w:color w:val="auto"/>
                <w:sz w:val="24"/>
                <w:szCs w:val="24"/>
                <w:highlight w:val="none"/>
                <w:vertAlign w:val="baseline"/>
                <w:lang w:val="en-US" w:eastAsia="zh-CN"/>
              </w:rPr>
              <w:t>约</w:t>
            </w:r>
            <w:r>
              <w:rPr>
                <w:rFonts w:hint="eastAsia" w:eastAsia="宋体" w:cs="Times New Roman"/>
                <w:color w:val="auto"/>
                <w:sz w:val="24"/>
                <w:szCs w:val="24"/>
                <w:highlight w:val="none"/>
                <w:vertAlign w:val="baseline"/>
                <w:lang w:val="en-US" w:eastAsia="zh-CN"/>
              </w:rPr>
              <w:t>2293</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eastAsia" w:eastAsia="宋体" w:cs="Times New Roman"/>
                <w:color w:val="auto"/>
                <w:sz w:val="24"/>
                <w:szCs w:val="24"/>
                <w:highlight w:val="none"/>
                <w:vertAlign w:val="baseline"/>
                <w:lang w:val="en-US" w:eastAsia="zh-CN"/>
              </w:rPr>
              <w:t>运输至1#弃渣场进行复耕，</w:t>
            </w:r>
            <w:r>
              <w:rPr>
                <w:rFonts w:hint="eastAsia" w:cs="Times New Roman"/>
                <w:color w:val="auto"/>
                <w:sz w:val="24"/>
                <w:szCs w:val="24"/>
                <w:highlight w:val="none"/>
                <w:vertAlign w:val="baseline"/>
                <w:lang w:val="en-US" w:eastAsia="zh-CN"/>
              </w:rPr>
              <w:t>约</w:t>
            </w:r>
            <w:r>
              <w:rPr>
                <w:rFonts w:hint="eastAsia" w:eastAsia="宋体" w:cs="Times New Roman"/>
                <w:color w:val="auto"/>
                <w:sz w:val="24"/>
                <w:szCs w:val="24"/>
                <w:highlight w:val="none"/>
                <w:vertAlign w:val="baseline"/>
                <w:lang w:val="en-US" w:eastAsia="zh-CN"/>
              </w:rPr>
              <w:t>26111</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eastAsia" w:eastAsia="宋体" w:cs="Times New Roman"/>
                <w:color w:val="auto"/>
                <w:sz w:val="24"/>
                <w:szCs w:val="24"/>
                <w:highlight w:val="none"/>
                <w:vertAlign w:val="baseline"/>
                <w:lang w:val="en-US" w:eastAsia="zh-CN"/>
              </w:rPr>
              <w:t>用于堤脚回填、填筑围堰和袋装围堰，</w:t>
            </w:r>
            <w:r>
              <w:rPr>
                <w:rFonts w:hint="eastAsia" w:cs="Times New Roman"/>
                <w:color w:val="auto"/>
                <w:sz w:val="24"/>
                <w:szCs w:val="24"/>
                <w:highlight w:val="none"/>
                <w:vertAlign w:val="baseline"/>
                <w:lang w:val="en-US" w:eastAsia="zh-CN"/>
              </w:rPr>
              <w:t>约</w:t>
            </w:r>
            <w:r>
              <w:rPr>
                <w:rFonts w:hint="eastAsia" w:eastAsia="宋体" w:cs="Times New Roman"/>
                <w:color w:val="auto"/>
                <w:sz w:val="24"/>
                <w:szCs w:val="24"/>
                <w:highlight w:val="none"/>
                <w:vertAlign w:val="baseline"/>
                <w:lang w:val="en-US" w:eastAsia="zh-CN"/>
              </w:rPr>
              <w:t>978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eastAsia" w:eastAsia="宋体" w:cs="Times New Roman"/>
                <w:color w:val="auto"/>
                <w:sz w:val="24"/>
                <w:szCs w:val="24"/>
                <w:highlight w:val="none"/>
                <w:vertAlign w:val="baseline"/>
                <w:lang w:val="en-US" w:eastAsia="zh-CN"/>
              </w:rPr>
              <w:t>用于砂垫层、碎石垫层和堤身填筑，</w:t>
            </w:r>
            <w:r>
              <w:rPr>
                <w:rFonts w:hint="eastAsia" w:cs="Times New Roman"/>
                <w:color w:val="auto"/>
                <w:sz w:val="24"/>
                <w:szCs w:val="24"/>
                <w:highlight w:val="none"/>
                <w:vertAlign w:val="baseline"/>
                <w:lang w:val="en-US" w:eastAsia="zh-CN"/>
              </w:rPr>
              <w:t>约</w:t>
            </w:r>
            <w:r>
              <w:rPr>
                <w:rFonts w:hint="eastAsia" w:eastAsia="宋体" w:cs="Times New Roman"/>
                <w:color w:val="auto"/>
                <w:sz w:val="24"/>
                <w:szCs w:val="24"/>
                <w:highlight w:val="none"/>
                <w:vertAlign w:val="baseline"/>
                <w:lang w:val="en-US" w:eastAsia="zh-CN"/>
              </w:rPr>
              <w:t>51</w:t>
            </w:r>
            <w:r>
              <w:rPr>
                <w:rFonts w:hint="eastAsia" w:cs="Times New Roman"/>
                <w:color w:val="auto"/>
                <w:sz w:val="24"/>
                <w:szCs w:val="24"/>
                <w:highlight w:val="none"/>
                <w:vertAlign w:val="baseline"/>
                <w:lang w:val="en-US" w:eastAsia="zh-CN"/>
              </w:rPr>
              <w:t>429</w:t>
            </w:r>
            <w:r>
              <w:rPr>
                <w:rFonts w:hint="eastAsia" w:eastAsia="宋体" w:cs="Times New Roman"/>
                <w:color w:val="auto"/>
                <w:sz w:val="24"/>
                <w:szCs w:val="24"/>
                <w:highlight w:val="none"/>
                <w:vertAlign w:val="baseline"/>
                <w:lang w:val="en-US" w:eastAsia="zh-CN"/>
              </w:rPr>
              <w:t>m</w:t>
            </w:r>
            <w:r>
              <w:rPr>
                <w:rFonts w:hint="eastAsia" w:eastAsia="宋体" w:cs="Times New Roman"/>
                <w:color w:val="auto"/>
                <w:sz w:val="24"/>
                <w:szCs w:val="24"/>
                <w:highlight w:val="none"/>
                <w:vertAlign w:val="superscript"/>
                <w:lang w:val="en-US" w:eastAsia="zh-CN"/>
              </w:rPr>
              <w:t>3</w:t>
            </w:r>
            <w:r>
              <w:rPr>
                <w:rFonts w:hint="eastAsia" w:eastAsia="宋体" w:cs="Times New Roman"/>
                <w:color w:val="auto"/>
                <w:sz w:val="24"/>
                <w:szCs w:val="24"/>
                <w:highlight w:val="none"/>
                <w:vertAlign w:val="baseline"/>
                <w:lang w:val="en-US" w:eastAsia="zh-CN"/>
              </w:rPr>
              <w:t>运输至堤身填筑部位，表土全部用于</w:t>
            </w:r>
            <w:r>
              <w:rPr>
                <w:rFonts w:ascii="Times New Roman" w:hAnsi="Times New Roman"/>
                <w:color w:val="auto"/>
                <w:sz w:val="24"/>
                <w:lang w:val="zh-CN"/>
              </w:rPr>
              <w:t>斜坡式堤防马道以上的土地以及背水侧堤防顶到堤后排水沟的土地进行耕植土回覆</w:t>
            </w:r>
            <w:r>
              <w:rPr>
                <w:rFonts w:hint="eastAsia"/>
                <w:color w:val="auto"/>
                <w:sz w:val="24"/>
                <w:lang w:val="zh-CN"/>
              </w:rPr>
              <w:t>，</w:t>
            </w:r>
            <w:r>
              <w:rPr>
                <w:rFonts w:ascii="Times New Roman" w:hAnsi="Times New Roman"/>
                <w:color w:val="auto"/>
                <w:sz w:val="24"/>
                <w:lang w:val="zh-CN"/>
              </w:rPr>
              <w:t>以便于进行草皮护坡</w:t>
            </w:r>
            <w:r>
              <w:rPr>
                <w:rFonts w:hint="default" w:ascii="Times New Roman" w:hAnsi="Times New Roman" w:eastAsia="宋体" w:cs="Times New Roman"/>
                <w:color w:val="auto"/>
                <w:sz w:val="24"/>
                <w:szCs w:val="24"/>
                <w:highlight w:val="none"/>
                <w:vertAlign w:val="baseline"/>
                <w:lang w:eastAsia="zh-CN"/>
              </w:rPr>
              <w:t>。</w:t>
            </w:r>
            <w:r>
              <w:rPr>
                <w:rFonts w:hint="default" w:ascii="Times New Roman" w:hAnsi="Times New Roman" w:eastAsia="宋体" w:cs="Times New Roman"/>
                <w:color w:val="auto"/>
                <w:sz w:val="24"/>
                <w:szCs w:val="24"/>
                <w:highlight w:val="none"/>
              </w:rPr>
              <w:t>经过土石方平衡计算</w:t>
            </w:r>
            <w:r>
              <w:rPr>
                <w:rFonts w:hint="eastAsia" w:ascii="Times New Roman" w:hAnsi="Times New Roman"/>
                <w:color w:val="auto"/>
                <w:sz w:val="24"/>
                <w:lang w:val="zh-CN"/>
              </w:rPr>
              <w:t>，</w:t>
            </w:r>
            <w:r>
              <w:rPr>
                <w:rFonts w:hint="default" w:ascii="Times New Roman" w:hAnsi="Times New Roman" w:eastAsia="宋体" w:cs="Times New Roman"/>
                <w:color w:val="auto"/>
                <w:sz w:val="24"/>
                <w:szCs w:val="24"/>
                <w:highlight w:val="none"/>
              </w:rPr>
              <w:t>剩余弃渣</w:t>
            </w:r>
            <w:r>
              <w:rPr>
                <w:rFonts w:hint="eastAsia" w:eastAsia="宋体" w:cs="Times New Roman"/>
                <w:color w:val="auto"/>
                <w:sz w:val="24"/>
                <w:szCs w:val="24"/>
                <w:highlight w:val="none"/>
                <w:lang w:eastAsia="zh-CN"/>
              </w:rPr>
              <w:t>（</w:t>
            </w:r>
            <w:r>
              <w:rPr>
                <w:rFonts w:hint="eastAsia" w:eastAsia="宋体" w:cs="Times New Roman"/>
                <w:color w:val="auto"/>
                <w:sz w:val="24"/>
                <w:szCs w:val="24"/>
                <w:highlight w:val="none"/>
                <w:lang w:val="en-US" w:eastAsia="zh-CN"/>
              </w:rPr>
              <w:t>自然方，无表土</w:t>
            </w:r>
            <w:r>
              <w:rPr>
                <w:rFonts w:hint="eastAsia"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约13781m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弃渣</w:t>
            </w:r>
            <w:r>
              <w:rPr>
                <w:rFonts w:hint="default" w:ascii="Times New Roman" w:hAnsi="Times New Roman" w:eastAsia="宋体" w:cs="Times New Roman"/>
                <w:color w:val="auto"/>
                <w:sz w:val="24"/>
                <w:szCs w:val="24"/>
                <w:highlight w:val="none"/>
                <w:lang w:val="en-US" w:eastAsia="zh-CN"/>
              </w:rPr>
              <w:t>土石方运输至1#渣场</w:t>
            </w:r>
            <w:r>
              <w:rPr>
                <w:rFonts w:hint="eastAsia"/>
                <w:color w:val="auto"/>
                <w:lang w:eastAsia="zh-CN"/>
              </w:rPr>
              <w:t>。</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imes New Roman" w:hAnsi="Times New Roman" w:eastAsia="宋体" w:cs="Times New Roman"/>
                <w:bCs/>
                <w:color w:val="auto"/>
                <w:kern w:val="0"/>
                <w:sz w:val="24"/>
                <w:szCs w:val="24"/>
                <w:lang w:bidi="ar"/>
              </w:rPr>
            </w:pPr>
            <w:r>
              <w:rPr>
                <w:rFonts w:hint="eastAsia" w:ascii="Times New Roman" w:hAnsi="Times New Roman" w:eastAsia="宋体" w:cs="Times New Roman"/>
                <w:bCs/>
                <w:color w:val="auto"/>
                <w:kern w:val="0"/>
                <w:sz w:val="24"/>
                <w:szCs w:val="24"/>
                <w:lang w:bidi="ar"/>
              </w:rPr>
              <w:t>（2）建筑垃圾</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imes New Roman" w:hAnsi="Times New Roman" w:eastAsia="宋体" w:cs="Times New Roman"/>
                <w:bCs/>
                <w:color w:val="auto"/>
                <w:kern w:val="0"/>
                <w:sz w:val="24"/>
                <w:szCs w:val="24"/>
                <w:lang w:bidi="ar"/>
              </w:rPr>
            </w:pPr>
            <w:r>
              <w:rPr>
                <w:rFonts w:hint="eastAsia" w:ascii="Times New Roman" w:hAnsi="Times New Roman" w:eastAsia="宋体" w:cs="Times New Roman"/>
                <w:bCs/>
                <w:color w:val="auto"/>
                <w:kern w:val="0"/>
                <w:sz w:val="24"/>
                <w:szCs w:val="24"/>
                <w:lang w:val="en-US" w:eastAsia="zh-CN" w:bidi="ar"/>
              </w:rPr>
              <w:t>根据业主提供资料，项目</w:t>
            </w:r>
            <w:r>
              <w:rPr>
                <w:rFonts w:hint="eastAsia" w:ascii="Times New Roman" w:hAnsi="Times New Roman" w:eastAsia="宋体" w:cs="Times New Roman"/>
                <w:bCs/>
                <w:color w:val="auto"/>
                <w:kern w:val="0"/>
                <w:sz w:val="24"/>
                <w:szCs w:val="24"/>
                <w:lang w:bidi="ar"/>
              </w:rPr>
              <w:t>施工期产生</w:t>
            </w:r>
            <w:r>
              <w:rPr>
                <w:rFonts w:hint="eastAsia" w:ascii="Times New Roman" w:hAnsi="Times New Roman" w:eastAsia="宋体" w:cs="Times New Roman"/>
                <w:bCs/>
                <w:color w:val="auto"/>
                <w:kern w:val="0"/>
                <w:sz w:val="24"/>
                <w:szCs w:val="24"/>
                <w:lang w:val="en-US" w:eastAsia="zh-CN" w:bidi="ar"/>
              </w:rPr>
              <w:t>的建筑垃圾约为3t，建筑垃圾</w:t>
            </w:r>
            <w:r>
              <w:rPr>
                <w:rFonts w:hint="eastAsia" w:ascii="Times New Roman" w:hAnsi="Times New Roman" w:eastAsia="宋体" w:cs="Times New Roman"/>
                <w:bCs/>
                <w:color w:val="auto"/>
                <w:kern w:val="0"/>
                <w:sz w:val="24"/>
                <w:szCs w:val="24"/>
                <w:lang w:bidi="ar"/>
              </w:rPr>
              <w:t>可回收废料如废板材、模具、支架等由施工单位回收利用；其它废弃的砖块、混凝土、灰渣及边角料等不能回收的建筑垃圾集中堆放，施工后期全部回填至防洪堤背侧。</w:t>
            </w:r>
          </w:p>
          <w:p>
            <w:pPr>
              <w:widowControl/>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lang w:bidi="ar"/>
              </w:rPr>
              <w:t xml:space="preserve">（3）施工人员生活垃圾 </w:t>
            </w:r>
          </w:p>
          <w:p>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lang w:bidi="ar"/>
              </w:rPr>
            </w:pPr>
            <w:r>
              <w:rPr>
                <w:rFonts w:hint="default" w:ascii="Times New Roman" w:hAnsi="Times New Roman" w:cs="Times New Roman"/>
                <w:color w:val="auto"/>
                <w:sz w:val="24"/>
                <w:lang w:val="en-US" w:eastAsia="zh-CN"/>
              </w:rPr>
              <w:t>项目</w:t>
            </w:r>
            <w:r>
              <w:rPr>
                <w:rFonts w:hint="default" w:ascii="Times New Roman" w:hAnsi="Times New Roman" w:cs="Times New Roman"/>
                <w:color w:val="auto"/>
                <w:sz w:val="24"/>
              </w:rPr>
              <w:t>施工人员</w:t>
            </w:r>
            <w:r>
              <w:rPr>
                <w:rFonts w:hint="eastAsia" w:cs="Times New Roman"/>
                <w:color w:val="auto"/>
                <w:sz w:val="24"/>
                <w:lang w:val="en-US" w:eastAsia="zh-CN"/>
              </w:rPr>
              <w:t>12</w:t>
            </w:r>
            <w:r>
              <w:rPr>
                <w:rFonts w:hint="default" w:ascii="Times New Roman" w:hAnsi="Times New Roman" w:cs="Times New Roman"/>
                <w:color w:val="auto"/>
                <w:sz w:val="24"/>
              </w:rPr>
              <w:t>0人，生活垃圾按0.</w:t>
            </w:r>
            <w:r>
              <w:rPr>
                <w:rFonts w:hint="default" w:ascii="Times New Roman" w:hAnsi="Times New Roman" w:cs="Times New Roman"/>
                <w:color w:val="auto"/>
                <w:sz w:val="24"/>
                <w:lang w:val="en-US" w:eastAsia="zh-CN"/>
              </w:rPr>
              <w:t>5</w:t>
            </w:r>
            <w:r>
              <w:rPr>
                <w:rFonts w:hint="default" w:ascii="Times New Roman" w:hAnsi="Times New Roman" w:cs="Times New Roman"/>
                <w:color w:val="auto"/>
                <w:sz w:val="24"/>
              </w:rPr>
              <w:t>kg/人·日计，产生量约为</w:t>
            </w:r>
            <w:r>
              <w:rPr>
                <w:rFonts w:hint="eastAsia" w:cs="Times New Roman"/>
                <w:color w:val="auto"/>
                <w:sz w:val="24"/>
                <w:lang w:val="en-US" w:eastAsia="zh-CN"/>
              </w:rPr>
              <w:t>60</w:t>
            </w:r>
            <w:r>
              <w:rPr>
                <w:rFonts w:hint="default" w:ascii="Times New Roman" w:hAnsi="Times New Roman" w:cs="Times New Roman"/>
                <w:color w:val="auto"/>
                <w:sz w:val="24"/>
              </w:rPr>
              <w:t>kg/d</w:t>
            </w:r>
            <w:r>
              <w:rPr>
                <w:rFonts w:hint="default" w:ascii="Times New Roman" w:hAnsi="Times New Roman" w:cs="Times New Roman"/>
                <w:color w:val="auto"/>
                <w:sz w:val="24"/>
                <w:lang w:eastAsia="zh-CN"/>
              </w:rPr>
              <w:t>。</w:t>
            </w:r>
            <w:r>
              <w:rPr>
                <w:rFonts w:hint="default" w:ascii="Times New Roman" w:hAnsi="Times New Roman" w:eastAsia="宋体" w:cs="Times New Roman"/>
                <w:color w:val="auto"/>
                <w:kern w:val="0"/>
                <w:sz w:val="24"/>
                <w:lang w:bidi="ar"/>
              </w:rPr>
              <w:t>生活垃圾经垃圾桶集中收集后</w:t>
            </w:r>
            <w:r>
              <w:rPr>
                <w:rFonts w:hint="default" w:ascii="Times New Roman" w:hAnsi="Times New Roman" w:eastAsia="宋体" w:cs="Times New Roman"/>
                <w:color w:val="auto"/>
                <w:kern w:val="0"/>
                <w:sz w:val="24"/>
                <w:lang w:val="en-US" w:eastAsia="zh-CN" w:bidi="ar"/>
              </w:rPr>
              <w:t>交由</w:t>
            </w:r>
            <w:r>
              <w:rPr>
                <w:rFonts w:hint="default" w:ascii="Times New Roman" w:hAnsi="Times New Roman" w:eastAsia="宋体" w:cs="Times New Roman"/>
                <w:color w:val="auto"/>
                <w:kern w:val="0"/>
                <w:sz w:val="24"/>
                <w:lang w:bidi="ar"/>
              </w:rPr>
              <w:t xml:space="preserve">当地环卫部门进行处置后，对周围环境影响较小。 </w:t>
            </w:r>
          </w:p>
          <w:p>
            <w:pPr>
              <w:widowControl/>
              <w:adjustRightInd w:val="0"/>
              <w:snapToGrid w:val="0"/>
              <w:spacing w:line="360" w:lineRule="auto"/>
              <w:ind w:firstLine="480" w:firstLineChars="200"/>
              <w:jc w:val="left"/>
              <w:rPr>
                <w:rFonts w:hint="eastAsia" w:ascii="Times New Roman" w:hAnsi="Times New Roman" w:eastAsia="宋体" w:cs="Times New Roman"/>
                <w:color w:val="auto"/>
                <w:kern w:val="0"/>
                <w:sz w:val="24"/>
                <w:lang w:bidi="ar"/>
              </w:rPr>
            </w:pPr>
            <w:r>
              <w:rPr>
                <w:rFonts w:hint="eastAsia" w:ascii="Times New Roman" w:hAnsi="Times New Roman" w:eastAsia="宋体" w:cs="Times New Roman"/>
                <w:color w:val="auto"/>
                <w:kern w:val="0"/>
                <w:sz w:val="24"/>
                <w:lang w:bidi="ar"/>
              </w:rPr>
              <w:t>（4）沉淀池底泥</w:t>
            </w:r>
          </w:p>
          <w:p>
            <w:pPr>
              <w:widowControl/>
              <w:adjustRightInd w:val="0"/>
              <w:snapToGrid w:val="0"/>
              <w:spacing w:line="360" w:lineRule="auto"/>
              <w:ind w:firstLine="480" w:firstLineChars="200"/>
              <w:jc w:val="left"/>
              <w:rPr>
                <w:rFonts w:hint="eastAsia" w:ascii="Times New Roman" w:hAnsi="Times New Roman" w:eastAsia="宋体" w:cs="Times New Roman"/>
                <w:color w:val="auto"/>
                <w:kern w:val="0"/>
                <w:sz w:val="24"/>
                <w:lang w:bidi="ar"/>
              </w:rPr>
            </w:pPr>
            <w:r>
              <w:rPr>
                <w:rFonts w:hint="eastAsia" w:ascii="Times New Roman" w:hAnsi="Times New Roman" w:eastAsia="宋体" w:cs="Times New Roman"/>
                <w:color w:val="auto"/>
                <w:kern w:val="0"/>
                <w:sz w:val="24"/>
                <w:lang w:bidi="ar"/>
              </w:rPr>
              <w:t>本项目沉淀池中的底泥</w:t>
            </w:r>
            <w:r>
              <w:rPr>
                <w:rFonts w:hint="eastAsia" w:ascii="Times New Roman" w:hAnsi="Times New Roman" w:eastAsia="宋体" w:cs="Times New Roman"/>
                <w:color w:val="auto"/>
                <w:kern w:val="0"/>
                <w:sz w:val="24"/>
                <w:lang w:val="en-US" w:eastAsia="zh-CN" w:bidi="ar"/>
              </w:rPr>
              <w:t>产生量约为0.5t</w:t>
            </w:r>
            <w:r>
              <w:rPr>
                <w:rFonts w:hint="eastAsia" w:ascii="Times New Roman" w:hAnsi="Times New Roman" w:eastAsia="宋体" w:cs="Times New Roman"/>
                <w:color w:val="auto"/>
                <w:kern w:val="0"/>
                <w:sz w:val="24"/>
                <w:lang w:eastAsia="zh-CN" w:bidi="ar"/>
              </w:rPr>
              <w:t>。</w:t>
            </w:r>
            <w:r>
              <w:rPr>
                <w:rFonts w:hint="eastAsia"/>
                <w:color w:val="auto"/>
                <w:sz w:val="24"/>
                <w:szCs w:val="24"/>
                <w:lang w:val="en-US" w:eastAsia="zh-CN"/>
              </w:rPr>
              <w:t>清掏至</w:t>
            </w:r>
            <w:r>
              <w:rPr>
                <w:rFonts w:hint="eastAsia" w:eastAsia="宋体" w:cs="Times New Roman"/>
                <w:color w:val="auto"/>
                <w:sz w:val="24"/>
                <w:szCs w:val="24"/>
                <w:highlight w:val="none"/>
                <w:vertAlign w:val="baseline"/>
                <w:lang w:val="en-US" w:eastAsia="zh-CN"/>
              </w:rPr>
              <w:t>1#弃</w:t>
            </w:r>
            <w:r>
              <w:rPr>
                <w:rFonts w:hint="eastAsia"/>
                <w:color w:val="auto"/>
                <w:sz w:val="24"/>
                <w:szCs w:val="24"/>
                <w:lang w:val="en-US" w:eastAsia="zh-CN"/>
              </w:rPr>
              <w:t>渣场自然晾干，</w:t>
            </w:r>
            <w:r>
              <w:rPr>
                <w:rFonts w:hint="eastAsia" w:ascii="Times New Roman" w:hAnsi="Times New Roman" w:eastAsia="宋体" w:cs="Times New Roman"/>
                <w:color w:val="auto"/>
                <w:kern w:val="0"/>
                <w:sz w:val="24"/>
                <w:lang w:bidi="ar"/>
              </w:rPr>
              <w:t>用于堤</w:t>
            </w:r>
            <w:r>
              <w:rPr>
                <w:rFonts w:hint="eastAsia" w:ascii="Times New Roman" w:hAnsi="Times New Roman" w:eastAsia="宋体" w:cs="Times New Roman"/>
                <w:color w:val="auto"/>
                <w:kern w:val="0"/>
                <w:sz w:val="24"/>
                <w:lang w:val="en-US" w:eastAsia="zh-CN" w:bidi="ar"/>
              </w:rPr>
              <w:t>后</w:t>
            </w:r>
            <w:r>
              <w:rPr>
                <w:rFonts w:hint="eastAsia" w:ascii="Times New Roman" w:hAnsi="Times New Roman" w:eastAsia="宋体" w:cs="Times New Roman"/>
                <w:color w:val="auto"/>
                <w:kern w:val="0"/>
                <w:sz w:val="24"/>
                <w:lang w:bidi="ar"/>
              </w:rPr>
              <w:t xml:space="preserve">回填，对周围环境影响较小。 </w:t>
            </w:r>
          </w:p>
          <w:p>
            <w:pPr>
              <w:widowControl/>
              <w:adjustRightInd w:val="0"/>
              <w:snapToGrid w:val="0"/>
              <w:spacing w:line="360" w:lineRule="auto"/>
              <w:ind w:firstLine="480" w:firstLineChars="200"/>
              <w:jc w:val="left"/>
              <w:rPr>
                <w:rFonts w:ascii="宋体" w:hAnsi="宋体" w:cs="宋体"/>
                <w:bCs/>
                <w:color w:val="0000FF"/>
                <w:sz w:val="24"/>
                <w:szCs w:val="24"/>
              </w:rPr>
            </w:pPr>
            <w:r>
              <w:rPr>
                <w:rFonts w:hint="eastAsia" w:ascii="Times New Roman" w:hAnsi="Times New Roman" w:eastAsia="宋体" w:cs="Times New Roman"/>
                <w:color w:val="auto"/>
                <w:kern w:val="0"/>
                <w:sz w:val="24"/>
                <w:lang w:bidi="ar"/>
              </w:rPr>
              <w:t>综上，项目施工过程产生的固体废弃物均得到了合理有效处置，</w:t>
            </w:r>
            <w:r>
              <w:rPr>
                <w:rFonts w:hint="eastAsia" w:ascii="Times New Roman" w:hAnsi="Times New Roman" w:eastAsia="宋体" w:cs="Times New Roman"/>
                <w:color w:val="auto"/>
                <w:kern w:val="0"/>
                <w:sz w:val="24"/>
                <w:lang w:val="en-US" w:eastAsia="zh-CN" w:bidi="ar"/>
              </w:rPr>
              <w:t>没有</w:t>
            </w:r>
            <w:r>
              <w:rPr>
                <w:rFonts w:hint="eastAsia" w:ascii="Times New Roman" w:hAnsi="Times New Roman" w:eastAsia="宋体" w:cs="Times New Roman"/>
                <w:color w:val="auto"/>
                <w:kern w:val="0"/>
                <w:sz w:val="24"/>
                <w:lang w:bidi="ar"/>
              </w:rPr>
              <w:t xml:space="preserve">造成二次污染。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231" w:type="pct"/>
            <w:noWrap w:val="0"/>
            <w:tcMar>
              <w:left w:w="28" w:type="dxa"/>
              <w:right w:w="28" w:type="dxa"/>
            </w:tcMar>
            <w:vAlign w:val="center"/>
          </w:tcPr>
          <w:p>
            <w:pPr>
              <w:pStyle w:val="37"/>
              <w:keepNext w:val="0"/>
              <w:keepLines w:val="0"/>
              <w:pageBreakBefore w:val="0"/>
              <w:kinsoku/>
              <w:wordWrap/>
              <w:overflowPunct/>
              <w:topLinePunct w:val="0"/>
              <w:bidi w:val="0"/>
              <w:adjustRightInd w:val="0"/>
              <w:snapToGrid w:val="0"/>
              <w:spacing w:before="0" w:beforeAutospacing="0" w:after="0" w:afterAutospacing="0"/>
              <w:jc w:val="center"/>
              <w:textAlignment w:val="auto"/>
              <w:rPr>
                <w:rFonts w:cs="宋体"/>
                <w:bCs/>
                <w:kern w:val="2"/>
                <w:sz w:val="24"/>
                <w:szCs w:val="24"/>
              </w:rPr>
            </w:pPr>
            <w:r>
              <w:rPr>
                <w:rFonts w:hint="eastAsia" w:cs="宋体"/>
                <w:bCs/>
                <w:spacing w:val="10"/>
                <w:kern w:val="2"/>
                <w:sz w:val="24"/>
                <w:szCs w:val="24"/>
              </w:rPr>
              <w:t>运营期生态环境影响分析</w:t>
            </w:r>
          </w:p>
        </w:tc>
        <w:tc>
          <w:tcPr>
            <w:tcW w:w="4768" w:type="pct"/>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ascii="Times New Roman" w:hAnsi="Times New Roman" w:eastAsia="宋体" w:cs="Times New Roman"/>
                <w:bCs/>
                <w:color w:val="auto"/>
                <w:kern w:val="0"/>
                <w:sz w:val="24"/>
                <w:szCs w:val="24"/>
                <w:lang w:eastAsia="zh-CN" w:bidi="ar"/>
              </w:rPr>
            </w:pPr>
            <w:r>
              <w:rPr>
                <w:rFonts w:hint="eastAsia" w:ascii="Times New Roman" w:hAnsi="Times New Roman" w:eastAsia="宋体" w:cs="Times New Roman"/>
                <w:bCs/>
                <w:color w:val="auto"/>
                <w:kern w:val="0"/>
                <w:sz w:val="24"/>
                <w:szCs w:val="24"/>
                <w:lang w:eastAsia="zh-CN" w:bidi="ar"/>
              </w:rPr>
              <w:t>本项目运营期不会产生废气、废水、噪声、固废等污染，</w:t>
            </w:r>
            <w:r>
              <w:rPr>
                <w:rFonts w:hint="eastAsia" w:ascii="Times New Roman" w:hAnsi="Times New Roman" w:eastAsia="宋体" w:cs="Times New Roman"/>
                <w:bCs/>
                <w:color w:val="auto"/>
                <w:kern w:val="0"/>
                <w:sz w:val="24"/>
                <w:szCs w:val="24"/>
                <w:lang w:bidi="ar"/>
              </w:rPr>
              <w:t>正常运行过程中不会对周围环境产生不良环境影响</w:t>
            </w:r>
            <w:r>
              <w:rPr>
                <w:rFonts w:hint="eastAsia" w:ascii="Times New Roman" w:hAnsi="Times New Roman" w:eastAsia="宋体" w:cs="Times New Roman"/>
                <w:bCs/>
                <w:color w:val="auto"/>
                <w:kern w:val="0"/>
                <w:sz w:val="24"/>
                <w:szCs w:val="24"/>
                <w:lang w:eastAsia="zh-CN" w:bidi="ar"/>
              </w:rPr>
              <w:t>。</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482" w:firstLineChars="200"/>
              <w:jc w:val="left"/>
              <w:textAlignment w:val="auto"/>
              <w:rPr>
                <w:rFonts w:hint="eastAsia" w:ascii="Times New Roman" w:hAnsi="Times New Roman" w:eastAsia="宋体" w:cs="Times New Roman"/>
                <w:bCs/>
                <w:color w:val="auto"/>
                <w:kern w:val="0"/>
                <w:sz w:val="24"/>
                <w:szCs w:val="24"/>
                <w:lang w:bidi="ar"/>
              </w:rPr>
            </w:pPr>
            <w:r>
              <w:rPr>
                <w:rFonts w:hint="default" w:ascii="Times New Roman" w:hAnsi="Times New Roman" w:eastAsia="宋体" w:cs="Times New Roman"/>
                <w:b/>
                <w:bCs w:val="0"/>
                <w:color w:val="auto"/>
                <w:kern w:val="0"/>
                <w:sz w:val="24"/>
                <w:lang w:val="en-US" w:eastAsia="zh-CN" w:bidi="ar"/>
              </w:rPr>
              <w:t>1</w:t>
            </w:r>
            <w:r>
              <w:rPr>
                <w:rFonts w:hint="default" w:ascii="Times New Roman" w:hAnsi="Times New Roman" w:eastAsia="宋体" w:cs="Times New Roman"/>
                <w:b/>
                <w:bCs w:val="0"/>
                <w:color w:val="auto"/>
                <w:kern w:val="0"/>
                <w:sz w:val="24"/>
                <w:lang w:bidi="ar"/>
              </w:rPr>
              <w:t>、对行洪范围影响分析</w:t>
            </w:r>
          </w:p>
          <w:p>
            <w:pPr>
              <w:adjustRightInd w:val="0"/>
              <w:snapToGrid w:val="0"/>
              <w:spacing w:line="360" w:lineRule="auto"/>
              <w:ind w:firstLine="480"/>
              <w:rPr>
                <w:rFonts w:hint="default" w:ascii="Times New Roman" w:hAnsi="Times New Roman" w:eastAsia="宋体" w:cs="Times New Roman"/>
                <w:color w:val="auto"/>
                <w:sz w:val="24"/>
              </w:rPr>
            </w:pPr>
            <w:r>
              <w:rPr>
                <w:rFonts w:hint="eastAsia"/>
                <w:sz w:val="24"/>
                <w:lang w:val="en-US"/>
              </w:rPr>
              <w:t>本</w:t>
            </w:r>
            <w:r>
              <w:rPr>
                <w:rFonts w:hint="eastAsia"/>
                <w:sz w:val="24"/>
                <w:lang w:val="en-US" w:eastAsia="zh-CN"/>
              </w:rPr>
              <w:t>项目所在</w:t>
            </w:r>
            <w:r>
              <w:rPr>
                <w:rFonts w:hint="eastAsia"/>
                <w:sz w:val="24"/>
                <w:lang w:val="en-US"/>
              </w:rPr>
              <w:t>河道蜿蜒，河面较为宽阔，坡降较</w:t>
            </w:r>
            <w:r>
              <w:rPr>
                <w:rFonts w:hint="eastAsia"/>
                <w:sz w:val="24"/>
                <w:lang w:val="en-US" w:eastAsia="zh-CN"/>
              </w:rPr>
              <w:t>陡</w:t>
            </w:r>
            <w:r>
              <w:rPr>
                <w:rFonts w:hint="eastAsia"/>
                <w:sz w:val="24"/>
                <w:lang w:val="en-US"/>
              </w:rPr>
              <w:t>。通过疏浚河床主槽下切，河床平顺，坡降稍陡，扩大了河道的行洪断面，河道洪水位有所下降，改善了河道的水流流态，增加了河道的泄洪能力，保护了拟建护岸的安全。根据针对本工程的疏浚方案，由下至上逐段计算疏浚前后</w:t>
            </w:r>
            <w:r>
              <w:rPr>
                <w:sz w:val="24"/>
                <w:lang w:val="en-US" w:eastAsia="zh-CN"/>
              </w:rPr>
              <w:t>10</w:t>
            </w:r>
            <w:r>
              <w:rPr>
                <w:rFonts w:hint="eastAsia"/>
                <w:sz w:val="24"/>
                <w:lang w:val="en-US"/>
              </w:rPr>
              <w:t>年一遇洪水水面线。</w:t>
            </w:r>
          </w:p>
          <w:p>
            <w:pPr>
              <w:widowControl/>
              <w:adjustRightInd w:val="0"/>
              <w:snapToGrid w:val="0"/>
              <w:spacing w:line="360" w:lineRule="auto"/>
              <w:ind w:firstLine="482" w:firstLineChars="200"/>
              <w:jc w:val="left"/>
              <w:rPr>
                <w:rFonts w:hint="default" w:ascii="Times New Roman" w:hAnsi="Times New Roman" w:eastAsia="宋体" w:cs="Times New Roman"/>
                <w:b/>
                <w:bCs w:val="0"/>
                <w:color w:val="auto"/>
                <w:sz w:val="24"/>
              </w:rPr>
            </w:pPr>
            <w:r>
              <w:rPr>
                <w:rFonts w:hint="default" w:ascii="Times New Roman" w:hAnsi="Times New Roman" w:eastAsia="宋体" w:cs="Times New Roman"/>
                <w:b/>
                <w:bCs w:val="0"/>
                <w:color w:val="auto"/>
                <w:kern w:val="0"/>
                <w:sz w:val="24"/>
                <w:lang w:val="en-US" w:eastAsia="zh-CN" w:bidi="ar"/>
              </w:rPr>
              <w:t>2</w:t>
            </w:r>
            <w:r>
              <w:rPr>
                <w:rFonts w:hint="default" w:ascii="Times New Roman" w:hAnsi="Times New Roman" w:eastAsia="宋体" w:cs="Times New Roman"/>
                <w:b/>
                <w:bCs w:val="0"/>
                <w:color w:val="auto"/>
                <w:kern w:val="0"/>
                <w:sz w:val="24"/>
                <w:lang w:bidi="ar"/>
              </w:rPr>
              <w:t xml:space="preserve">、对水文情势的影响分析 </w:t>
            </w:r>
          </w:p>
          <w:p>
            <w:pPr>
              <w:adjustRightInd w:val="0"/>
              <w:snapToGrid w:val="0"/>
              <w:spacing w:line="360" w:lineRule="auto"/>
              <w:ind w:firstLine="480"/>
              <w:rPr>
                <w:rFonts w:hint="default" w:ascii="Times New Roman" w:hAnsi="Times New Roman" w:eastAsia="宋体" w:cs="Times New Roman"/>
                <w:bCs/>
                <w:color w:val="auto"/>
                <w:kern w:val="0"/>
                <w:sz w:val="24"/>
                <w:lang w:bidi="ar"/>
              </w:rPr>
            </w:pPr>
            <w:r>
              <w:rPr>
                <w:rFonts w:hint="default" w:ascii="Times New Roman" w:hAnsi="Times New Roman" w:eastAsia="宋体" w:cs="Times New Roman"/>
                <w:color w:val="auto"/>
                <w:kern w:val="0"/>
                <w:sz w:val="24"/>
                <w:lang w:bidi="ar"/>
              </w:rPr>
              <w:t>本工程岸线的确定是充分考虑了水流的规律，与河势流向相适应，沿现有岸边布置。因此工程实施后，在枯水季节，对河道水文情势无任何影响，基本不会改变原河床的冲刷规律；但在丰水期，特别是发生大洪水时，护岸工程能抑制洪水对两岸的冲刷，由于护岸限制了洪水向河道外侧的流向，一定程度上增大了河水的流速，势必加大对河槽和河漫滩的冲刷深度，此时河流输沙量会比未建护岸前增加，部分河心滩可能缩小甚至消失，根据国内工程实践经验，在经过两到三次大洪水后，河道会产生新的冲淤平衡，对河道影响较小。</w:t>
            </w:r>
          </w:p>
          <w:p>
            <w:pPr>
              <w:widowControl/>
              <w:adjustRightInd w:val="0"/>
              <w:snapToGrid w:val="0"/>
              <w:spacing w:line="360" w:lineRule="auto"/>
              <w:ind w:firstLine="482" w:firstLineChars="200"/>
              <w:jc w:val="left"/>
              <w:rPr>
                <w:rFonts w:hint="default" w:ascii="Times New Roman" w:hAnsi="Times New Roman" w:eastAsia="宋体" w:cs="Times New Roman"/>
                <w:b/>
                <w:bCs w:val="0"/>
                <w:color w:val="auto"/>
                <w:sz w:val="24"/>
              </w:rPr>
            </w:pPr>
            <w:r>
              <w:rPr>
                <w:rFonts w:hint="default" w:ascii="Times New Roman" w:hAnsi="Times New Roman" w:eastAsia="宋体" w:cs="Times New Roman"/>
                <w:b/>
                <w:bCs w:val="0"/>
                <w:color w:val="auto"/>
                <w:kern w:val="0"/>
                <w:sz w:val="24"/>
                <w:lang w:val="en-US" w:eastAsia="zh-CN" w:bidi="ar"/>
              </w:rPr>
              <w:t>3、</w:t>
            </w:r>
            <w:r>
              <w:rPr>
                <w:rFonts w:hint="default" w:ascii="Times New Roman" w:hAnsi="Times New Roman" w:eastAsia="宋体" w:cs="Times New Roman"/>
                <w:b/>
                <w:bCs w:val="0"/>
                <w:color w:val="auto"/>
                <w:kern w:val="0"/>
                <w:sz w:val="24"/>
                <w:lang w:bidi="ar"/>
              </w:rPr>
              <w:t xml:space="preserve">对河势稳定的影响分析 </w:t>
            </w:r>
          </w:p>
          <w:p>
            <w:pPr>
              <w:widowControl/>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w:t>
            </w:r>
            <w:r>
              <w:rPr>
                <w:rFonts w:hint="default" w:ascii="Times New Roman" w:hAnsi="Times New Roman" w:eastAsia="宋体" w:cs="Times New Roman"/>
                <w:color w:val="auto"/>
                <w:kern w:val="0"/>
                <w:sz w:val="24"/>
              </w:rPr>
              <w:t>项目堤防堤线平顺，基本不改变现有的河势。为使行洪通道畅通，堤线布置与造床流量下的河道主河槽大致平行对河道水流流速无影响，不会对河道河势稳定产生不良影响</w:t>
            </w:r>
            <w:r>
              <w:rPr>
                <w:rFonts w:hint="default" w:ascii="Times New Roman" w:hAnsi="Times New Roman" w:eastAsia="宋体" w:cs="Times New Roman"/>
                <w:color w:val="auto"/>
                <w:sz w:val="24"/>
              </w:rPr>
              <w:t>。</w:t>
            </w:r>
          </w:p>
          <w:p>
            <w:pPr>
              <w:widowControl/>
              <w:adjustRightInd w:val="0"/>
              <w:snapToGrid w:val="0"/>
              <w:spacing w:line="360" w:lineRule="auto"/>
              <w:ind w:firstLine="482" w:firstLineChars="200"/>
              <w:jc w:val="left"/>
              <w:rPr>
                <w:rFonts w:hint="default" w:ascii="Times New Roman" w:hAnsi="Times New Roman" w:eastAsia="宋体" w:cs="Times New Roman"/>
                <w:b/>
                <w:bCs w:val="0"/>
                <w:color w:val="auto"/>
                <w:kern w:val="0"/>
                <w:sz w:val="24"/>
                <w:lang w:bidi="ar"/>
              </w:rPr>
            </w:pPr>
            <w:r>
              <w:rPr>
                <w:rFonts w:hint="default" w:ascii="Times New Roman" w:hAnsi="Times New Roman" w:eastAsia="宋体" w:cs="Times New Roman"/>
                <w:b/>
                <w:bCs w:val="0"/>
                <w:color w:val="auto"/>
                <w:kern w:val="0"/>
                <w:sz w:val="24"/>
                <w:lang w:val="en-US" w:eastAsia="zh-CN" w:bidi="ar"/>
              </w:rPr>
              <w:t>4、</w:t>
            </w:r>
            <w:r>
              <w:rPr>
                <w:rFonts w:hint="default" w:ascii="Times New Roman" w:hAnsi="Times New Roman" w:eastAsia="宋体" w:cs="Times New Roman"/>
                <w:b/>
                <w:bCs w:val="0"/>
                <w:color w:val="auto"/>
                <w:kern w:val="0"/>
                <w:sz w:val="24"/>
                <w:lang w:bidi="ar"/>
              </w:rPr>
              <w:t>社会效益、环境正效应分析</w:t>
            </w:r>
          </w:p>
          <w:p>
            <w:pPr>
              <w:widowControl w:val="0"/>
              <w:adjustRightInd w:val="0"/>
              <w:snapToGrid w:val="0"/>
              <w:spacing w:after="0" w:line="360" w:lineRule="auto"/>
              <w:ind w:left="0" w:leftChars="0" w:firstLine="480" w:firstLineChars="20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（1）通过防洪治理工程的建设，将有效地治理和保护河水资源，更有利于水资源的高效利用，以优化配置水资源，更好服务于生产。</w:t>
            </w:r>
          </w:p>
          <w:p>
            <w:pPr>
              <w:widowControl w:val="0"/>
              <w:adjustRightInd w:val="0"/>
              <w:snapToGrid w:val="0"/>
              <w:spacing w:after="0" w:line="360" w:lineRule="auto"/>
              <w:ind w:left="0" w:leftChars="0" w:firstLine="480" w:firstLineChars="20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 xml:space="preserve">（2）工程措施的实施能够有效避免洪灾引起水质和卫生条件恶化，造成疫病流行，居民健康水平下降。 </w:t>
            </w:r>
          </w:p>
          <w:p>
            <w:pPr>
              <w:widowControl w:val="0"/>
              <w:adjustRightInd w:val="0"/>
              <w:snapToGrid w:val="0"/>
              <w:spacing w:after="0" w:line="360" w:lineRule="auto"/>
              <w:ind w:left="0" w:leftChars="0" w:firstLine="480" w:firstLineChars="20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（3）本工程的建设可以有效改善工程河岸的乡镇面貌，美化居民的生产生活环境，提升乡镇形象，改善环境和居民生活条件以及提高居民生活质量。</w:t>
            </w:r>
          </w:p>
          <w:p>
            <w:pPr>
              <w:widowControl w:val="0"/>
              <w:adjustRightInd w:val="0"/>
              <w:snapToGrid w:val="0"/>
              <w:spacing w:after="0" w:line="360" w:lineRule="auto"/>
              <w:ind w:left="0" w:leftChars="0" w:firstLine="480" w:firstLineChars="20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（4）项目的建设可有效解决当地人民受的洪水威胁，避免洪水灾害造成了人民生命财产损失，避免房屋、耕地、基础设施被淹。保证工农业生产的持续发展，有利于社会的稳定。</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宋体" w:hAnsi="宋体" w:cs="宋体"/>
                <w:bCs/>
                <w:color w:val="0000FF"/>
                <w:sz w:val="24"/>
                <w:szCs w:val="24"/>
              </w:rPr>
            </w:pPr>
            <w:r>
              <w:rPr>
                <w:rFonts w:hint="default" w:ascii="Times New Roman" w:hAnsi="Times New Roman" w:eastAsia="宋体" w:cs="Times New Roman"/>
                <w:color w:val="auto"/>
                <w:kern w:val="2"/>
                <w:sz w:val="24"/>
                <w:szCs w:val="24"/>
                <w:lang w:val="en-US" w:eastAsia="zh-CN" w:bidi="ar-SA"/>
              </w:rPr>
              <w:t>（5）建立防洪体系，确保河势及岸线的稳定，提高</w:t>
            </w:r>
            <w:r>
              <w:rPr>
                <w:rFonts w:hint="eastAsia" w:cs="Times New Roman"/>
                <w:color w:val="auto"/>
                <w:kern w:val="2"/>
                <w:sz w:val="24"/>
                <w:szCs w:val="24"/>
                <w:lang w:val="en-US" w:eastAsia="zh-CN" w:bidi="ar-SA"/>
              </w:rPr>
              <w:t>临江河</w:t>
            </w:r>
            <w:r>
              <w:rPr>
                <w:rFonts w:hint="default" w:ascii="Times New Roman" w:hAnsi="Times New Roman" w:eastAsia="宋体" w:cs="Times New Roman"/>
                <w:color w:val="auto"/>
                <w:kern w:val="2"/>
                <w:sz w:val="24"/>
                <w:szCs w:val="24"/>
                <w:lang w:val="en-US" w:eastAsia="zh-CN" w:bidi="ar-SA"/>
              </w:rPr>
              <w:t>的防冲能力，完善保护区排涝体系，修复河岸线的生态，稳定社会，保护环境。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1" w:type="pct"/>
            <w:noWrap w:val="0"/>
            <w:vAlign w:val="center"/>
          </w:tcPr>
          <w:p>
            <w:pPr>
              <w:pStyle w:val="37"/>
              <w:keepNext w:val="0"/>
              <w:keepLines w:val="0"/>
              <w:pageBreakBefore w:val="0"/>
              <w:kinsoku/>
              <w:wordWrap/>
              <w:overflowPunct/>
              <w:topLinePunct w:val="0"/>
              <w:bidi w:val="0"/>
              <w:adjustRightInd w:val="0"/>
              <w:snapToGrid w:val="0"/>
              <w:spacing w:before="0" w:beforeAutospacing="0" w:after="0" w:afterAutospacing="0"/>
              <w:jc w:val="center"/>
              <w:textAlignment w:val="auto"/>
              <w:rPr>
                <w:rFonts w:cs="宋体"/>
                <w:bCs/>
                <w:kern w:val="2"/>
                <w:sz w:val="24"/>
                <w:szCs w:val="24"/>
              </w:rPr>
            </w:pPr>
            <w:r>
              <w:rPr>
                <w:rFonts w:hint="eastAsia" w:cs="宋体"/>
                <w:bCs/>
                <w:kern w:val="2"/>
                <w:sz w:val="24"/>
                <w:szCs w:val="24"/>
              </w:rPr>
              <w:t>选址选线环境合理性分析</w:t>
            </w:r>
          </w:p>
        </w:tc>
        <w:tc>
          <w:tcPr>
            <w:tcW w:w="4768" w:type="pct"/>
            <w:noWrap w:val="0"/>
            <w:vAlign w:val="center"/>
          </w:tcPr>
          <w:p>
            <w:pPr>
              <w:pageBreakBefore w:val="0"/>
              <w:kinsoku/>
              <w:wordWrap/>
              <w:overflowPunct/>
              <w:topLinePunct w:val="0"/>
              <w:bidi w:val="0"/>
              <w:adjustRightInd w:val="0"/>
              <w:snapToGrid w:val="0"/>
              <w:spacing w:line="360" w:lineRule="auto"/>
              <w:ind w:left="0" w:leftChars="0" w:right="0" w:rightChars="0" w:firstLine="482" w:firstLineChars="200"/>
              <w:jc w:val="both"/>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1、项目选址合理性分析</w:t>
            </w:r>
          </w:p>
          <w:p>
            <w:pPr>
              <w:pageBreakBefore w:val="0"/>
              <w:kinsoku/>
              <w:wordWrap/>
              <w:overflowPunct/>
              <w:topLinePunct w:val="0"/>
              <w:bidi w:val="0"/>
              <w:adjustRightInd w:val="0"/>
              <w:snapToGrid w:val="0"/>
              <w:spacing w:line="360" w:lineRule="auto"/>
              <w:ind w:left="0" w:leftChars="0" w:right="0" w:rightChars="0" w:firstLine="480" w:firstLineChars="200"/>
              <w:jc w:val="both"/>
              <w:rPr>
                <w:rFonts w:ascii="Times New Roman" w:hAnsi="Times New Roman"/>
                <w:sz w:val="24"/>
              </w:rPr>
            </w:pPr>
            <w:r>
              <w:rPr>
                <w:rFonts w:hint="default" w:ascii="Times New Roman" w:hAnsi="Times New Roman" w:eastAsia="宋体" w:cs="Times New Roman"/>
                <w:color w:val="auto"/>
                <w:kern w:val="2"/>
                <w:sz w:val="24"/>
                <w:szCs w:val="24"/>
                <w:lang w:val="en-US" w:eastAsia="zh-CN" w:bidi="ar-SA"/>
              </w:rPr>
              <w:t>项目位于</w:t>
            </w:r>
            <w:r>
              <w:rPr>
                <w:rFonts w:hint="default" w:ascii="Times New Roman" w:hAnsi="Times New Roman" w:eastAsia="宋体" w:cs="Times New Roman"/>
                <w:color w:val="auto"/>
                <w:kern w:val="2"/>
                <w:sz w:val="24"/>
                <w:szCs w:val="24"/>
                <w:lang w:val="zh-CN" w:eastAsia="zh-CN" w:bidi="ar-SA"/>
              </w:rPr>
              <w:t>乐山市</w:t>
            </w:r>
            <w:r>
              <w:rPr>
                <w:rFonts w:hint="eastAsia" w:cs="Times New Roman"/>
                <w:color w:val="auto"/>
                <w:kern w:val="2"/>
                <w:sz w:val="24"/>
                <w:szCs w:val="24"/>
                <w:lang w:val="en-US" w:eastAsia="zh-CN" w:bidi="ar-SA"/>
              </w:rPr>
              <w:t>市</w:t>
            </w:r>
            <w:r>
              <w:rPr>
                <w:rFonts w:hint="default" w:ascii="Times New Roman" w:hAnsi="Times New Roman" w:eastAsia="宋体" w:cs="Times New Roman"/>
                <w:color w:val="auto"/>
                <w:kern w:val="2"/>
                <w:sz w:val="24"/>
                <w:szCs w:val="24"/>
                <w:lang w:val="zh-CN" w:eastAsia="zh-CN" w:bidi="ar-SA"/>
              </w:rPr>
              <w:t>中区临江河平兴镇游坝村</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zh-CN" w:eastAsia="zh-CN" w:bidi="ar-SA"/>
              </w:rPr>
              <w:t>三圣村段河段，工程起于游坝村皂角冲，止于三圣村琵琶沱</w:t>
            </w:r>
            <w:r>
              <w:rPr>
                <w:rFonts w:hint="eastAsia" w:eastAsia="宋体" w:cs="Times New Roman"/>
                <w:color w:val="auto"/>
                <w:kern w:val="2"/>
                <w:sz w:val="24"/>
                <w:szCs w:val="24"/>
                <w:lang w:val="zh-CN" w:eastAsia="zh-CN" w:bidi="ar-SA"/>
              </w:rPr>
              <w:t>，</w:t>
            </w:r>
            <w:r>
              <w:rPr>
                <w:rFonts w:hint="default" w:ascii="Times New Roman" w:hAnsi="Times New Roman" w:eastAsia="宋体" w:cs="Times New Roman"/>
                <w:b w:val="0"/>
                <w:bCs w:val="0"/>
                <w:color w:val="auto"/>
                <w:sz w:val="24"/>
              </w:rPr>
              <w:t>新建堤防护岸长度1853m</w:t>
            </w:r>
            <w:r>
              <w:rPr>
                <w:rFonts w:hint="eastAsia" w:cs="Times New Roman"/>
                <w:b w:val="0"/>
                <w:bCs w:val="0"/>
                <w:color w:val="auto"/>
                <w:sz w:val="24"/>
                <w:lang w:eastAsia="zh-CN"/>
              </w:rPr>
              <w:t>（</w:t>
            </w:r>
            <w:r>
              <w:rPr>
                <w:rFonts w:hint="eastAsia" w:cs="Times New Roman"/>
                <w:b w:val="0"/>
                <w:bCs w:val="0"/>
                <w:color w:val="auto"/>
                <w:sz w:val="24"/>
                <w:lang w:val="en-US" w:eastAsia="zh-CN"/>
              </w:rPr>
              <w:t>左岸堤防1110m，右岸堤防170m，右岸护岸573m</w:t>
            </w:r>
            <w:r>
              <w:rPr>
                <w:rFonts w:hint="eastAsia" w:cs="Times New Roman"/>
                <w:b w:val="0"/>
                <w:bCs w:val="0"/>
                <w:color w:val="auto"/>
                <w:sz w:val="24"/>
                <w:lang w:eastAsia="zh-CN"/>
              </w:rPr>
              <w:t>）</w:t>
            </w:r>
            <w:r>
              <w:rPr>
                <w:rFonts w:hint="default" w:ascii="Times New Roman" w:hAnsi="Times New Roman" w:eastAsia="宋体" w:cs="Times New Roman"/>
                <w:b w:val="0"/>
                <w:bCs w:val="0"/>
                <w:color w:val="auto"/>
                <w:sz w:val="24"/>
              </w:rPr>
              <w:t>，加固堤防1520m，疏浚河道3</w:t>
            </w:r>
            <w:r>
              <w:rPr>
                <w:rFonts w:hint="eastAsia" w:cs="Times New Roman"/>
                <w:b w:val="0"/>
                <w:bCs w:val="0"/>
                <w:color w:val="auto"/>
                <w:sz w:val="24"/>
                <w:lang w:val="en-US" w:eastAsia="zh-CN"/>
              </w:rPr>
              <w:t>000</w:t>
            </w:r>
            <w:r>
              <w:rPr>
                <w:rFonts w:hint="default" w:ascii="Times New Roman" w:hAnsi="Times New Roman" w:eastAsia="宋体" w:cs="Times New Roman"/>
                <w:b w:val="0"/>
                <w:bCs w:val="0"/>
                <w:color w:val="auto"/>
                <w:sz w:val="24"/>
              </w:rPr>
              <w:t>m。</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eastAsia="宋体" w:cs="Times New Roman"/>
                <w:color w:val="auto"/>
                <w:kern w:val="2"/>
                <w:sz w:val="24"/>
                <w:szCs w:val="24"/>
                <w:lang w:val="zh-CN" w:eastAsia="zh-CN" w:bidi="ar-SA"/>
              </w:rPr>
              <w:t>项目的建设主要为保护堤防内侧居民、耕地等，建成后保持原有走势，项目建成后保证工农业生产的持续发展，有利于社会的稳定，故项目选线合理。项目所在区域不在自然保护区和集中式饮用水源保护区内，没有需要特殊保护的珍稀陆生及水生动植物物种。外环境关系对本项目的建设制约因素较</w:t>
            </w:r>
            <w:r>
              <w:rPr>
                <w:rFonts w:hint="eastAsia" w:ascii="Times New Roman" w:hAnsi="Times New Roman" w:eastAsia="宋体" w:cs="Times New Roman"/>
                <w:color w:val="auto"/>
                <w:kern w:val="2"/>
                <w:sz w:val="24"/>
                <w:szCs w:val="24"/>
                <w:lang w:val="en-US" w:eastAsia="zh-CN" w:bidi="ar-SA"/>
              </w:rPr>
              <w:t>少</w:t>
            </w:r>
            <w:r>
              <w:rPr>
                <w:rFonts w:hint="default" w:ascii="Times New Roman" w:hAnsi="Times New Roman" w:eastAsia="宋体" w:cs="Times New Roman"/>
                <w:color w:val="auto"/>
                <w:kern w:val="2"/>
                <w:sz w:val="24"/>
                <w:szCs w:val="24"/>
                <w:lang w:val="zh-CN" w:eastAsia="zh-CN" w:bidi="ar-SA"/>
              </w:rPr>
              <w:t>。</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eastAsia="宋体" w:cs="Times New Roman"/>
                <w:color w:val="auto"/>
                <w:kern w:val="2"/>
                <w:sz w:val="24"/>
                <w:szCs w:val="24"/>
                <w:lang w:val="zh-CN" w:eastAsia="zh-CN" w:bidi="ar-SA"/>
              </w:rPr>
              <w:t>故项目选址选线合理。</w:t>
            </w:r>
          </w:p>
          <w:p>
            <w:pPr>
              <w:pageBreakBefore w:val="0"/>
              <w:kinsoku/>
              <w:wordWrap/>
              <w:overflowPunct/>
              <w:topLinePunct w:val="0"/>
              <w:bidi w:val="0"/>
              <w:adjustRightInd w:val="0"/>
              <w:snapToGrid w:val="0"/>
              <w:spacing w:line="360" w:lineRule="auto"/>
              <w:ind w:left="0" w:leftChars="0" w:right="0" w:rightChars="0" w:firstLine="482" w:firstLineChars="200"/>
              <w:jc w:val="both"/>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2</w:t>
            </w:r>
            <w:r>
              <w:rPr>
                <w:rFonts w:hint="default" w:ascii="Times New Roman" w:hAnsi="Times New Roman" w:eastAsia="宋体" w:cs="Times New Roman"/>
                <w:b/>
                <w:bCs/>
                <w:color w:val="auto"/>
                <w:kern w:val="2"/>
                <w:sz w:val="24"/>
                <w:szCs w:val="24"/>
                <w:lang w:val="en-US" w:eastAsia="zh-CN" w:bidi="ar-SA"/>
              </w:rPr>
              <w:t>、</w:t>
            </w:r>
            <w:r>
              <w:rPr>
                <w:rFonts w:hint="eastAsia" w:ascii="Times New Roman" w:hAnsi="Times New Roman" w:eastAsia="宋体" w:cs="Times New Roman"/>
                <w:b/>
                <w:bCs/>
                <w:color w:val="auto"/>
                <w:kern w:val="2"/>
                <w:sz w:val="24"/>
                <w:szCs w:val="24"/>
                <w:lang w:val="en-US" w:eastAsia="zh-CN" w:bidi="ar-SA"/>
              </w:rPr>
              <w:t>1#渣场</w:t>
            </w:r>
            <w:r>
              <w:rPr>
                <w:rFonts w:hint="default" w:ascii="Times New Roman" w:hAnsi="Times New Roman" w:eastAsia="宋体" w:cs="Times New Roman"/>
                <w:b/>
                <w:bCs/>
                <w:color w:val="auto"/>
                <w:kern w:val="2"/>
                <w:sz w:val="24"/>
                <w:szCs w:val="24"/>
                <w:lang w:val="en-US" w:eastAsia="zh-CN" w:bidi="ar-SA"/>
              </w:rPr>
              <w:t>选址合理性分析</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eastAsia="宋体" w:cs="Times New Roman"/>
                <w:color w:val="auto"/>
                <w:kern w:val="2"/>
                <w:sz w:val="24"/>
                <w:szCs w:val="24"/>
                <w:lang w:val="zh-CN" w:eastAsia="zh-CN" w:bidi="ar-SA"/>
              </w:rPr>
              <w:t>（1）1#</w:t>
            </w:r>
            <w:r>
              <w:rPr>
                <w:rFonts w:hint="eastAsia" w:ascii="Times New Roman" w:hAnsi="Times New Roman" w:eastAsia="宋体" w:cs="Times New Roman"/>
                <w:color w:val="auto"/>
                <w:kern w:val="2"/>
                <w:sz w:val="24"/>
                <w:szCs w:val="24"/>
                <w:lang w:val="en-US" w:eastAsia="zh-CN" w:bidi="ar-SA"/>
              </w:rPr>
              <w:t>弃</w:t>
            </w:r>
            <w:r>
              <w:rPr>
                <w:rFonts w:hint="default" w:ascii="Times New Roman" w:hAnsi="Times New Roman" w:eastAsia="宋体" w:cs="Times New Roman"/>
                <w:color w:val="auto"/>
                <w:kern w:val="2"/>
                <w:sz w:val="24"/>
                <w:szCs w:val="24"/>
                <w:lang w:val="zh-CN" w:eastAsia="zh-CN" w:bidi="ar-SA"/>
              </w:rPr>
              <w:t>渣场的外环境关系</w:t>
            </w:r>
          </w:p>
          <w:p>
            <w:pPr>
              <w:spacing w:line="360" w:lineRule="auto"/>
              <w:ind w:firstLine="480" w:firstLineChars="200"/>
              <w:rPr>
                <w:rFonts w:eastAsia="宋体"/>
                <w:color w:val="auto"/>
                <w:sz w:val="24"/>
              </w:rPr>
            </w:pPr>
            <w:r>
              <w:rPr>
                <w:rFonts w:hint="eastAsia" w:eastAsia="宋体"/>
                <w:color w:val="auto"/>
                <w:sz w:val="24"/>
              </w:rPr>
              <w:t>项目</w:t>
            </w:r>
            <w:r>
              <w:rPr>
                <w:rFonts w:hint="eastAsia" w:eastAsia="宋体"/>
                <w:color w:val="auto"/>
                <w:sz w:val="24"/>
                <w:lang w:val="en-US" w:eastAsia="zh-CN"/>
              </w:rPr>
              <w:t>1#弃</w:t>
            </w:r>
            <w:r>
              <w:rPr>
                <w:rFonts w:hint="eastAsia" w:eastAsia="宋体"/>
                <w:color w:val="auto"/>
                <w:sz w:val="24"/>
              </w:rPr>
              <w:t>渣场占地</w:t>
            </w:r>
            <w:r>
              <w:rPr>
                <w:rFonts w:hint="eastAsia" w:eastAsia="宋体"/>
                <w:color w:val="auto"/>
                <w:sz w:val="24"/>
                <w:lang w:val="en-US" w:eastAsia="zh-CN"/>
              </w:rPr>
              <w:t>36</w:t>
            </w:r>
            <w:r>
              <w:rPr>
                <w:rFonts w:hint="eastAsia" w:eastAsia="宋体"/>
                <w:color w:val="auto"/>
                <w:sz w:val="24"/>
              </w:rPr>
              <w:t>00m</w:t>
            </w:r>
            <w:r>
              <w:rPr>
                <w:rFonts w:hint="eastAsia" w:eastAsia="宋体"/>
                <w:color w:val="auto"/>
                <w:sz w:val="24"/>
                <w:vertAlign w:val="superscript"/>
              </w:rPr>
              <w:t>2</w:t>
            </w:r>
            <w:r>
              <w:rPr>
                <w:rFonts w:hint="eastAsia" w:eastAsia="宋体"/>
                <w:color w:val="auto"/>
                <w:sz w:val="24"/>
                <w:vertAlign w:val="baseline"/>
                <w:lang w:eastAsia="zh-CN"/>
              </w:rPr>
              <w:t>（</w:t>
            </w:r>
            <w:r>
              <w:rPr>
                <w:rFonts w:hint="eastAsia" w:eastAsia="宋体"/>
                <w:color w:val="auto"/>
                <w:sz w:val="24"/>
                <w:vertAlign w:val="baseline"/>
                <w:lang w:val="en-US" w:eastAsia="zh-CN"/>
              </w:rPr>
              <w:t>5.4亩</w:t>
            </w:r>
            <w:r>
              <w:rPr>
                <w:rFonts w:hint="eastAsia" w:eastAsia="宋体"/>
                <w:color w:val="auto"/>
                <w:sz w:val="24"/>
                <w:vertAlign w:val="baseline"/>
                <w:lang w:eastAsia="zh-CN"/>
              </w:rPr>
              <w:t>）</w:t>
            </w:r>
            <w:r>
              <w:rPr>
                <w:rFonts w:hint="eastAsia" w:eastAsia="宋体"/>
                <w:color w:val="auto"/>
                <w:sz w:val="24"/>
              </w:rPr>
              <w:t>，位于项目</w:t>
            </w:r>
            <w:r>
              <w:rPr>
                <w:rFonts w:hint="eastAsia" w:eastAsia="宋体"/>
                <w:color w:val="auto"/>
                <w:sz w:val="24"/>
                <w:lang w:val="en-US" w:eastAsia="zh-CN"/>
              </w:rPr>
              <w:t>临6</w:t>
            </w:r>
            <w:r>
              <w:rPr>
                <w:rFonts w:hint="eastAsia" w:eastAsia="宋体"/>
                <w:color w:val="auto"/>
                <w:sz w:val="24"/>
              </w:rPr>
              <w:t>+</w:t>
            </w:r>
            <w:r>
              <w:rPr>
                <w:rFonts w:hint="eastAsia" w:eastAsia="宋体"/>
                <w:color w:val="auto"/>
                <w:sz w:val="24"/>
                <w:lang w:val="en-US" w:eastAsia="zh-CN"/>
              </w:rPr>
              <w:t>1</w:t>
            </w:r>
            <w:r>
              <w:rPr>
                <w:rFonts w:hint="eastAsia" w:eastAsia="宋体"/>
                <w:color w:val="auto"/>
                <w:sz w:val="24"/>
              </w:rPr>
              <w:t>00.00</w:t>
            </w:r>
            <w:r>
              <w:rPr>
                <w:rFonts w:hint="eastAsia" w:eastAsia="宋体"/>
                <w:color w:val="auto"/>
                <w:sz w:val="24"/>
                <w:lang w:val="en-US" w:eastAsia="zh-CN"/>
              </w:rPr>
              <w:t>左岸约15m处</w:t>
            </w:r>
            <w:r>
              <w:rPr>
                <w:rFonts w:hint="eastAsia" w:eastAsia="宋体"/>
                <w:color w:val="auto"/>
                <w:sz w:val="24"/>
              </w:rPr>
              <w:t>，占地类型为耕地。</w:t>
            </w:r>
            <w:r>
              <w:rPr>
                <w:rFonts w:hint="eastAsia" w:eastAsia="宋体"/>
                <w:color w:val="auto"/>
                <w:sz w:val="24"/>
                <w:lang w:val="en-US" w:eastAsia="zh-CN"/>
              </w:rPr>
              <w:t>1#</w:t>
            </w:r>
            <w:r>
              <w:rPr>
                <w:rFonts w:hint="eastAsia" w:eastAsia="宋体"/>
                <w:color w:val="auto"/>
                <w:sz w:val="24"/>
              </w:rPr>
              <w:t>弃渣场</w:t>
            </w:r>
            <w:r>
              <w:rPr>
                <w:rFonts w:hint="eastAsia" w:eastAsia="宋体"/>
                <w:color w:val="auto"/>
                <w:sz w:val="24"/>
                <w:lang w:val="en-US" w:eastAsia="zh-CN"/>
              </w:rPr>
              <w:t>西</w:t>
            </w:r>
            <w:r>
              <w:rPr>
                <w:rFonts w:hint="eastAsia" w:eastAsia="宋体"/>
                <w:color w:val="auto"/>
                <w:sz w:val="24"/>
              </w:rPr>
              <w:t>北侧</w:t>
            </w:r>
            <w:r>
              <w:rPr>
                <w:rFonts w:hint="eastAsia" w:eastAsia="宋体"/>
                <w:color w:val="auto"/>
                <w:sz w:val="24"/>
                <w:lang w:val="en-US" w:eastAsia="zh-CN"/>
              </w:rPr>
              <w:t>约90m</w:t>
            </w:r>
            <w:r>
              <w:rPr>
                <w:rFonts w:hint="eastAsia" w:eastAsia="宋体"/>
                <w:color w:val="auto"/>
                <w:sz w:val="24"/>
              </w:rPr>
              <w:t>为</w:t>
            </w:r>
            <w:r>
              <w:rPr>
                <w:rFonts w:hint="eastAsia" w:eastAsia="宋体"/>
                <w:color w:val="auto"/>
                <w:sz w:val="24"/>
                <w:lang w:val="en-US" w:eastAsia="zh-CN"/>
              </w:rPr>
              <w:t>1户居民</w:t>
            </w:r>
            <w:r>
              <w:rPr>
                <w:rFonts w:hint="eastAsia" w:eastAsia="宋体"/>
                <w:color w:val="auto"/>
                <w:sz w:val="24"/>
              </w:rPr>
              <w:t>，</w:t>
            </w:r>
            <w:r>
              <w:rPr>
                <w:rFonts w:hint="eastAsia" w:eastAsia="宋体"/>
                <w:color w:val="auto"/>
                <w:sz w:val="24"/>
                <w:lang w:val="en-US" w:eastAsia="zh-CN"/>
              </w:rPr>
              <w:t>地势高程相差7m；西北</w:t>
            </w:r>
            <w:r>
              <w:rPr>
                <w:rFonts w:hint="eastAsia" w:eastAsia="宋体"/>
                <w:color w:val="auto"/>
                <w:sz w:val="24"/>
              </w:rPr>
              <w:t>侧</w:t>
            </w:r>
            <w:r>
              <w:rPr>
                <w:rFonts w:hint="eastAsia" w:eastAsia="宋体"/>
                <w:color w:val="auto"/>
                <w:sz w:val="24"/>
                <w:lang w:val="en-US" w:eastAsia="zh-CN"/>
              </w:rPr>
              <w:t>70</w:t>
            </w:r>
            <w:r>
              <w:rPr>
                <w:rFonts w:hint="eastAsia" w:eastAsia="宋体"/>
                <w:color w:val="auto"/>
                <w:sz w:val="24"/>
              </w:rPr>
              <w:t>m</w:t>
            </w:r>
            <w:r>
              <w:rPr>
                <w:rFonts w:hint="eastAsia" w:eastAsia="宋体"/>
                <w:color w:val="auto"/>
                <w:sz w:val="24"/>
                <w:lang w:val="en-US" w:eastAsia="zh-CN"/>
              </w:rPr>
              <w:t>有3户居民</w:t>
            </w:r>
            <w:r>
              <w:rPr>
                <w:rFonts w:hint="eastAsia" w:eastAsia="宋体"/>
                <w:color w:val="auto"/>
                <w:sz w:val="24"/>
              </w:rPr>
              <w:t>，</w:t>
            </w:r>
            <w:r>
              <w:rPr>
                <w:rFonts w:hint="eastAsia" w:eastAsia="宋体"/>
                <w:color w:val="auto"/>
                <w:sz w:val="24"/>
                <w:lang w:val="en-US" w:eastAsia="zh-CN"/>
              </w:rPr>
              <w:t>地势高程相差8m；其余方向</w:t>
            </w:r>
            <w:r>
              <w:rPr>
                <w:rFonts w:hint="eastAsia" w:eastAsia="宋体"/>
                <w:color w:val="auto"/>
                <w:sz w:val="24"/>
              </w:rPr>
              <w:t>为耕地。经现场调查核实，</w:t>
            </w:r>
            <w:r>
              <w:rPr>
                <w:rFonts w:hint="eastAsia" w:eastAsia="宋体"/>
                <w:color w:val="auto"/>
                <w:sz w:val="24"/>
                <w:lang w:val="en-US" w:eastAsia="zh-CN"/>
              </w:rPr>
              <w:t>1#</w:t>
            </w:r>
            <w:r>
              <w:rPr>
                <w:rFonts w:hint="eastAsia" w:eastAsia="宋体"/>
                <w:color w:val="auto"/>
                <w:sz w:val="24"/>
              </w:rPr>
              <w:t>时弃渣场</w:t>
            </w:r>
            <w:r>
              <w:rPr>
                <w:rFonts w:eastAsia="宋体"/>
                <w:color w:val="auto"/>
                <w:kern w:val="0"/>
                <w:sz w:val="24"/>
              </w:rPr>
              <w:t>周围500m范围内无风景</w:t>
            </w:r>
            <w:r>
              <w:rPr>
                <w:rFonts w:hint="eastAsia" w:eastAsia="宋体"/>
                <w:color w:val="auto"/>
                <w:kern w:val="0"/>
                <w:sz w:val="24"/>
              </w:rPr>
              <w:t>名胜区、自然保护区</w:t>
            </w:r>
            <w:r>
              <w:rPr>
                <w:rFonts w:eastAsia="宋体"/>
                <w:color w:val="auto"/>
                <w:kern w:val="0"/>
                <w:sz w:val="24"/>
              </w:rPr>
              <w:t>、名胜古迹、生活饮用水源地、生态脆弱敏感区和其他需要特别保护的敏感目标</w:t>
            </w:r>
            <w:r>
              <w:rPr>
                <w:rFonts w:hint="eastAsia" w:eastAsia="宋体"/>
                <w:color w:val="auto"/>
                <w:kern w:val="0"/>
                <w:sz w:val="24"/>
              </w:rPr>
              <w:t>；同时根据现场调查，临时弃渣场周边人类活动频繁，无珍稀动植物存在。</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eastAsia="宋体" w:cs="Times New Roman"/>
                <w:color w:val="auto"/>
                <w:kern w:val="2"/>
                <w:sz w:val="24"/>
                <w:szCs w:val="24"/>
                <w:lang w:val="zh-CN" w:eastAsia="zh-CN" w:bidi="ar-SA"/>
              </w:rPr>
              <w:t>（2）选址合理性分析</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eastAsia="宋体" w:cs="Times New Roman"/>
                <w:color w:val="auto"/>
                <w:kern w:val="2"/>
                <w:sz w:val="24"/>
                <w:szCs w:val="24"/>
                <w:lang w:val="zh-CN" w:eastAsia="zh-CN" w:bidi="ar-SA"/>
              </w:rPr>
              <w:t>根据项目初步设计报告，</w:t>
            </w:r>
            <w:r>
              <w:rPr>
                <w:rFonts w:hint="eastAsia" w:ascii="Times New Roman" w:hAnsi="Times New Roman" w:eastAsia="宋体" w:cs="Times New Roman"/>
                <w:color w:val="auto"/>
                <w:kern w:val="2"/>
                <w:sz w:val="24"/>
                <w:szCs w:val="24"/>
                <w:lang w:val="en-US" w:eastAsia="zh-CN" w:bidi="ar-SA"/>
              </w:rPr>
              <w:t>1#</w:t>
            </w:r>
            <w:r>
              <w:rPr>
                <w:rFonts w:hint="default" w:ascii="Times New Roman" w:hAnsi="Times New Roman" w:eastAsia="宋体" w:cs="Times New Roman"/>
                <w:color w:val="auto"/>
                <w:kern w:val="2"/>
                <w:sz w:val="24"/>
                <w:szCs w:val="24"/>
                <w:lang w:val="zh-CN" w:eastAsia="zh-CN" w:bidi="ar-SA"/>
              </w:rPr>
              <w:t>弃渣场</w:t>
            </w:r>
            <w:r>
              <w:rPr>
                <w:rFonts w:hint="eastAsia" w:ascii="Times New Roman" w:hAnsi="Times New Roman" w:eastAsia="宋体" w:cs="Times New Roman"/>
                <w:color w:val="auto"/>
                <w:kern w:val="2"/>
                <w:sz w:val="24"/>
                <w:szCs w:val="24"/>
                <w:lang w:val="en-US" w:eastAsia="zh-CN" w:bidi="ar-SA"/>
              </w:rPr>
              <w:t>堆</w:t>
            </w:r>
            <w:r>
              <w:rPr>
                <w:rFonts w:hint="default" w:ascii="Times New Roman" w:hAnsi="Times New Roman" w:eastAsia="宋体" w:cs="Times New Roman"/>
                <w:color w:val="auto"/>
                <w:kern w:val="2"/>
                <w:sz w:val="24"/>
                <w:szCs w:val="24"/>
                <w:lang w:val="zh-CN" w:eastAsia="zh-CN" w:bidi="ar-SA"/>
              </w:rPr>
              <w:t>高</w:t>
            </w:r>
            <w:r>
              <w:rPr>
                <w:rFonts w:hint="eastAsia" w:ascii="Times New Roman" w:hAnsi="Times New Roman" w:eastAsia="宋体" w:cs="Times New Roman"/>
                <w:color w:val="auto"/>
                <w:kern w:val="2"/>
                <w:sz w:val="24"/>
                <w:szCs w:val="24"/>
                <w:lang w:val="en-US" w:eastAsia="zh-CN" w:bidi="ar-SA"/>
              </w:rPr>
              <w:t>4</w:t>
            </w:r>
            <w:r>
              <w:rPr>
                <w:rFonts w:hint="default" w:ascii="Times New Roman" w:hAnsi="Times New Roman" w:eastAsia="宋体" w:cs="Times New Roman"/>
                <w:color w:val="auto"/>
                <w:kern w:val="2"/>
                <w:sz w:val="24"/>
                <w:szCs w:val="24"/>
                <w:lang w:val="zh-CN" w:eastAsia="zh-CN" w:bidi="ar-SA"/>
              </w:rPr>
              <w:t>m，可容量</w:t>
            </w:r>
            <w:r>
              <w:rPr>
                <w:rFonts w:hint="eastAsia" w:ascii="Times New Roman" w:hAnsi="Times New Roman" w:eastAsia="宋体" w:cs="Times New Roman"/>
                <w:color w:val="auto"/>
                <w:kern w:val="2"/>
                <w:sz w:val="24"/>
                <w:szCs w:val="24"/>
                <w:lang w:val="en-US" w:eastAsia="zh-CN" w:bidi="ar-SA"/>
              </w:rPr>
              <w:t>1.44</w:t>
            </w:r>
            <w:r>
              <w:rPr>
                <w:rFonts w:hint="default" w:ascii="Times New Roman" w:hAnsi="Times New Roman" w:eastAsia="宋体" w:cs="Times New Roman"/>
                <w:color w:val="auto"/>
                <w:kern w:val="2"/>
                <w:sz w:val="24"/>
                <w:szCs w:val="24"/>
                <w:lang w:val="zh-CN" w:eastAsia="zh-CN" w:bidi="ar-SA"/>
              </w:rPr>
              <w:t>万m</w:t>
            </w:r>
            <w:r>
              <w:rPr>
                <w:rFonts w:hint="default" w:ascii="Times New Roman" w:hAnsi="Times New Roman" w:eastAsia="宋体" w:cs="Times New Roman"/>
                <w:color w:val="auto"/>
                <w:kern w:val="2"/>
                <w:sz w:val="24"/>
                <w:szCs w:val="24"/>
                <w:vertAlign w:val="superscript"/>
                <w:lang w:val="zh-CN" w:eastAsia="zh-CN" w:bidi="ar-SA"/>
              </w:rPr>
              <w:t>3</w:t>
            </w:r>
            <w:r>
              <w:rPr>
                <w:rFonts w:hint="default" w:ascii="Times New Roman" w:hAnsi="Times New Roman" w:eastAsia="宋体" w:cs="Times New Roman"/>
                <w:color w:val="auto"/>
                <w:kern w:val="2"/>
                <w:sz w:val="24"/>
                <w:szCs w:val="24"/>
                <w:lang w:val="zh-CN" w:eastAsia="zh-CN" w:bidi="ar-SA"/>
              </w:rPr>
              <w:t>弃渣，项目施工期产生13781m</w:t>
            </w:r>
            <w:r>
              <w:rPr>
                <w:rFonts w:hint="default" w:ascii="Times New Roman" w:hAnsi="Times New Roman" w:eastAsia="宋体" w:cs="Times New Roman"/>
                <w:color w:val="auto"/>
                <w:kern w:val="2"/>
                <w:sz w:val="24"/>
                <w:szCs w:val="24"/>
                <w:vertAlign w:val="superscript"/>
                <w:lang w:val="zh-CN" w:eastAsia="zh-CN" w:bidi="ar-SA"/>
              </w:rPr>
              <w:t>3</w:t>
            </w:r>
            <w:r>
              <w:rPr>
                <w:rFonts w:hint="default" w:ascii="Times New Roman" w:hAnsi="Times New Roman" w:eastAsia="宋体" w:cs="Times New Roman"/>
                <w:color w:val="auto"/>
                <w:kern w:val="2"/>
                <w:sz w:val="24"/>
                <w:szCs w:val="24"/>
                <w:lang w:val="zh-CN" w:eastAsia="zh-CN" w:bidi="ar-SA"/>
              </w:rPr>
              <w:t>弃渣，完全有容积容纳工程建设过程中产生的弃渣。拟建项目设置的</w:t>
            </w:r>
            <w:r>
              <w:rPr>
                <w:rFonts w:hint="eastAsia" w:ascii="Times New Roman" w:hAnsi="Times New Roman" w:eastAsia="宋体" w:cs="Times New Roman"/>
                <w:color w:val="auto"/>
                <w:kern w:val="2"/>
                <w:sz w:val="24"/>
                <w:szCs w:val="24"/>
                <w:lang w:val="en-US" w:eastAsia="zh-CN" w:bidi="ar-SA"/>
              </w:rPr>
              <w:t>1#</w:t>
            </w:r>
            <w:r>
              <w:rPr>
                <w:rFonts w:hint="default" w:ascii="Times New Roman" w:hAnsi="Times New Roman" w:eastAsia="宋体" w:cs="Times New Roman"/>
                <w:color w:val="auto"/>
                <w:kern w:val="2"/>
                <w:sz w:val="24"/>
                <w:szCs w:val="24"/>
                <w:lang w:val="zh-CN" w:eastAsia="zh-CN" w:bidi="ar-SA"/>
              </w:rPr>
              <w:t>弃渣场临近道路，交通运输方便，同时堆场所在区域为非自然保护区、风景名胜区和其他需要特别保护的环境敏感区域。</w:t>
            </w:r>
            <w:r>
              <w:rPr>
                <w:rFonts w:hint="eastAsia" w:ascii="Times New Roman" w:hAnsi="Times New Roman" w:eastAsia="宋体" w:cs="Times New Roman"/>
                <w:color w:val="auto"/>
                <w:kern w:val="2"/>
                <w:sz w:val="24"/>
                <w:szCs w:val="24"/>
                <w:lang w:val="en-US" w:eastAsia="zh-CN" w:bidi="ar-SA"/>
              </w:rPr>
              <w:t>1#</w:t>
            </w:r>
            <w:r>
              <w:rPr>
                <w:rFonts w:hint="default" w:ascii="Times New Roman" w:hAnsi="Times New Roman" w:eastAsia="宋体" w:cs="Times New Roman"/>
                <w:color w:val="auto"/>
                <w:kern w:val="2"/>
                <w:sz w:val="24"/>
                <w:szCs w:val="24"/>
                <w:lang w:val="zh-CN" w:eastAsia="zh-CN" w:bidi="ar-SA"/>
              </w:rPr>
              <w:t>弃渣场所在地地势平坦，地质稳定。</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eastAsia="宋体" w:cs="Times New Roman"/>
                <w:color w:val="auto"/>
                <w:kern w:val="2"/>
                <w:sz w:val="24"/>
                <w:szCs w:val="24"/>
                <w:lang w:val="zh-CN" w:eastAsia="zh-CN" w:bidi="ar-SA"/>
              </w:rPr>
              <w:t>因此，从环境保护角度分析，本项目</w:t>
            </w:r>
            <w:r>
              <w:rPr>
                <w:rFonts w:hint="eastAsia" w:ascii="Times New Roman" w:hAnsi="Times New Roman" w:eastAsia="宋体" w:cs="Times New Roman"/>
                <w:color w:val="auto"/>
                <w:kern w:val="2"/>
                <w:sz w:val="24"/>
                <w:szCs w:val="24"/>
                <w:lang w:val="en-US" w:eastAsia="zh-CN" w:bidi="ar-SA"/>
              </w:rPr>
              <w:t>1#</w:t>
            </w:r>
            <w:r>
              <w:rPr>
                <w:rFonts w:hint="default" w:ascii="Times New Roman" w:hAnsi="Times New Roman" w:eastAsia="宋体" w:cs="Times New Roman"/>
                <w:color w:val="auto"/>
                <w:kern w:val="2"/>
                <w:sz w:val="24"/>
                <w:szCs w:val="24"/>
                <w:lang w:val="zh-CN" w:eastAsia="zh-CN" w:bidi="ar-SA"/>
              </w:rPr>
              <w:t>弃渣场选址较合理。</w:t>
            </w:r>
          </w:p>
          <w:p>
            <w:pPr>
              <w:spacing w:line="360" w:lineRule="auto"/>
              <w:ind w:firstLine="480" w:firstLineChars="200"/>
              <w:rPr>
                <w:rFonts w:eastAsia="宋体"/>
                <w:color w:val="auto"/>
                <w:sz w:val="24"/>
              </w:rPr>
            </w:pPr>
            <w:r>
              <w:rPr>
                <w:rFonts w:hint="eastAsia" w:eastAsia="宋体"/>
                <w:color w:val="auto"/>
                <w:sz w:val="24"/>
              </w:rPr>
              <w:t>本项目弃渣属于第</w:t>
            </w:r>
            <w:r>
              <w:rPr>
                <w:rFonts w:hint="default" w:ascii="Times New Roman" w:hAnsi="Times New Roman" w:eastAsia="宋体" w:cs="Times New Roman"/>
                <w:color w:val="auto"/>
                <w:sz w:val="24"/>
              </w:rPr>
              <w:t>Ⅰ</w:t>
            </w:r>
            <w:r>
              <w:rPr>
                <w:rFonts w:hint="eastAsia" w:eastAsia="宋体"/>
                <w:color w:val="auto"/>
                <w:sz w:val="24"/>
              </w:rPr>
              <w:t>类一般工业固体废物，</w:t>
            </w:r>
            <w:r>
              <w:rPr>
                <w:rFonts w:eastAsia="宋体"/>
                <w:color w:val="auto"/>
                <w:sz w:val="24"/>
              </w:rPr>
              <w:t>根据《</w:t>
            </w:r>
            <w:r>
              <w:rPr>
                <w:rFonts w:eastAsia="宋体"/>
                <w:bCs/>
                <w:color w:val="auto"/>
                <w:kern w:val="0"/>
                <w:sz w:val="24"/>
              </w:rPr>
              <w:t>一般工业固体废物贮存和填埋污染控制标准</w:t>
            </w:r>
            <w:r>
              <w:rPr>
                <w:rFonts w:eastAsia="宋体"/>
                <w:color w:val="auto"/>
                <w:sz w:val="24"/>
              </w:rPr>
              <w:t>》（GB18599-20</w:t>
            </w:r>
            <w:r>
              <w:rPr>
                <w:rFonts w:hint="eastAsia" w:eastAsia="宋体"/>
                <w:color w:val="auto"/>
                <w:sz w:val="24"/>
              </w:rPr>
              <w:t>20</w:t>
            </w:r>
            <w:r>
              <w:rPr>
                <w:rFonts w:eastAsia="宋体"/>
                <w:color w:val="auto"/>
                <w:sz w:val="24"/>
              </w:rPr>
              <w:t>）中相关要求，本项目</w:t>
            </w:r>
            <w:r>
              <w:rPr>
                <w:rFonts w:hint="eastAsia" w:eastAsia="宋体"/>
                <w:color w:val="auto"/>
                <w:sz w:val="24"/>
              </w:rPr>
              <w:t>临时弃渣</w:t>
            </w:r>
            <w:r>
              <w:rPr>
                <w:rFonts w:eastAsia="宋体"/>
                <w:color w:val="auto"/>
                <w:sz w:val="24"/>
              </w:rPr>
              <w:t>场的选址合理性分析见下表：</w:t>
            </w:r>
          </w:p>
          <w:p>
            <w:pPr>
              <w:spacing w:line="360" w:lineRule="auto"/>
              <w:ind w:firstLine="422" w:firstLineChars="200"/>
              <w:jc w:val="center"/>
              <w:rPr>
                <w:rFonts w:eastAsia="宋体"/>
                <w:b/>
                <w:color w:val="FF0000"/>
                <w:kern w:val="0"/>
                <w:sz w:val="21"/>
                <w:szCs w:val="21"/>
              </w:rPr>
            </w:pPr>
          </w:p>
          <w:p>
            <w:pPr>
              <w:spacing w:line="360" w:lineRule="auto"/>
              <w:ind w:firstLine="422" w:firstLineChars="200"/>
              <w:jc w:val="center"/>
              <w:rPr>
                <w:rFonts w:eastAsia="宋体"/>
                <w:b/>
                <w:color w:val="auto"/>
                <w:kern w:val="0"/>
                <w:sz w:val="21"/>
                <w:szCs w:val="21"/>
              </w:rPr>
            </w:pPr>
            <w:r>
              <w:rPr>
                <w:rFonts w:eastAsia="宋体"/>
                <w:b/>
                <w:color w:val="auto"/>
                <w:kern w:val="0"/>
                <w:sz w:val="21"/>
                <w:szCs w:val="21"/>
              </w:rPr>
              <w:t>表</w:t>
            </w:r>
            <w:r>
              <w:rPr>
                <w:rFonts w:hint="eastAsia" w:eastAsia="宋体"/>
                <w:b/>
                <w:color w:val="auto"/>
                <w:kern w:val="0"/>
                <w:sz w:val="21"/>
                <w:szCs w:val="21"/>
              </w:rPr>
              <w:t>4-</w:t>
            </w:r>
            <w:r>
              <w:rPr>
                <w:rFonts w:hint="eastAsia" w:eastAsia="宋体"/>
                <w:b/>
                <w:color w:val="auto"/>
                <w:kern w:val="0"/>
                <w:sz w:val="21"/>
                <w:szCs w:val="21"/>
                <w:lang w:val="en-US" w:eastAsia="zh-CN"/>
              </w:rPr>
              <w:t>4</w:t>
            </w:r>
            <w:r>
              <w:rPr>
                <w:rFonts w:hint="eastAsia" w:eastAsia="宋体"/>
                <w:b/>
                <w:color w:val="auto"/>
                <w:kern w:val="0"/>
                <w:sz w:val="21"/>
                <w:szCs w:val="21"/>
              </w:rPr>
              <w:t xml:space="preserve">  临时弃渣场</w:t>
            </w:r>
            <w:r>
              <w:rPr>
                <w:rFonts w:eastAsia="宋体"/>
                <w:b/>
                <w:color w:val="auto"/>
                <w:kern w:val="0"/>
                <w:sz w:val="21"/>
                <w:szCs w:val="21"/>
              </w:rPr>
              <w:t>选址合理性分析</w:t>
            </w:r>
          </w:p>
          <w:tbl>
            <w:tblPr>
              <w:tblStyle w:val="4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3342"/>
              <w:gridCol w:w="3964"/>
              <w:gridCol w:w="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1" w:type="pct"/>
                  <w:noWrap/>
                  <w:vAlign w:val="center"/>
                </w:tcPr>
                <w:p>
                  <w:pPr>
                    <w:spacing w:line="240" w:lineRule="auto"/>
                    <w:jc w:val="center"/>
                    <w:rPr>
                      <w:rFonts w:eastAsia="宋体"/>
                      <w:b/>
                      <w:bCs/>
                      <w:color w:val="auto"/>
                      <w:sz w:val="21"/>
                      <w:szCs w:val="21"/>
                    </w:rPr>
                  </w:pPr>
                  <w:r>
                    <w:rPr>
                      <w:rFonts w:hint="eastAsia" w:eastAsia="宋体"/>
                      <w:b/>
                      <w:bCs/>
                      <w:color w:val="auto"/>
                      <w:sz w:val="21"/>
                      <w:szCs w:val="21"/>
                    </w:rPr>
                    <w:t>序号</w:t>
                  </w:r>
                </w:p>
              </w:tc>
              <w:tc>
                <w:tcPr>
                  <w:tcW w:w="1863" w:type="pct"/>
                  <w:noWrap/>
                  <w:vAlign w:val="center"/>
                </w:tcPr>
                <w:p>
                  <w:pPr>
                    <w:spacing w:line="240" w:lineRule="auto"/>
                    <w:jc w:val="center"/>
                    <w:rPr>
                      <w:rFonts w:eastAsia="宋体"/>
                      <w:b/>
                      <w:bCs/>
                      <w:color w:val="auto"/>
                      <w:sz w:val="21"/>
                      <w:szCs w:val="21"/>
                    </w:rPr>
                  </w:pPr>
                  <w:r>
                    <w:rPr>
                      <w:rFonts w:eastAsia="宋体"/>
                      <w:b/>
                      <w:bCs/>
                      <w:color w:val="auto"/>
                      <w:sz w:val="21"/>
                      <w:szCs w:val="21"/>
                    </w:rPr>
                    <w:t>GB8599-20</w:t>
                  </w:r>
                  <w:r>
                    <w:rPr>
                      <w:rFonts w:hint="eastAsia" w:eastAsia="宋体"/>
                      <w:b/>
                      <w:bCs/>
                      <w:color w:val="auto"/>
                      <w:sz w:val="21"/>
                      <w:szCs w:val="21"/>
                    </w:rPr>
                    <w:t>20</w:t>
                  </w:r>
                </w:p>
              </w:tc>
              <w:tc>
                <w:tcPr>
                  <w:tcW w:w="2210" w:type="pct"/>
                  <w:noWrap/>
                  <w:vAlign w:val="center"/>
                </w:tcPr>
                <w:p>
                  <w:pPr>
                    <w:spacing w:line="240" w:lineRule="auto"/>
                    <w:jc w:val="center"/>
                    <w:rPr>
                      <w:rFonts w:eastAsia="宋体"/>
                      <w:b/>
                      <w:bCs/>
                      <w:color w:val="auto"/>
                      <w:sz w:val="21"/>
                      <w:szCs w:val="21"/>
                    </w:rPr>
                  </w:pPr>
                  <w:r>
                    <w:rPr>
                      <w:rFonts w:eastAsia="宋体"/>
                      <w:b/>
                      <w:bCs/>
                      <w:color w:val="auto"/>
                      <w:sz w:val="21"/>
                      <w:szCs w:val="21"/>
                    </w:rPr>
                    <w:t>本项目实际情况</w:t>
                  </w:r>
                </w:p>
              </w:tc>
              <w:tc>
                <w:tcPr>
                  <w:tcW w:w="504" w:type="pct"/>
                  <w:noWrap/>
                  <w:vAlign w:val="center"/>
                </w:tcPr>
                <w:p>
                  <w:pPr>
                    <w:spacing w:line="240" w:lineRule="auto"/>
                    <w:jc w:val="center"/>
                    <w:rPr>
                      <w:rFonts w:eastAsia="宋体"/>
                      <w:b/>
                      <w:bCs/>
                      <w:color w:val="auto"/>
                      <w:sz w:val="21"/>
                      <w:szCs w:val="21"/>
                    </w:rPr>
                  </w:pPr>
                  <w:r>
                    <w:rPr>
                      <w:rFonts w:eastAsia="宋体"/>
                      <w:b/>
                      <w:bCs/>
                      <w:color w:val="auto"/>
                      <w:sz w:val="21"/>
                      <w:szCs w:val="21"/>
                    </w:rPr>
                    <w:t>符合性析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421" w:type="pct"/>
                  <w:noWrap/>
                  <w:vAlign w:val="center"/>
                </w:tcPr>
                <w:p>
                  <w:pPr>
                    <w:spacing w:line="240" w:lineRule="auto"/>
                    <w:jc w:val="center"/>
                    <w:rPr>
                      <w:rFonts w:eastAsia="宋体"/>
                      <w:color w:val="auto"/>
                      <w:sz w:val="21"/>
                      <w:szCs w:val="21"/>
                    </w:rPr>
                  </w:pPr>
                  <w:r>
                    <w:rPr>
                      <w:rFonts w:hint="eastAsia" w:eastAsia="宋体"/>
                      <w:color w:val="auto"/>
                      <w:sz w:val="21"/>
                      <w:szCs w:val="21"/>
                    </w:rPr>
                    <w:t>1</w:t>
                  </w:r>
                </w:p>
              </w:tc>
              <w:tc>
                <w:tcPr>
                  <w:tcW w:w="1863" w:type="pct"/>
                  <w:noWrap/>
                  <w:vAlign w:val="center"/>
                </w:tcPr>
                <w:p>
                  <w:pPr>
                    <w:spacing w:line="240" w:lineRule="auto"/>
                    <w:jc w:val="center"/>
                    <w:rPr>
                      <w:rFonts w:eastAsia="宋体"/>
                      <w:color w:val="auto"/>
                      <w:sz w:val="21"/>
                      <w:szCs w:val="21"/>
                    </w:rPr>
                  </w:pPr>
                  <w:r>
                    <w:rPr>
                      <w:rFonts w:hint="eastAsia" w:eastAsia="宋体"/>
                      <w:color w:val="auto"/>
                      <w:sz w:val="21"/>
                      <w:szCs w:val="21"/>
                    </w:rPr>
                    <w:t>一般工业固体废物贮存场填埋场的选址应符合环境保护法律法规及相关法定规划要求</w:t>
                  </w:r>
                </w:p>
              </w:tc>
              <w:tc>
                <w:tcPr>
                  <w:tcW w:w="2210" w:type="pct"/>
                  <w:noWrap/>
                  <w:vAlign w:val="center"/>
                </w:tcPr>
                <w:p>
                  <w:pPr>
                    <w:spacing w:line="240" w:lineRule="auto"/>
                    <w:jc w:val="center"/>
                    <w:rPr>
                      <w:rFonts w:eastAsia="宋体"/>
                      <w:color w:val="auto"/>
                      <w:sz w:val="21"/>
                      <w:szCs w:val="21"/>
                    </w:rPr>
                  </w:pPr>
                  <w:r>
                    <w:rPr>
                      <w:rFonts w:hint="eastAsia" w:eastAsia="宋体"/>
                      <w:color w:val="auto"/>
                      <w:sz w:val="21"/>
                      <w:szCs w:val="21"/>
                    </w:rPr>
                    <w:t>临时弃渣场距离最近的居民距离在</w:t>
                  </w:r>
                  <w:r>
                    <w:rPr>
                      <w:rFonts w:hint="eastAsia" w:eastAsia="宋体"/>
                      <w:color w:val="auto"/>
                      <w:sz w:val="21"/>
                      <w:szCs w:val="21"/>
                      <w:lang w:val="en-US" w:eastAsia="zh-CN"/>
                    </w:rPr>
                    <w:t>70</w:t>
                  </w:r>
                  <w:r>
                    <w:rPr>
                      <w:rFonts w:hint="eastAsia" w:eastAsia="宋体"/>
                      <w:color w:val="auto"/>
                      <w:sz w:val="21"/>
                      <w:szCs w:val="21"/>
                    </w:rPr>
                    <w:t>m左右</w:t>
                  </w:r>
                </w:p>
              </w:tc>
              <w:tc>
                <w:tcPr>
                  <w:tcW w:w="504" w:type="pct"/>
                  <w:noWrap/>
                  <w:vAlign w:val="center"/>
                </w:tcPr>
                <w:p>
                  <w:pPr>
                    <w:spacing w:line="240" w:lineRule="auto"/>
                    <w:jc w:val="center"/>
                    <w:rPr>
                      <w:rFonts w:eastAsia="宋体"/>
                      <w:color w:val="auto"/>
                      <w:sz w:val="21"/>
                      <w:szCs w:val="21"/>
                    </w:rPr>
                  </w:pPr>
                  <w:r>
                    <w:rPr>
                      <w:rFonts w:eastAsia="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421" w:type="pct"/>
                  <w:noWrap/>
                  <w:vAlign w:val="center"/>
                </w:tcPr>
                <w:p>
                  <w:pPr>
                    <w:spacing w:line="240" w:lineRule="auto"/>
                    <w:jc w:val="center"/>
                    <w:rPr>
                      <w:rFonts w:eastAsia="宋体"/>
                      <w:color w:val="auto"/>
                      <w:sz w:val="21"/>
                      <w:szCs w:val="21"/>
                    </w:rPr>
                  </w:pPr>
                  <w:r>
                    <w:rPr>
                      <w:rFonts w:hint="eastAsia" w:eastAsia="宋体"/>
                      <w:color w:val="auto"/>
                      <w:sz w:val="21"/>
                      <w:szCs w:val="21"/>
                    </w:rPr>
                    <w:t>2</w:t>
                  </w:r>
                </w:p>
              </w:tc>
              <w:tc>
                <w:tcPr>
                  <w:tcW w:w="1863" w:type="pct"/>
                  <w:noWrap/>
                  <w:vAlign w:val="center"/>
                </w:tcPr>
                <w:p>
                  <w:pPr>
                    <w:spacing w:line="240" w:lineRule="auto"/>
                    <w:jc w:val="center"/>
                    <w:rPr>
                      <w:rFonts w:eastAsia="宋体"/>
                      <w:color w:val="auto"/>
                      <w:sz w:val="21"/>
                      <w:szCs w:val="21"/>
                    </w:rPr>
                  </w:pPr>
                  <w:r>
                    <w:rPr>
                      <w:rFonts w:hint="eastAsia" w:eastAsia="宋体"/>
                      <w:color w:val="auto"/>
                      <w:sz w:val="21"/>
                      <w:szCs w:val="21"/>
                    </w:rPr>
                    <w:t>贮存场、填埋场的位置与周围居民区的距离应依据环境影响评价文件及审批意见确定</w:t>
                  </w:r>
                </w:p>
              </w:tc>
              <w:tc>
                <w:tcPr>
                  <w:tcW w:w="2210" w:type="pct"/>
                  <w:noWrap/>
                  <w:vAlign w:val="center"/>
                </w:tcPr>
                <w:p>
                  <w:pPr>
                    <w:spacing w:line="240" w:lineRule="auto"/>
                    <w:jc w:val="center"/>
                    <w:rPr>
                      <w:rFonts w:eastAsia="宋体"/>
                      <w:color w:val="auto"/>
                      <w:sz w:val="21"/>
                      <w:szCs w:val="21"/>
                    </w:rPr>
                  </w:pPr>
                  <w:r>
                    <w:rPr>
                      <w:rFonts w:hint="eastAsia" w:eastAsia="宋体"/>
                      <w:color w:val="auto"/>
                      <w:sz w:val="21"/>
                      <w:szCs w:val="21"/>
                    </w:rPr>
                    <w:t>临时弃渣场距离最近的居民距离在</w:t>
                  </w:r>
                  <w:r>
                    <w:rPr>
                      <w:rFonts w:hint="eastAsia" w:eastAsia="宋体"/>
                      <w:color w:val="auto"/>
                      <w:sz w:val="21"/>
                      <w:szCs w:val="21"/>
                      <w:lang w:val="en-US" w:eastAsia="zh-CN"/>
                    </w:rPr>
                    <w:t>7</w:t>
                  </w:r>
                  <w:r>
                    <w:rPr>
                      <w:rFonts w:hint="eastAsia" w:eastAsia="宋体"/>
                      <w:color w:val="auto"/>
                      <w:sz w:val="21"/>
                      <w:szCs w:val="21"/>
                    </w:rPr>
                    <w:t>0m左右</w:t>
                  </w:r>
                </w:p>
              </w:tc>
              <w:tc>
                <w:tcPr>
                  <w:tcW w:w="504" w:type="pct"/>
                  <w:noWrap/>
                  <w:vAlign w:val="center"/>
                </w:tcPr>
                <w:p>
                  <w:pPr>
                    <w:spacing w:line="240" w:lineRule="auto"/>
                    <w:jc w:val="center"/>
                    <w:rPr>
                      <w:rFonts w:eastAsia="宋体"/>
                      <w:color w:val="auto"/>
                      <w:sz w:val="21"/>
                      <w:szCs w:val="21"/>
                    </w:rPr>
                  </w:pPr>
                  <w:r>
                    <w:rPr>
                      <w:rFonts w:eastAsia="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421" w:type="pct"/>
                  <w:noWrap/>
                  <w:vAlign w:val="center"/>
                </w:tcPr>
                <w:p>
                  <w:pPr>
                    <w:spacing w:line="240" w:lineRule="auto"/>
                    <w:jc w:val="center"/>
                    <w:rPr>
                      <w:rFonts w:eastAsia="宋体"/>
                      <w:color w:val="auto"/>
                      <w:sz w:val="21"/>
                      <w:szCs w:val="21"/>
                    </w:rPr>
                  </w:pPr>
                  <w:r>
                    <w:rPr>
                      <w:rFonts w:hint="eastAsia" w:eastAsia="宋体"/>
                      <w:color w:val="auto"/>
                      <w:sz w:val="21"/>
                      <w:szCs w:val="21"/>
                    </w:rPr>
                    <w:t>3</w:t>
                  </w:r>
                </w:p>
              </w:tc>
              <w:tc>
                <w:tcPr>
                  <w:tcW w:w="1863" w:type="pct"/>
                  <w:noWrap/>
                  <w:vAlign w:val="center"/>
                </w:tcPr>
                <w:p>
                  <w:pPr>
                    <w:spacing w:line="240" w:lineRule="auto"/>
                    <w:jc w:val="center"/>
                    <w:rPr>
                      <w:rFonts w:eastAsia="宋体"/>
                      <w:color w:val="auto"/>
                      <w:sz w:val="21"/>
                      <w:szCs w:val="21"/>
                    </w:rPr>
                  </w:pPr>
                  <w:r>
                    <w:rPr>
                      <w:rFonts w:hint="eastAsia" w:eastAsia="宋体"/>
                      <w:color w:val="auto"/>
                      <w:sz w:val="21"/>
                      <w:szCs w:val="21"/>
                    </w:rPr>
                    <w:t>贮存场、填埋场不得选在生态保护红线区域、永久基本农田集中区域和其他需要特别保护的区域内</w:t>
                  </w:r>
                </w:p>
              </w:tc>
              <w:tc>
                <w:tcPr>
                  <w:tcW w:w="2210" w:type="pct"/>
                  <w:noWrap/>
                  <w:vAlign w:val="center"/>
                </w:tcPr>
                <w:p>
                  <w:pPr>
                    <w:spacing w:line="240" w:lineRule="auto"/>
                    <w:jc w:val="center"/>
                    <w:rPr>
                      <w:rFonts w:eastAsia="宋体"/>
                      <w:color w:val="auto"/>
                      <w:sz w:val="21"/>
                      <w:szCs w:val="21"/>
                    </w:rPr>
                  </w:pPr>
                  <w:r>
                    <w:rPr>
                      <w:rFonts w:hint="eastAsia" w:eastAsia="宋体"/>
                      <w:color w:val="auto"/>
                      <w:sz w:val="21"/>
                      <w:szCs w:val="21"/>
                    </w:rPr>
                    <w:t>根据本项目三线一单分析可知，本项目</w:t>
                  </w:r>
                  <w:r>
                    <w:rPr>
                      <w:rFonts w:hint="eastAsia" w:eastAsia="宋体"/>
                      <w:color w:val="auto"/>
                      <w:sz w:val="21"/>
                      <w:szCs w:val="21"/>
                      <w:lang w:val="en-US" w:eastAsia="zh-CN"/>
                    </w:rPr>
                    <w:t>1#</w:t>
                  </w:r>
                  <w:r>
                    <w:rPr>
                      <w:rFonts w:hint="eastAsia" w:eastAsia="宋体"/>
                      <w:color w:val="auto"/>
                      <w:sz w:val="21"/>
                      <w:szCs w:val="21"/>
                    </w:rPr>
                    <w:t>弃渣场</w:t>
                  </w:r>
                  <w:r>
                    <w:rPr>
                      <w:rFonts w:hint="eastAsia" w:eastAsia="宋体"/>
                      <w:color w:val="auto"/>
                      <w:sz w:val="21"/>
                      <w:szCs w:val="21"/>
                      <w:lang w:val="en-US" w:eastAsia="zh-CN"/>
                    </w:rPr>
                    <w:t>附近区域</w:t>
                  </w:r>
                  <w:r>
                    <w:rPr>
                      <w:rFonts w:hint="eastAsia" w:eastAsia="宋体"/>
                      <w:color w:val="auto"/>
                      <w:sz w:val="21"/>
                      <w:szCs w:val="21"/>
                    </w:rPr>
                    <w:t>不涉及自然保护区、风景名胜区、集中式饮用水源保护区，不在生态保护红线范围内</w:t>
                  </w:r>
                </w:p>
              </w:tc>
              <w:tc>
                <w:tcPr>
                  <w:tcW w:w="504" w:type="pct"/>
                  <w:noWrap/>
                  <w:vAlign w:val="center"/>
                </w:tcPr>
                <w:p>
                  <w:pPr>
                    <w:spacing w:line="240" w:lineRule="auto"/>
                    <w:jc w:val="center"/>
                    <w:rPr>
                      <w:rFonts w:eastAsia="宋体"/>
                      <w:color w:val="auto"/>
                      <w:sz w:val="21"/>
                      <w:szCs w:val="21"/>
                    </w:rPr>
                  </w:pPr>
                  <w:r>
                    <w:rPr>
                      <w:rFonts w:eastAsia="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421" w:type="pct"/>
                  <w:noWrap/>
                  <w:vAlign w:val="center"/>
                </w:tcPr>
                <w:p>
                  <w:pPr>
                    <w:spacing w:line="240" w:lineRule="auto"/>
                    <w:jc w:val="center"/>
                    <w:rPr>
                      <w:rFonts w:eastAsia="宋体"/>
                      <w:color w:val="auto"/>
                      <w:sz w:val="21"/>
                      <w:szCs w:val="21"/>
                    </w:rPr>
                  </w:pPr>
                  <w:r>
                    <w:rPr>
                      <w:rFonts w:hint="eastAsia" w:eastAsia="宋体"/>
                      <w:color w:val="auto"/>
                      <w:sz w:val="21"/>
                      <w:szCs w:val="21"/>
                    </w:rPr>
                    <w:t>4</w:t>
                  </w:r>
                </w:p>
              </w:tc>
              <w:tc>
                <w:tcPr>
                  <w:tcW w:w="1863" w:type="pct"/>
                  <w:noWrap/>
                  <w:vAlign w:val="center"/>
                </w:tcPr>
                <w:p>
                  <w:pPr>
                    <w:spacing w:line="240" w:lineRule="auto"/>
                    <w:jc w:val="center"/>
                    <w:rPr>
                      <w:rFonts w:eastAsia="宋体"/>
                      <w:color w:val="auto"/>
                      <w:sz w:val="21"/>
                      <w:szCs w:val="21"/>
                    </w:rPr>
                  </w:pPr>
                  <w:r>
                    <w:rPr>
                      <w:rFonts w:hint="eastAsia" w:eastAsia="宋体"/>
                      <w:color w:val="auto"/>
                      <w:sz w:val="21"/>
                      <w:szCs w:val="21"/>
                    </w:rPr>
                    <w:t>贮存场、填埋场应避开活动断层、溶洞区、天然滑坡或泥石流影响区以及湿地等区域</w:t>
                  </w:r>
                </w:p>
              </w:tc>
              <w:tc>
                <w:tcPr>
                  <w:tcW w:w="2210" w:type="pct"/>
                  <w:noWrap/>
                  <w:vAlign w:val="center"/>
                </w:tcPr>
                <w:p>
                  <w:pPr>
                    <w:spacing w:line="240" w:lineRule="auto"/>
                    <w:jc w:val="center"/>
                    <w:rPr>
                      <w:rFonts w:eastAsia="宋体"/>
                      <w:color w:val="auto"/>
                      <w:sz w:val="21"/>
                      <w:szCs w:val="21"/>
                    </w:rPr>
                  </w:pPr>
                  <w:r>
                    <w:rPr>
                      <w:rFonts w:hint="eastAsia" w:eastAsia="宋体"/>
                      <w:bCs/>
                      <w:color w:val="auto"/>
                      <w:sz w:val="21"/>
                      <w:szCs w:val="21"/>
                      <w:lang w:val="en-US" w:eastAsia="zh-CN"/>
                    </w:rPr>
                    <w:t>1#</w:t>
                  </w:r>
                  <w:r>
                    <w:rPr>
                      <w:rFonts w:hint="eastAsia" w:eastAsia="宋体"/>
                      <w:bCs/>
                      <w:color w:val="auto"/>
                      <w:sz w:val="21"/>
                      <w:szCs w:val="21"/>
                    </w:rPr>
                    <w:t>弃渣场</w:t>
                  </w:r>
                  <w:r>
                    <w:rPr>
                      <w:rFonts w:eastAsia="宋体"/>
                      <w:bCs/>
                      <w:color w:val="auto"/>
                      <w:sz w:val="21"/>
                      <w:szCs w:val="21"/>
                    </w:rPr>
                    <w:t>选无开断层、断层破碎带、溶洞区以及天然滑坡和泥石流区</w:t>
                  </w:r>
                </w:p>
              </w:tc>
              <w:tc>
                <w:tcPr>
                  <w:tcW w:w="504" w:type="pct"/>
                  <w:noWrap/>
                  <w:vAlign w:val="center"/>
                </w:tcPr>
                <w:p>
                  <w:pPr>
                    <w:spacing w:line="240" w:lineRule="auto"/>
                    <w:jc w:val="center"/>
                    <w:rPr>
                      <w:rFonts w:eastAsia="宋体"/>
                      <w:color w:val="auto"/>
                      <w:sz w:val="21"/>
                      <w:szCs w:val="21"/>
                    </w:rPr>
                  </w:pPr>
                  <w:r>
                    <w:rPr>
                      <w:rFonts w:eastAsia="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421" w:type="pct"/>
                  <w:noWrap/>
                  <w:vAlign w:val="center"/>
                </w:tcPr>
                <w:p>
                  <w:pPr>
                    <w:spacing w:line="240" w:lineRule="auto"/>
                    <w:jc w:val="center"/>
                    <w:rPr>
                      <w:rFonts w:eastAsia="宋体"/>
                      <w:color w:val="auto"/>
                      <w:sz w:val="21"/>
                      <w:szCs w:val="21"/>
                    </w:rPr>
                  </w:pPr>
                  <w:r>
                    <w:rPr>
                      <w:rFonts w:hint="eastAsia" w:eastAsia="宋体"/>
                      <w:color w:val="auto"/>
                      <w:sz w:val="21"/>
                      <w:szCs w:val="21"/>
                    </w:rPr>
                    <w:t>5</w:t>
                  </w:r>
                </w:p>
              </w:tc>
              <w:tc>
                <w:tcPr>
                  <w:tcW w:w="1863" w:type="pct"/>
                  <w:noWrap/>
                  <w:vAlign w:val="center"/>
                </w:tcPr>
                <w:p>
                  <w:pPr>
                    <w:spacing w:line="240" w:lineRule="auto"/>
                    <w:jc w:val="center"/>
                    <w:rPr>
                      <w:rFonts w:eastAsia="宋体"/>
                      <w:color w:val="auto"/>
                      <w:sz w:val="21"/>
                      <w:szCs w:val="21"/>
                    </w:rPr>
                  </w:pPr>
                  <w:r>
                    <w:rPr>
                      <w:rFonts w:hint="eastAsia" w:eastAsia="宋体"/>
                      <w:color w:val="auto"/>
                      <w:sz w:val="21"/>
                      <w:szCs w:val="21"/>
                    </w:rPr>
                    <w:t>贮存场填埋场不得选在江河、湖泊、运河、渠道、水库最高水位线以下的滩地和岸坡</w:t>
                  </w:r>
                </w:p>
              </w:tc>
              <w:tc>
                <w:tcPr>
                  <w:tcW w:w="2210" w:type="pct"/>
                  <w:noWrap/>
                  <w:vAlign w:val="center"/>
                </w:tcPr>
                <w:p>
                  <w:pPr>
                    <w:spacing w:line="240" w:lineRule="auto"/>
                    <w:jc w:val="center"/>
                    <w:rPr>
                      <w:rFonts w:eastAsia="宋体"/>
                      <w:color w:val="auto"/>
                      <w:sz w:val="21"/>
                      <w:szCs w:val="21"/>
                    </w:rPr>
                  </w:pPr>
                  <w:r>
                    <w:rPr>
                      <w:rFonts w:hint="eastAsia" w:eastAsia="宋体"/>
                      <w:bCs/>
                      <w:color w:val="auto"/>
                      <w:sz w:val="21"/>
                      <w:szCs w:val="21"/>
                    </w:rPr>
                    <w:t>本项目临时弃渣场高程为</w:t>
                  </w:r>
                  <w:r>
                    <w:rPr>
                      <w:rFonts w:hint="eastAsia" w:eastAsia="宋体"/>
                      <w:bCs/>
                      <w:color w:val="auto"/>
                      <w:sz w:val="21"/>
                      <w:szCs w:val="21"/>
                      <w:lang w:val="en-US" w:eastAsia="zh-CN"/>
                    </w:rPr>
                    <w:t>393</w:t>
                  </w:r>
                  <w:r>
                    <w:rPr>
                      <w:rFonts w:hint="eastAsia" w:eastAsia="宋体"/>
                      <w:bCs/>
                      <w:color w:val="auto"/>
                      <w:sz w:val="21"/>
                      <w:szCs w:val="21"/>
                    </w:rPr>
                    <w:t>m，最近的地表水体为</w:t>
                  </w:r>
                  <w:r>
                    <w:rPr>
                      <w:rFonts w:hint="eastAsia" w:eastAsia="宋体"/>
                      <w:bCs/>
                      <w:color w:val="auto"/>
                      <w:sz w:val="21"/>
                      <w:szCs w:val="21"/>
                      <w:lang w:val="en-US" w:eastAsia="zh-CN"/>
                    </w:rPr>
                    <w:t>临江</w:t>
                  </w:r>
                  <w:r>
                    <w:rPr>
                      <w:rFonts w:hint="eastAsia" w:eastAsia="宋体"/>
                      <w:bCs/>
                      <w:color w:val="auto"/>
                      <w:sz w:val="21"/>
                      <w:szCs w:val="21"/>
                    </w:rPr>
                    <w:t>河，距离为</w:t>
                  </w:r>
                  <w:r>
                    <w:rPr>
                      <w:rFonts w:hint="eastAsia" w:eastAsia="宋体"/>
                      <w:bCs/>
                      <w:color w:val="auto"/>
                      <w:sz w:val="21"/>
                      <w:szCs w:val="21"/>
                      <w:lang w:val="en-US" w:eastAsia="zh-CN"/>
                    </w:rPr>
                    <w:t>15</w:t>
                  </w:r>
                  <w:r>
                    <w:rPr>
                      <w:rFonts w:hint="eastAsia" w:eastAsia="宋体"/>
                      <w:bCs/>
                      <w:color w:val="auto"/>
                      <w:sz w:val="21"/>
                      <w:szCs w:val="21"/>
                    </w:rPr>
                    <w:t>m，高差为+</w:t>
                  </w:r>
                  <w:r>
                    <w:rPr>
                      <w:rFonts w:hint="eastAsia" w:eastAsia="宋体"/>
                      <w:bCs/>
                      <w:color w:val="auto"/>
                      <w:sz w:val="21"/>
                      <w:szCs w:val="21"/>
                      <w:lang w:val="en-US" w:eastAsia="zh-CN"/>
                    </w:rPr>
                    <w:t>2</w:t>
                  </w:r>
                  <w:r>
                    <w:rPr>
                      <w:rFonts w:hint="eastAsia" w:eastAsia="宋体"/>
                      <w:bCs/>
                      <w:color w:val="auto"/>
                      <w:sz w:val="21"/>
                      <w:szCs w:val="21"/>
                    </w:rPr>
                    <w:t>m，高于其水位线</w:t>
                  </w:r>
                </w:p>
              </w:tc>
              <w:tc>
                <w:tcPr>
                  <w:tcW w:w="504" w:type="pct"/>
                  <w:noWrap/>
                  <w:vAlign w:val="center"/>
                </w:tcPr>
                <w:p>
                  <w:pPr>
                    <w:spacing w:line="240" w:lineRule="auto"/>
                    <w:jc w:val="center"/>
                    <w:rPr>
                      <w:rFonts w:eastAsia="宋体"/>
                      <w:color w:val="auto"/>
                      <w:sz w:val="21"/>
                      <w:szCs w:val="21"/>
                    </w:rPr>
                  </w:pPr>
                  <w:r>
                    <w:rPr>
                      <w:rFonts w:eastAsia="宋体"/>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421" w:type="pct"/>
                  <w:noWrap/>
                  <w:vAlign w:val="center"/>
                </w:tcPr>
                <w:p>
                  <w:pPr>
                    <w:spacing w:line="240" w:lineRule="auto"/>
                    <w:jc w:val="center"/>
                    <w:rPr>
                      <w:rFonts w:eastAsia="宋体"/>
                      <w:color w:val="auto"/>
                      <w:sz w:val="21"/>
                      <w:szCs w:val="21"/>
                    </w:rPr>
                  </w:pPr>
                  <w:r>
                    <w:rPr>
                      <w:rFonts w:hint="eastAsia" w:eastAsia="宋体"/>
                      <w:color w:val="auto"/>
                      <w:sz w:val="21"/>
                      <w:szCs w:val="21"/>
                    </w:rPr>
                    <w:t>6</w:t>
                  </w:r>
                </w:p>
              </w:tc>
              <w:tc>
                <w:tcPr>
                  <w:tcW w:w="1863" w:type="pct"/>
                  <w:noWrap/>
                  <w:vAlign w:val="center"/>
                </w:tcPr>
                <w:p>
                  <w:pPr>
                    <w:spacing w:line="240" w:lineRule="auto"/>
                    <w:jc w:val="center"/>
                    <w:rPr>
                      <w:rFonts w:eastAsia="宋体"/>
                      <w:color w:val="auto"/>
                      <w:sz w:val="21"/>
                      <w:szCs w:val="21"/>
                    </w:rPr>
                  </w:pPr>
                  <w:r>
                    <w:rPr>
                      <w:rFonts w:hint="eastAsia" w:eastAsia="宋体"/>
                      <w:color w:val="auto"/>
                      <w:sz w:val="21"/>
                      <w:szCs w:val="21"/>
                    </w:rPr>
                    <w:t>贮存场填埋场的防洪标准应按重现期不小于50年一遇的洪水位设计，国家已有标准提出更高要求的除外。</w:t>
                  </w:r>
                </w:p>
              </w:tc>
              <w:tc>
                <w:tcPr>
                  <w:tcW w:w="2210" w:type="pct"/>
                  <w:noWrap/>
                  <w:vAlign w:val="center"/>
                </w:tcPr>
                <w:p>
                  <w:pPr>
                    <w:spacing w:line="240" w:lineRule="auto"/>
                    <w:jc w:val="center"/>
                    <w:rPr>
                      <w:rFonts w:eastAsia="宋体"/>
                      <w:color w:val="auto"/>
                      <w:sz w:val="21"/>
                      <w:szCs w:val="21"/>
                    </w:rPr>
                  </w:pPr>
                  <w:r>
                    <w:rPr>
                      <w:rFonts w:hint="eastAsia" w:eastAsia="宋体"/>
                      <w:bCs/>
                      <w:color w:val="auto"/>
                      <w:sz w:val="21"/>
                      <w:szCs w:val="21"/>
                      <w:lang w:val="en-US" w:eastAsia="zh-CN"/>
                    </w:rPr>
                    <w:t>1#</w:t>
                  </w:r>
                  <w:r>
                    <w:rPr>
                      <w:rFonts w:hint="eastAsia" w:eastAsia="宋体"/>
                      <w:bCs/>
                      <w:color w:val="auto"/>
                      <w:sz w:val="21"/>
                      <w:szCs w:val="21"/>
                    </w:rPr>
                    <w:t>弃渣场占地类型为耕地，</w:t>
                  </w:r>
                  <w:r>
                    <w:rPr>
                      <w:rFonts w:eastAsia="宋体"/>
                      <w:bCs/>
                      <w:color w:val="auto"/>
                      <w:sz w:val="21"/>
                      <w:szCs w:val="21"/>
                    </w:rPr>
                    <w:t>本次环评要求建设单位</w:t>
                  </w:r>
                  <w:r>
                    <w:rPr>
                      <w:rFonts w:hint="eastAsia" w:eastAsia="宋体"/>
                      <w:bCs/>
                      <w:color w:val="auto"/>
                      <w:sz w:val="21"/>
                      <w:szCs w:val="21"/>
                    </w:rPr>
                    <w:t>临时弃渣场设置挡墙，</w:t>
                  </w:r>
                  <w:r>
                    <w:rPr>
                      <w:rFonts w:eastAsia="宋体"/>
                      <w:bCs/>
                      <w:color w:val="auto"/>
                      <w:sz w:val="21"/>
                      <w:szCs w:val="21"/>
                    </w:rPr>
                    <w:t>并设置</w:t>
                  </w:r>
                  <w:r>
                    <w:rPr>
                      <w:rFonts w:hint="eastAsia" w:eastAsia="宋体"/>
                      <w:bCs/>
                      <w:color w:val="auto"/>
                      <w:sz w:val="21"/>
                      <w:szCs w:val="21"/>
                    </w:rPr>
                    <w:t>截排水边沟等</w:t>
                  </w:r>
                </w:p>
              </w:tc>
              <w:tc>
                <w:tcPr>
                  <w:tcW w:w="504" w:type="pct"/>
                  <w:noWrap/>
                  <w:vAlign w:val="center"/>
                </w:tcPr>
                <w:p>
                  <w:pPr>
                    <w:spacing w:line="240" w:lineRule="auto"/>
                    <w:jc w:val="center"/>
                    <w:rPr>
                      <w:rFonts w:eastAsia="宋体"/>
                      <w:color w:val="auto"/>
                      <w:sz w:val="21"/>
                      <w:szCs w:val="21"/>
                    </w:rPr>
                  </w:pPr>
                  <w:r>
                    <w:rPr>
                      <w:rFonts w:eastAsia="宋体"/>
                      <w:color w:val="auto"/>
                      <w:sz w:val="21"/>
                      <w:szCs w:val="21"/>
                    </w:rPr>
                    <w:t>符合</w:t>
                  </w:r>
                </w:p>
              </w:tc>
            </w:tr>
          </w:tbl>
          <w:p>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left"/>
              <w:textAlignment w:val="auto"/>
            </w:pPr>
            <w:r>
              <w:rPr>
                <w:rFonts w:hint="eastAsia" w:ascii="Times New Roman" w:hAnsi="Times New Roman" w:eastAsia="宋体" w:cs="Times New Roman"/>
                <w:color w:val="auto"/>
                <w:kern w:val="2"/>
                <w:sz w:val="24"/>
                <w:szCs w:val="24"/>
                <w:lang w:val="en-US" w:eastAsia="zh-CN" w:bidi="ar-SA"/>
              </w:rPr>
              <w:t>综上所述，1#弃渣场选址较合理。</w:t>
            </w:r>
          </w:p>
        </w:tc>
      </w:tr>
    </w:tbl>
    <w:p>
      <w:pPr>
        <w:pStyle w:val="2"/>
        <w:sectPr>
          <w:pgSz w:w="11906" w:h="16838"/>
          <w:pgMar w:top="1440" w:right="1242" w:bottom="1440" w:left="1242"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7"/>
        <w:keepNext w:val="0"/>
        <w:keepLines w:val="0"/>
        <w:pageBreakBefore w:val="0"/>
        <w:kinsoku/>
        <w:wordWrap/>
        <w:overflowPunct/>
        <w:topLinePunct w:val="0"/>
        <w:bidi w:val="0"/>
        <w:adjustRightInd w:val="0"/>
        <w:snapToGrid w:val="0"/>
        <w:jc w:val="center"/>
        <w:textAlignment w:val="auto"/>
        <w:outlineLvl w:val="0"/>
        <w:rPr>
          <w:rFonts w:ascii="黑体" w:hAnsi="黑体" w:eastAsia="黑体"/>
          <w:snapToGrid w:val="0"/>
          <w:sz w:val="30"/>
          <w:szCs w:val="30"/>
        </w:rPr>
      </w:pPr>
      <w:r>
        <w:rPr>
          <w:rFonts w:hint="eastAsia" w:ascii="黑体" w:hAnsi="黑体" w:eastAsia="黑体"/>
          <w:snapToGrid w:val="0"/>
          <w:sz w:val="30"/>
          <w:szCs w:val="30"/>
        </w:rPr>
        <w:t>五、主要生态环境保护措施</w:t>
      </w:r>
    </w:p>
    <w:tbl>
      <w:tblPr>
        <w:tblStyle w:val="41"/>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82"/>
        <w:gridCol w:w="877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4" w:hRule="atLeast"/>
          <w:jc w:val="center"/>
        </w:trPr>
        <w:tc>
          <w:tcPr>
            <w:tcW w:w="409" w:type="pct"/>
            <w:noWrap w:val="0"/>
            <w:tcMar>
              <w:left w:w="28" w:type="dxa"/>
              <w:right w:w="28" w:type="dxa"/>
            </w:tcMar>
            <w:vAlign w:val="center"/>
          </w:tcPr>
          <w:p>
            <w:pPr>
              <w:keepNext w:val="0"/>
              <w:keepLines w:val="0"/>
              <w:pageBreakBefore w:val="0"/>
              <w:kinsoku/>
              <w:wordWrap/>
              <w:overflowPunct/>
              <w:topLinePunct w:val="0"/>
              <w:bidi w:val="0"/>
              <w:adjustRightInd w:val="0"/>
              <w:snapToGrid w:val="0"/>
              <w:jc w:val="center"/>
              <w:textAlignment w:val="auto"/>
              <w:rPr>
                <w:rFonts w:ascii="宋体" w:hAnsi="宋体"/>
                <w:bCs/>
                <w:sz w:val="24"/>
                <w:szCs w:val="24"/>
              </w:rPr>
            </w:pPr>
            <w:r>
              <w:rPr>
                <w:rFonts w:hint="eastAsia" w:ascii="宋体" w:hAnsi="宋体" w:cs="宋体"/>
                <w:bCs/>
                <w:spacing w:val="10"/>
                <w:sz w:val="24"/>
                <w:szCs w:val="24"/>
              </w:rPr>
              <w:t>施工期生态环境保护措施</w:t>
            </w:r>
          </w:p>
        </w:tc>
        <w:tc>
          <w:tcPr>
            <w:tcW w:w="4590" w:type="pct"/>
            <w:noWrap w:val="0"/>
            <w:vAlign w:val="top"/>
          </w:tcPr>
          <w:p>
            <w:pPr>
              <w:widowControl/>
              <w:adjustRightInd w:val="0"/>
              <w:snapToGrid w:val="0"/>
              <w:spacing w:line="360" w:lineRule="auto"/>
              <w:ind w:firstLine="482" w:firstLineChars="200"/>
              <w:jc w:val="left"/>
              <w:rPr>
                <w:rFonts w:hint="default" w:ascii="Times New Roman" w:hAnsi="Times New Roman" w:eastAsia="宋体" w:cs="Times New Roman"/>
                <w:b/>
                <w:bCs w:val="0"/>
                <w:color w:val="auto"/>
                <w:kern w:val="0"/>
                <w:sz w:val="24"/>
                <w:lang w:val="en-US" w:eastAsia="zh-CN" w:bidi="ar"/>
              </w:rPr>
            </w:pPr>
            <w:r>
              <w:rPr>
                <w:rFonts w:hint="default" w:ascii="Times New Roman" w:hAnsi="Times New Roman" w:eastAsia="宋体" w:cs="Times New Roman"/>
                <w:b/>
                <w:bCs w:val="0"/>
                <w:color w:val="auto"/>
                <w:kern w:val="0"/>
                <w:sz w:val="24"/>
                <w:lang w:val="en-US" w:eastAsia="zh-CN" w:bidi="ar"/>
              </w:rPr>
              <w:t>1、</w:t>
            </w:r>
            <w:r>
              <w:rPr>
                <w:rFonts w:hint="default" w:ascii="Times New Roman" w:hAnsi="Times New Roman" w:eastAsia="宋体" w:cs="Times New Roman"/>
                <w:b/>
                <w:bCs w:val="0"/>
                <w:color w:val="auto"/>
                <w:kern w:val="0"/>
                <w:sz w:val="24"/>
                <w:lang w:bidi="ar"/>
              </w:rPr>
              <w:t>生态环境</w:t>
            </w:r>
            <w:r>
              <w:rPr>
                <w:rFonts w:hint="default" w:ascii="Times New Roman" w:hAnsi="Times New Roman" w:eastAsia="宋体" w:cs="Times New Roman"/>
                <w:b/>
                <w:bCs w:val="0"/>
                <w:color w:val="auto"/>
                <w:kern w:val="0"/>
                <w:sz w:val="24"/>
                <w:lang w:val="en-US" w:eastAsia="zh-CN" w:bidi="ar"/>
              </w:rPr>
              <w:t>保护措施</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center"/>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rPr>
              <w:t>工程占地</w:t>
            </w:r>
            <w:r>
              <w:rPr>
                <w:rFonts w:hint="default" w:ascii="Times New Roman" w:hAnsi="Times New Roman" w:eastAsia="宋体" w:cs="Times New Roman"/>
                <w:b w:val="0"/>
                <w:bCs w:val="0"/>
                <w:color w:val="auto"/>
                <w:sz w:val="24"/>
                <w:szCs w:val="24"/>
                <w:lang w:val="en-US" w:eastAsia="zh-CN"/>
              </w:rPr>
              <w:t>保护措施</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24"/>
              </w:rPr>
              <w:t>根据施工布置，</w:t>
            </w:r>
            <w:r>
              <w:rPr>
                <w:rFonts w:hint="default"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rPr>
              <w:t>共扰动或占压原地表面积为</w:t>
            </w:r>
            <w:r>
              <w:rPr>
                <w:rFonts w:hint="eastAsia" w:cs="Times New Roman"/>
                <w:b w:val="0"/>
                <w:color w:val="auto"/>
                <w:sz w:val="24"/>
                <w:szCs w:val="24"/>
                <w:lang w:val="en-US" w:eastAsia="zh-CN"/>
              </w:rPr>
              <w:t>97.81</w:t>
            </w:r>
            <w:r>
              <w:rPr>
                <w:rFonts w:hint="default" w:ascii="Times New Roman" w:hAnsi="Times New Roman" w:eastAsia="宋体" w:cs="Times New Roman"/>
                <w:color w:val="auto"/>
                <w:sz w:val="24"/>
                <w:szCs w:val="24"/>
                <w:lang w:val="en-US" w:eastAsia="zh-CN"/>
              </w:rPr>
              <w:t>亩</w:t>
            </w:r>
            <w:r>
              <w:rPr>
                <w:rFonts w:hint="default" w:ascii="Times New Roman" w:hAnsi="Times New Roman" w:eastAsia="宋体" w:cs="Times New Roman"/>
                <w:color w:val="auto"/>
                <w:sz w:val="24"/>
                <w:szCs w:val="24"/>
              </w:rPr>
              <w:t>，</w:t>
            </w:r>
            <w:r>
              <w:rPr>
                <w:rFonts w:hint="default" w:ascii="Times New Roman" w:hAnsi="Times New Roman" w:eastAsia="宋体" w:cs="Times New Roman"/>
                <w:b w:val="0"/>
                <w:bCs w:val="0"/>
                <w:color w:val="auto"/>
                <w:sz w:val="24"/>
                <w:szCs w:val="24"/>
                <w:lang w:val="en-US" w:eastAsia="zh-CN"/>
              </w:rPr>
              <w:t>占地类型主要是水域及水利设施用地、其他用地、裸地</w:t>
            </w:r>
            <w:r>
              <w:rPr>
                <w:rFonts w:hint="default" w:ascii="Times New Roman" w:hAnsi="Times New Roman" w:eastAsia="宋体" w:cs="Times New Roman"/>
                <w:color w:val="auto"/>
                <w:sz w:val="24"/>
              </w:rPr>
              <w:t>。</w:t>
            </w:r>
          </w:p>
          <w:p>
            <w:pPr>
              <w:adjustRightInd w:val="0"/>
              <w:snapToGrid w:val="0"/>
              <w:spacing w:line="360" w:lineRule="auto"/>
              <w:ind w:firstLine="480" w:firstLineChars="200"/>
              <w:textAlignment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为减少项目施工对周边生态环境的影响，环评要求项目施工时必须严格执行以下措施：</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①</w:t>
            </w:r>
            <w:r>
              <w:rPr>
                <w:rFonts w:hint="default" w:ascii="Times New Roman" w:hAnsi="Times New Roman" w:eastAsia="宋体" w:cs="Times New Roman"/>
                <w:color w:val="auto"/>
                <w:sz w:val="24"/>
                <w:szCs w:val="24"/>
              </w:rPr>
              <w:t>施工时，对工程占地进行严格管理，不准擅自扩大</w:t>
            </w:r>
            <w:r>
              <w:rPr>
                <w:rFonts w:hint="default" w:ascii="Times New Roman" w:hAnsi="Times New Roman" w:eastAsia="宋体" w:cs="Times New Roman"/>
                <w:color w:val="auto"/>
                <w:sz w:val="24"/>
                <w:szCs w:val="24"/>
                <w:lang w:eastAsia="zh-CN"/>
              </w:rPr>
              <w:t>占地</w:t>
            </w:r>
            <w:r>
              <w:rPr>
                <w:rFonts w:hint="default" w:ascii="Times New Roman" w:hAnsi="Times New Roman" w:eastAsia="宋体" w:cs="Times New Roman"/>
                <w:color w:val="auto"/>
                <w:sz w:val="24"/>
                <w:szCs w:val="24"/>
              </w:rPr>
              <w:t>，避免增加对地表植被的破坏。对施工弃土及早处理，避免由于人为耽搁加剧水土流失</w:t>
            </w:r>
            <w:r>
              <w:rPr>
                <w:rFonts w:hint="default"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②施工结束后，</w:t>
            </w:r>
            <w:r>
              <w:rPr>
                <w:rFonts w:hint="default" w:ascii="Times New Roman" w:hAnsi="Times New Roman" w:eastAsia="宋体" w:cs="Times New Roman"/>
                <w:color w:val="auto"/>
                <w:sz w:val="24"/>
                <w:szCs w:val="24"/>
              </w:rPr>
              <w:t>对于</w:t>
            </w:r>
            <w:r>
              <w:rPr>
                <w:rFonts w:hint="default" w:ascii="Times New Roman" w:hAnsi="Times New Roman" w:eastAsia="宋体" w:cs="Times New Roman"/>
                <w:color w:val="auto"/>
                <w:sz w:val="24"/>
                <w:szCs w:val="24"/>
                <w:lang w:eastAsia="zh-CN"/>
              </w:rPr>
              <w:t>施工</w:t>
            </w:r>
            <w:r>
              <w:rPr>
                <w:rFonts w:hint="default" w:ascii="Times New Roman" w:hAnsi="Times New Roman" w:eastAsia="宋体" w:cs="Times New Roman"/>
                <w:color w:val="auto"/>
                <w:sz w:val="24"/>
                <w:szCs w:val="24"/>
                <w:lang w:val="en-US" w:eastAsia="zh-CN"/>
              </w:rPr>
              <w:t>生产区、</w:t>
            </w:r>
            <w:r>
              <w:rPr>
                <w:rFonts w:hint="default" w:ascii="Times New Roman" w:hAnsi="Times New Roman" w:eastAsia="宋体" w:cs="Times New Roman"/>
                <w:color w:val="auto"/>
                <w:sz w:val="24"/>
                <w:szCs w:val="24"/>
                <w:lang w:eastAsia="zh-CN"/>
              </w:rPr>
              <w:t>临时施工围堰</w:t>
            </w:r>
            <w:r>
              <w:rPr>
                <w:rFonts w:hint="default" w:ascii="Times New Roman" w:hAnsi="Times New Roman" w:eastAsia="宋体" w:cs="Times New Roman"/>
                <w:color w:val="auto"/>
                <w:sz w:val="24"/>
                <w:szCs w:val="24"/>
              </w:rPr>
              <w:t>等临时占地，</w:t>
            </w:r>
            <w:r>
              <w:rPr>
                <w:rFonts w:hint="default" w:ascii="Times New Roman" w:hAnsi="Times New Roman" w:eastAsia="宋体" w:cs="Times New Roman"/>
                <w:color w:val="auto"/>
                <w:sz w:val="24"/>
                <w:szCs w:val="24"/>
                <w:lang w:val="en-US" w:eastAsia="zh-CN"/>
              </w:rPr>
              <w:t>及时</w:t>
            </w:r>
            <w:r>
              <w:rPr>
                <w:rFonts w:hint="default" w:ascii="Times New Roman" w:hAnsi="Times New Roman" w:eastAsia="宋体" w:cs="Times New Roman"/>
                <w:color w:val="auto"/>
                <w:sz w:val="24"/>
                <w:szCs w:val="24"/>
              </w:rPr>
              <w:t>清理</w:t>
            </w:r>
            <w:r>
              <w:rPr>
                <w:rFonts w:hint="default" w:ascii="Times New Roman" w:hAnsi="Times New Roman" w:eastAsia="宋体" w:cs="Times New Roman"/>
                <w:color w:val="auto"/>
                <w:sz w:val="24"/>
                <w:szCs w:val="24"/>
                <w:lang w:eastAsia="zh-CN"/>
              </w:rPr>
              <w:t>场地，拆除建筑</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对场地进行平整；</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③</w:t>
            </w:r>
            <w:r>
              <w:rPr>
                <w:rFonts w:hint="default" w:ascii="Times New Roman" w:hAnsi="Times New Roman" w:eastAsia="宋体" w:cs="Times New Roman"/>
                <w:color w:val="auto"/>
                <w:sz w:val="24"/>
                <w:szCs w:val="24"/>
              </w:rPr>
              <w:t>禁止乱砍乱伐，注意保护周边植被，尽可能</w:t>
            </w:r>
            <w:r>
              <w:rPr>
                <w:rFonts w:hint="default" w:ascii="Times New Roman" w:hAnsi="Times New Roman" w:eastAsia="宋体" w:cs="Times New Roman"/>
                <w:color w:val="auto"/>
                <w:sz w:val="24"/>
                <w:szCs w:val="24"/>
                <w:lang w:val="en-US" w:eastAsia="zh-CN"/>
              </w:rPr>
              <w:t>的</w:t>
            </w:r>
            <w:r>
              <w:rPr>
                <w:rFonts w:hint="default" w:ascii="Times New Roman" w:hAnsi="Times New Roman" w:eastAsia="宋体" w:cs="Times New Roman"/>
                <w:color w:val="auto"/>
                <w:sz w:val="24"/>
                <w:szCs w:val="24"/>
              </w:rPr>
              <w:t>减少对植被和土地的破坏。形成的裸露土地，</w:t>
            </w:r>
            <w:r>
              <w:rPr>
                <w:rFonts w:hint="default" w:ascii="Times New Roman" w:hAnsi="Times New Roman" w:eastAsia="宋体" w:cs="Times New Roman"/>
                <w:color w:val="auto"/>
                <w:sz w:val="24"/>
                <w:szCs w:val="24"/>
                <w:lang w:val="en-US" w:eastAsia="zh-CN"/>
              </w:rPr>
              <w:t>已</w:t>
            </w:r>
            <w:r>
              <w:rPr>
                <w:rFonts w:hint="default" w:ascii="Times New Roman" w:hAnsi="Times New Roman" w:eastAsia="宋体" w:cs="Times New Roman"/>
                <w:color w:val="auto"/>
                <w:sz w:val="24"/>
                <w:szCs w:val="24"/>
              </w:rPr>
              <w:t>及时覆土，弃土、填土</w:t>
            </w:r>
            <w:r>
              <w:rPr>
                <w:rFonts w:hint="default" w:ascii="Times New Roman" w:hAnsi="Times New Roman" w:eastAsia="宋体" w:cs="Times New Roman"/>
                <w:color w:val="auto"/>
                <w:sz w:val="24"/>
                <w:szCs w:val="24"/>
                <w:lang w:val="en-US" w:eastAsia="zh-CN"/>
              </w:rPr>
              <w:t>综合利用</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没有</w:t>
            </w:r>
            <w:r>
              <w:rPr>
                <w:rFonts w:hint="default" w:ascii="Times New Roman" w:hAnsi="Times New Roman" w:eastAsia="宋体" w:cs="Times New Roman"/>
                <w:color w:val="auto"/>
                <w:sz w:val="24"/>
                <w:szCs w:val="24"/>
              </w:rPr>
              <w:t>增加临时占地</w:t>
            </w:r>
            <w:r>
              <w:rPr>
                <w:rFonts w:hint="default"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④</w:t>
            </w:r>
            <w:r>
              <w:rPr>
                <w:rFonts w:hint="default" w:ascii="Times New Roman" w:hAnsi="Times New Roman" w:eastAsia="宋体" w:cs="Times New Roman"/>
                <w:color w:val="auto"/>
                <w:sz w:val="24"/>
                <w:szCs w:val="24"/>
              </w:rPr>
              <w:t>施工期间，以公告、宣传单、板报和会议等形式，加强对施工人员的环境保护宣传教育和保护野生动物常识的宣传，提高施工人员的环境保护意识；禁止施工人员捕猎蛙类、蛇类、兽类、鸟类等野生动物和从事其它有碍生态环境保护的活动。加强施工管理与监理，优化施工设计，减少</w:t>
            </w:r>
            <w:r>
              <w:rPr>
                <w:rFonts w:hint="default" w:ascii="Times New Roman" w:hAnsi="Times New Roman" w:eastAsia="宋体" w:cs="Times New Roman"/>
                <w:color w:val="auto"/>
                <w:sz w:val="24"/>
                <w:szCs w:val="24"/>
                <w:lang w:val="en-US" w:eastAsia="zh-CN"/>
              </w:rPr>
              <w:t>了</w:t>
            </w:r>
            <w:r>
              <w:rPr>
                <w:rFonts w:hint="default" w:ascii="Times New Roman" w:hAnsi="Times New Roman" w:eastAsia="宋体" w:cs="Times New Roman"/>
                <w:color w:val="auto"/>
                <w:sz w:val="24"/>
                <w:szCs w:val="24"/>
              </w:rPr>
              <w:t>施工占地及施工活动对动物栖息地的破坏</w:t>
            </w:r>
            <w:r>
              <w:rPr>
                <w:rFonts w:hint="default"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⑤</w:t>
            </w:r>
            <w:r>
              <w:rPr>
                <w:rFonts w:hint="default" w:ascii="Times New Roman" w:hAnsi="Times New Roman" w:eastAsia="宋体" w:cs="Times New Roman"/>
                <w:color w:val="auto"/>
                <w:sz w:val="24"/>
                <w:szCs w:val="24"/>
              </w:rPr>
              <w:t>工程建设中，取弃土综合考虑，减少</w:t>
            </w:r>
            <w:r>
              <w:rPr>
                <w:rFonts w:hint="default" w:ascii="Times New Roman" w:hAnsi="Times New Roman" w:eastAsia="宋体" w:cs="Times New Roman"/>
                <w:color w:val="auto"/>
                <w:sz w:val="24"/>
                <w:szCs w:val="24"/>
                <w:lang w:val="en-US" w:eastAsia="zh-CN"/>
              </w:rPr>
              <w:t>了</w:t>
            </w:r>
            <w:r>
              <w:rPr>
                <w:rFonts w:hint="default" w:ascii="Times New Roman" w:hAnsi="Times New Roman" w:eastAsia="宋体" w:cs="Times New Roman"/>
                <w:color w:val="auto"/>
                <w:sz w:val="24"/>
                <w:szCs w:val="24"/>
              </w:rPr>
              <w:t>施工中的弃土量；合理布置弃土的位置、范围等，减少</w:t>
            </w:r>
            <w:r>
              <w:rPr>
                <w:rFonts w:hint="default" w:ascii="Times New Roman" w:hAnsi="Times New Roman" w:eastAsia="宋体" w:cs="Times New Roman"/>
                <w:color w:val="auto"/>
                <w:sz w:val="24"/>
                <w:szCs w:val="24"/>
                <w:lang w:val="en-US" w:eastAsia="zh-CN"/>
              </w:rPr>
              <w:t>了</w:t>
            </w:r>
            <w:r>
              <w:rPr>
                <w:rFonts w:hint="default" w:ascii="Times New Roman" w:hAnsi="Times New Roman" w:eastAsia="宋体" w:cs="Times New Roman"/>
                <w:color w:val="auto"/>
                <w:sz w:val="24"/>
                <w:szCs w:val="24"/>
              </w:rPr>
              <w:t>破坏地貌的面积，保持原有生态环境</w:t>
            </w:r>
            <w:r>
              <w:rPr>
                <w:rFonts w:hint="default"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⑥</w:t>
            </w:r>
            <w:r>
              <w:rPr>
                <w:rFonts w:hint="default" w:ascii="Times New Roman" w:hAnsi="Times New Roman" w:eastAsia="宋体" w:cs="Times New Roman"/>
                <w:color w:val="auto"/>
                <w:sz w:val="24"/>
                <w:szCs w:val="24"/>
              </w:rPr>
              <w:t>禁止将生产污水</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垃圾及其它施工机械的生产废水如混凝土施工废水直接排入水体；有害的施工材料尤其是粉尘类材料远离水体堆放</w:t>
            </w:r>
            <w:r>
              <w:rPr>
                <w:rFonts w:hint="default"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⑦</w:t>
            </w:r>
            <w:r>
              <w:rPr>
                <w:rFonts w:hint="default" w:ascii="Times New Roman" w:hAnsi="Times New Roman" w:eastAsia="宋体" w:cs="Times New Roman"/>
                <w:color w:val="auto"/>
                <w:sz w:val="24"/>
                <w:szCs w:val="24"/>
              </w:rPr>
              <w:t>本工程施工活动主要集中在河岸带，在施工过程中减少对河岸带植被的破坏，施工完成后，及时对破坏的河岸</w:t>
            </w:r>
            <w:r>
              <w:rPr>
                <w:rFonts w:hint="default" w:ascii="Times New Roman" w:hAnsi="Times New Roman" w:eastAsia="宋体" w:cs="Times New Roman"/>
                <w:color w:val="auto"/>
                <w:sz w:val="24"/>
                <w:szCs w:val="24"/>
                <w:lang w:eastAsia="zh-CN"/>
              </w:rPr>
              <w:t>进行绿化</w:t>
            </w:r>
            <w:r>
              <w:rPr>
                <w:rFonts w:hint="default" w:ascii="Times New Roman" w:hAnsi="Times New Roman" w:eastAsia="宋体" w:cs="Times New Roman"/>
                <w:color w:val="auto"/>
                <w:sz w:val="24"/>
                <w:szCs w:val="24"/>
              </w:rPr>
              <w:t>，维护近岸的水生生态环境</w:t>
            </w:r>
            <w:r>
              <w:rPr>
                <w:rFonts w:hint="default"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⑧</w:t>
            </w:r>
            <w:r>
              <w:rPr>
                <w:rFonts w:hint="default" w:ascii="Times New Roman" w:hAnsi="Times New Roman" w:eastAsia="宋体" w:cs="Times New Roman"/>
                <w:color w:val="auto"/>
                <w:sz w:val="24"/>
                <w:szCs w:val="24"/>
              </w:rPr>
              <w:t>在施工期也制定</w:t>
            </w:r>
            <w:r>
              <w:rPr>
                <w:rFonts w:hint="default" w:ascii="Times New Roman" w:hAnsi="Times New Roman" w:eastAsia="宋体" w:cs="Times New Roman"/>
                <w:color w:val="auto"/>
                <w:sz w:val="24"/>
                <w:szCs w:val="24"/>
                <w:lang w:val="en-US" w:eastAsia="zh-CN"/>
              </w:rPr>
              <w:t>了</w:t>
            </w:r>
            <w:r>
              <w:rPr>
                <w:rFonts w:hint="default" w:ascii="Times New Roman" w:hAnsi="Times New Roman" w:eastAsia="宋体" w:cs="Times New Roman"/>
                <w:color w:val="auto"/>
                <w:sz w:val="24"/>
                <w:szCs w:val="24"/>
              </w:rPr>
              <w:t>水生生物保护规定，使施工人员在施工过程中能自觉保护水生动物；严禁施工人员在施工水域附近进行捕鱼、猎捕水禽或从事其它有碍水生生态环境的活动</w:t>
            </w:r>
            <w:r>
              <w:rPr>
                <w:rFonts w:hint="default"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⑨</w:t>
            </w:r>
            <w:r>
              <w:rPr>
                <w:rFonts w:hint="default" w:ascii="Times New Roman" w:hAnsi="Times New Roman" w:eastAsia="宋体" w:cs="Times New Roman"/>
                <w:color w:val="auto"/>
                <w:sz w:val="24"/>
                <w:szCs w:val="24"/>
              </w:rPr>
              <w:t>在实施与河道水体直接接触的工程时，采取</w:t>
            </w:r>
            <w:r>
              <w:rPr>
                <w:rFonts w:hint="default" w:ascii="Times New Roman" w:hAnsi="Times New Roman" w:eastAsia="宋体" w:cs="Times New Roman"/>
                <w:color w:val="auto"/>
                <w:sz w:val="24"/>
                <w:szCs w:val="24"/>
                <w:lang w:eastAsia="zh-CN"/>
              </w:rPr>
              <w:t>围堰</w:t>
            </w:r>
            <w:r>
              <w:rPr>
                <w:rFonts w:hint="default" w:ascii="Times New Roman" w:hAnsi="Times New Roman" w:eastAsia="宋体" w:cs="Times New Roman"/>
                <w:color w:val="auto"/>
                <w:sz w:val="24"/>
                <w:szCs w:val="24"/>
              </w:rPr>
              <w:t>施工的施工方式，减少悬浮物的产生量；合理</w:t>
            </w:r>
            <w:r>
              <w:rPr>
                <w:rFonts w:hint="default" w:ascii="Times New Roman" w:hAnsi="Times New Roman" w:eastAsia="宋体" w:cs="Times New Roman"/>
                <w:color w:val="auto"/>
                <w:sz w:val="24"/>
                <w:szCs w:val="24"/>
                <w:lang w:val="en-US" w:eastAsia="zh-CN"/>
              </w:rPr>
              <w:t>的</w:t>
            </w:r>
            <w:r>
              <w:rPr>
                <w:rFonts w:hint="default" w:ascii="Times New Roman" w:hAnsi="Times New Roman" w:eastAsia="宋体" w:cs="Times New Roman"/>
                <w:color w:val="auto"/>
                <w:sz w:val="24"/>
                <w:szCs w:val="24"/>
              </w:rPr>
              <w:t>安排</w:t>
            </w:r>
            <w:r>
              <w:rPr>
                <w:rFonts w:hint="default" w:ascii="Times New Roman" w:hAnsi="Times New Roman" w:eastAsia="宋体" w:cs="Times New Roman"/>
                <w:color w:val="auto"/>
                <w:sz w:val="24"/>
                <w:szCs w:val="24"/>
                <w:lang w:val="en-US" w:eastAsia="zh-CN"/>
              </w:rPr>
              <w:t>了</w:t>
            </w:r>
            <w:r>
              <w:rPr>
                <w:rFonts w:hint="default" w:ascii="Times New Roman" w:hAnsi="Times New Roman" w:eastAsia="宋体" w:cs="Times New Roman"/>
                <w:color w:val="auto"/>
                <w:sz w:val="24"/>
                <w:szCs w:val="24"/>
              </w:rPr>
              <w:t>施工季节和施工强度，</w:t>
            </w:r>
            <w:r>
              <w:rPr>
                <w:rFonts w:hint="default" w:ascii="Times New Roman" w:hAnsi="Times New Roman" w:eastAsia="宋体" w:cs="Times New Roman"/>
                <w:color w:val="auto"/>
                <w:sz w:val="24"/>
                <w:szCs w:val="24"/>
                <w:lang w:val="en-US" w:eastAsia="zh-CN"/>
              </w:rPr>
              <w:t>降低</w:t>
            </w:r>
            <w:r>
              <w:rPr>
                <w:rFonts w:hint="default" w:ascii="Times New Roman" w:hAnsi="Times New Roman" w:eastAsia="宋体" w:cs="Times New Roman"/>
                <w:color w:val="auto"/>
                <w:sz w:val="24"/>
                <w:szCs w:val="24"/>
              </w:rPr>
              <w:t>水体浑浊对水生生态产生影响。</w:t>
            </w:r>
          </w:p>
          <w:p>
            <w:pPr>
              <w:adjustRightInd w:val="0"/>
              <w:snapToGrid w:val="0"/>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rPr>
              <w:t>项目区域内无珍稀动植物，在采取上述措施后，不会减少项目区域内种植物种类，项目施工对周围生态系统的扰动将大幅度降低，同时，随着河岸带内天然植被生长状况的改善，能够加固堤岸，降低径流速度，减少洪水破坏力，滤掉一些沉淀物和营养物质，对河流水质也有一定促进作用</w:t>
            </w:r>
            <w:r>
              <w:rPr>
                <w:rFonts w:hint="default" w:ascii="Times New Roman" w:hAnsi="Times New Roman" w:eastAsia="宋体" w:cs="Times New Roman"/>
                <w:color w:val="auto"/>
                <w:sz w:val="24"/>
                <w:szCs w:val="24"/>
              </w:rPr>
              <w:t>。</w:t>
            </w:r>
          </w:p>
          <w:p>
            <w:pPr>
              <w:widowControl/>
              <w:adjustRightInd w:val="0"/>
              <w:snapToGrid w:val="0"/>
              <w:spacing w:line="360" w:lineRule="auto"/>
              <w:ind w:firstLine="480" w:firstLineChars="200"/>
              <w:jc w:val="left"/>
              <w:rPr>
                <w:rFonts w:hint="default" w:ascii="Times New Roman" w:hAnsi="Times New Roman" w:eastAsia="宋体" w:cs="Times New Roman"/>
                <w:b w:val="0"/>
                <w:bCs/>
                <w:color w:val="auto"/>
                <w:kern w:val="0"/>
                <w:sz w:val="24"/>
                <w:lang w:val="en-US" w:eastAsia="zh-CN" w:bidi="ar"/>
              </w:rPr>
            </w:pPr>
            <w:r>
              <w:rPr>
                <w:rFonts w:hint="eastAsia" w:cs="Times New Roman"/>
                <w:b w:val="0"/>
                <w:bCs/>
                <w:color w:val="auto"/>
                <w:kern w:val="0"/>
                <w:sz w:val="24"/>
                <w:lang w:val="en-US" w:eastAsia="zh-CN" w:bidi="ar"/>
              </w:rPr>
              <w:t>（2</w:t>
            </w:r>
            <w:r>
              <w:rPr>
                <w:rFonts w:hint="default" w:ascii="Times New Roman" w:hAnsi="Times New Roman" w:eastAsia="宋体" w:cs="Times New Roman"/>
                <w:b w:val="0"/>
                <w:bCs/>
                <w:color w:val="auto"/>
                <w:kern w:val="0"/>
                <w:sz w:val="24"/>
                <w:lang w:val="en-US" w:eastAsia="zh-CN" w:bidi="ar"/>
              </w:rPr>
              <w:t>）主体工程区</w:t>
            </w:r>
          </w:p>
          <w:p>
            <w:pPr>
              <w:widowControl/>
              <w:adjustRightInd w:val="0"/>
              <w:snapToGrid w:val="0"/>
              <w:spacing w:line="360" w:lineRule="auto"/>
              <w:ind w:firstLine="480" w:firstLineChars="200"/>
              <w:jc w:val="left"/>
              <w:rPr>
                <w:rFonts w:hint="default" w:ascii="Times New Roman" w:hAnsi="Times New Roman" w:eastAsia="宋体" w:cs="Times New Roman"/>
                <w:b w:val="0"/>
                <w:bCs/>
                <w:color w:val="auto"/>
                <w:kern w:val="0"/>
                <w:sz w:val="24"/>
                <w:lang w:val="en-US" w:eastAsia="zh-CN" w:bidi="ar"/>
              </w:rPr>
            </w:pPr>
            <w:r>
              <w:rPr>
                <w:rFonts w:hint="default" w:ascii="Times New Roman" w:hAnsi="Times New Roman" w:eastAsia="宋体" w:cs="Times New Roman"/>
                <w:b w:val="0"/>
                <w:bCs/>
                <w:color w:val="auto"/>
                <w:kern w:val="0"/>
                <w:sz w:val="24"/>
                <w:lang w:val="en-US" w:eastAsia="zh-CN" w:bidi="ar"/>
              </w:rPr>
              <w:t>工程措施：主体工程施工区开挖量大，对地表扰动强烈，水土流失防治以工程措施为主，在防洪堤堤身设置排水管排水，背水坡面的边坡采用1:1.5。</w:t>
            </w:r>
          </w:p>
          <w:p>
            <w:pPr>
              <w:widowControl/>
              <w:adjustRightInd w:val="0"/>
              <w:snapToGrid w:val="0"/>
              <w:spacing w:line="360" w:lineRule="auto"/>
              <w:ind w:firstLine="480" w:firstLineChars="200"/>
              <w:jc w:val="left"/>
              <w:rPr>
                <w:rFonts w:hint="default" w:ascii="Times New Roman" w:hAnsi="Times New Roman" w:eastAsia="宋体" w:cs="Times New Roman"/>
                <w:b w:val="0"/>
                <w:bCs/>
                <w:color w:val="auto"/>
                <w:kern w:val="0"/>
                <w:sz w:val="24"/>
                <w:lang w:val="en-US" w:eastAsia="zh-CN" w:bidi="ar"/>
              </w:rPr>
            </w:pPr>
            <w:r>
              <w:rPr>
                <w:rFonts w:hint="default" w:ascii="Times New Roman" w:hAnsi="Times New Roman" w:eastAsia="宋体" w:cs="Times New Roman"/>
                <w:b w:val="0"/>
                <w:bCs/>
                <w:color w:val="auto"/>
                <w:kern w:val="0"/>
                <w:sz w:val="24"/>
                <w:lang w:val="en-US" w:eastAsia="zh-CN" w:bidi="ar"/>
              </w:rPr>
              <w:t>临时措施：施工前首先沿背水坡永久征地红线设置施工围栏，使施工区与外面建成区隔离；并沿征地红线设置临时编织土袋挡墙和临时土质排水沟，雨天准备防水塑料薄膜来覆盖开挖回填坡面以及堆土、堆料。</w:t>
            </w:r>
          </w:p>
          <w:p>
            <w:pPr>
              <w:widowControl/>
              <w:adjustRightInd w:val="0"/>
              <w:snapToGrid w:val="0"/>
              <w:spacing w:line="360" w:lineRule="auto"/>
              <w:ind w:firstLine="480" w:firstLineChars="200"/>
              <w:jc w:val="left"/>
              <w:rPr>
                <w:rFonts w:hint="default" w:ascii="Times New Roman" w:hAnsi="Times New Roman" w:eastAsia="宋体" w:cs="Times New Roman"/>
                <w:b w:val="0"/>
                <w:bCs/>
                <w:color w:val="auto"/>
                <w:kern w:val="0"/>
                <w:sz w:val="24"/>
                <w:lang w:val="en-US" w:eastAsia="zh-CN" w:bidi="ar"/>
              </w:rPr>
            </w:pPr>
            <w:r>
              <w:rPr>
                <w:rFonts w:hint="default" w:ascii="Times New Roman" w:hAnsi="Times New Roman" w:eastAsia="宋体" w:cs="Times New Roman"/>
                <w:b w:val="0"/>
                <w:bCs/>
                <w:color w:val="auto"/>
                <w:kern w:val="0"/>
                <w:sz w:val="24"/>
                <w:lang w:val="en-US" w:eastAsia="zh-CN" w:bidi="ar"/>
              </w:rPr>
              <w:t>植物措施：植物措施主要为植草绿化，即在堤防背水坡脚平地破坏范围裸露地表撒草籽恢复绿化。</w:t>
            </w:r>
          </w:p>
          <w:p>
            <w:pPr>
              <w:widowControl/>
              <w:adjustRightInd w:val="0"/>
              <w:snapToGrid w:val="0"/>
              <w:spacing w:line="360" w:lineRule="auto"/>
              <w:ind w:firstLine="480" w:firstLineChars="200"/>
              <w:jc w:val="left"/>
              <w:rPr>
                <w:rFonts w:hint="default" w:ascii="Times New Roman" w:hAnsi="Times New Roman" w:eastAsia="宋体" w:cs="Times New Roman"/>
                <w:b w:val="0"/>
                <w:bCs/>
                <w:color w:val="auto"/>
                <w:kern w:val="0"/>
                <w:sz w:val="24"/>
                <w:lang w:val="en-US" w:eastAsia="zh-CN" w:bidi="ar"/>
              </w:rPr>
            </w:pPr>
            <w:r>
              <w:rPr>
                <w:rFonts w:hint="default" w:ascii="Times New Roman" w:hAnsi="Times New Roman" w:eastAsia="宋体" w:cs="Times New Roman"/>
                <w:b w:val="0"/>
                <w:bCs/>
                <w:color w:val="auto"/>
                <w:kern w:val="0"/>
                <w:sz w:val="24"/>
                <w:lang w:val="en-US" w:eastAsia="zh-CN" w:bidi="ar"/>
              </w:rPr>
              <w:t>（</w:t>
            </w:r>
            <w:r>
              <w:rPr>
                <w:rFonts w:hint="eastAsia" w:cs="Times New Roman"/>
                <w:b w:val="0"/>
                <w:bCs/>
                <w:color w:val="auto"/>
                <w:kern w:val="0"/>
                <w:sz w:val="24"/>
                <w:lang w:val="en-US" w:eastAsia="zh-CN" w:bidi="ar"/>
              </w:rPr>
              <w:t>3</w:t>
            </w:r>
            <w:r>
              <w:rPr>
                <w:rFonts w:hint="default" w:ascii="Times New Roman" w:hAnsi="Times New Roman" w:eastAsia="宋体" w:cs="Times New Roman"/>
                <w:b w:val="0"/>
                <w:bCs/>
                <w:color w:val="auto"/>
                <w:kern w:val="0"/>
                <w:sz w:val="24"/>
                <w:lang w:val="en-US" w:eastAsia="zh-CN" w:bidi="ar"/>
              </w:rPr>
              <w:t>）施工生产区</w:t>
            </w:r>
          </w:p>
          <w:p>
            <w:pPr>
              <w:widowControl/>
              <w:adjustRightInd w:val="0"/>
              <w:snapToGrid w:val="0"/>
              <w:spacing w:line="360" w:lineRule="auto"/>
              <w:ind w:firstLine="480" w:firstLineChars="200"/>
              <w:jc w:val="left"/>
              <w:rPr>
                <w:rFonts w:hint="default" w:ascii="Times New Roman" w:hAnsi="Times New Roman" w:eastAsia="宋体" w:cs="Times New Roman"/>
                <w:b w:val="0"/>
                <w:bCs/>
                <w:color w:val="auto"/>
                <w:kern w:val="0"/>
                <w:sz w:val="24"/>
                <w:lang w:val="en-US" w:eastAsia="zh-CN" w:bidi="ar"/>
              </w:rPr>
            </w:pPr>
            <w:r>
              <w:rPr>
                <w:rFonts w:hint="default" w:ascii="Times New Roman" w:hAnsi="Times New Roman" w:eastAsia="宋体" w:cs="Times New Roman"/>
                <w:b w:val="0"/>
                <w:bCs/>
                <w:color w:val="auto"/>
                <w:kern w:val="0"/>
                <w:sz w:val="24"/>
                <w:lang w:val="en-US" w:eastAsia="zh-CN" w:bidi="ar"/>
              </w:rPr>
              <w:t>工程措施：施工结束后，及时进行场地平整恢复原地貌，根据本工程实际情况，场地平整采用人工与机械相结合的方式进行平整。</w:t>
            </w:r>
          </w:p>
          <w:p>
            <w:pPr>
              <w:widowControl/>
              <w:adjustRightInd w:val="0"/>
              <w:snapToGrid w:val="0"/>
              <w:spacing w:line="360" w:lineRule="auto"/>
              <w:ind w:firstLine="480" w:firstLineChars="200"/>
              <w:jc w:val="left"/>
              <w:rPr>
                <w:rFonts w:hint="default" w:ascii="Times New Roman" w:hAnsi="Times New Roman" w:eastAsia="宋体" w:cs="Times New Roman"/>
                <w:b w:val="0"/>
                <w:bCs/>
                <w:color w:val="auto"/>
                <w:kern w:val="0"/>
                <w:sz w:val="24"/>
                <w:lang w:val="zh-CN" w:eastAsia="zh-CN" w:bidi="ar"/>
              </w:rPr>
            </w:pPr>
            <w:r>
              <w:rPr>
                <w:rFonts w:hint="default" w:ascii="Times New Roman" w:hAnsi="Times New Roman" w:eastAsia="宋体" w:cs="Times New Roman"/>
                <w:b w:val="0"/>
                <w:bCs/>
                <w:color w:val="auto"/>
                <w:kern w:val="0"/>
                <w:sz w:val="24"/>
                <w:lang w:val="zh-CN" w:eastAsia="zh-CN" w:bidi="ar"/>
              </w:rPr>
              <w:t>临时措施：结合场地地形和汇水情况，在外侧边坡设置截水沟，内侧设置排水沟，排水沟与截水沟顺接。在排水沟出口处选择地势平缓的区域设置小型沉沙凼。</w:t>
            </w:r>
          </w:p>
          <w:p>
            <w:pPr>
              <w:widowControl/>
              <w:adjustRightInd w:val="0"/>
              <w:snapToGrid w:val="0"/>
              <w:spacing w:line="360" w:lineRule="auto"/>
              <w:ind w:firstLine="480" w:firstLineChars="200"/>
              <w:jc w:val="left"/>
              <w:rPr>
                <w:rFonts w:hint="default" w:ascii="Times New Roman" w:hAnsi="Times New Roman" w:eastAsia="宋体" w:cs="Times New Roman"/>
                <w:b w:val="0"/>
                <w:bCs/>
                <w:color w:val="auto"/>
                <w:kern w:val="0"/>
                <w:sz w:val="24"/>
                <w:lang w:val="zh-CN" w:eastAsia="zh-CN" w:bidi="ar"/>
              </w:rPr>
            </w:pPr>
            <w:r>
              <w:rPr>
                <w:rFonts w:hint="default" w:ascii="Times New Roman" w:hAnsi="Times New Roman" w:eastAsia="宋体" w:cs="Times New Roman"/>
                <w:b w:val="0"/>
                <w:bCs/>
                <w:color w:val="auto"/>
                <w:kern w:val="0"/>
                <w:sz w:val="24"/>
                <w:lang w:val="zh-CN" w:eastAsia="zh-CN" w:bidi="ar"/>
              </w:rPr>
              <w:t>c.植物措施</w:t>
            </w:r>
          </w:p>
          <w:p>
            <w:pPr>
              <w:widowControl/>
              <w:adjustRightInd w:val="0"/>
              <w:snapToGrid w:val="0"/>
              <w:spacing w:line="360" w:lineRule="auto"/>
              <w:ind w:firstLine="480" w:firstLineChars="200"/>
              <w:jc w:val="left"/>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eastAsia="宋体" w:cs="Times New Roman"/>
                <w:b w:val="0"/>
                <w:bCs/>
                <w:color w:val="auto"/>
                <w:kern w:val="0"/>
                <w:sz w:val="24"/>
                <w:lang w:val="zh-CN" w:eastAsia="zh-CN" w:bidi="ar"/>
              </w:rPr>
              <w:t>施工结束后，及时对其占压的区域进行迹</w:t>
            </w:r>
            <w:r>
              <w:rPr>
                <w:rFonts w:hint="default" w:ascii="Times New Roman" w:hAnsi="Times New Roman" w:eastAsia="宋体" w:cs="Times New Roman"/>
                <w:color w:val="auto"/>
                <w:kern w:val="2"/>
                <w:sz w:val="24"/>
                <w:szCs w:val="24"/>
                <w:lang w:val="zh-CN" w:eastAsia="zh-CN" w:bidi="ar-SA"/>
              </w:rPr>
              <w:t>地恢复，撒播草籽等绿化。</w:t>
            </w:r>
          </w:p>
          <w:p>
            <w:pPr>
              <w:widowControl/>
              <w:adjustRightInd w:val="0"/>
              <w:snapToGrid w:val="0"/>
              <w:spacing w:line="360" w:lineRule="auto"/>
              <w:ind w:firstLine="482" w:firstLineChars="200"/>
              <w:jc w:val="left"/>
              <w:rPr>
                <w:rFonts w:hint="default" w:ascii="Times New Roman" w:hAnsi="Times New Roman" w:eastAsia="宋体" w:cs="Times New Roman"/>
                <w:b/>
                <w:bCs w:val="0"/>
                <w:color w:val="auto"/>
                <w:sz w:val="24"/>
              </w:rPr>
            </w:pPr>
            <w:r>
              <w:rPr>
                <w:rFonts w:hint="default" w:ascii="Times New Roman" w:hAnsi="Times New Roman" w:eastAsia="宋体" w:cs="Times New Roman"/>
                <w:b/>
                <w:bCs w:val="0"/>
                <w:color w:val="auto"/>
                <w:kern w:val="0"/>
                <w:sz w:val="24"/>
                <w:lang w:val="en-US" w:eastAsia="zh-CN" w:bidi="ar"/>
              </w:rPr>
              <w:t>2、</w:t>
            </w:r>
            <w:r>
              <w:rPr>
                <w:rFonts w:hint="default" w:ascii="Times New Roman" w:hAnsi="Times New Roman" w:eastAsia="宋体" w:cs="Times New Roman"/>
                <w:b/>
                <w:bCs w:val="0"/>
                <w:color w:val="auto"/>
                <w:kern w:val="0"/>
                <w:sz w:val="24"/>
                <w:lang w:bidi="ar"/>
              </w:rPr>
              <w:t>施工期污染排放及防治措施</w:t>
            </w:r>
          </w:p>
          <w:p>
            <w:pPr>
              <w:widowControl/>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lang w:bidi="ar"/>
              </w:rPr>
              <w:t>本项目在施工过程中土方开挖、运输等施工活动对区域生态环境产生</w:t>
            </w:r>
            <w:r>
              <w:rPr>
                <w:rFonts w:hint="default" w:ascii="Times New Roman" w:hAnsi="Times New Roman" w:eastAsia="宋体" w:cs="Times New Roman"/>
                <w:color w:val="auto"/>
                <w:kern w:val="0"/>
                <w:sz w:val="24"/>
                <w:lang w:val="en-US" w:eastAsia="zh-CN" w:bidi="ar"/>
              </w:rPr>
              <w:t>了</w:t>
            </w:r>
            <w:r>
              <w:rPr>
                <w:rFonts w:hint="default" w:ascii="Times New Roman" w:hAnsi="Times New Roman" w:eastAsia="宋体" w:cs="Times New Roman"/>
                <w:color w:val="auto"/>
                <w:kern w:val="0"/>
                <w:sz w:val="24"/>
                <w:lang w:bidi="ar"/>
              </w:rPr>
              <w:t>一定的不利影响，施工期主要污染因素包括：施工期扬尘污染、施工设备噪声影响、施工期排污、施工活动对整治区域的生态影响、水土流失。</w:t>
            </w:r>
          </w:p>
          <w:p>
            <w:pPr>
              <w:widowControl/>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bCs/>
                <w:color w:val="auto"/>
                <w:kern w:val="0"/>
                <w:sz w:val="24"/>
                <w:lang w:eastAsia="zh-CN" w:bidi="ar"/>
              </w:rPr>
              <w:t>（</w:t>
            </w:r>
            <w:r>
              <w:rPr>
                <w:rFonts w:hint="default" w:ascii="Times New Roman" w:hAnsi="Times New Roman" w:eastAsia="宋体" w:cs="Times New Roman"/>
                <w:bCs/>
                <w:color w:val="auto"/>
                <w:kern w:val="0"/>
                <w:sz w:val="24"/>
                <w:lang w:val="en-US" w:eastAsia="zh-CN" w:bidi="ar"/>
              </w:rPr>
              <w:t>1</w:t>
            </w:r>
            <w:r>
              <w:rPr>
                <w:rFonts w:hint="default" w:ascii="Times New Roman" w:hAnsi="Times New Roman" w:eastAsia="宋体" w:cs="Times New Roman"/>
                <w:bCs/>
                <w:color w:val="auto"/>
                <w:kern w:val="0"/>
                <w:sz w:val="24"/>
                <w:lang w:eastAsia="zh-CN" w:bidi="ar"/>
              </w:rPr>
              <w:t>）</w:t>
            </w:r>
            <w:r>
              <w:rPr>
                <w:rFonts w:hint="default" w:ascii="Times New Roman" w:hAnsi="Times New Roman" w:eastAsia="宋体" w:cs="Times New Roman"/>
                <w:bCs/>
                <w:color w:val="auto"/>
                <w:kern w:val="0"/>
                <w:sz w:val="24"/>
                <w:lang w:bidi="ar"/>
              </w:rPr>
              <w:t>废水</w:t>
            </w:r>
          </w:p>
          <w:p>
            <w:pPr>
              <w:widowControl/>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lang w:bidi="ar"/>
              </w:rPr>
              <w:t>施工期水污染物主要来自施工过程中施工机械冲洗废水</w:t>
            </w:r>
            <w:r>
              <w:rPr>
                <w:rFonts w:hint="default" w:ascii="Times New Roman" w:hAnsi="Times New Roman" w:eastAsia="宋体" w:cs="Times New Roman"/>
                <w:b w:val="0"/>
                <w:bCs/>
                <w:color w:val="auto"/>
                <w:kern w:val="0"/>
                <w:sz w:val="24"/>
                <w:szCs w:val="24"/>
                <w:lang w:val="en-US" w:eastAsia="zh-CN" w:bidi="ar"/>
              </w:rPr>
              <w:t>、基坑废水</w:t>
            </w:r>
            <w:r>
              <w:rPr>
                <w:rFonts w:hint="default" w:ascii="Times New Roman" w:hAnsi="Times New Roman" w:eastAsia="宋体" w:cs="Times New Roman"/>
                <w:color w:val="auto"/>
                <w:kern w:val="0"/>
                <w:sz w:val="24"/>
                <w:lang w:bidi="ar"/>
              </w:rPr>
              <w:t>，主要污染因子以SS为主；施工人员生活污水，主要污染因子为COD、NH</w:t>
            </w:r>
            <w:r>
              <w:rPr>
                <w:rFonts w:hint="default" w:ascii="Times New Roman" w:hAnsi="Times New Roman" w:eastAsia="宋体" w:cs="Times New Roman"/>
                <w:color w:val="auto"/>
                <w:kern w:val="0"/>
                <w:sz w:val="24"/>
                <w:vertAlign w:val="subscript"/>
                <w:lang w:bidi="ar"/>
              </w:rPr>
              <w:t>3</w:t>
            </w:r>
            <w:r>
              <w:rPr>
                <w:rFonts w:hint="default" w:ascii="Times New Roman" w:hAnsi="Times New Roman" w:eastAsia="宋体" w:cs="Times New Roman"/>
                <w:color w:val="auto"/>
                <w:kern w:val="0"/>
                <w:sz w:val="24"/>
                <w:lang w:bidi="ar"/>
              </w:rPr>
              <w:t>-N。</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eastAsia="宋体" w:cs="Times New Roman"/>
                <w:color w:val="auto"/>
                <w:sz w:val="24"/>
              </w:rPr>
              <w:t>1）</w:t>
            </w:r>
            <w:r>
              <w:rPr>
                <w:rFonts w:hint="default" w:ascii="Times New Roman" w:hAnsi="Times New Roman" w:cs="Times New Roman"/>
                <w:color w:val="auto"/>
                <w:sz w:val="24"/>
              </w:rPr>
              <w:t>围堰施工与疏浚对水环境的影响</w:t>
            </w:r>
          </w:p>
          <w:p>
            <w:pPr>
              <w:adjustRightInd w:val="0"/>
              <w:snapToGrid w:val="0"/>
              <w:spacing w:line="360" w:lineRule="auto"/>
              <w:ind w:firstLine="480" w:firstLineChars="200"/>
              <w:rPr>
                <w:rFonts w:hint="default" w:ascii="Times New Roman" w:hAnsi="Times New Roman" w:eastAsia="宋体" w:cs="Times New Roman"/>
                <w:bCs/>
                <w:color w:val="auto"/>
                <w:kern w:val="0"/>
                <w:sz w:val="24"/>
                <w:lang w:bidi="ar"/>
              </w:rPr>
            </w:pPr>
            <w:r>
              <w:rPr>
                <w:rFonts w:hint="default" w:ascii="Times New Roman" w:hAnsi="Times New Roman" w:cs="Times New Roman"/>
                <w:color w:val="auto"/>
                <w:sz w:val="24"/>
              </w:rPr>
              <w:t>本项目围堰施工与河道疏浚过程中将导致施工区域局部水体悬浮物浓度增加，对施工段水质产生一定影响。项目工程量较小，工期短，其影响范围和程度有限，随着施工结束，该类影响也随之消失</w:t>
            </w:r>
            <w:r>
              <w:rPr>
                <w:rFonts w:hint="default" w:ascii="Times New Roman" w:hAnsi="Times New Roman" w:eastAsia="宋体" w:cs="Times New Roman"/>
                <w:color w:val="auto"/>
                <w:sz w:val="24"/>
              </w:rPr>
              <w:t>。</w:t>
            </w:r>
          </w:p>
          <w:p>
            <w:pPr>
              <w:widowControl/>
              <w:adjustRightInd w:val="0"/>
              <w:snapToGrid w:val="0"/>
              <w:spacing w:line="360" w:lineRule="auto"/>
              <w:ind w:firstLine="480" w:firstLineChars="200"/>
              <w:jc w:val="left"/>
              <w:rPr>
                <w:rFonts w:hint="default" w:ascii="Times New Roman" w:hAnsi="Times New Roman" w:eastAsia="宋体" w:cs="Times New Roman"/>
                <w:bCs/>
                <w:color w:val="auto"/>
                <w:sz w:val="24"/>
              </w:rPr>
            </w:pPr>
            <w:r>
              <w:rPr>
                <w:rFonts w:hint="default" w:ascii="Times New Roman" w:hAnsi="Times New Roman" w:eastAsia="宋体" w:cs="Times New Roman"/>
                <w:bCs/>
                <w:color w:val="auto"/>
                <w:kern w:val="0"/>
                <w:sz w:val="24"/>
                <w:lang w:bidi="ar"/>
              </w:rPr>
              <w:t>2）施工期人员生活污水</w:t>
            </w:r>
          </w:p>
          <w:p>
            <w:pPr>
              <w:widowControl/>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lang w:val="en-US" w:eastAsia="zh-CN" w:bidi="ar"/>
              </w:rPr>
              <w:t>根据上文计算，项目施工期生活污水产生量为</w:t>
            </w:r>
            <w:r>
              <w:rPr>
                <w:rFonts w:hint="eastAsia" w:cs="Times New Roman"/>
                <w:color w:val="auto"/>
                <w:kern w:val="0"/>
                <w:sz w:val="24"/>
                <w:lang w:val="en-US" w:eastAsia="zh-CN" w:bidi="ar"/>
              </w:rPr>
              <w:t>5.4</w:t>
            </w:r>
            <w:r>
              <w:rPr>
                <w:rFonts w:hint="default" w:ascii="Times New Roman" w:hAnsi="Times New Roman" w:eastAsia="宋体" w:cs="Times New Roman"/>
                <w:color w:val="auto"/>
                <w:kern w:val="0"/>
                <w:sz w:val="24"/>
                <w:lang w:bidi="ar"/>
              </w:rPr>
              <w:t>m</w:t>
            </w:r>
            <w:r>
              <w:rPr>
                <w:rFonts w:hint="default" w:ascii="Times New Roman" w:hAnsi="Times New Roman" w:eastAsia="宋体" w:cs="Times New Roman"/>
                <w:color w:val="auto"/>
                <w:kern w:val="0"/>
                <w:sz w:val="24"/>
                <w:vertAlign w:val="superscript"/>
                <w:lang w:bidi="ar"/>
              </w:rPr>
              <w:t>3</w:t>
            </w:r>
            <w:r>
              <w:rPr>
                <w:rFonts w:hint="default" w:ascii="Times New Roman" w:hAnsi="Times New Roman" w:eastAsia="宋体" w:cs="Times New Roman"/>
                <w:color w:val="auto"/>
                <w:kern w:val="0"/>
                <w:sz w:val="24"/>
                <w:lang w:bidi="ar"/>
              </w:rPr>
              <w:t>/d</w:t>
            </w:r>
            <w:r>
              <w:rPr>
                <w:rFonts w:hint="default" w:ascii="Times New Roman" w:hAnsi="Times New Roman" w:eastAsia="宋体" w:cs="Times New Roman"/>
                <w:color w:val="auto"/>
                <w:kern w:val="0"/>
                <w:sz w:val="24"/>
                <w:lang w:eastAsia="zh-CN" w:bidi="ar"/>
              </w:rPr>
              <w:t>，</w:t>
            </w:r>
            <w:r>
              <w:rPr>
                <w:rFonts w:hint="default" w:ascii="Times New Roman" w:hAnsi="Times New Roman" w:eastAsia="宋体" w:cs="Times New Roman"/>
                <w:color w:val="auto"/>
                <w:kern w:val="0"/>
                <w:sz w:val="24"/>
                <w:lang w:val="en-US" w:eastAsia="zh-CN" w:bidi="ar"/>
              </w:rPr>
              <w:t>施工期为</w:t>
            </w:r>
            <w:r>
              <w:rPr>
                <w:rFonts w:hint="eastAsia" w:cs="Times New Roman"/>
                <w:color w:val="auto"/>
                <w:kern w:val="0"/>
                <w:sz w:val="24"/>
                <w:lang w:val="en-US" w:eastAsia="zh-CN" w:bidi="ar"/>
              </w:rPr>
              <w:t>7</w:t>
            </w:r>
            <w:r>
              <w:rPr>
                <w:rFonts w:hint="default" w:ascii="Times New Roman" w:hAnsi="Times New Roman" w:eastAsia="宋体" w:cs="Times New Roman"/>
                <w:color w:val="auto"/>
                <w:kern w:val="0"/>
                <w:sz w:val="24"/>
                <w:lang w:val="en-US" w:eastAsia="zh-CN" w:bidi="ar"/>
              </w:rPr>
              <w:t>个月，</w:t>
            </w:r>
            <w:r>
              <w:rPr>
                <w:rFonts w:hint="default" w:ascii="Times New Roman" w:hAnsi="Times New Roman" w:eastAsia="宋体" w:cs="Times New Roman"/>
                <w:color w:val="auto"/>
                <w:kern w:val="0"/>
                <w:sz w:val="24"/>
                <w:lang w:bidi="ar"/>
              </w:rPr>
              <w:t>生活污水</w:t>
            </w:r>
            <w:r>
              <w:rPr>
                <w:rFonts w:hint="default" w:ascii="Times New Roman" w:hAnsi="Times New Roman" w:eastAsia="宋体" w:cs="Times New Roman"/>
                <w:color w:val="auto"/>
                <w:kern w:val="0"/>
                <w:sz w:val="24"/>
                <w:lang w:val="en-US" w:eastAsia="zh-CN" w:bidi="ar"/>
              </w:rPr>
              <w:t>总</w:t>
            </w:r>
            <w:r>
              <w:rPr>
                <w:rFonts w:hint="default" w:ascii="Times New Roman" w:hAnsi="Times New Roman" w:eastAsia="宋体" w:cs="Times New Roman"/>
                <w:color w:val="auto"/>
                <w:kern w:val="0"/>
                <w:sz w:val="24"/>
                <w:lang w:bidi="ar"/>
              </w:rPr>
              <w:t>量为</w:t>
            </w:r>
            <w:r>
              <w:rPr>
                <w:rFonts w:hint="eastAsia" w:eastAsia="宋体" w:cs="Times New Roman"/>
                <w:color w:val="auto"/>
                <w:kern w:val="0"/>
                <w:sz w:val="24"/>
                <w:lang w:val="en-US" w:eastAsia="zh-CN" w:bidi="ar"/>
              </w:rPr>
              <w:t>1134</w:t>
            </w:r>
            <w:r>
              <w:rPr>
                <w:rFonts w:hint="default" w:ascii="Times New Roman" w:hAnsi="Times New Roman" w:eastAsia="宋体" w:cs="Times New Roman"/>
                <w:color w:val="auto"/>
                <w:kern w:val="0"/>
                <w:sz w:val="24"/>
                <w:lang w:bidi="ar"/>
              </w:rPr>
              <w:t>m</w:t>
            </w:r>
            <w:r>
              <w:rPr>
                <w:rFonts w:hint="default" w:ascii="Times New Roman" w:hAnsi="Times New Roman" w:eastAsia="宋体" w:cs="Times New Roman"/>
                <w:color w:val="auto"/>
                <w:kern w:val="0"/>
                <w:sz w:val="24"/>
                <w:vertAlign w:val="superscript"/>
                <w:lang w:bidi="ar"/>
              </w:rPr>
              <w:t>3</w:t>
            </w:r>
            <w:r>
              <w:rPr>
                <w:rFonts w:hint="default" w:ascii="Times New Roman" w:hAnsi="Times New Roman" w:eastAsia="宋体" w:cs="Times New Roman"/>
                <w:color w:val="auto"/>
                <w:kern w:val="0"/>
                <w:sz w:val="24"/>
                <w:lang w:bidi="ar"/>
              </w:rPr>
              <w:t>。</w:t>
            </w:r>
            <w:r>
              <w:rPr>
                <w:rFonts w:hint="default" w:ascii="Times New Roman" w:hAnsi="Times New Roman" w:eastAsia="宋体" w:cs="Times New Roman"/>
                <w:color w:val="auto"/>
                <w:kern w:val="0"/>
                <w:sz w:val="24"/>
                <w:lang w:eastAsia="zh-CN" w:bidi="ar"/>
              </w:rPr>
              <w:t>生产生活工区设2处简易防渗旱厕，</w:t>
            </w:r>
            <w:r>
              <w:rPr>
                <w:rFonts w:hint="default" w:ascii="Times New Roman" w:hAnsi="Times New Roman" w:eastAsia="宋体" w:cs="Times New Roman"/>
                <w:color w:val="auto"/>
                <w:kern w:val="0"/>
                <w:sz w:val="24"/>
                <w:lang w:val="en-US" w:eastAsia="zh-CN" w:bidi="ar"/>
              </w:rPr>
              <w:t>经处理后用于周边土地施肥，</w:t>
            </w:r>
            <w:r>
              <w:rPr>
                <w:rFonts w:hint="default" w:ascii="Times New Roman" w:hAnsi="Times New Roman" w:eastAsia="宋体" w:cs="Times New Roman"/>
                <w:color w:val="auto"/>
                <w:kern w:val="0"/>
                <w:sz w:val="24"/>
                <w:lang w:eastAsia="zh-CN" w:bidi="ar"/>
              </w:rPr>
              <w:t>待施工完毕将其拆除，洒上生石灰后作卫生填埋处理，视其情况填埋后可种上植被</w:t>
            </w:r>
            <w:r>
              <w:rPr>
                <w:rFonts w:hint="default" w:ascii="Times New Roman" w:hAnsi="Times New Roman" w:eastAsia="宋体" w:cs="Times New Roman"/>
                <w:color w:val="auto"/>
                <w:kern w:val="0"/>
                <w:sz w:val="24"/>
                <w:lang w:bidi="ar"/>
              </w:rPr>
              <w:t>。</w:t>
            </w:r>
          </w:p>
          <w:p>
            <w:pPr>
              <w:widowControl/>
              <w:adjustRightInd w:val="0"/>
              <w:snapToGrid w:val="0"/>
              <w:spacing w:line="360" w:lineRule="auto"/>
              <w:ind w:firstLine="480" w:firstLineChars="200"/>
              <w:jc w:val="left"/>
              <w:rPr>
                <w:rFonts w:hint="default" w:ascii="Times New Roman" w:hAnsi="Times New Roman" w:eastAsia="宋体" w:cs="Times New Roman"/>
                <w:bCs/>
                <w:color w:val="auto"/>
                <w:sz w:val="24"/>
              </w:rPr>
            </w:pPr>
            <w:r>
              <w:rPr>
                <w:rFonts w:hint="default" w:ascii="Times New Roman" w:hAnsi="Times New Roman" w:eastAsia="宋体" w:cs="Times New Roman"/>
                <w:bCs/>
                <w:color w:val="auto"/>
                <w:kern w:val="0"/>
                <w:sz w:val="24"/>
                <w:lang w:bidi="ar"/>
              </w:rPr>
              <w:t>3）</w:t>
            </w:r>
            <w:r>
              <w:rPr>
                <w:rFonts w:hint="default" w:ascii="Times New Roman" w:hAnsi="Times New Roman" w:eastAsia="宋体" w:cs="Times New Roman"/>
                <w:bCs/>
                <w:color w:val="auto"/>
                <w:kern w:val="0"/>
                <w:sz w:val="24"/>
                <w:lang w:val="en-US" w:eastAsia="zh-CN" w:bidi="ar"/>
              </w:rPr>
              <w:t>施工废水</w:t>
            </w:r>
            <w:r>
              <w:rPr>
                <w:rFonts w:hint="default" w:ascii="Times New Roman" w:hAnsi="Times New Roman" w:eastAsia="宋体" w:cs="Times New Roman"/>
                <w:bCs/>
                <w:color w:val="auto"/>
                <w:kern w:val="0"/>
                <w:sz w:val="24"/>
                <w:lang w:bidi="ar"/>
              </w:rPr>
              <w:t xml:space="preserve"> </w:t>
            </w:r>
          </w:p>
          <w:p>
            <w:pPr>
              <w:widowControl/>
              <w:adjustRightInd w:val="0"/>
              <w:snapToGrid w:val="0"/>
              <w:spacing w:line="360" w:lineRule="auto"/>
              <w:ind w:firstLine="480" w:firstLineChars="200"/>
              <w:jc w:val="left"/>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①设备冲洗废水</w:t>
            </w:r>
          </w:p>
          <w:p>
            <w:pPr>
              <w:widowControl/>
              <w:adjustRightInd w:val="0"/>
              <w:snapToGrid w:val="0"/>
              <w:spacing w:line="360" w:lineRule="auto"/>
              <w:ind w:firstLine="480" w:firstLineChars="200"/>
              <w:jc w:val="left"/>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本项目施工时使用的机械设备较多，会产生冲洗废水，</w:t>
            </w:r>
            <w:r>
              <w:rPr>
                <w:rFonts w:hint="default" w:ascii="Times New Roman" w:hAnsi="Times New Roman" w:cs="Times New Roman"/>
                <w:color w:val="auto"/>
                <w:kern w:val="0"/>
                <w:sz w:val="24"/>
                <w:lang w:val="en-US" w:eastAsia="zh-CN" w:bidi="ar"/>
              </w:rPr>
              <w:t>每个施工生产区产生量约为</w:t>
            </w:r>
            <w:r>
              <w:rPr>
                <w:rFonts w:hint="eastAsia" w:cs="Times New Roman"/>
                <w:color w:val="auto"/>
                <w:kern w:val="0"/>
                <w:sz w:val="24"/>
                <w:lang w:val="en-US" w:eastAsia="zh-CN" w:bidi="ar"/>
              </w:rPr>
              <w:t>3</w:t>
            </w:r>
            <w:r>
              <w:rPr>
                <w:rFonts w:hint="default" w:ascii="Times New Roman" w:hAnsi="Times New Roman" w:cs="Times New Roman"/>
                <w:color w:val="auto"/>
                <w:kern w:val="0"/>
                <w:sz w:val="24"/>
                <w:lang w:val="en-US" w:eastAsia="zh-CN" w:bidi="ar"/>
              </w:rPr>
              <w:t>m</w:t>
            </w:r>
            <w:r>
              <w:rPr>
                <w:rFonts w:hint="default" w:ascii="Times New Roman" w:hAnsi="Times New Roman" w:cs="Times New Roman"/>
                <w:color w:val="auto"/>
                <w:kern w:val="0"/>
                <w:sz w:val="24"/>
                <w:vertAlign w:val="superscript"/>
                <w:lang w:val="en-US" w:eastAsia="zh-CN" w:bidi="ar"/>
              </w:rPr>
              <w:t>3</w:t>
            </w:r>
            <w:r>
              <w:rPr>
                <w:rFonts w:hint="default" w:ascii="Times New Roman" w:hAnsi="Times New Roman" w:cs="Times New Roman"/>
                <w:color w:val="auto"/>
                <w:kern w:val="0"/>
                <w:sz w:val="24"/>
                <w:lang w:val="en-US" w:eastAsia="zh-CN" w:bidi="ar"/>
              </w:rPr>
              <w:t>。</w:t>
            </w:r>
            <w:r>
              <w:rPr>
                <w:rFonts w:hint="default" w:ascii="Times New Roman" w:hAnsi="Times New Roman" w:cs="Times New Roman"/>
                <w:color w:val="auto"/>
                <w:kern w:val="0"/>
                <w:sz w:val="24"/>
                <w:lang w:bidi="ar"/>
              </w:rPr>
              <w:t>项目</w:t>
            </w:r>
            <w:r>
              <w:rPr>
                <w:rFonts w:hint="default" w:ascii="Times New Roman" w:hAnsi="Times New Roman" w:cs="Times New Roman"/>
                <w:color w:val="auto"/>
                <w:kern w:val="0"/>
                <w:sz w:val="24"/>
                <w:lang w:val="en-US" w:eastAsia="zh-CN" w:bidi="ar"/>
              </w:rPr>
              <w:t>对</w:t>
            </w:r>
            <w:r>
              <w:rPr>
                <w:rFonts w:hint="default" w:ascii="Times New Roman" w:hAnsi="Times New Roman" w:cs="Times New Roman"/>
                <w:color w:val="auto"/>
                <w:kern w:val="0"/>
                <w:sz w:val="24"/>
                <w:lang w:bidi="ar"/>
              </w:rPr>
              <w:t>施工</w:t>
            </w:r>
            <w:r>
              <w:rPr>
                <w:rFonts w:hint="default" w:ascii="Times New Roman" w:hAnsi="Times New Roman" w:eastAsia="宋体" w:cs="Times New Roman"/>
                <w:color w:val="auto"/>
                <w:sz w:val="24"/>
                <w:szCs w:val="24"/>
                <w:lang w:val="en-US" w:eastAsia="zh-CN"/>
              </w:rPr>
              <w:t>生产区</w:t>
            </w:r>
            <w:r>
              <w:rPr>
                <w:rFonts w:hint="default" w:ascii="Times New Roman" w:hAnsi="Times New Roman" w:cs="Times New Roman"/>
                <w:color w:val="auto"/>
                <w:kern w:val="0"/>
                <w:sz w:val="24"/>
                <w:lang w:bidi="ar"/>
              </w:rPr>
              <w:t>进行地面硬化，</w:t>
            </w:r>
            <w:r>
              <w:rPr>
                <w:rFonts w:hint="default" w:ascii="Times New Roman" w:hAnsi="Times New Roman" w:cs="Times New Roman"/>
                <w:color w:val="auto"/>
                <w:kern w:val="0"/>
                <w:sz w:val="24"/>
                <w:lang w:val="en-US" w:eastAsia="zh-CN" w:bidi="ar"/>
              </w:rPr>
              <w:t>每个施工生产区</w:t>
            </w:r>
            <w:r>
              <w:rPr>
                <w:rFonts w:hint="default" w:ascii="Times New Roman" w:hAnsi="Times New Roman" w:cs="Times New Roman"/>
                <w:color w:val="auto"/>
                <w:kern w:val="0"/>
                <w:sz w:val="24"/>
                <w:lang w:bidi="ar"/>
              </w:rPr>
              <w:t>修建了1座容积为</w:t>
            </w:r>
            <w:r>
              <w:rPr>
                <w:rFonts w:hint="eastAsia" w:cs="Times New Roman"/>
                <w:color w:val="auto"/>
                <w:kern w:val="0"/>
                <w:sz w:val="24"/>
                <w:lang w:val="en-US" w:eastAsia="zh-CN" w:bidi="ar"/>
              </w:rPr>
              <w:t>4</w:t>
            </w:r>
            <w:r>
              <w:rPr>
                <w:rFonts w:hint="default" w:ascii="Times New Roman" w:hAnsi="Times New Roman" w:cs="Times New Roman"/>
                <w:color w:val="auto"/>
                <w:kern w:val="0"/>
                <w:sz w:val="24"/>
                <w:lang w:bidi="ar"/>
              </w:rPr>
              <w:t>m</w:t>
            </w:r>
            <w:r>
              <w:rPr>
                <w:rFonts w:hint="default" w:ascii="Times New Roman" w:hAnsi="Times New Roman" w:cs="Times New Roman"/>
                <w:color w:val="auto"/>
                <w:kern w:val="0"/>
                <w:sz w:val="24"/>
                <w:vertAlign w:val="superscript"/>
                <w:lang w:bidi="ar"/>
              </w:rPr>
              <w:t>3</w:t>
            </w:r>
            <w:r>
              <w:rPr>
                <w:rFonts w:hint="default" w:ascii="Times New Roman" w:hAnsi="Times New Roman" w:cs="Times New Roman"/>
                <w:color w:val="auto"/>
                <w:kern w:val="0"/>
                <w:sz w:val="24"/>
                <w:lang w:bidi="ar"/>
              </w:rPr>
              <w:t>的隔油沉淀池</w:t>
            </w:r>
            <w:r>
              <w:rPr>
                <w:rFonts w:hint="default" w:ascii="Times New Roman" w:hAnsi="Times New Roman" w:cs="Times New Roman"/>
                <w:color w:val="auto"/>
                <w:kern w:val="0"/>
                <w:sz w:val="24"/>
                <w:lang w:eastAsia="zh-CN" w:bidi="ar"/>
              </w:rPr>
              <w:t>（</w:t>
            </w:r>
            <w:r>
              <w:rPr>
                <w:rFonts w:hint="default" w:ascii="Times New Roman" w:hAnsi="Times New Roman" w:cs="Times New Roman"/>
                <w:color w:val="auto"/>
                <w:kern w:val="0"/>
                <w:sz w:val="24"/>
                <w:lang w:val="en-US" w:eastAsia="zh-CN" w:bidi="ar"/>
              </w:rPr>
              <w:t>共2座</w:t>
            </w:r>
            <w:r>
              <w:rPr>
                <w:rFonts w:hint="default" w:ascii="Times New Roman" w:hAnsi="Times New Roman" w:cs="Times New Roman"/>
                <w:color w:val="auto"/>
                <w:kern w:val="0"/>
                <w:sz w:val="24"/>
                <w:lang w:eastAsia="zh-CN" w:bidi="ar"/>
              </w:rPr>
              <w:t>）</w:t>
            </w:r>
            <w:r>
              <w:rPr>
                <w:rFonts w:hint="default" w:ascii="Times New Roman" w:hAnsi="Times New Roman" w:cs="Times New Roman"/>
                <w:color w:val="auto"/>
                <w:kern w:val="0"/>
                <w:sz w:val="24"/>
                <w:lang w:bidi="ar"/>
              </w:rPr>
              <w:t xml:space="preserve">对冲洗水进行处理，冲洗废水经隔油沉淀处理后回用于洒水抑尘，不外排。 </w:t>
            </w:r>
          </w:p>
          <w:p>
            <w:pPr>
              <w:widowControl/>
              <w:adjustRightInd w:val="0"/>
              <w:snapToGrid w:val="0"/>
              <w:spacing w:line="360" w:lineRule="auto"/>
              <w:ind w:firstLine="480" w:firstLineChars="200"/>
              <w:jc w:val="left"/>
              <w:rPr>
                <w:rFonts w:hint="default" w:ascii="Times New Roman" w:hAnsi="Times New Roman" w:cs="Times New Roman"/>
                <w:bCs/>
                <w:color w:val="auto"/>
                <w:sz w:val="24"/>
              </w:rPr>
            </w:pPr>
            <w:r>
              <w:rPr>
                <w:rFonts w:hint="default" w:ascii="Times New Roman" w:hAnsi="Times New Roman" w:cs="Times New Roman"/>
                <w:bCs/>
                <w:color w:val="auto"/>
                <w:kern w:val="0"/>
                <w:sz w:val="24"/>
                <w:lang w:bidi="ar"/>
              </w:rPr>
              <w:t>②</w:t>
            </w:r>
            <w:r>
              <w:rPr>
                <w:rFonts w:hint="eastAsia" w:cs="Times New Roman"/>
                <w:color w:val="auto"/>
                <w:sz w:val="24"/>
                <w:lang w:val="en-US" w:eastAsia="zh-CN"/>
              </w:rPr>
              <w:t>拌合</w:t>
            </w:r>
            <w:r>
              <w:rPr>
                <w:rFonts w:hint="default" w:ascii="Times New Roman" w:hAnsi="Times New Roman" w:cs="Times New Roman"/>
                <w:bCs/>
                <w:color w:val="auto"/>
                <w:kern w:val="0"/>
                <w:sz w:val="24"/>
                <w:lang w:bidi="ar"/>
              </w:rPr>
              <w:t>机清洗废水</w:t>
            </w:r>
          </w:p>
          <w:p>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lang w:bidi="ar"/>
              </w:rPr>
            </w:pPr>
            <w:r>
              <w:rPr>
                <w:rFonts w:hint="default" w:ascii="Times New Roman" w:hAnsi="Times New Roman" w:cs="Times New Roman"/>
                <w:color w:val="auto"/>
                <w:kern w:val="0"/>
                <w:sz w:val="24"/>
                <w:lang w:bidi="ar"/>
              </w:rPr>
              <w:t>本项目</w:t>
            </w:r>
            <w:r>
              <w:rPr>
                <w:rFonts w:hint="default" w:ascii="Times New Roman" w:hAnsi="Times New Roman" w:cs="Times New Roman"/>
                <w:color w:val="auto"/>
                <w:kern w:val="0"/>
                <w:sz w:val="24"/>
                <w:lang w:val="en-US" w:eastAsia="zh-CN" w:bidi="ar"/>
              </w:rPr>
              <w:t>每个</w:t>
            </w:r>
            <w:r>
              <w:rPr>
                <w:rFonts w:hint="default" w:ascii="Times New Roman" w:hAnsi="Times New Roman" w:cs="Times New Roman"/>
                <w:color w:val="auto"/>
                <w:kern w:val="0"/>
                <w:sz w:val="24"/>
                <w:lang w:bidi="ar"/>
              </w:rPr>
              <w:t>施工</w:t>
            </w:r>
            <w:r>
              <w:rPr>
                <w:rFonts w:hint="default" w:ascii="Times New Roman" w:hAnsi="Times New Roman" w:eastAsia="宋体" w:cs="Times New Roman"/>
                <w:color w:val="auto"/>
                <w:sz w:val="24"/>
                <w:szCs w:val="24"/>
                <w:lang w:val="en-US" w:eastAsia="zh-CN"/>
              </w:rPr>
              <w:t>生产区</w:t>
            </w:r>
            <w:r>
              <w:rPr>
                <w:rFonts w:hint="default" w:ascii="Times New Roman" w:hAnsi="Times New Roman" w:cs="Times New Roman"/>
                <w:color w:val="auto"/>
                <w:kern w:val="0"/>
                <w:sz w:val="24"/>
                <w:lang w:bidi="ar"/>
              </w:rPr>
              <w:t>设置了</w:t>
            </w:r>
            <w:r>
              <w:rPr>
                <w:rFonts w:hint="default" w:ascii="Times New Roman" w:hAnsi="Times New Roman" w:cs="Times New Roman"/>
                <w:color w:val="auto"/>
                <w:kern w:val="0"/>
                <w:sz w:val="24"/>
                <w:lang w:val="en-US" w:eastAsia="zh-CN" w:bidi="ar"/>
              </w:rPr>
              <w:t>1</w:t>
            </w:r>
            <w:r>
              <w:rPr>
                <w:rFonts w:hint="default" w:ascii="Times New Roman" w:hAnsi="Times New Roman" w:cs="Times New Roman"/>
                <w:color w:val="auto"/>
                <w:kern w:val="0"/>
                <w:sz w:val="24"/>
                <w:lang w:bidi="ar"/>
              </w:rPr>
              <w:t>个混凝土</w:t>
            </w:r>
            <w:r>
              <w:rPr>
                <w:rFonts w:hint="eastAsia" w:cs="Times New Roman"/>
                <w:color w:val="auto"/>
                <w:sz w:val="24"/>
                <w:lang w:val="en-US" w:eastAsia="zh-CN"/>
              </w:rPr>
              <w:t>拌合</w:t>
            </w:r>
            <w:r>
              <w:rPr>
                <w:rFonts w:hint="default" w:ascii="Times New Roman" w:hAnsi="Times New Roman" w:cs="Times New Roman"/>
                <w:color w:val="auto"/>
                <w:kern w:val="0"/>
                <w:sz w:val="24"/>
                <w:lang w:bidi="ar"/>
              </w:rPr>
              <w:t>机</w:t>
            </w:r>
            <w:r>
              <w:rPr>
                <w:rFonts w:hint="default" w:ascii="Times New Roman" w:hAnsi="Times New Roman" w:cs="Times New Roman"/>
                <w:color w:val="auto"/>
                <w:kern w:val="0"/>
                <w:sz w:val="24"/>
                <w:lang w:eastAsia="zh-CN" w:bidi="ar"/>
              </w:rPr>
              <w:t>，</w:t>
            </w:r>
            <w:r>
              <w:rPr>
                <w:rFonts w:hint="default" w:ascii="Times New Roman" w:hAnsi="Times New Roman" w:cs="Times New Roman"/>
                <w:color w:val="auto"/>
                <w:kern w:val="0"/>
                <w:sz w:val="24"/>
                <w:lang w:val="en-US" w:eastAsia="zh-CN" w:bidi="ar"/>
              </w:rPr>
              <w:t>共2个</w:t>
            </w:r>
            <w:r>
              <w:rPr>
                <w:rFonts w:hint="default" w:ascii="Times New Roman" w:hAnsi="Times New Roman" w:cs="Times New Roman"/>
                <w:color w:val="auto"/>
                <w:kern w:val="0"/>
                <w:sz w:val="24"/>
                <w:lang w:bidi="ar"/>
              </w:rPr>
              <w:t>，在</w:t>
            </w:r>
            <w:r>
              <w:rPr>
                <w:rFonts w:hint="eastAsia" w:cs="Times New Roman"/>
                <w:color w:val="auto"/>
                <w:sz w:val="24"/>
                <w:lang w:val="en-US" w:eastAsia="zh-CN"/>
              </w:rPr>
              <w:t>拌合</w:t>
            </w:r>
            <w:r>
              <w:rPr>
                <w:rFonts w:hint="default" w:ascii="Times New Roman" w:hAnsi="Times New Roman" w:cs="Times New Roman"/>
                <w:color w:val="auto"/>
                <w:kern w:val="0"/>
                <w:sz w:val="24"/>
                <w:lang w:bidi="ar"/>
              </w:rPr>
              <w:t>机停止使用时，必须清洗干净。按</w:t>
            </w:r>
            <w:r>
              <w:rPr>
                <w:rFonts w:hint="eastAsia" w:cs="Times New Roman"/>
                <w:color w:val="auto"/>
                <w:sz w:val="24"/>
                <w:lang w:val="en-US" w:eastAsia="zh-CN"/>
              </w:rPr>
              <w:t>拌合</w:t>
            </w:r>
            <w:r>
              <w:rPr>
                <w:rFonts w:hint="default" w:ascii="Times New Roman" w:hAnsi="Times New Roman" w:cs="Times New Roman"/>
                <w:color w:val="auto"/>
                <w:kern w:val="0"/>
                <w:sz w:val="24"/>
                <w:lang w:bidi="ar"/>
              </w:rPr>
              <w:t>机每天清洗一次，</w:t>
            </w:r>
            <w:r>
              <w:rPr>
                <w:rFonts w:hint="default" w:ascii="Times New Roman" w:hAnsi="Times New Roman" w:cs="Times New Roman"/>
                <w:color w:val="auto"/>
                <w:kern w:val="0"/>
                <w:sz w:val="24"/>
                <w:lang w:val="en-US" w:eastAsia="zh-CN" w:bidi="ar"/>
              </w:rPr>
              <w:t>每个</w:t>
            </w:r>
            <w:r>
              <w:rPr>
                <w:rFonts w:hint="eastAsia" w:cs="Times New Roman"/>
                <w:color w:val="auto"/>
                <w:sz w:val="24"/>
                <w:lang w:val="en-US" w:eastAsia="zh-CN"/>
              </w:rPr>
              <w:t>拌合</w:t>
            </w:r>
            <w:r>
              <w:rPr>
                <w:rFonts w:hint="default" w:ascii="Times New Roman" w:hAnsi="Times New Roman" w:cs="Times New Roman"/>
                <w:color w:val="auto"/>
                <w:kern w:val="0"/>
                <w:sz w:val="24"/>
                <w:lang w:bidi="ar"/>
              </w:rPr>
              <w:t>机清洗废水按1m</w:t>
            </w:r>
            <w:r>
              <w:rPr>
                <w:rFonts w:hint="default" w:ascii="Times New Roman" w:hAnsi="Times New Roman" w:cs="Times New Roman"/>
                <w:color w:val="auto"/>
                <w:kern w:val="0"/>
                <w:sz w:val="24"/>
                <w:vertAlign w:val="superscript"/>
                <w:lang w:bidi="ar"/>
              </w:rPr>
              <w:t>3</w:t>
            </w:r>
            <w:r>
              <w:rPr>
                <w:rFonts w:hint="default" w:ascii="Times New Roman" w:hAnsi="Times New Roman" w:cs="Times New Roman"/>
                <w:color w:val="auto"/>
                <w:kern w:val="0"/>
                <w:sz w:val="24"/>
                <w:lang w:bidi="ar"/>
              </w:rPr>
              <w:t>计，</w:t>
            </w:r>
            <w:r>
              <w:rPr>
                <w:rFonts w:hint="default" w:ascii="Times New Roman" w:hAnsi="Times New Roman" w:cs="Times New Roman"/>
                <w:color w:val="auto"/>
                <w:kern w:val="0"/>
                <w:sz w:val="24"/>
                <w:lang w:val="en-US" w:eastAsia="zh-CN" w:bidi="ar"/>
              </w:rPr>
              <w:t>则每个</w:t>
            </w:r>
            <w:r>
              <w:rPr>
                <w:rFonts w:hint="eastAsia" w:cs="Times New Roman"/>
                <w:color w:val="auto"/>
                <w:sz w:val="24"/>
                <w:lang w:val="en-US" w:eastAsia="zh-CN"/>
              </w:rPr>
              <w:t>拌合</w:t>
            </w:r>
            <w:r>
              <w:rPr>
                <w:rFonts w:hint="default" w:ascii="Times New Roman" w:hAnsi="Times New Roman" w:cs="Times New Roman"/>
                <w:color w:val="auto"/>
                <w:kern w:val="0"/>
                <w:sz w:val="24"/>
                <w:lang w:bidi="ar"/>
              </w:rPr>
              <w:t>机清洗水用量为</w:t>
            </w:r>
            <w:r>
              <w:rPr>
                <w:rFonts w:hint="default" w:ascii="Times New Roman" w:hAnsi="Times New Roman" w:cs="Times New Roman"/>
                <w:color w:val="auto"/>
                <w:kern w:val="0"/>
                <w:sz w:val="24"/>
                <w:lang w:val="en-US" w:eastAsia="zh-CN" w:bidi="ar"/>
              </w:rPr>
              <w:t>1</w:t>
            </w:r>
            <w:r>
              <w:rPr>
                <w:rFonts w:hint="default" w:ascii="Times New Roman" w:hAnsi="Times New Roman" w:cs="Times New Roman"/>
                <w:color w:val="auto"/>
                <w:kern w:val="0"/>
                <w:sz w:val="24"/>
                <w:lang w:bidi="ar"/>
              </w:rPr>
              <w:t>m</w:t>
            </w:r>
            <w:r>
              <w:rPr>
                <w:rFonts w:hint="default" w:ascii="Times New Roman" w:hAnsi="Times New Roman" w:cs="Times New Roman"/>
                <w:color w:val="auto"/>
                <w:kern w:val="0"/>
                <w:sz w:val="24"/>
                <w:vertAlign w:val="superscript"/>
                <w:lang w:bidi="ar"/>
              </w:rPr>
              <w:t>3</w:t>
            </w:r>
            <w:r>
              <w:rPr>
                <w:rFonts w:hint="default" w:ascii="Times New Roman" w:hAnsi="Times New Roman" w:cs="Times New Roman"/>
                <w:color w:val="auto"/>
                <w:kern w:val="0"/>
                <w:sz w:val="24"/>
                <w:lang w:bidi="ar"/>
              </w:rPr>
              <w:t>/d。其中主要水质污染因子为SS。项目在</w:t>
            </w:r>
            <w:r>
              <w:rPr>
                <w:rFonts w:hint="default" w:ascii="Times New Roman" w:hAnsi="Times New Roman" w:cs="Times New Roman"/>
                <w:color w:val="auto"/>
                <w:kern w:val="0"/>
                <w:sz w:val="24"/>
                <w:lang w:val="en-US" w:eastAsia="zh-CN" w:bidi="ar"/>
              </w:rPr>
              <w:t>每个</w:t>
            </w:r>
            <w:r>
              <w:rPr>
                <w:rFonts w:hint="default" w:ascii="Times New Roman" w:hAnsi="Times New Roman" w:cs="Times New Roman"/>
                <w:color w:val="auto"/>
                <w:kern w:val="0"/>
                <w:sz w:val="24"/>
                <w:lang w:bidi="ar"/>
              </w:rPr>
              <w:t>混凝土</w:t>
            </w:r>
            <w:r>
              <w:rPr>
                <w:rFonts w:hint="eastAsia" w:cs="Times New Roman"/>
                <w:color w:val="auto"/>
                <w:sz w:val="24"/>
                <w:lang w:val="en-US" w:eastAsia="zh-CN"/>
              </w:rPr>
              <w:t>拌合</w:t>
            </w:r>
            <w:r>
              <w:rPr>
                <w:rFonts w:hint="default" w:ascii="Times New Roman" w:hAnsi="Times New Roman" w:cs="Times New Roman"/>
                <w:color w:val="auto"/>
                <w:kern w:val="0"/>
                <w:sz w:val="24"/>
                <w:lang w:bidi="ar"/>
              </w:rPr>
              <w:t>系统设置一个沉淀池</w:t>
            </w:r>
            <w:r>
              <w:rPr>
                <w:rFonts w:hint="default" w:ascii="Times New Roman" w:hAnsi="Times New Roman" w:cs="Times New Roman"/>
                <w:color w:val="auto"/>
                <w:kern w:val="0"/>
                <w:sz w:val="24"/>
                <w:lang w:eastAsia="zh-CN" w:bidi="ar"/>
              </w:rPr>
              <w:t>，</w:t>
            </w:r>
            <w:r>
              <w:rPr>
                <w:rFonts w:hint="default" w:ascii="Times New Roman" w:hAnsi="Times New Roman" w:cs="Times New Roman"/>
                <w:color w:val="auto"/>
                <w:kern w:val="0"/>
                <w:sz w:val="24"/>
                <w:lang w:val="en-US" w:eastAsia="zh-CN" w:bidi="ar"/>
              </w:rPr>
              <w:t>共2个</w:t>
            </w:r>
            <w:r>
              <w:rPr>
                <w:rFonts w:hint="default" w:ascii="Times New Roman" w:hAnsi="Times New Roman" w:cs="Times New Roman"/>
                <w:color w:val="auto"/>
                <w:kern w:val="0"/>
                <w:sz w:val="24"/>
                <w:lang w:bidi="ar"/>
              </w:rPr>
              <w:t>，沉淀池容积不小于</w:t>
            </w:r>
            <w:r>
              <w:rPr>
                <w:rFonts w:hint="eastAsia" w:cs="Times New Roman"/>
                <w:color w:val="auto"/>
                <w:kern w:val="0"/>
                <w:sz w:val="24"/>
                <w:lang w:val="en-US" w:eastAsia="zh-CN" w:bidi="ar"/>
              </w:rPr>
              <w:t>3</w:t>
            </w:r>
            <w:r>
              <w:rPr>
                <w:rFonts w:hint="default" w:ascii="Times New Roman" w:hAnsi="Times New Roman" w:cs="Times New Roman"/>
                <w:color w:val="auto"/>
                <w:kern w:val="0"/>
                <w:sz w:val="24"/>
                <w:lang w:bidi="ar"/>
              </w:rPr>
              <w:t>m</w:t>
            </w:r>
            <w:r>
              <w:rPr>
                <w:rFonts w:hint="default" w:ascii="Times New Roman" w:hAnsi="Times New Roman" w:cs="Times New Roman"/>
                <w:color w:val="auto"/>
                <w:kern w:val="0"/>
                <w:sz w:val="24"/>
                <w:vertAlign w:val="superscript"/>
                <w:lang w:bidi="ar"/>
              </w:rPr>
              <w:t>3</w:t>
            </w:r>
            <w:r>
              <w:rPr>
                <w:rFonts w:hint="default" w:ascii="Times New Roman" w:hAnsi="Times New Roman" w:cs="Times New Roman"/>
                <w:color w:val="auto"/>
                <w:kern w:val="0"/>
                <w:sz w:val="24"/>
                <w:lang w:bidi="ar"/>
              </w:rPr>
              <w:t>，每天产生的</w:t>
            </w:r>
            <w:r>
              <w:rPr>
                <w:rFonts w:hint="eastAsia" w:cs="Times New Roman"/>
                <w:color w:val="auto"/>
                <w:sz w:val="24"/>
                <w:lang w:val="en-US" w:eastAsia="zh-CN"/>
              </w:rPr>
              <w:t>拌合</w:t>
            </w:r>
            <w:r>
              <w:rPr>
                <w:rFonts w:hint="default" w:ascii="Times New Roman" w:hAnsi="Times New Roman" w:cs="Times New Roman"/>
                <w:bCs/>
                <w:color w:val="auto"/>
                <w:kern w:val="0"/>
                <w:sz w:val="24"/>
                <w:lang w:bidi="ar"/>
              </w:rPr>
              <w:t>机清洗</w:t>
            </w:r>
            <w:r>
              <w:rPr>
                <w:rFonts w:hint="default" w:ascii="Times New Roman" w:hAnsi="Times New Roman" w:cs="Times New Roman"/>
                <w:color w:val="auto"/>
                <w:kern w:val="0"/>
                <w:sz w:val="24"/>
                <w:lang w:bidi="ar"/>
              </w:rPr>
              <w:t>废水经沉淀池沉淀后回用，不外排</w:t>
            </w:r>
            <w:r>
              <w:rPr>
                <w:rFonts w:hint="default" w:ascii="Times New Roman" w:hAnsi="Times New Roman" w:eastAsia="宋体" w:cs="Times New Roman"/>
                <w:color w:val="auto"/>
                <w:kern w:val="0"/>
                <w:sz w:val="24"/>
                <w:lang w:bidi="ar"/>
              </w:rPr>
              <w:t xml:space="preserve">。 </w:t>
            </w:r>
          </w:p>
          <w:p>
            <w:pPr>
              <w:widowControl/>
              <w:adjustRightInd w:val="0"/>
              <w:snapToGrid w:val="0"/>
              <w:spacing w:line="360" w:lineRule="auto"/>
              <w:ind w:firstLine="482" w:firstLineChars="200"/>
              <w:jc w:val="left"/>
              <w:rPr>
                <w:rFonts w:hint="default" w:ascii="Times New Roman" w:hAnsi="Times New Roman" w:eastAsia="宋体" w:cs="Times New Roman"/>
                <w:bCs/>
                <w:color w:val="auto"/>
                <w:kern w:val="0"/>
                <w:sz w:val="24"/>
                <w:lang w:bidi="ar"/>
              </w:rPr>
            </w:pPr>
            <w:r>
              <w:rPr>
                <w:rFonts w:hint="default" w:ascii="Times New Roman" w:hAnsi="Times New Roman" w:cs="Times New Roman"/>
                <w:b/>
                <w:color w:val="auto"/>
                <w:kern w:val="0"/>
                <w:sz w:val="24"/>
                <w:lang w:val="en-US" w:eastAsia="zh-CN" w:bidi="ar"/>
              </w:rPr>
              <w:t>环评要求：严禁施工废水外排</w:t>
            </w:r>
            <w:r>
              <w:rPr>
                <w:rFonts w:hint="eastAsia" w:cs="Times New Roman"/>
                <w:b/>
                <w:color w:val="auto"/>
                <w:kern w:val="0"/>
                <w:sz w:val="24"/>
                <w:lang w:val="en-US" w:eastAsia="zh-CN" w:bidi="ar"/>
              </w:rPr>
              <w:t>临江河</w:t>
            </w:r>
            <w:r>
              <w:rPr>
                <w:rFonts w:hint="default" w:ascii="Times New Roman" w:hAnsi="Times New Roman" w:cs="Times New Roman"/>
                <w:b/>
                <w:color w:val="auto"/>
                <w:kern w:val="0"/>
                <w:sz w:val="24"/>
                <w:lang w:val="en-US" w:eastAsia="zh-CN" w:bidi="ar"/>
              </w:rPr>
              <w:t>，严禁建渣入河。</w:t>
            </w:r>
          </w:p>
          <w:p>
            <w:pPr>
              <w:widowControl/>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bCs/>
                <w:color w:val="auto"/>
                <w:kern w:val="0"/>
                <w:sz w:val="24"/>
                <w:lang w:bidi="ar"/>
              </w:rPr>
              <w:t>4）基坑排水</w:t>
            </w:r>
          </w:p>
          <w:p>
            <w:pPr>
              <w:widowControl/>
              <w:adjustRightInd w:val="0"/>
              <w:snapToGrid w:val="0"/>
              <w:spacing w:line="360" w:lineRule="auto"/>
              <w:ind w:firstLine="480" w:firstLineChars="200"/>
              <w:jc w:val="left"/>
              <w:rPr>
                <w:rFonts w:hint="default" w:ascii="Times New Roman" w:hAnsi="Times New Roman" w:eastAsia="宋体" w:cs="Times New Roman"/>
                <w:b/>
                <w:bCs w:val="0"/>
                <w:color w:val="auto"/>
                <w:kern w:val="0"/>
                <w:sz w:val="24"/>
                <w:lang w:val="en-US" w:eastAsia="zh-CN" w:bidi="ar"/>
              </w:rPr>
            </w:pPr>
            <w:r>
              <w:rPr>
                <w:rFonts w:ascii="Times New Roman" w:hAnsi="Times New Roman" w:eastAsia="宋体" w:cs="Times New Roman"/>
                <w:sz w:val="24"/>
                <w:szCs w:val="24"/>
              </w:rPr>
              <w:t>基坑集水采用常规的排水沟、集水井和水泵抽排方式进行处理。开挖过程中，结合开挖在基坑靠河一侧布置排水沟</w:t>
            </w:r>
            <w:r>
              <w:rPr>
                <w:rFonts w:hint="eastAsia" w:cs="Times New Roman"/>
                <w:sz w:val="24"/>
                <w:szCs w:val="24"/>
                <w:lang w:eastAsia="zh-CN"/>
              </w:rPr>
              <w:t>（</w:t>
            </w:r>
            <w:r>
              <w:rPr>
                <w:rFonts w:ascii="Times New Roman" w:hAnsi="Times New Roman" w:eastAsia="宋体" w:cs="Times New Roman"/>
                <w:sz w:val="24"/>
                <w:szCs w:val="24"/>
              </w:rPr>
              <w:t>0.6</w:t>
            </w:r>
            <w:r>
              <w:rPr>
                <w:rFonts w:hint="eastAsia" w:ascii="Times New Roman" w:hAnsi="Times New Roman" w:eastAsia="宋体" w:cs="Times New Roman"/>
                <w:sz w:val="24"/>
                <w:szCs w:val="24"/>
              </w:rPr>
              <w:t>m</w:t>
            </w:r>
            <w:r>
              <w:rPr>
                <w:rFonts w:ascii="Times New Roman" w:hAnsi="Times New Roman" w:eastAsia="宋体" w:cs="Times New Roman"/>
                <w:sz w:val="24"/>
                <w:szCs w:val="24"/>
              </w:rPr>
              <w:t>×0.5</w:t>
            </w:r>
            <w:r>
              <w:rPr>
                <w:rFonts w:hint="eastAsia" w:ascii="Times New Roman" w:hAnsi="Times New Roman" w:eastAsia="宋体" w:cs="Times New Roman"/>
                <w:sz w:val="24"/>
                <w:szCs w:val="24"/>
              </w:rPr>
              <w:t>m</w:t>
            </w:r>
            <w:r>
              <w:rPr>
                <w:rFonts w:hint="eastAsia" w:cs="Times New Roman"/>
                <w:sz w:val="24"/>
                <w:szCs w:val="24"/>
                <w:lang w:eastAsia="zh-CN"/>
              </w:rPr>
              <w:t>）</w:t>
            </w:r>
            <w:r>
              <w:rPr>
                <w:rFonts w:ascii="Times New Roman" w:hAnsi="Times New Roman" w:eastAsia="宋体" w:cs="Times New Roman"/>
                <w:sz w:val="24"/>
                <w:szCs w:val="24"/>
              </w:rPr>
              <w:t>，随着开挖工作的进行，逐层布置，排水沟以2</w:t>
            </w:r>
            <w:r>
              <w:rPr>
                <w:rFonts w:hint="eastAsia" w:ascii="Times New Roman" w:hAnsi="Times New Roman" w:eastAsia="宋体" w:cs="Times New Roman"/>
                <w:sz w:val="24"/>
                <w:szCs w:val="24"/>
              </w:rPr>
              <w:t>-</w:t>
            </w:r>
            <w:r>
              <w:rPr>
                <w:rFonts w:ascii="Times New Roman" w:hAnsi="Times New Roman" w:eastAsia="宋体" w:cs="Times New Roman"/>
                <w:sz w:val="24"/>
                <w:szCs w:val="24"/>
              </w:rPr>
              <w:t>3‰的底坡通向集水井，集水井在每段围堰的末端进行布置，在集水井处布置水泵将集水抽出排到河流内</w:t>
            </w:r>
            <w:r>
              <w:rPr>
                <w:rFonts w:hint="eastAsia" w:ascii="Times New Roman" w:hAnsi="Times New Roman" w:eastAsia="宋体" w:cs="Times New Roman"/>
                <w:sz w:val="24"/>
                <w:szCs w:val="24"/>
                <w:lang w:eastAsia="zh-CN"/>
              </w:rPr>
              <w:t>，</w:t>
            </w:r>
            <w:r>
              <w:rPr>
                <w:rFonts w:hint="default" w:ascii="Times New Roman" w:hAnsi="Times New Roman" w:cs="Times New Roman"/>
                <w:color w:val="auto"/>
                <w:kern w:val="0"/>
                <w:sz w:val="24"/>
                <w:lang w:bidi="ar"/>
              </w:rPr>
              <w:t>对地表水环境质量影响较小</w:t>
            </w:r>
            <w:r>
              <w:rPr>
                <w:rFonts w:hint="default" w:ascii="Times New Roman" w:hAnsi="Times New Roman" w:eastAsia="宋体" w:cs="Times New Roman"/>
                <w:color w:val="auto"/>
                <w:kern w:val="0"/>
                <w:sz w:val="24"/>
                <w:lang w:bidi="ar"/>
              </w:rPr>
              <w:t>。</w:t>
            </w:r>
          </w:p>
          <w:p>
            <w:pPr>
              <w:widowControl/>
              <w:adjustRightInd w:val="0"/>
              <w:snapToGrid w:val="0"/>
              <w:spacing w:line="360" w:lineRule="auto"/>
              <w:ind w:firstLine="482" w:firstLineChars="200"/>
              <w:jc w:val="left"/>
              <w:rPr>
                <w:rFonts w:hint="default" w:ascii="Times New Roman" w:hAnsi="Times New Roman" w:eastAsia="宋体" w:cs="Times New Roman"/>
                <w:b/>
                <w:bCs w:val="0"/>
                <w:color w:val="auto"/>
                <w:sz w:val="24"/>
                <w:lang w:val="en-US" w:eastAsia="zh-CN"/>
              </w:rPr>
            </w:pPr>
            <w:r>
              <w:rPr>
                <w:rFonts w:hint="default" w:ascii="Times New Roman" w:hAnsi="Times New Roman" w:eastAsia="宋体" w:cs="Times New Roman"/>
                <w:b/>
                <w:bCs w:val="0"/>
                <w:color w:val="auto"/>
                <w:kern w:val="0"/>
                <w:sz w:val="24"/>
                <w:lang w:val="en-US" w:eastAsia="zh-CN" w:bidi="ar"/>
              </w:rPr>
              <w:t>3、施工期</w:t>
            </w:r>
            <w:r>
              <w:rPr>
                <w:rFonts w:hint="default" w:ascii="Times New Roman" w:hAnsi="Times New Roman" w:eastAsia="宋体" w:cs="Times New Roman"/>
                <w:b/>
                <w:bCs w:val="0"/>
                <w:color w:val="auto"/>
                <w:kern w:val="0"/>
                <w:sz w:val="24"/>
                <w:lang w:bidi="ar"/>
              </w:rPr>
              <w:t>废气</w:t>
            </w:r>
            <w:r>
              <w:rPr>
                <w:rFonts w:hint="default" w:ascii="Times New Roman" w:hAnsi="Times New Roman" w:eastAsia="宋体" w:cs="Times New Roman"/>
                <w:b/>
                <w:bCs w:val="0"/>
                <w:color w:val="auto"/>
                <w:kern w:val="0"/>
                <w:sz w:val="24"/>
                <w:lang w:val="en-US" w:eastAsia="zh-CN" w:bidi="ar"/>
              </w:rPr>
              <w:t>治理措施</w:t>
            </w:r>
          </w:p>
          <w:p>
            <w:pPr>
              <w:widowControl/>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lang w:bidi="ar"/>
              </w:rPr>
              <w:t>根据工程实际情况，本项目施工期产生的废气污染物主要来源于各种施工机械和运输车辆尾气排放，主要污染因子以CO、THC为主；地基开挖、材料运输等施工作业时产生的道路扬尘；开挖土石方、运输过程以及弃渣填方扬尘等。</w:t>
            </w:r>
          </w:p>
          <w:p>
            <w:pPr>
              <w:widowControl/>
              <w:adjustRightInd w:val="0"/>
              <w:snapToGrid w:val="0"/>
              <w:spacing w:line="360" w:lineRule="auto"/>
              <w:ind w:firstLine="480" w:firstLineChars="200"/>
              <w:jc w:val="left"/>
              <w:rPr>
                <w:rFonts w:hint="default" w:ascii="Times New Roman" w:hAnsi="Times New Roman" w:eastAsia="宋体" w:cs="Times New Roman"/>
                <w:bCs/>
                <w:color w:val="auto"/>
                <w:sz w:val="24"/>
              </w:rPr>
            </w:pPr>
            <w:r>
              <w:rPr>
                <w:rFonts w:hint="default" w:ascii="Times New Roman" w:hAnsi="Times New Roman" w:eastAsia="宋体" w:cs="Times New Roman"/>
                <w:bCs/>
                <w:color w:val="auto"/>
                <w:kern w:val="0"/>
                <w:sz w:val="24"/>
                <w:lang w:bidi="ar"/>
              </w:rPr>
              <w:t>1）施工场地车辆、燃油机械尾气</w:t>
            </w:r>
          </w:p>
          <w:p>
            <w:pPr>
              <w:widowControl/>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lang w:bidi="ar"/>
              </w:rPr>
              <w:t xml:space="preserve">由于施工场地车辆和各种燃油机械比较集中，因此，尾气排放源强相对较大，对周围空气环境有一定影响，主要污染因子以CO、THC为主。 </w:t>
            </w:r>
          </w:p>
          <w:p>
            <w:pPr>
              <w:widowControl/>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lang w:val="en-US" w:eastAsia="zh-CN" w:bidi="ar"/>
              </w:rPr>
              <w:t>项目施工采取的</w:t>
            </w:r>
            <w:r>
              <w:rPr>
                <w:rFonts w:hint="default" w:ascii="Times New Roman" w:hAnsi="Times New Roman" w:eastAsia="宋体" w:cs="Times New Roman"/>
                <w:color w:val="auto"/>
                <w:kern w:val="0"/>
                <w:sz w:val="24"/>
                <w:lang w:bidi="ar"/>
              </w:rPr>
              <w:t>防治措施</w:t>
            </w:r>
            <w:r>
              <w:rPr>
                <w:rFonts w:hint="default" w:ascii="Times New Roman" w:hAnsi="Times New Roman" w:eastAsia="宋体" w:cs="Times New Roman"/>
                <w:color w:val="auto"/>
                <w:kern w:val="0"/>
                <w:sz w:val="24"/>
                <w:lang w:val="en-US" w:eastAsia="zh-CN" w:bidi="ar"/>
              </w:rPr>
              <w:t>如下</w:t>
            </w:r>
            <w:r>
              <w:rPr>
                <w:rFonts w:hint="default" w:ascii="Times New Roman" w:hAnsi="Times New Roman" w:eastAsia="宋体" w:cs="Times New Roman"/>
                <w:color w:val="auto"/>
                <w:kern w:val="0"/>
                <w:sz w:val="24"/>
                <w:lang w:bidi="ar"/>
              </w:rPr>
              <w:t>：</w:t>
            </w:r>
          </w:p>
          <w:p>
            <w:pPr>
              <w:widowControl/>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lang w:val="en-US" w:eastAsia="zh-CN" w:bidi="ar"/>
              </w:rPr>
              <w:t>①</w:t>
            </w:r>
            <w:r>
              <w:rPr>
                <w:rFonts w:hint="default" w:ascii="Times New Roman" w:hAnsi="Times New Roman" w:eastAsia="宋体" w:cs="Times New Roman"/>
                <w:color w:val="auto"/>
                <w:kern w:val="0"/>
                <w:sz w:val="24"/>
                <w:lang w:bidi="ar"/>
              </w:rPr>
              <w:t>加强施工机械的保养维护，提高机械的正常使用率；</w:t>
            </w:r>
          </w:p>
          <w:p>
            <w:pPr>
              <w:widowControl/>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lang w:val="en-US" w:eastAsia="zh-CN" w:bidi="ar"/>
              </w:rPr>
              <w:t>②</w:t>
            </w:r>
            <w:r>
              <w:rPr>
                <w:rFonts w:hint="default" w:ascii="Times New Roman" w:hAnsi="Times New Roman" w:eastAsia="宋体" w:cs="Times New Roman"/>
                <w:color w:val="auto"/>
                <w:kern w:val="0"/>
                <w:sz w:val="24"/>
                <w:lang w:bidi="ar"/>
              </w:rPr>
              <w:t>加强机械、车辆的维修保养，禁止施工机械超负荷工作，减少烟度和颗粒物排放。</w:t>
            </w:r>
          </w:p>
          <w:p>
            <w:pPr>
              <w:widowControl/>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lang w:val="en-US" w:eastAsia="zh-CN" w:bidi="ar"/>
              </w:rPr>
              <w:t>③</w:t>
            </w:r>
            <w:r>
              <w:rPr>
                <w:rFonts w:hint="default" w:ascii="Times New Roman" w:hAnsi="Times New Roman" w:eastAsia="宋体" w:cs="Times New Roman"/>
                <w:color w:val="auto"/>
                <w:kern w:val="0"/>
                <w:sz w:val="24"/>
                <w:lang w:bidi="ar"/>
              </w:rPr>
              <w:t>禁止使用废气排放超标的车辆。</w:t>
            </w:r>
          </w:p>
          <w:p>
            <w:pPr>
              <w:widowControl/>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bCs/>
                <w:color w:val="auto"/>
                <w:kern w:val="0"/>
                <w:sz w:val="24"/>
                <w:lang w:bidi="ar"/>
              </w:rPr>
              <w:t>2）施工扬尘</w:t>
            </w:r>
          </w:p>
          <w:p>
            <w:pPr>
              <w:widowControl/>
              <w:adjustRightInd w:val="0"/>
              <w:snapToGrid w:val="0"/>
              <w:spacing w:line="360" w:lineRule="auto"/>
              <w:ind w:firstLine="480" w:firstLineChars="200"/>
              <w:jc w:val="left"/>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kern w:val="0"/>
                <w:sz w:val="24"/>
                <w:lang w:bidi="ar"/>
              </w:rPr>
              <w:t>土石方开挖、材料运输以及土方的搬运、倾倒、堆放过程中等都会产生扬尘。</w:t>
            </w:r>
            <w:r>
              <w:rPr>
                <w:rFonts w:hint="default" w:ascii="Times New Roman" w:hAnsi="Times New Roman" w:eastAsia="宋体" w:cs="Times New Roman"/>
                <w:b w:val="0"/>
                <w:bCs w:val="0"/>
                <w:color w:val="auto"/>
                <w:kern w:val="0"/>
                <w:sz w:val="24"/>
                <w:lang w:val="en-US" w:eastAsia="zh-CN" w:bidi="ar"/>
              </w:rPr>
              <w:t>本项目施工期</w:t>
            </w:r>
            <w:r>
              <w:rPr>
                <w:rFonts w:hint="default" w:ascii="Times New Roman" w:hAnsi="Times New Roman" w:eastAsia="宋体" w:cs="Times New Roman"/>
                <w:b w:val="0"/>
                <w:bCs w:val="0"/>
                <w:color w:val="auto"/>
                <w:kern w:val="0"/>
                <w:sz w:val="24"/>
                <w:lang w:bidi="ar"/>
              </w:rPr>
              <w:t>采取的防治扬尘措施如下：</w:t>
            </w:r>
          </w:p>
          <w:p>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lang w:bidi="ar"/>
              </w:rPr>
            </w:pPr>
            <w:r>
              <w:rPr>
                <w:rFonts w:hint="default" w:ascii="Times New Roman" w:hAnsi="Times New Roman" w:eastAsia="宋体" w:cs="Times New Roman"/>
                <w:color w:val="auto"/>
                <w:kern w:val="0"/>
                <w:sz w:val="24"/>
                <w:lang w:val="en-US" w:eastAsia="zh-CN" w:bidi="ar"/>
              </w:rPr>
              <w:t>a.</w:t>
            </w:r>
            <w:r>
              <w:rPr>
                <w:rFonts w:hint="default" w:ascii="Times New Roman" w:hAnsi="Times New Roman" w:eastAsia="宋体" w:cs="Times New Roman"/>
                <w:color w:val="auto"/>
                <w:kern w:val="0"/>
                <w:sz w:val="24"/>
                <w:lang w:bidi="ar"/>
              </w:rPr>
              <w:t>在施工场地安排员工定期对施工场地洒水以减少扬尘量，洒水次数根据天气状况而定，每天洒水1~2次，遇到大风或干燥天气增加洒水次数。</w:t>
            </w:r>
          </w:p>
          <w:p>
            <w:pPr>
              <w:widowControl/>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lang w:val="en-US" w:eastAsia="zh-CN" w:bidi="ar"/>
              </w:rPr>
              <w:t>b.</w:t>
            </w:r>
            <w:r>
              <w:rPr>
                <w:rFonts w:hint="default" w:ascii="Times New Roman" w:hAnsi="Times New Roman" w:eastAsia="宋体" w:cs="Times New Roman"/>
                <w:color w:val="auto"/>
                <w:kern w:val="0"/>
                <w:sz w:val="24"/>
                <w:lang w:bidi="ar"/>
              </w:rPr>
              <w:t>制定合理的施工计划，采取集中力量逐段施工方法，缩短</w:t>
            </w:r>
            <w:r>
              <w:rPr>
                <w:rFonts w:hint="default" w:ascii="Times New Roman" w:hAnsi="Times New Roman" w:eastAsia="宋体" w:cs="Times New Roman"/>
                <w:color w:val="auto"/>
                <w:kern w:val="0"/>
                <w:sz w:val="24"/>
                <w:lang w:val="en-US" w:eastAsia="zh-CN" w:bidi="ar"/>
              </w:rPr>
              <w:t>了</w:t>
            </w:r>
            <w:r>
              <w:rPr>
                <w:rFonts w:hint="default" w:ascii="Times New Roman" w:hAnsi="Times New Roman" w:eastAsia="宋体" w:cs="Times New Roman"/>
                <w:color w:val="auto"/>
                <w:kern w:val="0"/>
                <w:sz w:val="24"/>
                <w:lang w:bidi="ar"/>
              </w:rPr>
              <w:t>施工周期，减少</w:t>
            </w:r>
            <w:r>
              <w:rPr>
                <w:rFonts w:hint="default" w:ascii="Times New Roman" w:hAnsi="Times New Roman" w:eastAsia="宋体" w:cs="Times New Roman"/>
                <w:color w:val="auto"/>
                <w:kern w:val="0"/>
                <w:sz w:val="24"/>
                <w:lang w:val="en-US" w:eastAsia="zh-CN" w:bidi="ar"/>
              </w:rPr>
              <w:t>了</w:t>
            </w:r>
            <w:r>
              <w:rPr>
                <w:rFonts w:hint="default" w:ascii="Times New Roman" w:hAnsi="Times New Roman" w:eastAsia="宋体" w:cs="Times New Roman"/>
                <w:color w:val="auto"/>
                <w:kern w:val="0"/>
                <w:sz w:val="24"/>
                <w:lang w:bidi="ar"/>
              </w:rPr>
              <w:t>施工现场的工作面，减轻</w:t>
            </w:r>
            <w:r>
              <w:rPr>
                <w:rFonts w:hint="default" w:ascii="Times New Roman" w:hAnsi="Times New Roman" w:eastAsia="宋体" w:cs="Times New Roman"/>
                <w:color w:val="auto"/>
                <w:kern w:val="0"/>
                <w:sz w:val="24"/>
                <w:lang w:val="en-US" w:eastAsia="zh-CN" w:bidi="ar"/>
              </w:rPr>
              <w:t>了</w:t>
            </w:r>
            <w:r>
              <w:rPr>
                <w:rFonts w:hint="default" w:ascii="Times New Roman" w:hAnsi="Times New Roman" w:eastAsia="宋体" w:cs="Times New Roman"/>
                <w:color w:val="auto"/>
                <w:kern w:val="0"/>
                <w:sz w:val="24"/>
                <w:lang w:bidi="ar"/>
              </w:rPr>
              <w:t>施工扬尘对环境的影响。</w:t>
            </w:r>
          </w:p>
          <w:p>
            <w:pPr>
              <w:widowControl/>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lang w:val="en-US" w:eastAsia="zh-CN" w:bidi="ar"/>
              </w:rPr>
              <w:t>c.</w:t>
            </w:r>
            <w:r>
              <w:rPr>
                <w:rFonts w:hint="default" w:ascii="Times New Roman" w:hAnsi="Times New Roman" w:eastAsia="宋体" w:cs="Times New Roman"/>
                <w:color w:val="auto"/>
                <w:kern w:val="0"/>
                <w:sz w:val="24"/>
                <w:lang w:bidi="ar"/>
              </w:rPr>
              <w:t>天气起风的情况下，对弃土表面</w:t>
            </w:r>
            <w:r>
              <w:rPr>
                <w:rFonts w:hint="default" w:ascii="Times New Roman" w:hAnsi="Times New Roman" w:eastAsia="宋体" w:cs="Times New Roman"/>
                <w:color w:val="auto"/>
                <w:kern w:val="0"/>
                <w:sz w:val="24"/>
                <w:lang w:val="en-US" w:eastAsia="zh-CN" w:bidi="ar"/>
              </w:rPr>
              <w:t>进行</w:t>
            </w:r>
            <w:r>
              <w:rPr>
                <w:rFonts w:hint="default" w:ascii="Times New Roman" w:hAnsi="Times New Roman" w:eastAsia="宋体" w:cs="Times New Roman"/>
                <w:color w:val="auto"/>
                <w:kern w:val="0"/>
                <w:sz w:val="24"/>
                <w:lang w:bidi="ar"/>
              </w:rPr>
              <w:t>洒水</w:t>
            </w:r>
            <w:r>
              <w:rPr>
                <w:rFonts w:hint="default" w:ascii="Times New Roman" w:hAnsi="Times New Roman" w:eastAsia="宋体" w:cs="Times New Roman"/>
                <w:color w:val="auto"/>
                <w:kern w:val="0"/>
                <w:sz w:val="24"/>
                <w:lang w:val="en-US" w:eastAsia="zh-CN" w:bidi="ar"/>
              </w:rPr>
              <w:t>降尘</w:t>
            </w:r>
            <w:r>
              <w:rPr>
                <w:rFonts w:hint="default" w:ascii="Times New Roman" w:hAnsi="Times New Roman" w:eastAsia="宋体" w:cs="Times New Roman"/>
                <w:color w:val="auto"/>
                <w:kern w:val="0"/>
                <w:sz w:val="24"/>
                <w:lang w:bidi="ar"/>
              </w:rPr>
              <w:t>。</w:t>
            </w:r>
          </w:p>
          <w:p>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lang w:bidi="ar"/>
              </w:rPr>
            </w:pPr>
            <w:r>
              <w:rPr>
                <w:rFonts w:hint="default" w:ascii="Times New Roman" w:hAnsi="Times New Roman" w:eastAsia="宋体" w:cs="Times New Roman"/>
                <w:color w:val="auto"/>
                <w:kern w:val="0"/>
                <w:sz w:val="24"/>
                <w:lang w:val="en-US" w:eastAsia="zh-CN" w:bidi="ar"/>
              </w:rPr>
              <w:t>d.</w:t>
            </w:r>
            <w:r>
              <w:rPr>
                <w:rFonts w:hint="default" w:ascii="Times New Roman" w:hAnsi="Times New Roman" w:eastAsia="宋体" w:cs="Times New Roman"/>
                <w:color w:val="auto"/>
                <w:kern w:val="0"/>
                <w:sz w:val="24"/>
                <w:lang w:bidi="ar"/>
              </w:rPr>
              <w:t>施工车辆采取篷布加盖措施，施工车辆运输路线选择避</w:t>
            </w:r>
            <w:r>
              <w:rPr>
                <w:rFonts w:hint="default" w:ascii="Times New Roman" w:hAnsi="Times New Roman" w:eastAsia="宋体" w:cs="Times New Roman"/>
                <w:color w:val="auto"/>
                <w:kern w:val="0"/>
                <w:sz w:val="24"/>
                <w:lang w:val="en-US" w:eastAsia="zh-CN" w:bidi="ar"/>
              </w:rPr>
              <w:t>开了</w:t>
            </w:r>
            <w:r>
              <w:rPr>
                <w:rFonts w:hint="default" w:ascii="Times New Roman" w:hAnsi="Times New Roman" w:eastAsia="宋体" w:cs="Times New Roman"/>
                <w:color w:val="auto"/>
                <w:kern w:val="0"/>
                <w:sz w:val="24"/>
                <w:lang w:bidi="ar"/>
              </w:rPr>
              <w:t>人口密集区。</w:t>
            </w:r>
          </w:p>
          <w:p>
            <w:pPr>
              <w:widowControl/>
              <w:adjustRightInd w:val="0"/>
              <w:snapToGrid w:val="0"/>
              <w:spacing w:line="360" w:lineRule="auto"/>
              <w:ind w:firstLine="480" w:firstLineChars="200"/>
              <w:jc w:val="left"/>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lang w:val="en-US" w:eastAsia="zh-CN" w:bidi="ar"/>
              </w:rPr>
              <w:t>e.运输</w:t>
            </w:r>
            <w:r>
              <w:rPr>
                <w:rFonts w:hint="default" w:ascii="Times New Roman" w:hAnsi="Times New Roman" w:eastAsia="宋体" w:cs="Times New Roman"/>
                <w:color w:val="auto"/>
                <w:kern w:val="0"/>
                <w:sz w:val="24"/>
                <w:lang w:bidi="ar"/>
              </w:rPr>
              <w:t>弃土、垃圾的车辆装载高度低于车厢上沿，</w:t>
            </w:r>
            <w:r>
              <w:rPr>
                <w:rFonts w:hint="default" w:ascii="Times New Roman" w:hAnsi="Times New Roman" w:eastAsia="宋体" w:cs="Times New Roman"/>
                <w:color w:val="auto"/>
                <w:kern w:val="0"/>
                <w:sz w:val="24"/>
                <w:lang w:val="en-US" w:eastAsia="zh-CN" w:bidi="ar"/>
              </w:rPr>
              <w:t>严禁</w:t>
            </w:r>
            <w:r>
              <w:rPr>
                <w:rFonts w:hint="default" w:ascii="Times New Roman" w:hAnsi="Times New Roman" w:eastAsia="宋体" w:cs="Times New Roman"/>
                <w:color w:val="auto"/>
                <w:kern w:val="0"/>
                <w:sz w:val="24"/>
                <w:lang w:bidi="ar"/>
              </w:rPr>
              <w:t>超高超载。实行封闭运输，以免车辆颠簸撒漏。坚持文明装卸，运输车辆装卸完货后</w:t>
            </w:r>
            <w:r>
              <w:rPr>
                <w:rFonts w:hint="default" w:ascii="Times New Roman" w:hAnsi="Times New Roman" w:eastAsia="宋体" w:cs="Times New Roman"/>
                <w:color w:val="auto"/>
                <w:kern w:val="0"/>
                <w:sz w:val="24"/>
                <w:lang w:val="en-US" w:eastAsia="zh-CN" w:bidi="ar"/>
              </w:rPr>
              <w:t>进行</w:t>
            </w:r>
            <w:r>
              <w:rPr>
                <w:rFonts w:hint="default" w:ascii="Times New Roman" w:hAnsi="Times New Roman" w:eastAsia="宋体" w:cs="Times New Roman"/>
                <w:color w:val="auto"/>
                <w:kern w:val="0"/>
                <w:sz w:val="24"/>
                <w:lang w:bidi="ar"/>
              </w:rPr>
              <w:t>车厢清洗。施工车辆及运输车辆在驶出施工区之前，轮胎作清泥除尘处理，</w:t>
            </w:r>
            <w:r>
              <w:rPr>
                <w:rFonts w:hint="default" w:ascii="Times New Roman" w:hAnsi="Times New Roman" w:eastAsia="宋体" w:cs="Times New Roman"/>
                <w:color w:val="auto"/>
                <w:kern w:val="0"/>
                <w:sz w:val="24"/>
                <w:lang w:val="en-US" w:eastAsia="zh-CN" w:bidi="ar"/>
              </w:rPr>
              <w:t>严禁</w:t>
            </w:r>
            <w:r>
              <w:rPr>
                <w:rFonts w:hint="default" w:ascii="Times New Roman" w:hAnsi="Times New Roman" w:eastAsia="宋体" w:cs="Times New Roman"/>
                <w:color w:val="auto"/>
                <w:kern w:val="0"/>
                <w:sz w:val="24"/>
                <w:lang w:bidi="ar"/>
              </w:rPr>
              <w:t>将泥土尘土带出工地。</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auto"/>
                <w:kern w:val="2"/>
                <w:sz w:val="24"/>
                <w:szCs w:val="24"/>
                <w:lang w:val="zh-CN" w:eastAsia="zh-CN" w:bidi="ar-SA"/>
              </w:rPr>
            </w:pPr>
            <w:r>
              <w:rPr>
                <w:rFonts w:hint="default" w:ascii="Times New Roman" w:hAnsi="Times New Roman" w:eastAsia="宋体" w:cs="Times New Roman"/>
                <w:color w:val="auto"/>
                <w:kern w:val="0"/>
                <w:sz w:val="24"/>
                <w:lang w:val="en-US" w:eastAsia="zh-CN" w:bidi="ar"/>
              </w:rPr>
              <w:t>f.</w:t>
            </w:r>
            <w:r>
              <w:rPr>
                <w:rFonts w:hint="default" w:ascii="Times New Roman" w:hAnsi="Times New Roman" w:eastAsia="宋体" w:cs="Times New Roman"/>
                <w:color w:val="auto"/>
                <w:kern w:val="0"/>
                <w:sz w:val="24"/>
                <w:lang w:bidi="ar"/>
              </w:rPr>
              <w:t>施工时保证产生各种建筑垃圾随产随清，运输时合理安排路线。</w:t>
            </w:r>
          </w:p>
          <w:p>
            <w:pPr>
              <w:widowControl/>
              <w:adjustRightInd w:val="0"/>
              <w:snapToGrid w:val="0"/>
              <w:spacing w:line="360" w:lineRule="auto"/>
              <w:ind w:firstLine="480" w:firstLineChars="200"/>
              <w:jc w:val="left"/>
              <w:rPr>
                <w:rFonts w:hint="default" w:ascii="Times New Roman" w:hAnsi="Times New Roman" w:cs="Times New Roman"/>
                <w:color w:val="auto"/>
              </w:rPr>
            </w:pPr>
            <w:r>
              <w:rPr>
                <w:rFonts w:hint="default" w:ascii="Times New Roman" w:hAnsi="Times New Roman" w:cs="Times New Roman"/>
                <w:bCs/>
                <w:color w:val="auto"/>
                <w:kern w:val="0"/>
                <w:sz w:val="24"/>
                <w:lang w:bidi="ar"/>
              </w:rPr>
              <w:t>3）土石方开挖回填扬尘产生量</w:t>
            </w:r>
          </w:p>
          <w:p>
            <w:pPr>
              <w:widowControl/>
              <w:adjustRightInd w:val="0"/>
              <w:snapToGrid w:val="0"/>
              <w:spacing w:line="360" w:lineRule="auto"/>
              <w:ind w:firstLine="480" w:firstLineChars="200"/>
              <w:jc w:val="left"/>
              <w:rPr>
                <w:rFonts w:hint="default" w:ascii="Times New Roman" w:hAnsi="Times New Roman" w:cs="Times New Roman"/>
                <w:color w:val="auto"/>
              </w:rPr>
            </w:pPr>
            <w:r>
              <w:rPr>
                <w:rFonts w:hint="default" w:ascii="Times New Roman" w:hAnsi="Times New Roman" w:cs="Times New Roman"/>
                <w:color w:val="auto"/>
                <w:kern w:val="0"/>
                <w:sz w:val="24"/>
                <w:lang w:bidi="ar"/>
              </w:rPr>
              <w:t>土方的开挖和回填作业产生的TSP污染严重程度与气候有关，大风时对下风向的污染影响较大，一般在距施工现场100-150m范围以外TSP浓度可符合有关标准的要求和规定。而本项目在开挖过程中土方开挖采用机械开挖的方式，开挖土石方粒径较大。通过洒水降尘等措施可有效降低扬尘污染。</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4）清淤及淤泥堆场恶臭</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河道疏浚时，底泥在受到扰动以及堆存地面时，可能会引起恶臭气体以无组织形式释放，从而影响周围环境空气质量，主要恶臭污染物为氨气和硫化氢。淤泥长期沉积于河底可能含有少量植物、藻类、生活垃圾等，沉积时间如果较长，有机质腐败后容易散发臭味。类比同类项目，清淤过程臭气浓度为2~3级，30m之外</w:t>
            </w:r>
            <w:r>
              <w:rPr>
                <w:rFonts w:hint="eastAsia" w:cs="Times New Roman"/>
                <w:color w:val="auto"/>
                <w:sz w:val="24"/>
                <w:lang w:val="en-US" w:eastAsia="zh-CN"/>
              </w:rPr>
              <w:t>降</w:t>
            </w:r>
            <w:r>
              <w:rPr>
                <w:rFonts w:hint="default" w:ascii="Times New Roman" w:hAnsi="Times New Roman" w:cs="Times New Roman"/>
                <w:color w:val="auto"/>
                <w:sz w:val="24"/>
              </w:rPr>
              <w:t>至2级，有轻微臭味，低于恶臭强度的限值标准；50m之外基本无气味。</w:t>
            </w:r>
          </w:p>
          <w:p>
            <w:pPr>
              <w:widowControl/>
              <w:adjustRightInd w:val="0"/>
              <w:snapToGrid w:val="0"/>
              <w:spacing w:line="360" w:lineRule="auto"/>
              <w:ind w:firstLine="480" w:firstLineChars="200"/>
              <w:jc w:val="left"/>
              <w:rPr>
                <w:rFonts w:hint="default" w:ascii="Times New Roman" w:hAnsi="Times New Roman" w:cs="Times New Roman"/>
                <w:bCs/>
                <w:color w:val="auto"/>
              </w:rPr>
            </w:pPr>
            <w:r>
              <w:rPr>
                <w:rFonts w:hint="default" w:ascii="Times New Roman" w:hAnsi="Times New Roman" w:cs="Times New Roman"/>
                <w:bCs/>
                <w:color w:val="auto"/>
                <w:kern w:val="0"/>
                <w:sz w:val="24"/>
                <w:lang w:bidi="ar"/>
              </w:rPr>
              <w:t>5）</w:t>
            </w:r>
            <w:r>
              <w:rPr>
                <w:rFonts w:hint="eastAsia" w:cs="Times New Roman"/>
                <w:color w:val="auto"/>
                <w:sz w:val="24"/>
                <w:lang w:val="en-US" w:eastAsia="zh-CN"/>
              </w:rPr>
              <w:t>拌合</w:t>
            </w:r>
            <w:r>
              <w:rPr>
                <w:rFonts w:hint="default" w:ascii="Times New Roman" w:hAnsi="Times New Roman" w:cs="Times New Roman"/>
                <w:bCs/>
                <w:color w:val="auto"/>
                <w:kern w:val="0"/>
                <w:sz w:val="24"/>
                <w:lang w:bidi="ar"/>
              </w:rPr>
              <w:t>扬尘</w:t>
            </w:r>
          </w:p>
          <w:p>
            <w:pPr>
              <w:widowControl/>
              <w:adjustRightInd w:val="0"/>
              <w:snapToGrid w:val="0"/>
              <w:spacing w:line="360" w:lineRule="auto"/>
              <w:ind w:firstLine="480" w:firstLineChars="200"/>
              <w:jc w:val="left"/>
              <w:rPr>
                <w:rFonts w:hint="default" w:ascii="Times New Roman" w:hAnsi="Times New Roman" w:cs="Times New Roman"/>
                <w:color w:val="auto"/>
              </w:rPr>
            </w:pPr>
            <w:r>
              <w:rPr>
                <w:rFonts w:hint="default" w:ascii="Times New Roman" w:hAnsi="Times New Roman" w:cs="Times New Roman"/>
                <w:color w:val="auto"/>
                <w:kern w:val="0"/>
                <w:sz w:val="24"/>
                <w:lang w:bidi="ar"/>
              </w:rPr>
              <w:t>本工程在混凝土</w:t>
            </w:r>
            <w:r>
              <w:rPr>
                <w:rFonts w:hint="eastAsia" w:cs="Times New Roman"/>
                <w:color w:val="auto"/>
                <w:kern w:val="0"/>
                <w:sz w:val="24"/>
                <w:lang w:eastAsia="zh-CN" w:bidi="ar"/>
              </w:rPr>
              <w:t>拌合</w:t>
            </w:r>
            <w:r>
              <w:rPr>
                <w:rFonts w:hint="default" w:ascii="Times New Roman" w:hAnsi="Times New Roman" w:cs="Times New Roman"/>
                <w:color w:val="auto"/>
                <w:kern w:val="0"/>
                <w:sz w:val="24"/>
                <w:lang w:bidi="ar"/>
              </w:rPr>
              <w:t>过程中，产生了一定的</w:t>
            </w:r>
            <w:r>
              <w:rPr>
                <w:rFonts w:hint="eastAsia" w:cs="Times New Roman"/>
                <w:color w:val="auto"/>
                <w:sz w:val="24"/>
                <w:lang w:val="en-US" w:eastAsia="zh-CN"/>
              </w:rPr>
              <w:t>拌合</w:t>
            </w:r>
            <w:r>
              <w:rPr>
                <w:rFonts w:hint="default" w:ascii="Times New Roman" w:hAnsi="Times New Roman" w:cs="Times New Roman"/>
                <w:color w:val="auto"/>
                <w:kern w:val="0"/>
                <w:sz w:val="24"/>
                <w:lang w:bidi="ar"/>
              </w:rPr>
              <w:t>扬尘，对周围环境造成了一定影响。</w:t>
            </w:r>
            <w:r>
              <w:rPr>
                <w:rFonts w:hint="default" w:ascii="Times New Roman" w:hAnsi="Times New Roman" w:cs="Times New Roman"/>
                <w:color w:val="auto"/>
                <w:kern w:val="0"/>
                <w:sz w:val="24"/>
                <w:lang w:val="en-US" w:eastAsia="zh-CN" w:bidi="ar"/>
              </w:rPr>
              <w:t>为了降低对周围环境的影响，</w:t>
            </w:r>
            <w:r>
              <w:rPr>
                <w:rFonts w:hint="default" w:ascii="Times New Roman" w:hAnsi="Times New Roman" w:cs="Times New Roman"/>
                <w:color w:val="auto"/>
                <w:kern w:val="0"/>
                <w:sz w:val="24"/>
                <w:lang w:bidi="ar"/>
              </w:rPr>
              <w:t>本环评要求：</w:t>
            </w:r>
          </w:p>
          <w:p>
            <w:pPr>
              <w:widowControl/>
              <w:adjustRightInd w:val="0"/>
              <w:snapToGrid w:val="0"/>
              <w:spacing w:line="360" w:lineRule="auto"/>
              <w:ind w:firstLine="480" w:firstLineChars="200"/>
              <w:jc w:val="left"/>
              <w:rPr>
                <w:rFonts w:hint="default" w:ascii="Times New Roman" w:hAnsi="Times New Roman" w:eastAsia="宋体" w:cs="Times New Roman"/>
                <w:color w:val="auto"/>
              </w:rPr>
            </w:pPr>
            <w:r>
              <w:rPr>
                <w:rFonts w:hint="eastAsia" w:cs="Times New Roman"/>
                <w:color w:val="auto"/>
                <w:kern w:val="0"/>
                <w:sz w:val="24"/>
                <w:lang w:eastAsia="zh-CN" w:bidi="ar"/>
              </w:rPr>
              <w:t>拌合</w:t>
            </w:r>
            <w:r>
              <w:rPr>
                <w:rFonts w:hint="default" w:ascii="Times New Roman" w:hAnsi="Times New Roman" w:cs="Times New Roman"/>
                <w:color w:val="auto"/>
                <w:kern w:val="0"/>
                <w:sz w:val="24"/>
                <w:lang w:bidi="ar"/>
              </w:rPr>
              <w:t>场地安排员工定期对施工场地洒水以减少扬尘量，洒水次数根据天气状况而定，一般每天洒水1~2次，若遇到大风或干燥天气可适当增加洒水次数，</w:t>
            </w:r>
            <w:r>
              <w:rPr>
                <w:rFonts w:hint="default" w:ascii="Times New Roman" w:hAnsi="Times New Roman" w:cs="Times New Roman"/>
                <w:color w:val="auto"/>
                <w:kern w:val="0"/>
                <w:sz w:val="24"/>
                <w:lang w:val="en-US" w:eastAsia="zh-CN" w:bidi="ar"/>
              </w:rPr>
              <w:t>施工</w:t>
            </w:r>
            <w:r>
              <w:rPr>
                <w:rFonts w:hint="default" w:ascii="Times New Roman" w:hAnsi="Times New Roman" w:eastAsia="宋体" w:cs="Times New Roman"/>
                <w:color w:val="auto"/>
                <w:sz w:val="24"/>
                <w:szCs w:val="24"/>
                <w:lang w:val="en-US" w:eastAsia="zh-CN"/>
              </w:rPr>
              <w:t>生产区</w:t>
            </w:r>
            <w:r>
              <w:rPr>
                <w:rFonts w:hint="default" w:ascii="Times New Roman" w:hAnsi="Times New Roman" w:cs="Times New Roman"/>
                <w:color w:val="auto"/>
                <w:kern w:val="0"/>
                <w:sz w:val="24"/>
                <w:lang w:val="en-US" w:eastAsia="zh-CN" w:bidi="ar"/>
              </w:rPr>
              <w:t>临居民一侧</w:t>
            </w:r>
            <w:r>
              <w:rPr>
                <w:rFonts w:hint="default" w:ascii="Times New Roman" w:hAnsi="Times New Roman" w:cs="Times New Roman"/>
                <w:color w:val="auto"/>
                <w:kern w:val="0"/>
                <w:sz w:val="24"/>
                <w:lang w:bidi="ar"/>
              </w:rPr>
              <w:t>设置围挡，降低</w:t>
            </w:r>
            <w:r>
              <w:rPr>
                <w:rFonts w:hint="default" w:ascii="Times New Roman" w:hAnsi="Times New Roman" w:cs="Times New Roman"/>
                <w:color w:val="auto"/>
                <w:kern w:val="0"/>
                <w:sz w:val="24"/>
                <w:lang w:val="en-US" w:eastAsia="zh-CN" w:bidi="ar"/>
              </w:rPr>
              <w:t>混凝土</w:t>
            </w:r>
            <w:r>
              <w:rPr>
                <w:rFonts w:hint="eastAsia" w:cs="Times New Roman"/>
                <w:color w:val="auto"/>
                <w:sz w:val="24"/>
                <w:lang w:val="en-US" w:eastAsia="zh-CN"/>
              </w:rPr>
              <w:t>拌合</w:t>
            </w:r>
            <w:r>
              <w:rPr>
                <w:rFonts w:hint="default" w:ascii="Times New Roman" w:hAnsi="Times New Roman" w:cs="Times New Roman"/>
                <w:color w:val="auto"/>
                <w:kern w:val="0"/>
                <w:sz w:val="24"/>
                <w:lang w:bidi="ar"/>
              </w:rPr>
              <w:t>扬尘</w:t>
            </w:r>
            <w:r>
              <w:rPr>
                <w:rFonts w:hint="default" w:ascii="Times New Roman" w:hAnsi="Times New Roman" w:cs="Times New Roman"/>
                <w:color w:val="auto"/>
                <w:kern w:val="0"/>
                <w:sz w:val="24"/>
                <w:lang w:val="en-US" w:eastAsia="zh-CN" w:bidi="ar"/>
              </w:rPr>
              <w:t>对南侧居民</w:t>
            </w:r>
            <w:r>
              <w:rPr>
                <w:rFonts w:hint="default" w:ascii="Times New Roman" w:hAnsi="Times New Roman" w:cs="Times New Roman"/>
                <w:color w:val="auto"/>
                <w:kern w:val="0"/>
                <w:sz w:val="24"/>
                <w:lang w:bidi="ar"/>
              </w:rPr>
              <w:t>的</w:t>
            </w:r>
            <w:r>
              <w:rPr>
                <w:rFonts w:hint="default" w:ascii="Times New Roman" w:hAnsi="Times New Roman" w:cs="Times New Roman"/>
                <w:color w:val="auto"/>
                <w:kern w:val="0"/>
                <w:sz w:val="24"/>
                <w:lang w:val="en-US" w:eastAsia="zh-CN" w:bidi="ar"/>
              </w:rPr>
              <w:t>影响</w:t>
            </w:r>
            <w:r>
              <w:rPr>
                <w:rFonts w:hint="default" w:ascii="Times New Roman" w:hAnsi="Times New Roman" w:eastAsia="宋体" w:cs="Times New Roman"/>
                <w:color w:val="auto"/>
                <w:kern w:val="0"/>
                <w:sz w:val="24"/>
                <w:lang w:bidi="ar"/>
              </w:rPr>
              <w:t>。</w:t>
            </w:r>
          </w:p>
          <w:p>
            <w:pPr>
              <w:widowControl/>
              <w:adjustRightInd w:val="0"/>
              <w:snapToGrid w:val="0"/>
              <w:spacing w:line="360" w:lineRule="auto"/>
              <w:ind w:firstLine="482" w:firstLineChars="200"/>
              <w:jc w:val="left"/>
              <w:rPr>
                <w:rFonts w:hint="default" w:ascii="Times New Roman" w:hAnsi="Times New Roman" w:eastAsia="宋体" w:cs="Times New Roman"/>
                <w:b/>
                <w:bCs w:val="0"/>
                <w:color w:val="auto"/>
              </w:rPr>
            </w:pPr>
            <w:r>
              <w:rPr>
                <w:rFonts w:hint="default" w:ascii="Times New Roman" w:hAnsi="Times New Roman" w:eastAsia="宋体" w:cs="Times New Roman"/>
                <w:b/>
                <w:bCs w:val="0"/>
                <w:color w:val="auto"/>
                <w:kern w:val="0"/>
                <w:sz w:val="24"/>
                <w:lang w:val="en-US" w:eastAsia="zh-CN" w:bidi="ar"/>
              </w:rPr>
              <w:t>4、施工期</w:t>
            </w:r>
            <w:r>
              <w:rPr>
                <w:rFonts w:hint="default" w:ascii="Times New Roman" w:hAnsi="Times New Roman" w:eastAsia="宋体" w:cs="Times New Roman"/>
                <w:b/>
                <w:bCs w:val="0"/>
                <w:color w:val="auto"/>
                <w:kern w:val="0"/>
                <w:sz w:val="24"/>
                <w:lang w:bidi="ar"/>
              </w:rPr>
              <w:t>噪声</w:t>
            </w:r>
            <w:r>
              <w:rPr>
                <w:rFonts w:hint="default" w:ascii="Times New Roman" w:hAnsi="Times New Roman" w:eastAsia="宋体" w:cs="Times New Roman"/>
                <w:b/>
                <w:bCs w:val="0"/>
                <w:color w:val="auto"/>
                <w:kern w:val="0"/>
                <w:sz w:val="24"/>
                <w:lang w:val="en-US" w:eastAsia="zh-CN" w:bidi="ar"/>
              </w:rPr>
              <w:t>治理措施</w:t>
            </w:r>
            <w:r>
              <w:rPr>
                <w:rFonts w:hint="default" w:ascii="Times New Roman" w:hAnsi="Times New Roman" w:eastAsia="宋体" w:cs="Times New Roman"/>
                <w:b/>
                <w:bCs w:val="0"/>
                <w:color w:val="auto"/>
                <w:kern w:val="0"/>
                <w:sz w:val="24"/>
                <w:lang w:bidi="ar"/>
              </w:rPr>
              <w:t xml:space="preserve"> </w:t>
            </w:r>
          </w:p>
          <w:p>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lang w:bidi="ar"/>
              </w:rPr>
            </w:pPr>
            <w:r>
              <w:rPr>
                <w:rFonts w:hint="default" w:ascii="Times New Roman" w:hAnsi="Times New Roman" w:eastAsia="宋体" w:cs="Times New Roman"/>
                <w:color w:val="auto"/>
                <w:kern w:val="0"/>
                <w:sz w:val="24"/>
                <w:lang w:bidi="ar"/>
              </w:rPr>
              <w:t>施工期噪声源主要是各种施工机械和车辆，包括挖掘机、</w:t>
            </w:r>
            <w:r>
              <w:rPr>
                <w:rFonts w:hint="default" w:ascii="Times New Roman" w:hAnsi="Times New Roman" w:eastAsia="宋体" w:cs="Times New Roman"/>
                <w:color w:val="auto"/>
                <w:kern w:val="0"/>
                <w:sz w:val="24"/>
                <w:lang w:val="en-US" w:eastAsia="zh-CN" w:bidi="ar"/>
              </w:rPr>
              <w:t>装载机</w:t>
            </w:r>
            <w:r>
              <w:rPr>
                <w:rFonts w:hint="default" w:ascii="Times New Roman" w:hAnsi="Times New Roman" w:eastAsia="宋体" w:cs="Times New Roman"/>
                <w:color w:val="auto"/>
                <w:kern w:val="0"/>
                <w:sz w:val="24"/>
                <w:lang w:bidi="ar"/>
              </w:rPr>
              <w:t>及运输车辆等机械噪声</w:t>
            </w:r>
            <w:r>
              <w:rPr>
                <w:rFonts w:hint="default" w:ascii="Times New Roman" w:hAnsi="Times New Roman" w:eastAsia="宋体" w:cs="Times New Roman"/>
                <w:color w:val="auto"/>
                <w:kern w:val="0"/>
                <w:sz w:val="24"/>
                <w:lang w:eastAsia="zh-CN" w:bidi="ar"/>
              </w:rPr>
              <w:t>。</w:t>
            </w:r>
            <w:r>
              <w:rPr>
                <w:rFonts w:hint="default" w:ascii="Times New Roman" w:hAnsi="Times New Roman" w:eastAsia="宋体" w:cs="Times New Roman"/>
                <w:color w:val="auto"/>
                <w:kern w:val="0"/>
                <w:sz w:val="24"/>
                <w:lang w:bidi="ar"/>
              </w:rPr>
              <w:t>工程施工场区周围</w:t>
            </w:r>
            <w:r>
              <w:rPr>
                <w:rFonts w:hint="default" w:ascii="Times New Roman" w:hAnsi="Times New Roman" w:eastAsia="宋体" w:cs="Times New Roman"/>
                <w:color w:val="auto"/>
                <w:kern w:val="0"/>
                <w:sz w:val="24"/>
                <w:lang w:val="en-US" w:eastAsia="zh-CN" w:bidi="ar"/>
              </w:rPr>
              <w:t>主要为居民等敏感点</w:t>
            </w:r>
            <w:r>
              <w:rPr>
                <w:rFonts w:hint="default" w:ascii="Times New Roman" w:hAnsi="Times New Roman" w:eastAsia="宋体" w:cs="Times New Roman"/>
                <w:color w:val="auto"/>
                <w:kern w:val="0"/>
                <w:sz w:val="24"/>
                <w:lang w:bidi="ar"/>
              </w:rPr>
              <w:t>，施工期噪声对沿线居民及其他噪声敏感点会造成有一定影响。</w:t>
            </w:r>
          </w:p>
          <w:p>
            <w:pPr>
              <w:widowControl/>
              <w:adjustRightInd w:val="0"/>
              <w:snapToGrid w:val="0"/>
              <w:spacing w:line="360" w:lineRule="auto"/>
              <w:ind w:firstLine="482" w:firstLineChars="200"/>
              <w:jc w:val="left"/>
              <w:rPr>
                <w:rFonts w:hint="default" w:ascii="Times New Roman" w:hAnsi="Times New Roman" w:eastAsia="宋体" w:cs="Times New Roman"/>
                <w:b/>
                <w:bCs/>
                <w:color w:val="auto"/>
                <w:kern w:val="0"/>
                <w:sz w:val="24"/>
                <w:lang w:bidi="ar"/>
              </w:rPr>
            </w:pPr>
            <w:r>
              <w:rPr>
                <w:rFonts w:hint="default" w:ascii="Times New Roman" w:hAnsi="Times New Roman" w:eastAsia="宋体" w:cs="Times New Roman"/>
                <w:b/>
                <w:bCs/>
                <w:color w:val="auto"/>
                <w:kern w:val="0"/>
                <w:sz w:val="24"/>
                <w:lang w:val="en-US" w:eastAsia="zh-CN" w:bidi="ar"/>
              </w:rPr>
              <w:t>施工期采取的</w:t>
            </w:r>
            <w:r>
              <w:rPr>
                <w:rFonts w:hint="default" w:ascii="Times New Roman" w:hAnsi="Times New Roman" w:eastAsia="宋体" w:cs="Times New Roman"/>
                <w:b/>
                <w:bCs/>
                <w:color w:val="auto"/>
                <w:kern w:val="0"/>
                <w:sz w:val="24"/>
                <w:lang w:bidi="ar"/>
              </w:rPr>
              <w:t>防治措施</w:t>
            </w:r>
            <w:r>
              <w:rPr>
                <w:rFonts w:hint="default" w:ascii="Times New Roman" w:hAnsi="Times New Roman" w:eastAsia="宋体" w:cs="Times New Roman"/>
                <w:b/>
                <w:bCs/>
                <w:color w:val="auto"/>
                <w:kern w:val="0"/>
                <w:sz w:val="24"/>
                <w:lang w:val="en-US" w:eastAsia="zh-CN" w:bidi="ar"/>
              </w:rPr>
              <w:t>如下</w:t>
            </w:r>
            <w:r>
              <w:rPr>
                <w:rFonts w:hint="default" w:ascii="Times New Roman" w:hAnsi="Times New Roman" w:eastAsia="宋体" w:cs="Times New Roman"/>
                <w:b/>
                <w:bCs/>
                <w:color w:val="auto"/>
                <w:kern w:val="0"/>
                <w:sz w:val="24"/>
                <w:lang w:bidi="ar"/>
              </w:rPr>
              <w:t>：</w:t>
            </w:r>
          </w:p>
          <w:p>
            <w:pPr>
              <w:widowControl/>
              <w:adjustRightInd w:val="0"/>
              <w:snapToGrid w:val="0"/>
              <w:spacing w:line="360" w:lineRule="auto"/>
              <w:ind w:firstLine="480" w:firstLineChars="200"/>
              <w:jc w:val="left"/>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①各施工单位要合理安排工期，做好申报登记，并采取必要的降噪防噪措施；</w:t>
            </w:r>
          </w:p>
          <w:p>
            <w:pPr>
              <w:widowControl/>
              <w:adjustRightInd w:val="0"/>
              <w:snapToGrid w:val="0"/>
              <w:spacing w:line="360" w:lineRule="auto"/>
              <w:ind w:firstLine="480" w:firstLineChars="200"/>
              <w:jc w:val="left"/>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②对施工强度、机械及车辆操作人员、操作规程等管理方面要严格要求，必要时运输车辆可考虑安装消声装置；</w:t>
            </w:r>
          </w:p>
          <w:p>
            <w:pPr>
              <w:widowControl/>
              <w:adjustRightInd w:val="0"/>
              <w:snapToGrid w:val="0"/>
              <w:spacing w:line="360" w:lineRule="auto"/>
              <w:ind w:firstLine="480" w:firstLineChars="200"/>
              <w:jc w:val="left"/>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③施工过程中要尽量选用低噪声设备，如以液压机械代替燃油机械；对机械设备精心养护，保持良好的运行工况，减低设备运行噪声；</w:t>
            </w:r>
          </w:p>
          <w:p>
            <w:pPr>
              <w:widowControl/>
              <w:adjustRightInd w:val="0"/>
              <w:snapToGrid w:val="0"/>
              <w:spacing w:line="360" w:lineRule="auto"/>
              <w:ind w:firstLine="480" w:firstLineChars="200"/>
              <w:jc w:val="left"/>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val="en-US" w:eastAsia="zh-CN" w:bidi="ar"/>
              </w:rPr>
              <w:t>④</w:t>
            </w:r>
            <w:r>
              <w:rPr>
                <w:rFonts w:hint="default" w:ascii="Times New Roman" w:hAnsi="Times New Roman" w:cs="Times New Roman"/>
                <w:color w:val="auto"/>
                <w:kern w:val="0"/>
                <w:sz w:val="24"/>
                <w:lang w:bidi="ar"/>
              </w:rPr>
              <w:t>避免在同一地点安排大量动力机械设备，以避免局部声级过高；</w:t>
            </w:r>
          </w:p>
          <w:p>
            <w:pPr>
              <w:widowControl/>
              <w:adjustRightInd w:val="0"/>
              <w:snapToGrid w:val="0"/>
              <w:spacing w:line="360" w:lineRule="auto"/>
              <w:ind w:firstLine="480" w:firstLineChars="200"/>
              <w:jc w:val="left"/>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val="en-US" w:eastAsia="zh-CN" w:bidi="ar"/>
              </w:rPr>
              <w:t>⑤</w:t>
            </w:r>
            <w:r>
              <w:rPr>
                <w:rFonts w:hint="default" w:ascii="Times New Roman" w:hAnsi="Times New Roman" w:cs="Times New Roman"/>
                <w:color w:val="auto"/>
                <w:kern w:val="0"/>
                <w:sz w:val="24"/>
                <w:lang w:bidi="ar"/>
              </w:rPr>
              <w:t>按照规定操作机械设备，在挡板、支架拆卸过程中，应遵守作业规定，减少碰撞噪声；尽量少用哨子、钟、笛等指挥作业，而采用现代化设备；</w:t>
            </w:r>
          </w:p>
          <w:p>
            <w:pPr>
              <w:widowControl/>
              <w:adjustRightInd w:val="0"/>
              <w:snapToGrid w:val="0"/>
              <w:spacing w:line="360" w:lineRule="auto"/>
              <w:ind w:firstLine="480" w:firstLineChars="200"/>
              <w:jc w:val="left"/>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⑥各施工点要根据施工期噪声监测计划对施工噪声进行监测，监测昼间噪声值，并根据监测结果调整施工进度。</w:t>
            </w:r>
          </w:p>
          <w:p>
            <w:pPr>
              <w:widowControl/>
              <w:adjustRightInd w:val="0"/>
              <w:snapToGrid w:val="0"/>
              <w:spacing w:line="360" w:lineRule="auto"/>
              <w:ind w:firstLine="480" w:firstLineChars="200"/>
              <w:jc w:val="left"/>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⑦夜间施工道路运输会干扰附近村庄居民的正常休息，对敏感点附近施工地点，应合理安排施工时间，禁止夜间段22:00至早6:00的施工运输及高噪声机械设备施工，对距离近的村庄设置隔声屏障降低噪声影响，若需夜间施工应报主管部门，经主管部门批准同意后，才可进行夜间施工，同时做好施工公告告知周边居民；</w:t>
            </w:r>
          </w:p>
          <w:p>
            <w:pPr>
              <w:widowControl/>
              <w:adjustRightInd w:val="0"/>
              <w:snapToGrid w:val="0"/>
              <w:spacing w:line="360" w:lineRule="auto"/>
              <w:ind w:firstLine="480" w:firstLineChars="200"/>
              <w:jc w:val="left"/>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⑧当车辆经过居民区时，运输车辆宜限速行驶，禁鸣高音喇叭，并合理安排运输时间，尽量避免车辆噪声影响居民的休息；</w:t>
            </w:r>
          </w:p>
          <w:p>
            <w:pPr>
              <w:widowControl/>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cs="Times New Roman"/>
                <w:color w:val="auto"/>
                <w:kern w:val="0"/>
                <w:sz w:val="24"/>
                <w:lang w:bidi="ar"/>
              </w:rPr>
              <w:t>⑨</w:t>
            </w:r>
            <w:r>
              <w:rPr>
                <w:rFonts w:hint="default" w:ascii="Times New Roman" w:hAnsi="Times New Roman" w:cs="Times New Roman"/>
                <w:b w:val="0"/>
                <w:bCs/>
                <w:color w:val="auto"/>
                <w:kern w:val="0"/>
                <w:sz w:val="24"/>
                <w:lang w:val="en-US" w:eastAsia="zh-CN" w:bidi="ar"/>
              </w:rPr>
              <w:t>施工</w:t>
            </w:r>
            <w:r>
              <w:rPr>
                <w:rFonts w:hint="default" w:ascii="Times New Roman" w:hAnsi="Times New Roman" w:eastAsia="宋体" w:cs="Times New Roman"/>
                <w:color w:val="auto"/>
                <w:sz w:val="24"/>
                <w:szCs w:val="24"/>
                <w:lang w:val="en-US" w:eastAsia="zh-CN"/>
              </w:rPr>
              <w:t>生产区</w:t>
            </w:r>
            <w:r>
              <w:rPr>
                <w:rFonts w:hint="default" w:ascii="Times New Roman" w:hAnsi="Times New Roman" w:cs="Times New Roman"/>
                <w:b w:val="0"/>
                <w:bCs/>
                <w:color w:val="auto"/>
                <w:kern w:val="0"/>
                <w:sz w:val="24"/>
                <w:lang w:val="en-US" w:eastAsia="zh-CN" w:bidi="ar"/>
              </w:rPr>
              <w:t>临居民一侧设置围挡，高噪声设置远离居民一侧</w:t>
            </w:r>
            <w:r>
              <w:rPr>
                <w:rFonts w:hint="default" w:ascii="Times New Roman" w:hAnsi="Times New Roman" w:eastAsia="宋体" w:cs="Times New Roman"/>
                <w:color w:val="auto"/>
                <w:kern w:val="0"/>
                <w:sz w:val="24"/>
                <w:lang w:bidi="ar"/>
              </w:rPr>
              <w:t>。</w:t>
            </w:r>
          </w:p>
          <w:p>
            <w:pPr>
              <w:widowControl/>
              <w:adjustRightInd w:val="0"/>
              <w:snapToGrid w:val="0"/>
              <w:spacing w:line="360" w:lineRule="auto"/>
              <w:ind w:firstLine="482" w:firstLineChars="200"/>
              <w:jc w:val="left"/>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b/>
                <w:bCs w:val="0"/>
                <w:color w:val="auto"/>
                <w:kern w:val="0"/>
                <w:sz w:val="24"/>
                <w:lang w:val="en-US" w:eastAsia="zh-CN" w:bidi="ar"/>
              </w:rPr>
              <w:t>5、施工期</w:t>
            </w:r>
            <w:r>
              <w:rPr>
                <w:rFonts w:hint="default" w:ascii="Times New Roman" w:hAnsi="Times New Roman" w:eastAsia="宋体" w:cs="Times New Roman"/>
                <w:b/>
                <w:bCs w:val="0"/>
                <w:color w:val="auto"/>
                <w:kern w:val="0"/>
                <w:sz w:val="24"/>
                <w:lang w:bidi="ar"/>
              </w:rPr>
              <w:t>固体废物</w:t>
            </w:r>
            <w:r>
              <w:rPr>
                <w:rFonts w:hint="default" w:ascii="Times New Roman" w:hAnsi="Times New Roman" w:eastAsia="宋体" w:cs="Times New Roman"/>
                <w:b/>
                <w:bCs w:val="0"/>
                <w:color w:val="auto"/>
                <w:kern w:val="0"/>
                <w:sz w:val="24"/>
                <w:lang w:val="en-US" w:eastAsia="zh-CN" w:bidi="ar"/>
              </w:rPr>
              <w:t>治理措施</w:t>
            </w:r>
          </w:p>
          <w:p>
            <w:pPr>
              <w:widowControl/>
              <w:adjustRightInd w:val="0"/>
              <w:snapToGrid w:val="0"/>
              <w:spacing w:line="360" w:lineRule="auto"/>
              <w:ind w:firstLine="480" w:firstLineChars="200"/>
              <w:jc w:val="left"/>
              <w:rPr>
                <w:rFonts w:hint="default" w:ascii="Times New Roman" w:hAnsi="Times New Roman" w:eastAsia="宋体" w:cs="Times New Roman"/>
                <w:color w:val="auto"/>
                <w:kern w:val="0"/>
                <w:sz w:val="24"/>
                <w:lang w:eastAsia="zh-CN" w:bidi="ar"/>
              </w:rPr>
            </w:pPr>
            <w:r>
              <w:rPr>
                <w:rFonts w:hint="default" w:ascii="Times New Roman" w:hAnsi="Times New Roman" w:eastAsia="宋体" w:cs="Times New Roman"/>
                <w:color w:val="auto"/>
                <w:kern w:val="0"/>
                <w:sz w:val="24"/>
                <w:lang w:bidi="ar"/>
              </w:rPr>
              <w:t>（1）</w:t>
            </w:r>
            <w:r>
              <w:rPr>
                <w:rFonts w:hint="default" w:ascii="Times New Roman" w:hAnsi="Times New Roman" w:eastAsia="宋体" w:cs="Times New Roman"/>
                <w:color w:val="auto"/>
                <w:kern w:val="0"/>
                <w:sz w:val="24"/>
                <w:lang w:val="en-US" w:eastAsia="zh-CN" w:bidi="ar"/>
              </w:rPr>
              <w:t>土石方</w:t>
            </w:r>
          </w:p>
          <w:p>
            <w:pPr>
              <w:tabs>
                <w:tab w:val="left" w:pos="8505"/>
              </w:tabs>
              <w:snapToGrid w:val="0"/>
              <w:spacing w:line="360" w:lineRule="auto"/>
              <w:ind w:firstLine="480" w:firstLineChars="200"/>
              <w:rPr>
                <w:rFonts w:hint="eastAsia" w:ascii="Times New Roman" w:hAnsi="Times New Roman" w:eastAsia="宋体" w:cs="Times New Roman"/>
                <w:sz w:val="24"/>
                <w:szCs w:val="24"/>
                <w:lang w:eastAsia="zh-CN"/>
              </w:rPr>
            </w:pPr>
            <w:r>
              <w:rPr>
                <w:rFonts w:hint="default" w:ascii="Times New Roman" w:hAnsi="Times New Roman" w:eastAsia="宋体" w:cs="Times New Roman"/>
                <w:color w:val="auto"/>
                <w:sz w:val="24"/>
                <w:szCs w:val="24"/>
                <w:highlight w:val="none"/>
              </w:rPr>
              <w:t>本工程</w:t>
            </w:r>
            <w:r>
              <w:rPr>
                <w:rFonts w:hint="default" w:ascii="Times New Roman" w:hAnsi="Times New Roman" w:eastAsia="宋体" w:cs="Times New Roman"/>
                <w:color w:val="auto"/>
                <w:sz w:val="24"/>
                <w:szCs w:val="24"/>
                <w:highlight w:val="none"/>
                <w:lang w:val="en-US" w:eastAsia="zh-CN"/>
              </w:rPr>
              <w:t>开挖量约94592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eastAsia" w:eastAsia="宋体" w:cs="Times New Roman"/>
                <w:color w:val="auto"/>
                <w:sz w:val="24"/>
                <w:szCs w:val="24"/>
                <w:highlight w:val="none"/>
                <w:vertAlign w:val="baseline"/>
                <w:lang w:eastAsia="zh-CN"/>
              </w:rPr>
              <w:t>（</w:t>
            </w:r>
            <w:r>
              <w:rPr>
                <w:rFonts w:hint="eastAsia" w:cs="Times New Roman"/>
                <w:color w:val="auto"/>
                <w:sz w:val="24"/>
                <w:szCs w:val="24"/>
                <w:highlight w:val="none"/>
                <w:vertAlign w:val="baseline"/>
                <w:lang w:val="en-US" w:eastAsia="zh-CN"/>
              </w:rPr>
              <w:t>其中表土约</w:t>
            </w:r>
            <w:r>
              <w:rPr>
                <w:rFonts w:hint="eastAsia" w:eastAsia="宋体" w:cs="Times New Roman"/>
                <w:color w:val="auto"/>
                <w:sz w:val="24"/>
                <w:szCs w:val="24"/>
                <w:highlight w:val="none"/>
                <w:vertAlign w:val="baseline"/>
                <w:lang w:val="en-US" w:eastAsia="zh-CN"/>
              </w:rPr>
              <w:t>10400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eastAsia" w:eastAsia="宋体" w:cs="Times New Roman"/>
                <w:color w:val="auto"/>
                <w:sz w:val="24"/>
                <w:szCs w:val="24"/>
                <w:highlight w:val="none"/>
                <w:vertAlign w:val="baseline"/>
                <w:lang w:eastAsia="zh-CN"/>
              </w:rPr>
              <w:t>）</w:t>
            </w:r>
            <w:r>
              <w:rPr>
                <w:rFonts w:hint="default" w:ascii="Times New Roman" w:hAnsi="Times New Roman" w:eastAsia="宋体" w:cs="Times New Roman"/>
                <w:color w:val="auto"/>
                <w:sz w:val="24"/>
                <w:szCs w:val="24"/>
                <w:highlight w:val="none"/>
                <w:vertAlign w:val="baseline"/>
                <w:lang w:eastAsia="zh-CN"/>
              </w:rPr>
              <w:t>，</w:t>
            </w:r>
            <w:r>
              <w:rPr>
                <w:rFonts w:hint="default" w:ascii="Times New Roman" w:hAnsi="Times New Roman" w:eastAsia="宋体" w:cs="Times New Roman"/>
                <w:color w:val="auto"/>
                <w:sz w:val="24"/>
                <w:szCs w:val="24"/>
                <w:highlight w:val="none"/>
                <w:lang w:val="en-US" w:eastAsia="zh-CN"/>
              </w:rPr>
              <w:t>其中</w:t>
            </w:r>
            <w:r>
              <w:rPr>
                <w:rFonts w:hint="default" w:ascii="Times New Roman" w:hAnsi="Times New Roman" w:eastAsia="宋体" w:cs="Times New Roman"/>
                <w:color w:val="auto"/>
                <w:sz w:val="24"/>
                <w:szCs w:val="24"/>
                <w:highlight w:val="none"/>
              </w:rPr>
              <w:t>土方开挖量约19605m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石方</w:t>
            </w:r>
            <w:r>
              <w:rPr>
                <w:rFonts w:hint="default" w:ascii="Times New Roman" w:hAnsi="Times New Roman" w:eastAsia="宋体" w:cs="Times New Roman"/>
                <w:color w:val="auto"/>
                <w:sz w:val="24"/>
                <w:szCs w:val="24"/>
                <w:highlight w:val="none"/>
              </w:rPr>
              <w:t>开挖约27089m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疏浚</w:t>
            </w:r>
            <w:r>
              <w:rPr>
                <w:rFonts w:hint="eastAsia" w:eastAsia="宋体" w:cs="Times New Roman"/>
                <w:color w:val="auto"/>
                <w:sz w:val="24"/>
                <w:szCs w:val="24"/>
                <w:highlight w:val="none"/>
                <w:lang w:val="en-US" w:eastAsia="zh-CN"/>
              </w:rPr>
              <w:t>开挖（可利用料）</w:t>
            </w:r>
            <w:r>
              <w:rPr>
                <w:rFonts w:hint="default" w:ascii="Times New Roman" w:hAnsi="Times New Roman" w:eastAsia="宋体" w:cs="Times New Roman"/>
                <w:color w:val="auto"/>
                <w:sz w:val="24"/>
                <w:szCs w:val="24"/>
                <w:highlight w:val="none"/>
                <w:lang w:val="en-US" w:eastAsia="zh-CN"/>
              </w:rPr>
              <w:t>约</w:t>
            </w:r>
            <w:r>
              <w:rPr>
                <w:rFonts w:hint="default" w:ascii="Times New Roman" w:hAnsi="Times New Roman" w:eastAsia="宋体" w:cs="Times New Roman"/>
                <w:color w:val="auto"/>
                <w:sz w:val="24"/>
                <w:szCs w:val="24"/>
                <w:highlight w:val="none"/>
              </w:rPr>
              <w:t>为43070m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vertAlign w:val="baseline"/>
                <w:lang w:eastAsia="zh-CN"/>
              </w:rPr>
              <w:t>。疏浚开挖（土料）</w:t>
            </w:r>
            <w:r>
              <w:rPr>
                <w:rFonts w:hint="default" w:ascii="Times New Roman" w:hAnsi="Times New Roman" w:eastAsia="宋体" w:cs="Times New Roman"/>
                <w:color w:val="auto"/>
                <w:sz w:val="24"/>
                <w:szCs w:val="24"/>
                <w:highlight w:val="none"/>
                <w:lang w:val="en-US" w:eastAsia="zh-CN"/>
              </w:rPr>
              <w:t>约</w:t>
            </w:r>
            <w:r>
              <w:rPr>
                <w:rFonts w:hint="default" w:ascii="Times New Roman" w:hAnsi="Times New Roman" w:eastAsia="宋体" w:cs="Times New Roman"/>
                <w:color w:val="auto"/>
                <w:sz w:val="24"/>
                <w:szCs w:val="24"/>
                <w:highlight w:val="none"/>
              </w:rPr>
              <w:t>为43</w:t>
            </w:r>
            <w:r>
              <w:rPr>
                <w:rFonts w:hint="eastAsia"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eastAsia" w:eastAsia="宋体" w:cs="Times New Roman"/>
                <w:color w:val="auto"/>
                <w:sz w:val="24"/>
                <w:szCs w:val="24"/>
                <w:highlight w:val="none"/>
                <w:vertAlign w:val="baseline"/>
                <w:lang w:eastAsia="zh-CN"/>
              </w:rPr>
              <w:t>，围堰拆除</w:t>
            </w:r>
            <w:r>
              <w:rPr>
                <w:rFonts w:hint="eastAsia" w:eastAsia="宋体" w:cs="Times New Roman"/>
                <w:color w:val="auto"/>
                <w:sz w:val="24"/>
                <w:szCs w:val="24"/>
                <w:highlight w:val="none"/>
                <w:vertAlign w:val="baseline"/>
                <w:lang w:val="en-US" w:eastAsia="zh-CN"/>
              </w:rPr>
              <w:t>约为4393</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eastAsia" w:eastAsia="宋体" w:cs="Times New Roman"/>
                <w:color w:val="auto"/>
                <w:sz w:val="24"/>
                <w:szCs w:val="24"/>
                <w:highlight w:val="none"/>
                <w:vertAlign w:val="baseline"/>
                <w:lang w:eastAsia="zh-CN"/>
              </w:rPr>
              <w:t>，</w:t>
            </w:r>
            <w:r>
              <w:rPr>
                <w:rFonts w:hint="default" w:ascii="Times New Roman" w:hAnsi="Times New Roman" w:eastAsia="宋体" w:cs="Times New Roman"/>
                <w:color w:val="auto"/>
                <w:sz w:val="24"/>
                <w:szCs w:val="24"/>
                <w:highlight w:val="none"/>
                <w:lang w:val="en-US" w:eastAsia="zh-CN"/>
              </w:rPr>
              <w:t>利用方总量约</w:t>
            </w:r>
            <w:r>
              <w:rPr>
                <w:rFonts w:hint="eastAsia" w:eastAsia="宋体" w:cs="Times New Roman"/>
                <w:color w:val="auto"/>
                <w:sz w:val="24"/>
                <w:szCs w:val="24"/>
                <w:highlight w:val="none"/>
                <w:lang w:val="en-US" w:eastAsia="zh-CN"/>
              </w:rPr>
              <w:t>80811</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vertAlign w:val="baseline"/>
                <w:lang w:eastAsia="zh-CN"/>
              </w:rPr>
              <w:t>，</w:t>
            </w:r>
            <w:r>
              <w:rPr>
                <w:rFonts w:hint="default" w:ascii="Times New Roman" w:hAnsi="Times New Roman" w:eastAsia="宋体" w:cs="Times New Roman"/>
                <w:color w:val="auto"/>
                <w:sz w:val="24"/>
                <w:szCs w:val="24"/>
                <w:highlight w:val="none"/>
                <w:vertAlign w:val="baseline"/>
                <w:lang w:val="en-US" w:eastAsia="zh-CN"/>
              </w:rPr>
              <w:t>其中</w:t>
            </w:r>
            <w:r>
              <w:rPr>
                <w:rFonts w:hint="eastAsia" w:cs="Times New Roman"/>
                <w:color w:val="auto"/>
                <w:sz w:val="24"/>
                <w:szCs w:val="24"/>
                <w:highlight w:val="none"/>
                <w:vertAlign w:val="baseline"/>
                <w:lang w:val="en-US" w:eastAsia="zh-CN"/>
              </w:rPr>
              <w:t>约</w:t>
            </w:r>
            <w:r>
              <w:rPr>
                <w:rFonts w:hint="eastAsia" w:eastAsia="宋体" w:cs="Times New Roman"/>
                <w:color w:val="auto"/>
                <w:sz w:val="24"/>
                <w:szCs w:val="24"/>
                <w:highlight w:val="none"/>
                <w:vertAlign w:val="baseline"/>
                <w:lang w:val="en-US" w:eastAsia="zh-CN"/>
              </w:rPr>
              <w:t>2293</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eastAsia" w:eastAsia="宋体" w:cs="Times New Roman"/>
                <w:color w:val="auto"/>
                <w:sz w:val="24"/>
                <w:szCs w:val="24"/>
                <w:highlight w:val="none"/>
                <w:vertAlign w:val="baseline"/>
                <w:lang w:val="en-US" w:eastAsia="zh-CN"/>
              </w:rPr>
              <w:t>运输至1#弃渣场进行复耕，</w:t>
            </w:r>
            <w:r>
              <w:rPr>
                <w:rFonts w:hint="eastAsia" w:cs="Times New Roman"/>
                <w:color w:val="auto"/>
                <w:sz w:val="24"/>
                <w:szCs w:val="24"/>
                <w:highlight w:val="none"/>
                <w:vertAlign w:val="baseline"/>
                <w:lang w:val="en-US" w:eastAsia="zh-CN"/>
              </w:rPr>
              <w:t>约</w:t>
            </w:r>
            <w:r>
              <w:rPr>
                <w:rFonts w:hint="eastAsia" w:eastAsia="宋体" w:cs="Times New Roman"/>
                <w:color w:val="auto"/>
                <w:sz w:val="24"/>
                <w:szCs w:val="24"/>
                <w:highlight w:val="none"/>
                <w:vertAlign w:val="baseline"/>
                <w:lang w:val="en-US" w:eastAsia="zh-CN"/>
              </w:rPr>
              <w:t>26111</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eastAsia" w:eastAsia="宋体" w:cs="Times New Roman"/>
                <w:color w:val="auto"/>
                <w:sz w:val="24"/>
                <w:szCs w:val="24"/>
                <w:highlight w:val="none"/>
                <w:vertAlign w:val="baseline"/>
                <w:lang w:val="en-US" w:eastAsia="zh-CN"/>
              </w:rPr>
              <w:t>用于堤脚回填、填筑围堰和袋装围堰，</w:t>
            </w:r>
            <w:r>
              <w:rPr>
                <w:rFonts w:hint="eastAsia" w:cs="Times New Roman"/>
                <w:color w:val="auto"/>
                <w:sz w:val="24"/>
                <w:szCs w:val="24"/>
                <w:highlight w:val="none"/>
                <w:vertAlign w:val="baseline"/>
                <w:lang w:val="en-US" w:eastAsia="zh-CN"/>
              </w:rPr>
              <w:t>约</w:t>
            </w:r>
            <w:r>
              <w:rPr>
                <w:rFonts w:hint="eastAsia" w:eastAsia="宋体" w:cs="Times New Roman"/>
                <w:color w:val="auto"/>
                <w:sz w:val="24"/>
                <w:szCs w:val="24"/>
                <w:highlight w:val="none"/>
                <w:vertAlign w:val="baseline"/>
                <w:lang w:val="en-US" w:eastAsia="zh-CN"/>
              </w:rPr>
              <w:t>978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eastAsia" w:eastAsia="宋体" w:cs="Times New Roman"/>
                <w:color w:val="auto"/>
                <w:sz w:val="24"/>
                <w:szCs w:val="24"/>
                <w:highlight w:val="none"/>
                <w:vertAlign w:val="baseline"/>
                <w:lang w:val="en-US" w:eastAsia="zh-CN"/>
              </w:rPr>
              <w:t>用于砂垫层、碎石垫层和堤身填筑，</w:t>
            </w:r>
            <w:r>
              <w:rPr>
                <w:rFonts w:hint="eastAsia" w:cs="Times New Roman"/>
                <w:color w:val="auto"/>
                <w:sz w:val="24"/>
                <w:szCs w:val="24"/>
                <w:highlight w:val="none"/>
                <w:vertAlign w:val="baseline"/>
                <w:lang w:val="en-US" w:eastAsia="zh-CN"/>
              </w:rPr>
              <w:t>约</w:t>
            </w:r>
            <w:r>
              <w:rPr>
                <w:rFonts w:hint="eastAsia" w:eastAsia="宋体" w:cs="Times New Roman"/>
                <w:color w:val="auto"/>
                <w:sz w:val="24"/>
                <w:szCs w:val="24"/>
                <w:highlight w:val="none"/>
                <w:vertAlign w:val="baseline"/>
                <w:lang w:val="en-US" w:eastAsia="zh-CN"/>
              </w:rPr>
              <w:t>51</w:t>
            </w:r>
            <w:r>
              <w:rPr>
                <w:rFonts w:hint="eastAsia" w:cs="Times New Roman"/>
                <w:color w:val="auto"/>
                <w:sz w:val="24"/>
                <w:szCs w:val="24"/>
                <w:highlight w:val="none"/>
                <w:vertAlign w:val="baseline"/>
                <w:lang w:val="en-US" w:eastAsia="zh-CN"/>
              </w:rPr>
              <w:t>429</w:t>
            </w:r>
            <w:r>
              <w:rPr>
                <w:rFonts w:hint="eastAsia" w:eastAsia="宋体" w:cs="Times New Roman"/>
                <w:color w:val="auto"/>
                <w:sz w:val="24"/>
                <w:szCs w:val="24"/>
                <w:highlight w:val="none"/>
                <w:vertAlign w:val="baseline"/>
                <w:lang w:val="en-US" w:eastAsia="zh-CN"/>
              </w:rPr>
              <w:t>m</w:t>
            </w:r>
            <w:r>
              <w:rPr>
                <w:rFonts w:hint="eastAsia" w:eastAsia="宋体" w:cs="Times New Roman"/>
                <w:color w:val="auto"/>
                <w:sz w:val="24"/>
                <w:szCs w:val="24"/>
                <w:highlight w:val="none"/>
                <w:vertAlign w:val="superscript"/>
                <w:lang w:val="en-US" w:eastAsia="zh-CN"/>
              </w:rPr>
              <w:t>3</w:t>
            </w:r>
            <w:r>
              <w:rPr>
                <w:rFonts w:hint="eastAsia" w:eastAsia="宋体" w:cs="Times New Roman"/>
                <w:color w:val="auto"/>
                <w:sz w:val="24"/>
                <w:szCs w:val="24"/>
                <w:highlight w:val="none"/>
                <w:vertAlign w:val="baseline"/>
                <w:lang w:val="en-US" w:eastAsia="zh-CN"/>
              </w:rPr>
              <w:t>运输至堤身填筑部位，表土全部用于</w:t>
            </w:r>
            <w:r>
              <w:rPr>
                <w:rFonts w:ascii="Times New Roman" w:hAnsi="Times New Roman"/>
                <w:color w:val="auto"/>
                <w:sz w:val="24"/>
                <w:lang w:val="zh-CN"/>
              </w:rPr>
              <w:t>斜坡式堤防马道以上的土地以及背水侧堤防顶到堤后排水沟的土地进行耕植土回覆</w:t>
            </w:r>
            <w:r>
              <w:rPr>
                <w:rFonts w:hint="eastAsia"/>
                <w:color w:val="auto"/>
                <w:sz w:val="24"/>
                <w:lang w:val="zh-CN"/>
              </w:rPr>
              <w:t>，</w:t>
            </w:r>
            <w:r>
              <w:rPr>
                <w:rFonts w:ascii="Times New Roman" w:hAnsi="Times New Roman"/>
                <w:color w:val="auto"/>
                <w:sz w:val="24"/>
                <w:lang w:val="zh-CN"/>
              </w:rPr>
              <w:t>以便于进行草皮护坡</w:t>
            </w:r>
            <w:r>
              <w:rPr>
                <w:rFonts w:hint="default" w:ascii="Times New Roman" w:hAnsi="Times New Roman" w:eastAsia="宋体" w:cs="Times New Roman"/>
                <w:color w:val="auto"/>
                <w:sz w:val="24"/>
                <w:szCs w:val="24"/>
                <w:highlight w:val="none"/>
                <w:vertAlign w:val="baseline"/>
                <w:lang w:eastAsia="zh-CN"/>
              </w:rPr>
              <w:t>。</w:t>
            </w:r>
            <w:r>
              <w:rPr>
                <w:rFonts w:hint="default" w:ascii="Times New Roman" w:hAnsi="Times New Roman" w:eastAsia="宋体" w:cs="Times New Roman"/>
                <w:color w:val="auto"/>
                <w:sz w:val="24"/>
                <w:szCs w:val="24"/>
                <w:highlight w:val="none"/>
              </w:rPr>
              <w:t>经过土石方平衡计算</w:t>
            </w:r>
            <w:r>
              <w:rPr>
                <w:rFonts w:hint="eastAsia" w:ascii="Times New Roman" w:hAnsi="Times New Roman"/>
                <w:color w:val="auto"/>
                <w:sz w:val="24"/>
                <w:lang w:val="zh-CN"/>
              </w:rPr>
              <w:t>，</w:t>
            </w:r>
            <w:r>
              <w:rPr>
                <w:rFonts w:hint="default" w:ascii="Times New Roman" w:hAnsi="Times New Roman" w:eastAsia="宋体" w:cs="Times New Roman"/>
                <w:color w:val="auto"/>
                <w:sz w:val="24"/>
                <w:szCs w:val="24"/>
                <w:highlight w:val="none"/>
              </w:rPr>
              <w:t>剩余弃渣</w:t>
            </w:r>
            <w:r>
              <w:rPr>
                <w:rFonts w:hint="eastAsia" w:eastAsia="宋体" w:cs="Times New Roman"/>
                <w:color w:val="auto"/>
                <w:sz w:val="24"/>
                <w:szCs w:val="24"/>
                <w:highlight w:val="none"/>
                <w:lang w:eastAsia="zh-CN"/>
              </w:rPr>
              <w:t>（</w:t>
            </w:r>
            <w:r>
              <w:rPr>
                <w:rFonts w:hint="eastAsia" w:eastAsia="宋体" w:cs="Times New Roman"/>
                <w:color w:val="auto"/>
                <w:sz w:val="24"/>
                <w:szCs w:val="24"/>
                <w:highlight w:val="none"/>
                <w:lang w:val="en-US" w:eastAsia="zh-CN"/>
              </w:rPr>
              <w:t>自然方，无表土</w:t>
            </w:r>
            <w:r>
              <w:rPr>
                <w:rFonts w:hint="eastAsia"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约13781m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弃渣</w:t>
            </w:r>
            <w:r>
              <w:rPr>
                <w:rFonts w:hint="default" w:ascii="Times New Roman" w:hAnsi="Times New Roman" w:eastAsia="宋体" w:cs="Times New Roman"/>
                <w:color w:val="auto"/>
                <w:sz w:val="24"/>
                <w:szCs w:val="24"/>
                <w:highlight w:val="none"/>
                <w:lang w:val="en-US" w:eastAsia="zh-CN"/>
              </w:rPr>
              <w:t>土石方运输至1#渣场</w:t>
            </w:r>
            <w:r>
              <w:rPr>
                <w:rFonts w:hint="default" w:ascii="Times New Roman" w:hAnsi="Times New Roman" w:eastAsia="宋体" w:cs="Times New Roman"/>
                <w:color w:val="auto"/>
                <w:sz w:val="24"/>
                <w:szCs w:val="24"/>
                <w:highlight w:val="none"/>
              </w:rPr>
              <w:t>。</w:t>
            </w:r>
          </w:p>
          <w:p>
            <w:pPr>
              <w:widowControl/>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lang w:bidi="ar"/>
              </w:rPr>
              <w:t>（2）建筑垃圾</w:t>
            </w:r>
          </w:p>
          <w:p>
            <w:pPr>
              <w:widowControl/>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lang w:bidi="ar"/>
              </w:rPr>
              <w:t>施工期产生</w:t>
            </w:r>
            <w:r>
              <w:rPr>
                <w:rFonts w:hint="default" w:ascii="Times New Roman" w:hAnsi="Times New Roman" w:eastAsia="宋体" w:cs="Times New Roman"/>
                <w:color w:val="auto"/>
                <w:kern w:val="0"/>
                <w:sz w:val="24"/>
                <w:lang w:val="en-US" w:eastAsia="zh-CN" w:bidi="ar"/>
              </w:rPr>
              <w:t>的建筑垃圾</w:t>
            </w:r>
            <w:r>
              <w:rPr>
                <w:rFonts w:hint="default" w:ascii="Times New Roman" w:hAnsi="Times New Roman" w:eastAsia="宋体" w:cs="Times New Roman"/>
                <w:color w:val="auto"/>
                <w:kern w:val="0"/>
                <w:sz w:val="24"/>
                <w:lang w:bidi="ar"/>
              </w:rPr>
              <w:t>可回收废料如废板材、模具、支架等由施工单位回收利用；其它废弃的砖块、混凝土、灰渣及边角料等不能回收的建筑垃圾</w:t>
            </w:r>
            <w:r>
              <w:rPr>
                <w:rFonts w:hint="default" w:ascii="Times New Roman" w:hAnsi="Times New Roman" w:cs="Times New Roman"/>
                <w:snapToGrid w:val="0"/>
                <w:color w:val="auto"/>
                <w:kern w:val="0"/>
                <w:sz w:val="24"/>
                <w:szCs w:val="24"/>
                <w:lang w:eastAsia="zh-CN"/>
              </w:rPr>
              <w:t>集中</w:t>
            </w:r>
            <w:r>
              <w:rPr>
                <w:rFonts w:hint="default" w:ascii="Times New Roman" w:hAnsi="Times New Roman" w:cs="Times New Roman"/>
                <w:snapToGrid w:val="0"/>
                <w:color w:val="auto"/>
                <w:kern w:val="0"/>
                <w:sz w:val="24"/>
                <w:szCs w:val="24"/>
              </w:rPr>
              <w:t>堆放，施工后期全部回填至防洪堤背侧</w:t>
            </w:r>
            <w:r>
              <w:rPr>
                <w:rFonts w:hint="default" w:ascii="Times New Roman" w:hAnsi="Times New Roman" w:eastAsia="宋体" w:cs="Times New Roman"/>
                <w:color w:val="auto"/>
                <w:kern w:val="0"/>
                <w:sz w:val="24"/>
                <w:lang w:bidi="ar"/>
              </w:rPr>
              <w:t>。</w:t>
            </w:r>
          </w:p>
          <w:p>
            <w:pPr>
              <w:widowControl/>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lang w:bidi="ar"/>
              </w:rPr>
              <w:t xml:space="preserve">（3）施工人员生活垃圾 </w:t>
            </w:r>
          </w:p>
          <w:p>
            <w:pPr>
              <w:widowControl/>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lang w:val="en-US" w:eastAsia="zh-CN" w:bidi="ar"/>
              </w:rPr>
              <w:t>根据上文计算，本项目施工期人员生活垃圾产生量为15kg/d。</w:t>
            </w:r>
            <w:r>
              <w:rPr>
                <w:rFonts w:hint="default" w:ascii="Times New Roman" w:hAnsi="Times New Roman" w:eastAsia="宋体" w:cs="Times New Roman"/>
                <w:color w:val="auto"/>
                <w:kern w:val="0"/>
                <w:sz w:val="24"/>
                <w:lang w:bidi="ar"/>
              </w:rPr>
              <w:t>本项目施工期施工人员生活垃圾经垃圾桶集中收集后</w:t>
            </w:r>
            <w:r>
              <w:rPr>
                <w:rFonts w:hint="default" w:ascii="Times New Roman" w:hAnsi="Times New Roman" w:eastAsia="宋体" w:cs="Times New Roman"/>
                <w:color w:val="auto"/>
                <w:kern w:val="0"/>
                <w:sz w:val="24"/>
                <w:lang w:val="en-US" w:eastAsia="zh-CN" w:bidi="ar"/>
              </w:rPr>
              <w:t>交</w:t>
            </w:r>
            <w:r>
              <w:rPr>
                <w:rFonts w:hint="default" w:ascii="Times New Roman" w:hAnsi="Times New Roman" w:eastAsia="宋体" w:cs="Times New Roman"/>
                <w:color w:val="auto"/>
                <w:kern w:val="0"/>
                <w:sz w:val="24"/>
                <w:lang w:bidi="ar"/>
              </w:rPr>
              <w:t>由当地环卫部门进行处置后，对周围环境影响较小。</w:t>
            </w:r>
          </w:p>
          <w:p>
            <w:pPr>
              <w:widowControl/>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lang w:bidi="ar"/>
              </w:rPr>
              <w:t>（4）沉淀池底泥</w:t>
            </w:r>
          </w:p>
          <w:p>
            <w:pPr>
              <w:widowControl/>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lang w:bidi="ar"/>
              </w:rPr>
              <w:t>本项目沉淀池中的底泥用于堤</w:t>
            </w:r>
            <w:r>
              <w:rPr>
                <w:rFonts w:hint="default" w:ascii="Times New Roman" w:hAnsi="Times New Roman" w:eastAsia="宋体" w:cs="Times New Roman"/>
                <w:color w:val="auto"/>
                <w:kern w:val="0"/>
                <w:sz w:val="24"/>
                <w:lang w:val="en-US" w:eastAsia="zh-CN" w:bidi="ar"/>
              </w:rPr>
              <w:t>后</w:t>
            </w:r>
            <w:r>
              <w:rPr>
                <w:rFonts w:hint="default" w:ascii="Times New Roman" w:hAnsi="Times New Roman" w:eastAsia="宋体" w:cs="Times New Roman"/>
                <w:color w:val="auto"/>
                <w:kern w:val="0"/>
                <w:sz w:val="24"/>
                <w:lang w:bidi="ar"/>
              </w:rPr>
              <w:t>回填，对周围环境影响较小。</w:t>
            </w:r>
          </w:p>
          <w:p>
            <w:pPr>
              <w:widowControl/>
              <w:adjustRightInd w:val="0"/>
              <w:snapToGrid w:val="0"/>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bCs/>
                <w:color w:val="auto"/>
                <w:kern w:val="0"/>
                <w:sz w:val="24"/>
                <w:lang w:bidi="ar"/>
              </w:rPr>
              <w:t>综上，项目施工过程产生的固体废弃物均得到了合理有效处置，</w:t>
            </w:r>
            <w:r>
              <w:rPr>
                <w:rFonts w:hint="default" w:ascii="Times New Roman" w:hAnsi="Times New Roman" w:eastAsia="宋体" w:cs="Times New Roman"/>
                <w:bCs/>
                <w:color w:val="auto"/>
                <w:kern w:val="0"/>
                <w:sz w:val="24"/>
                <w:lang w:val="en-US" w:eastAsia="zh-CN" w:bidi="ar"/>
              </w:rPr>
              <w:t>没有</w:t>
            </w:r>
            <w:r>
              <w:rPr>
                <w:rFonts w:hint="default" w:ascii="Times New Roman" w:hAnsi="Times New Roman" w:eastAsia="宋体" w:cs="Times New Roman"/>
                <w:bCs/>
                <w:color w:val="auto"/>
                <w:kern w:val="0"/>
                <w:sz w:val="24"/>
                <w:lang w:bidi="ar"/>
              </w:rPr>
              <w:t>造成二次污染。</w:t>
            </w:r>
          </w:p>
          <w:p>
            <w:pPr>
              <w:keepNext w:val="0"/>
              <w:keepLines w:val="0"/>
              <w:pageBreakBefore w:val="0"/>
              <w:widowControl/>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val="0"/>
                <w:color w:val="auto"/>
                <w:sz w:val="24"/>
              </w:rPr>
            </w:pPr>
            <w:r>
              <w:rPr>
                <w:rFonts w:hint="eastAsia" w:cs="Times New Roman"/>
                <w:b/>
                <w:bCs w:val="0"/>
                <w:color w:val="auto"/>
                <w:kern w:val="0"/>
                <w:sz w:val="24"/>
                <w:lang w:val="en-US" w:eastAsia="zh-CN" w:bidi="ar"/>
              </w:rPr>
              <w:t>4</w:t>
            </w:r>
            <w:r>
              <w:rPr>
                <w:rFonts w:hint="default" w:ascii="Times New Roman" w:hAnsi="Times New Roman" w:eastAsia="宋体" w:cs="Times New Roman"/>
                <w:b/>
                <w:bCs w:val="0"/>
                <w:color w:val="auto"/>
                <w:kern w:val="0"/>
                <w:sz w:val="24"/>
                <w:lang w:val="en-US" w:eastAsia="zh-CN" w:bidi="ar"/>
              </w:rPr>
              <w:t>、</w:t>
            </w:r>
            <w:r>
              <w:rPr>
                <w:rFonts w:hint="default" w:ascii="Times New Roman" w:hAnsi="Times New Roman" w:eastAsia="宋体" w:cs="Times New Roman"/>
                <w:b/>
                <w:bCs w:val="0"/>
                <w:color w:val="auto"/>
                <w:kern w:val="0"/>
                <w:sz w:val="24"/>
                <w:lang w:bidi="ar"/>
              </w:rPr>
              <w:t>临时用地恢复</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color w:val="auto"/>
                <w:sz w:val="24"/>
                <w:szCs w:val="24"/>
                <w:lang w:val="en-US" w:eastAsia="zh-CN"/>
              </w:rPr>
              <w:t>结束后，对临时占地（围堰、施工生产区等）进行</w:t>
            </w:r>
            <w:r>
              <w:rPr>
                <w:rFonts w:hint="default" w:ascii="Times New Roman" w:hAnsi="Times New Roman" w:eastAsia="宋体" w:cs="Times New Roman"/>
                <w:color w:val="auto"/>
                <w:sz w:val="24"/>
                <w:szCs w:val="24"/>
              </w:rPr>
              <w:t>拆除，</w:t>
            </w:r>
            <w:r>
              <w:rPr>
                <w:rFonts w:hint="default" w:ascii="Times New Roman" w:hAnsi="Times New Roman" w:eastAsia="宋体" w:cs="Times New Roman"/>
                <w:color w:val="auto"/>
                <w:sz w:val="24"/>
                <w:szCs w:val="24"/>
                <w:lang w:val="en-US" w:eastAsia="zh-CN"/>
              </w:rPr>
              <w:t>并对</w:t>
            </w:r>
            <w:r>
              <w:rPr>
                <w:rFonts w:hint="default" w:ascii="Times New Roman" w:hAnsi="Times New Roman" w:eastAsia="宋体" w:cs="Times New Roman"/>
                <w:color w:val="auto"/>
                <w:sz w:val="24"/>
                <w:szCs w:val="24"/>
              </w:rPr>
              <w:t>项目</w:t>
            </w:r>
            <w:r>
              <w:rPr>
                <w:rFonts w:hint="default" w:ascii="Times New Roman" w:hAnsi="Times New Roman" w:eastAsia="宋体" w:cs="Times New Roman"/>
                <w:color w:val="auto"/>
                <w:sz w:val="24"/>
                <w:szCs w:val="24"/>
                <w:lang w:val="en-US" w:eastAsia="zh-CN"/>
              </w:rPr>
              <w:t>占地</w:t>
            </w:r>
            <w:r>
              <w:rPr>
                <w:rFonts w:hint="default" w:ascii="Times New Roman" w:hAnsi="Times New Roman" w:eastAsia="宋体" w:cs="Times New Roman"/>
                <w:color w:val="auto"/>
                <w:sz w:val="24"/>
                <w:szCs w:val="24"/>
              </w:rPr>
              <w:t>进行整治、复绿</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项目采取的治理措施如下：</w:t>
            </w:r>
          </w:p>
          <w:p>
            <w:pPr>
              <w:keepNext w:val="0"/>
              <w:keepLines w:val="0"/>
              <w:pageBreakBefore w:val="0"/>
              <w:kinsoku/>
              <w:wordWrap/>
              <w:overflowPunct/>
              <w:topLinePunct w:val="0"/>
              <w:autoSpaceDE/>
              <w:autoSpaceDN/>
              <w:bidi w:val="0"/>
              <w:spacing w:line="360" w:lineRule="auto"/>
              <w:ind w:firstLine="460" w:firstLineChars="192"/>
              <w:jc w:val="both"/>
              <w:textAlignment w:val="baseline"/>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1）</w:t>
            </w:r>
            <w:r>
              <w:rPr>
                <w:rFonts w:hint="default" w:ascii="Times New Roman" w:hAnsi="Times New Roman" w:eastAsia="宋体" w:cs="Times New Roman"/>
                <w:color w:val="auto"/>
                <w:kern w:val="0"/>
                <w:sz w:val="24"/>
                <w:szCs w:val="24"/>
                <w:lang w:val="en-US" w:eastAsia="zh-CN"/>
              </w:rPr>
              <w:t>恢复</w:t>
            </w:r>
            <w:r>
              <w:rPr>
                <w:rFonts w:hint="default" w:ascii="Times New Roman" w:hAnsi="Times New Roman" w:eastAsia="宋体" w:cs="Times New Roman"/>
                <w:color w:val="auto"/>
                <w:kern w:val="0"/>
                <w:sz w:val="24"/>
                <w:szCs w:val="24"/>
              </w:rPr>
              <w:t>原则：源头控制、预防与复垦相结合原则；统一规划、统筹安排原则；因地制宜、优先用于农业原则；边生产、边建设、边复垦原则。</w:t>
            </w:r>
          </w:p>
          <w:p>
            <w:pPr>
              <w:spacing w:line="360" w:lineRule="auto"/>
              <w:ind w:firstLine="460" w:firstLineChars="192"/>
              <w:jc w:val="both"/>
              <w:textAlignment w:val="baseline"/>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rPr>
              <w:t>2）</w:t>
            </w:r>
            <w:r>
              <w:rPr>
                <w:rFonts w:hint="default" w:ascii="Times New Roman" w:hAnsi="Times New Roman" w:eastAsia="宋体" w:cs="Times New Roman"/>
                <w:color w:val="auto"/>
                <w:kern w:val="0"/>
                <w:sz w:val="24"/>
                <w:szCs w:val="24"/>
                <w:lang w:val="en-US" w:eastAsia="zh-CN"/>
              </w:rPr>
              <w:t>恢复</w:t>
            </w:r>
            <w:r>
              <w:rPr>
                <w:rFonts w:hint="default" w:ascii="Times New Roman" w:hAnsi="Times New Roman" w:eastAsia="宋体" w:cs="Times New Roman"/>
                <w:color w:val="auto"/>
                <w:kern w:val="0"/>
                <w:sz w:val="24"/>
                <w:szCs w:val="24"/>
              </w:rPr>
              <w:t>范围：临</w:t>
            </w:r>
            <w:r>
              <w:rPr>
                <w:rFonts w:hint="default" w:ascii="Times New Roman" w:hAnsi="Times New Roman" w:eastAsia="宋体" w:cs="Times New Roman"/>
                <w:color w:val="auto"/>
                <w:kern w:val="0"/>
                <w:sz w:val="24"/>
                <w:szCs w:val="24"/>
                <w:lang w:val="en-US" w:eastAsia="zh-CN"/>
              </w:rPr>
              <w:t>时</w:t>
            </w:r>
            <w:r>
              <w:rPr>
                <w:rFonts w:hint="default" w:ascii="Times New Roman" w:hAnsi="Times New Roman" w:eastAsia="宋体" w:cs="Times New Roman"/>
                <w:color w:val="auto"/>
                <w:kern w:val="0"/>
                <w:sz w:val="24"/>
                <w:szCs w:val="24"/>
              </w:rPr>
              <w:t>设施占地复垦，主要包括</w:t>
            </w:r>
            <w:r>
              <w:rPr>
                <w:rFonts w:hint="default" w:ascii="Times New Roman" w:hAnsi="Times New Roman" w:eastAsia="宋体" w:cs="Times New Roman"/>
                <w:color w:val="auto"/>
                <w:sz w:val="24"/>
                <w:szCs w:val="24"/>
                <w:lang w:val="en-US" w:eastAsia="zh-CN"/>
              </w:rPr>
              <w:t>围堰、施工生产区</w:t>
            </w:r>
            <w:r>
              <w:rPr>
                <w:rFonts w:hint="default" w:ascii="Times New Roman" w:hAnsi="Times New Roman" w:eastAsia="宋体" w:cs="Times New Roman"/>
                <w:color w:val="auto"/>
                <w:kern w:val="0"/>
                <w:sz w:val="24"/>
                <w:szCs w:val="24"/>
              </w:rPr>
              <w:t>，在工程完工后进行</w:t>
            </w:r>
            <w:r>
              <w:rPr>
                <w:rFonts w:hint="default" w:ascii="Times New Roman" w:hAnsi="Times New Roman" w:eastAsia="宋体" w:cs="Times New Roman"/>
                <w:color w:val="auto"/>
                <w:kern w:val="0"/>
                <w:sz w:val="24"/>
                <w:szCs w:val="24"/>
                <w:lang w:val="en-US" w:eastAsia="zh-CN"/>
              </w:rPr>
              <w:t>拆除并进行撒播草籽，迹地恢复</w:t>
            </w:r>
            <w:r>
              <w:rPr>
                <w:rFonts w:hint="default" w:ascii="Times New Roman" w:hAnsi="Times New Roman" w:eastAsia="宋体" w:cs="Times New Roman"/>
                <w:color w:val="auto"/>
                <w:kern w:val="0"/>
                <w:sz w:val="24"/>
                <w:szCs w:val="24"/>
                <w:lang w:eastAsia="zh-CN"/>
              </w:rPr>
              <w:t>。</w:t>
            </w:r>
          </w:p>
          <w:p>
            <w:pPr>
              <w:spacing w:line="360" w:lineRule="auto"/>
              <w:ind w:firstLine="460" w:firstLineChars="192"/>
              <w:jc w:val="both"/>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3）标准：临建设施所占用的</w:t>
            </w:r>
            <w:r>
              <w:rPr>
                <w:rFonts w:hint="default" w:ascii="Times New Roman" w:hAnsi="Times New Roman" w:eastAsia="宋体" w:cs="Times New Roman"/>
                <w:color w:val="auto"/>
                <w:kern w:val="0"/>
                <w:sz w:val="24"/>
                <w:szCs w:val="24"/>
                <w:lang w:val="en-US" w:eastAsia="zh-CN"/>
              </w:rPr>
              <w:t>迹地恢复</w:t>
            </w:r>
            <w:r>
              <w:rPr>
                <w:rFonts w:hint="default" w:ascii="Times New Roman" w:hAnsi="Times New Roman" w:eastAsia="宋体" w:cs="Times New Roman"/>
                <w:color w:val="auto"/>
                <w:sz w:val="24"/>
                <w:szCs w:val="24"/>
              </w:rPr>
              <w:t>后能重新耕植、绿化，达到耕地和绿化利用标准。</w:t>
            </w:r>
          </w:p>
          <w:p>
            <w:pPr>
              <w:spacing w:line="360" w:lineRule="auto"/>
              <w:ind w:firstLine="460" w:firstLineChars="192"/>
              <w:jc w:val="both"/>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w:t>
            </w:r>
            <w:r>
              <w:rPr>
                <w:rFonts w:hint="default" w:ascii="Times New Roman" w:hAnsi="Times New Roman" w:eastAsia="宋体" w:cs="Times New Roman"/>
                <w:color w:val="auto"/>
                <w:sz w:val="24"/>
                <w:szCs w:val="24"/>
                <w:lang w:val="en-US" w:eastAsia="zh-CN"/>
              </w:rPr>
              <w:t>恢复</w:t>
            </w:r>
            <w:r>
              <w:rPr>
                <w:rFonts w:hint="default" w:ascii="Times New Roman" w:hAnsi="Times New Roman" w:eastAsia="宋体" w:cs="Times New Roman"/>
                <w:color w:val="auto"/>
                <w:sz w:val="24"/>
                <w:szCs w:val="24"/>
              </w:rPr>
              <w:t>措施：临时工程建设之前要将表层具有肥力的土壤层剥离并妥善存放，防止肥分损失和水土流失，或造成新的污染。施工期间采取措施防止污水、泥浆、油污等对土壤的污染和破坏。施工完毕对不再利用的临建设施进行拆除，将拆除的建筑垃圾清理干净，表面不得有砼块等硬质物存在，清理完毕经检查合格后，利用推土机、耕地机械或挖掘机等将表面被压实的土壤翻松整平，沉淀池及排水沟等将其填平，统一整平和翻松，翻松整平经检查符合要求后，将原来施工之前剥离出来的表层耕植土或从其它地方拉运的符合要求的耕植土均匀散布覆盖在表面，厚度必须符合要求。</w:t>
            </w:r>
          </w:p>
          <w:p>
            <w:pPr>
              <w:spacing w:line="360" w:lineRule="auto"/>
              <w:ind w:firstLine="460" w:firstLineChars="192"/>
              <w:jc w:val="both"/>
              <w:textAlignment w:val="baseline"/>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a、将项目建设初期剥离的表土重新覆盖在清理后的土地上</w:t>
            </w:r>
            <w:r>
              <w:rPr>
                <w:rFonts w:hint="default" w:ascii="Times New Roman" w:hAnsi="Times New Roman" w:eastAsia="宋体" w:cs="Times New Roman"/>
                <w:color w:val="auto"/>
                <w:sz w:val="24"/>
                <w:szCs w:val="24"/>
                <w:lang w:eastAsia="zh-CN"/>
              </w:rPr>
              <w:t>。</w:t>
            </w:r>
          </w:p>
          <w:p>
            <w:pPr>
              <w:spacing w:line="360" w:lineRule="auto"/>
              <w:ind w:firstLine="460" w:firstLineChars="192"/>
              <w:jc w:val="both"/>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b、</w:t>
            </w:r>
            <w:r>
              <w:rPr>
                <w:rFonts w:hint="default" w:ascii="Times New Roman" w:hAnsi="Times New Roman" w:eastAsia="宋体" w:cs="Times New Roman"/>
                <w:color w:val="auto"/>
                <w:sz w:val="24"/>
                <w:szCs w:val="24"/>
                <w:lang w:val="en-US" w:eastAsia="zh-CN"/>
              </w:rPr>
              <w:t>恢复</w:t>
            </w:r>
            <w:r>
              <w:rPr>
                <w:rFonts w:hint="default" w:ascii="Times New Roman" w:hAnsi="Times New Roman" w:eastAsia="宋体" w:cs="Times New Roman"/>
                <w:color w:val="auto"/>
                <w:sz w:val="24"/>
                <w:szCs w:val="24"/>
              </w:rPr>
              <w:t>后的土地缺乏必要的营养元素和有机质，施加有机肥、无机肥等增加土壤有机质和氮磷钾等营养元素。</w:t>
            </w:r>
          </w:p>
          <w:p>
            <w:pPr>
              <w:adjustRightInd w:val="0"/>
              <w:snapToGrid w:val="0"/>
              <w:spacing w:line="360" w:lineRule="auto"/>
              <w:ind w:firstLine="480" w:firstLineChars="200"/>
            </w:pPr>
            <w:r>
              <w:rPr>
                <w:rFonts w:hint="default" w:ascii="Times New Roman" w:hAnsi="Times New Roman" w:eastAsia="宋体" w:cs="Times New Roman"/>
                <w:color w:val="auto"/>
                <w:sz w:val="24"/>
                <w:szCs w:val="24"/>
              </w:rPr>
              <w:t>c、</w:t>
            </w:r>
            <w:r>
              <w:rPr>
                <w:rFonts w:hint="default" w:ascii="Times New Roman" w:hAnsi="Times New Roman" w:eastAsia="宋体" w:cs="Times New Roman"/>
                <w:b w:val="0"/>
                <w:bCs w:val="0"/>
                <w:color w:val="auto"/>
                <w:sz w:val="24"/>
                <w:szCs w:val="24"/>
              </w:rPr>
              <w:t>选取当地乡土植被种植。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55" w:hRule="atLeast"/>
          <w:jc w:val="center"/>
        </w:trPr>
        <w:tc>
          <w:tcPr>
            <w:tcW w:w="409" w:type="pct"/>
            <w:noWrap w:val="0"/>
            <w:tcMar>
              <w:left w:w="28" w:type="dxa"/>
              <w:right w:w="28" w:type="dxa"/>
            </w:tcMar>
            <w:vAlign w:val="center"/>
          </w:tcPr>
          <w:p>
            <w:pPr>
              <w:keepNext w:val="0"/>
              <w:keepLines w:val="0"/>
              <w:pageBreakBefore w:val="0"/>
              <w:kinsoku/>
              <w:wordWrap/>
              <w:overflowPunct/>
              <w:topLinePunct w:val="0"/>
              <w:bidi w:val="0"/>
              <w:adjustRightInd w:val="0"/>
              <w:snapToGrid w:val="0"/>
              <w:jc w:val="center"/>
              <w:textAlignment w:val="auto"/>
              <w:rPr>
                <w:rFonts w:ascii="宋体" w:hAnsi="宋体" w:cs="宋体"/>
                <w:bCs/>
                <w:spacing w:val="10"/>
                <w:sz w:val="24"/>
                <w:szCs w:val="24"/>
              </w:rPr>
            </w:pPr>
            <w:r>
              <w:rPr>
                <w:rFonts w:hint="eastAsia" w:ascii="宋体" w:hAnsi="宋体" w:cs="宋体"/>
                <w:bCs/>
                <w:spacing w:val="10"/>
                <w:sz w:val="24"/>
                <w:szCs w:val="24"/>
              </w:rPr>
              <w:t>运营期生态环境保护措施</w:t>
            </w:r>
          </w:p>
        </w:tc>
        <w:tc>
          <w:tcPr>
            <w:tcW w:w="459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bCs/>
                <w:spacing w:val="10"/>
                <w:sz w:val="24"/>
                <w:szCs w:val="24"/>
                <w:lang w:eastAsia="zh-CN"/>
              </w:rPr>
            </w:pPr>
            <w:r>
              <w:rPr>
                <w:rFonts w:hint="default" w:ascii="Times New Roman" w:hAnsi="Times New Roman" w:eastAsia="宋体" w:cs="Times New Roman"/>
                <w:color w:val="auto"/>
                <w:kern w:val="0"/>
                <w:sz w:val="24"/>
                <w:lang w:bidi="ar"/>
              </w:rPr>
              <w:t>本项目属于非污染型生态类项目，运营期无污染。项目建成后，主要是防治洪水</w:t>
            </w:r>
            <w:r>
              <w:rPr>
                <w:rFonts w:hint="eastAsia" w:cs="Times New Roman"/>
                <w:color w:val="auto"/>
                <w:kern w:val="0"/>
                <w:sz w:val="24"/>
                <w:lang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9" w:type="pct"/>
            <w:noWrap w:val="0"/>
            <w:vAlign w:val="center"/>
          </w:tcPr>
          <w:p>
            <w:pPr>
              <w:keepNext w:val="0"/>
              <w:keepLines w:val="0"/>
              <w:pageBreakBefore w:val="0"/>
              <w:kinsoku/>
              <w:wordWrap/>
              <w:overflowPunct/>
              <w:topLinePunct w:val="0"/>
              <w:bidi w:val="0"/>
              <w:adjustRightInd w:val="0"/>
              <w:snapToGrid w:val="0"/>
              <w:jc w:val="center"/>
              <w:textAlignment w:val="auto"/>
              <w:rPr>
                <w:rFonts w:ascii="宋体" w:hAnsi="宋体" w:cs="宋体"/>
                <w:bCs/>
                <w:spacing w:val="10"/>
                <w:sz w:val="24"/>
                <w:szCs w:val="24"/>
              </w:rPr>
            </w:pPr>
            <w:r>
              <w:rPr>
                <w:rFonts w:hint="eastAsia" w:ascii="宋体" w:hAnsi="宋体"/>
                <w:bCs/>
                <w:sz w:val="24"/>
                <w:szCs w:val="24"/>
              </w:rPr>
              <w:t>其他</w:t>
            </w:r>
          </w:p>
        </w:tc>
        <w:tc>
          <w:tcPr>
            <w:tcW w:w="4590" w:type="pct"/>
            <w:noWrap w:val="0"/>
            <w:vAlign w:val="center"/>
          </w:tcPr>
          <w:p>
            <w:pPr>
              <w:adjustRightInd w:val="0"/>
              <w:snapToGrid w:val="0"/>
              <w:spacing w:line="360" w:lineRule="auto"/>
              <w:ind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rPr>
              <w:t>、环境管理</w:t>
            </w:r>
          </w:p>
          <w:p>
            <w:pPr>
              <w:adjustRightInd w:val="0"/>
              <w:snapToGrid w:val="0"/>
              <w:spacing w:line="360" w:lineRule="auto"/>
              <w:ind w:left="480" w:left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环境管理的目的</w:t>
            </w:r>
          </w:p>
          <w:p>
            <w:pPr>
              <w:adjustRightInd w:val="0"/>
              <w:snapToGri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本工程在建设期将对周围环境产生一定的影响，因此必须通过必要的措施来减缓和消除不利的环境影响。为了保证环保措施的切实落实，使项目的社会、经济和环境效益得到协调发展，必须加强环境管理。</w:t>
            </w:r>
          </w:p>
          <w:p>
            <w:pPr>
              <w:adjustRightInd w:val="0"/>
              <w:snapToGrid w:val="0"/>
              <w:spacing w:line="360" w:lineRule="auto"/>
              <w:ind w:left="480" w:left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lang w:val="en-US" w:eastAsia="zh-CN"/>
              </w:rPr>
              <w:t>2</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环保机构的设置</w:t>
            </w:r>
          </w:p>
          <w:p>
            <w:pPr>
              <w:adjustRightInd w:val="0"/>
              <w:snapToGri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建设单位在设置工程管理机构时，应建立环境保护管理机构，以便对施工期的环境保护工作进行监督和管理，管理机构应设专职（或兼职）人员，其职责如下：</w:t>
            </w:r>
          </w:p>
          <w:p>
            <w:pPr>
              <w:adjustRightInd w:val="0"/>
              <w:snapToGri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①监督施工期环保措施的实施。</w:t>
            </w:r>
          </w:p>
          <w:p>
            <w:pPr>
              <w:adjustRightInd w:val="0"/>
              <w:snapToGri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②负责与地方环保部门的联系，包括区域环境保护措施的协调。</w:t>
            </w:r>
          </w:p>
          <w:p>
            <w:pPr>
              <w:adjustRightInd w:val="0"/>
              <w:snapToGri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③负责好管理机构内部的环保和安全教育工作。</w:t>
            </w:r>
          </w:p>
          <w:p>
            <w:pPr>
              <w:adjustRightInd w:val="0"/>
              <w:snapToGri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④宣传、贯彻和执行国家、地方政府及有关部门制定的环境保护法律法规和条例等。</w:t>
            </w:r>
          </w:p>
          <w:p>
            <w:pPr>
              <w:numPr>
                <w:ilvl w:val="0"/>
                <w:numId w:val="0"/>
              </w:numPr>
              <w:adjustRightInd w:val="0"/>
              <w:snapToGri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lang w:val="en-US" w:eastAsia="zh-CN"/>
              </w:rPr>
              <w:t>（3）</w:t>
            </w:r>
            <w:r>
              <w:rPr>
                <w:rFonts w:hint="default" w:ascii="Times New Roman" w:hAnsi="Times New Roman" w:eastAsia="宋体" w:cs="Times New Roman"/>
                <w:bCs/>
                <w:color w:val="auto"/>
                <w:sz w:val="24"/>
              </w:rPr>
              <w:t>环境管理的主要内容</w:t>
            </w:r>
          </w:p>
          <w:p>
            <w:pPr>
              <w:adjustRightInd w:val="0"/>
              <w:snapToGri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项目施工阶段：</w:t>
            </w:r>
          </w:p>
          <w:p>
            <w:pPr>
              <w:adjustRightInd w:val="0"/>
              <w:snapToGri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①工程建设单位应定期或不定期对施工点的环保措施执行情况进行监督检查，并写出相应的检查报告。</w:t>
            </w:r>
          </w:p>
          <w:p>
            <w:pPr>
              <w:adjustRightInd w:val="0"/>
              <w:snapToGrid w:val="0"/>
              <w:spacing w:line="360" w:lineRule="auto"/>
              <w:ind w:firstLine="480" w:firstLineChars="200"/>
              <w:rPr>
                <w:rFonts w:hint="default" w:cs="Times New Roman"/>
                <w:bCs/>
                <w:color w:val="auto"/>
                <w:sz w:val="24"/>
                <w:lang w:val="en-US" w:eastAsia="zh-CN"/>
              </w:rPr>
            </w:pPr>
            <w:r>
              <w:rPr>
                <w:rFonts w:hint="default" w:ascii="Times New Roman" w:hAnsi="Times New Roman" w:eastAsia="宋体" w:cs="Times New Roman"/>
                <w:bCs/>
                <w:color w:val="auto"/>
                <w:sz w:val="24"/>
              </w:rPr>
              <w:t>②监督检查的重点为各施工点扬尘、噪声的控制、水土流失的防治，施工队伍生活污水及弃土渣、生活垃圾的处理和处置等。</w:t>
            </w:r>
          </w:p>
          <w:p>
            <w:pPr>
              <w:adjustRightInd w:val="0"/>
              <w:snapToGrid w:val="0"/>
              <w:spacing w:line="360" w:lineRule="auto"/>
              <w:ind w:firstLine="480" w:firstLineChars="200"/>
              <w:rPr>
                <w:rFonts w:hint="default" w:ascii="Times New Roman" w:hAnsi="Times New Roman" w:eastAsia="宋体" w:cs="Times New Roman"/>
                <w:bCs/>
                <w:color w:val="auto"/>
                <w:sz w:val="24"/>
              </w:rPr>
            </w:pPr>
            <w:r>
              <w:rPr>
                <w:rFonts w:hint="eastAsia" w:cs="Times New Roman"/>
                <w:bCs/>
                <w:color w:val="auto"/>
                <w:sz w:val="24"/>
                <w:lang w:val="en-US" w:eastAsia="zh-CN"/>
              </w:rPr>
              <w:t>③</w:t>
            </w:r>
            <w:r>
              <w:rPr>
                <w:rFonts w:hint="default" w:ascii="Times New Roman" w:hAnsi="Times New Roman" w:eastAsia="宋体" w:cs="Times New Roman"/>
                <w:bCs/>
                <w:color w:val="auto"/>
                <w:sz w:val="24"/>
              </w:rPr>
              <w:t>落实施工设计文件中各项环保措施的执行情况、环保设施的施工进度和资金使用情况。</w:t>
            </w:r>
          </w:p>
          <w:p>
            <w:pPr>
              <w:adjustRightInd w:val="0"/>
              <w:snapToGri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施工完成阶段：</w:t>
            </w:r>
          </w:p>
          <w:p>
            <w:pPr>
              <w:adjustRightInd w:val="0"/>
              <w:snapToGri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①施工完成阶段应重点对各类临时性占地的还原，建筑垃圾及弃土石方的清运及施工现场的清理进行监督检查。</w:t>
            </w:r>
          </w:p>
          <w:p>
            <w:pPr>
              <w:adjustRightInd w:val="0"/>
              <w:snapToGri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②建设单位应对合同中所定的各项环保条款进行完成和实施情况评估。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宋体" w:hAnsi="宋体" w:cs="宋体"/>
                <w:bCs/>
                <w:color w:val="0000FF"/>
                <w:spacing w:val="10"/>
                <w:sz w:val="24"/>
                <w:szCs w:val="24"/>
              </w:rPr>
            </w:pPr>
            <w:r>
              <w:rPr>
                <w:rFonts w:hint="default" w:ascii="Times New Roman" w:hAnsi="Times New Roman" w:eastAsia="宋体" w:cs="Times New Roman"/>
                <w:bCs/>
                <w:color w:val="auto"/>
                <w:sz w:val="24"/>
              </w:rPr>
              <w:t>③环保设施的竣工验收</w:t>
            </w:r>
            <w:r>
              <w:rPr>
                <w:rFonts w:hint="default" w:ascii="Times New Roman" w:hAnsi="Times New Roman" w:eastAsia="宋体" w:cs="Times New Roman"/>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09" w:type="pct"/>
            <w:noWrap w:val="0"/>
            <w:vAlign w:val="center"/>
          </w:tcPr>
          <w:p>
            <w:pPr>
              <w:keepNext w:val="0"/>
              <w:keepLines w:val="0"/>
              <w:pageBreakBefore w:val="0"/>
              <w:kinsoku/>
              <w:wordWrap/>
              <w:overflowPunct/>
              <w:topLinePunct w:val="0"/>
              <w:bidi w:val="0"/>
              <w:adjustRightInd w:val="0"/>
              <w:snapToGrid w:val="0"/>
              <w:jc w:val="center"/>
              <w:textAlignment w:val="auto"/>
              <w:rPr>
                <w:rFonts w:ascii="宋体" w:hAnsi="宋体" w:cs="宋体"/>
                <w:bCs/>
                <w:spacing w:val="10"/>
                <w:sz w:val="24"/>
                <w:szCs w:val="24"/>
              </w:rPr>
            </w:pPr>
            <w:r>
              <w:rPr>
                <w:rFonts w:hint="eastAsia" w:ascii="宋体" w:hAnsi="宋体"/>
                <w:bCs/>
                <w:sz w:val="24"/>
                <w:szCs w:val="24"/>
              </w:rPr>
              <w:t>环保投资</w:t>
            </w:r>
          </w:p>
        </w:tc>
        <w:tc>
          <w:tcPr>
            <w:tcW w:w="4590" w:type="pct"/>
            <w:noWrap w:val="0"/>
            <w:vAlign w:val="center"/>
          </w:tcPr>
          <w:p>
            <w:pPr>
              <w:widowControl/>
              <w:adjustRightInd w:val="0"/>
              <w:snapToGrid w:val="0"/>
              <w:spacing w:line="360" w:lineRule="auto"/>
              <w:ind w:firstLine="480" w:firstLineChars="200"/>
              <w:jc w:val="left"/>
              <w:rPr>
                <w:rFonts w:hint="default" w:ascii="Times New Roman" w:hAnsi="Times New Roman" w:eastAsia="宋体" w:cs="Times New Roman"/>
                <w:bCs/>
                <w:color w:val="auto"/>
                <w:sz w:val="24"/>
              </w:rPr>
            </w:pPr>
            <w:r>
              <w:rPr>
                <w:rFonts w:hint="default" w:ascii="Times New Roman" w:hAnsi="Times New Roman" w:eastAsia="宋体" w:cs="Times New Roman"/>
                <w:bCs/>
                <w:color w:val="auto"/>
                <w:kern w:val="0"/>
                <w:sz w:val="24"/>
                <w:lang w:bidi="ar"/>
              </w:rPr>
              <w:t>本项目总投资</w:t>
            </w:r>
            <w:r>
              <w:rPr>
                <w:rFonts w:hint="default" w:ascii="Times New Roman" w:hAnsi="Times New Roman" w:eastAsia="宋体" w:cs="Times New Roman"/>
                <w:bCs/>
                <w:color w:val="auto"/>
                <w:kern w:val="0"/>
                <w:sz w:val="24"/>
                <w:lang w:val="en-US" w:eastAsia="zh-CN" w:bidi="ar"/>
              </w:rPr>
              <w:t>2229.38</w:t>
            </w:r>
            <w:r>
              <w:rPr>
                <w:rFonts w:hint="default" w:ascii="Times New Roman" w:hAnsi="Times New Roman" w:eastAsia="宋体" w:cs="Times New Roman"/>
                <w:bCs/>
                <w:color w:val="auto"/>
                <w:kern w:val="0"/>
                <w:sz w:val="24"/>
                <w:lang w:bidi="ar"/>
              </w:rPr>
              <w:t>万元，环保投资约</w:t>
            </w:r>
            <w:r>
              <w:rPr>
                <w:rFonts w:hint="eastAsia" w:cs="Times New Roman"/>
                <w:bCs/>
                <w:color w:val="auto"/>
                <w:kern w:val="0"/>
                <w:sz w:val="24"/>
                <w:lang w:val="en-US" w:eastAsia="zh-CN" w:bidi="ar"/>
              </w:rPr>
              <w:t>41.72</w:t>
            </w:r>
            <w:r>
              <w:rPr>
                <w:rFonts w:hint="default" w:ascii="Times New Roman" w:hAnsi="Times New Roman" w:eastAsia="宋体" w:cs="Times New Roman"/>
                <w:bCs/>
                <w:color w:val="auto"/>
                <w:kern w:val="0"/>
                <w:sz w:val="24"/>
                <w:lang w:bidi="ar"/>
              </w:rPr>
              <w:t>万元，占工程总投资的</w:t>
            </w:r>
            <w:r>
              <w:rPr>
                <w:rFonts w:hint="eastAsia" w:cs="Times New Roman"/>
                <w:bCs/>
                <w:color w:val="auto"/>
                <w:kern w:val="0"/>
                <w:sz w:val="24"/>
                <w:lang w:val="en-US" w:eastAsia="zh-CN" w:bidi="ar"/>
              </w:rPr>
              <w:t>1.87</w:t>
            </w:r>
            <w:r>
              <w:rPr>
                <w:rFonts w:hint="default" w:ascii="Times New Roman" w:hAnsi="Times New Roman" w:eastAsia="宋体" w:cs="Times New Roman"/>
                <w:bCs/>
                <w:color w:val="auto"/>
                <w:kern w:val="0"/>
                <w:sz w:val="24"/>
                <w:lang w:bidi="ar"/>
              </w:rPr>
              <w:t>%。项目环保投资见表</w:t>
            </w:r>
            <w:r>
              <w:rPr>
                <w:rFonts w:hint="default" w:ascii="Times New Roman" w:hAnsi="Times New Roman" w:eastAsia="宋体" w:cs="Times New Roman"/>
                <w:bCs/>
                <w:color w:val="auto"/>
                <w:kern w:val="0"/>
                <w:sz w:val="24"/>
                <w:lang w:val="en-US" w:eastAsia="zh-CN" w:bidi="ar"/>
              </w:rPr>
              <w:t>5</w:t>
            </w:r>
            <w:r>
              <w:rPr>
                <w:rFonts w:hint="default" w:ascii="Times New Roman" w:hAnsi="Times New Roman" w:eastAsia="宋体" w:cs="Times New Roman"/>
                <w:bCs/>
                <w:color w:val="auto"/>
                <w:kern w:val="0"/>
                <w:sz w:val="24"/>
                <w:lang w:bidi="ar"/>
              </w:rPr>
              <w:t>-</w:t>
            </w:r>
            <w:r>
              <w:rPr>
                <w:rFonts w:hint="default" w:ascii="Times New Roman" w:hAnsi="Times New Roman" w:eastAsia="宋体" w:cs="Times New Roman"/>
                <w:bCs/>
                <w:color w:val="auto"/>
                <w:kern w:val="0"/>
                <w:sz w:val="24"/>
                <w:lang w:val="en-US" w:eastAsia="zh-CN" w:bidi="ar"/>
              </w:rPr>
              <w:t>2</w:t>
            </w:r>
            <w:r>
              <w:rPr>
                <w:rFonts w:hint="default" w:ascii="Times New Roman" w:hAnsi="Times New Roman" w:eastAsia="宋体" w:cs="Times New Roman"/>
                <w:bCs/>
                <w:color w:val="auto"/>
                <w:kern w:val="0"/>
                <w:sz w:val="24"/>
                <w:lang w:bidi="ar"/>
              </w:rPr>
              <w:t>。</w:t>
            </w:r>
          </w:p>
          <w:p>
            <w:pPr>
              <w:widowControl/>
              <w:adjustRightInd w:val="0"/>
              <w:snapToGrid w:val="0"/>
              <w:spacing w:line="360" w:lineRule="auto"/>
              <w:jc w:val="center"/>
              <w:rPr>
                <w:rFonts w:hint="default" w:ascii="Times New Roman" w:hAnsi="Times New Roman" w:eastAsia="宋体" w:cs="Times New Roman"/>
                <w:b/>
                <w:bCs w:val="0"/>
                <w:color w:val="auto"/>
                <w:kern w:val="0"/>
                <w:szCs w:val="21"/>
                <w:lang w:bidi="ar"/>
              </w:rPr>
            </w:pPr>
            <w:r>
              <w:rPr>
                <w:rFonts w:hint="default" w:ascii="Times New Roman" w:hAnsi="Times New Roman" w:eastAsia="宋体" w:cs="Times New Roman"/>
                <w:b/>
                <w:bCs w:val="0"/>
                <w:color w:val="auto"/>
                <w:kern w:val="0"/>
                <w:szCs w:val="21"/>
                <w:lang w:bidi="ar"/>
              </w:rPr>
              <w:t>表</w:t>
            </w:r>
            <w:r>
              <w:rPr>
                <w:rFonts w:hint="default" w:ascii="Times New Roman" w:hAnsi="Times New Roman" w:eastAsia="宋体" w:cs="Times New Roman"/>
                <w:b/>
                <w:bCs w:val="0"/>
                <w:color w:val="auto"/>
                <w:kern w:val="0"/>
                <w:szCs w:val="21"/>
                <w:lang w:val="en-US" w:eastAsia="zh-CN" w:bidi="ar"/>
              </w:rPr>
              <w:t>5</w:t>
            </w:r>
            <w:r>
              <w:rPr>
                <w:rFonts w:hint="default" w:ascii="Times New Roman" w:hAnsi="Times New Roman" w:eastAsia="宋体" w:cs="Times New Roman"/>
                <w:b/>
                <w:bCs w:val="0"/>
                <w:color w:val="auto"/>
                <w:kern w:val="0"/>
                <w:szCs w:val="21"/>
                <w:lang w:bidi="ar"/>
              </w:rPr>
              <w:t>-</w:t>
            </w:r>
            <w:r>
              <w:rPr>
                <w:rFonts w:hint="default" w:ascii="Times New Roman" w:hAnsi="Times New Roman" w:eastAsia="宋体" w:cs="Times New Roman"/>
                <w:b/>
                <w:bCs w:val="0"/>
                <w:color w:val="auto"/>
                <w:kern w:val="0"/>
                <w:szCs w:val="21"/>
                <w:lang w:val="en-US" w:eastAsia="zh-CN" w:bidi="ar"/>
              </w:rPr>
              <w:t>2</w:t>
            </w:r>
            <w:r>
              <w:rPr>
                <w:rFonts w:hint="default" w:ascii="Times New Roman" w:hAnsi="Times New Roman" w:eastAsia="宋体" w:cs="Times New Roman"/>
                <w:b/>
                <w:bCs w:val="0"/>
                <w:color w:val="auto"/>
                <w:kern w:val="0"/>
                <w:szCs w:val="21"/>
                <w:lang w:bidi="ar"/>
              </w:rPr>
              <w:t xml:space="preserve">  环保措施（设施）及投资一览表</w:t>
            </w:r>
          </w:p>
          <w:tbl>
            <w:tblPr>
              <w:tblStyle w:val="4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645"/>
              <w:gridCol w:w="1434"/>
              <w:gridCol w:w="4882"/>
              <w:gridCol w:w="1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564" w:type="pct"/>
                  <w:gridSpan w:val="2"/>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b/>
                      <w:color w:val="auto"/>
                      <w:kern w:val="0"/>
                      <w:szCs w:val="21"/>
                      <w:lang w:bidi="ar"/>
                    </w:rPr>
                    <w:t>项目</w:t>
                  </w:r>
                </w:p>
              </w:tc>
              <w:tc>
                <w:tcPr>
                  <w:tcW w:w="866"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b/>
                      <w:color w:val="auto"/>
                      <w:kern w:val="0"/>
                      <w:szCs w:val="21"/>
                      <w:lang w:bidi="ar"/>
                    </w:rPr>
                    <w:t>治理对象</w:t>
                  </w:r>
                </w:p>
              </w:tc>
              <w:tc>
                <w:tcPr>
                  <w:tcW w:w="2883"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b/>
                      <w:color w:val="auto"/>
                      <w:kern w:val="0"/>
                      <w:szCs w:val="21"/>
                      <w:lang w:bidi="ar"/>
                    </w:rPr>
                    <w:t>治理措施</w:t>
                  </w:r>
                </w:p>
              </w:tc>
              <w:tc>
                <w:tcPr>
                  <w:tcW w:w="686" w:type="pct"/>
                  <w:noWrap w:val="0"/>
                  <w:vAlign w:val="top"/>
                </w:tcPr>
                <w:p>
                  <w:pPr>
                    <w:widowControl/>
                    <w:jc w:val="center"/>
                    <w:rPr>
                      <w:rFonts w:hint="default" w:ascii="Times New Roman" w:hAnsi="Times New Roman" w:eastAsia="宋体" w:cs="Times New Roman"/>
                      <w:color w:val="auto"/>
                      <w:szCs w:val="21"/>
                    </w:rPr>
                  </w:pPr>
                  <w:r>
                    <w:rPr>
                      <w:rFonts w:hint="default" w:ascii="Times New Roman" w:hAnsi="Times New Roman" w:eastAsia="宋体" w:cs="Times New Roman"/>
                      <w:b/>
                      <w:color w:val="auto"/>
                      <w:kern w:val="0"/>
                      <w:szCs w:val="21"/>
                      <w:lang w:bidi="ar"/>
                    </w:rPr>
                    <w:t>投资金额</w:t>
                  </w:r>
                </w:p>
                <w:p>
                  <w:pPr>
                    <w:jc w:val="center"/>
                    <w:rPr>
                      <w:rFonts w:hint="default" w:ascii="Times New Roman" w:hAnsi="Times New Roman" w:eastAsia="宋体" w:cs="Times New Roman"/>
                      <w:color w:val="auto"/>
                      <w:szCs w:val="21"/>
                    </w:rPr>
                  </w:pPr>
                  <w:r>
                    <w:rPr>
                      <w:rFonts w:hint="default" w:ascii="Times New Roman" w:hAnsi="Times New Roman" w:eastAsia="宋体" w:cs="Times New Roman"/>
                      <w:b/>
                      <w:color w:val="auto"/>
                      <w:kern w:val="0"/>
                      <w:szCs w:val="21"/>
                      <w:lang w:bidi="ar"/>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60" w:type="pct"/>
                  <w:vMerge w:val="restar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施工期</w:t>
                  </w:r>
                </w:p>
              </w:tc>
              <w:tc>
                <w:tcPr>
                  <w:tcW w:w="403" w:type="pct"/>
                  <w:vMerge w:val="restar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废气</w:t>
                  </w:r>
                </w:p>
              </w:tc>
              <w:tc>
                <w:tcPr>
                  <w:tcW w:w="866"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施工扬尘</w:t>
                  </w:r>
                </w:p>
              </w:tc>
              <w:tc>
                <w:tcPr>
                  <w:tcW w:w="2883"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rPr>
                    <w:t>洒水</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喷雾</w:t>
                  </w:r>
                  <w:r>
                    <w:rPr>
                      <w:rFonts w:hint="default" w:ascii="Times New Roman" w:hAnsi="Times New Roman" w:eastAsia="宋体" w:cs="Times New Roman"/>
                      <w:color w:val="auto"/>
                      <w:sz w:val="21"/>
                      <w:szCs w:val="21"/>
                    </w:rPr>
                    <w:t>降尘</w:t>
                  </w:r>
                  <w:r>
                    <w:rPr>
                      <w:rFonts w:hint="eastAsia" w:ascii="Times New Roman" w:hAnsi="Times New Roman" w:cs="Times New Roman"/>
                      <w:color w:val="auto"/>
                      <w:sz w:val="21"/>
                      <w:szCs w:val="21"/>
                      <w:lang w:val="en-US" w:eastAsia="zh-CN"/>
                    </w:rPr>
                    <w:t>设施</w:t>
                  </w:r>
                  <w:r>
                    <w:rPr>
                      <w:rFonts w:hint="default" w:ascii="Times New Roman" w:hAnsi="Times New Roman" w:eastAsia="宋体" w:cs="Times New Roman"/>
                      <w:color w:val="auto"/>
                      <w:sz w:val="21"/>
                      <w:szCs w:val="21"/>
                    </w:rPr>
                    <w:t>；及时清扫路面尘土</w:t>
                  </w:r>
                </w:p>
              </w:tc>
              <w:tc>
                <w:tcPr>
                  <w:tcW w:w="686" w:type="pct"/>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60" w:type="pct"/>
                  <w:vMerge w:val="continue"/>
                  <w:noWrap w:val="0"/>
                  <w:vAlign w:val="center"/>
                </w:tcPr>
                <w:p>
                  <w:pPr>
                    <w:adjustRightInd w:val="0"/>
                    <w:snapToGrid w:val="0"/>
                    <w:jc w:val="center"/>
                    <w:rPr>
                      <w:rFonts w:hint="default" w:ascii="Times New Roman" w:hAnsi="Times New Roman" w:eastAsia="宋体" w:cs="Times New Roman"/>
                      <w:color w:val="auto"/>
                      <w:szCs w:val="21"/>
                    </w:rPr>
                  </w:pPr>
                </w:p>
              </w:tc>
              <w:tc>
                <w:tcPr>
                  <w:tcW w:w="403" w:type="pct"/>
                  <w:vMerge w:val="continue"/>
                  <w:noWrap w:val="0"/>
                  <w:vAlign w:val="center"/>
                </w:tcPr>
                <w:p>
                  <w:pPr>
                    <w:adjustRightInd w:val="0"/>
                    <w:snapToGrid w:val="0"/>
                    <w:jc w:val="center"/>
                    <w:rPr>
                      <w:rFonts w:hint="default" w:ascii="Times New Roman" w:hAnsi="Times New Roman" w:eastAsia="宋体" w:cs="Times New Roman"/>
                      <w:color w:val="auto"/>
                      <w:szCs w:val="21"/>
                    </w:rPr>
                  </w:pPr>
                </w:p>
              </w:tc>
              <w:tc>
                <w:tcPr>
                  <w:tcW w:w="866"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土石方开挖扬尘</w:t>
                  </w:r>
                </w:p>
              </w:tc>
              <w:tc>
                <w:tcPr>
                  <w:tcW w:w="2883"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移动喷水管，边开挖边洒水降尘；开挖裸露面及临时堆土遮盖防尘网</w:t>
                  </w:r>
                </w:p>
              </w:tc>
              <w:tc>
                <w:tcPr>
                  <w:tcW w:w="686" w:type="pct"/>
                  <w:noWrap w:val="0"/>
                  <w:vAlign w:val="center"/>
                </w:tcPr>
                <w:p>
                  <w:pPr>
                    <w:jc w:val="center"/>
                    <w:rPr>
                      <w:rFonts w:hint="default" w:ascii="Times New Roman" w:hAnsi="Times New Roman" w:eastAsia="宋体" w:cs="Times New Roman"/>
                      <w:color w:val="auto"/>
                      <w:szCs w:val="21"/>
                      <w:lang w:val="en-US"/>
                    </w:rPr>
                  </w:pPr>
                  <w:r>
                    <w:rPr>
                      <w:rFonts w:hint="eastAsia" w:cs="Times New Roman"/>
                      <w:color w:val="auto"/>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60" w:type="pct"/>
                  <w:vMerge w:val="continue"/>
                  <w:noWrap w:val="0"/>
                  <w:vAlign w:val="center"/>
                </w:tcPr>
                <w:p>
                  <w:pPr>
                    <w:adjustRightInd w:val="0"/>
                    <w:snapToGrid w:val="0"/>
                    <w:jc w:val="center"/>
                    <w:rPr>
                      <w:rFonts w:hint="default" w:ascii="Times New Roman" w:hAnsi="Times New Roman" w:eastAsia="宋体" w:cs="Times New Roman"/>
                      <w:color w:val="auto"/>
                      <w:szCs w:val="21"/>
                    </w:rPr>
                  </w:pPr>
                </w:p>
              </w:tc>
              <w:tc>
                <w:tcPr>
                  <w:tcW w:w="403" w:type="pct"/>
                  <w:vMerge w:val="restar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废水</w:t>
                  </w:r>
                </w:p>
              </w:tc>
              <w:tc>
                <w:tcPr>
                  <w:tcW w:w="866" w:type="pct"/>
                  <w:vMerge w:val="restar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施工废水</w:t>
                  </w:r>
                </w:p>
              </w:tc>
              <w:tc>
                <w:tcPr>
                  <w:tcW w:w="2883" w:type="pct"/>
                  <w:noWrap w:val="0"/>
                  <w:vAlign w:val="center"/>
                </w:tcPr>
                <w:p>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项目</w:t>
                  </w:r>
                  <w:r>
                    <w:rPr>
                      <w:rFonts w:hint="default" w:ascii="Times New Roman" w:hAnsi="Times New Roman" w:cs="Times New Roman"/>
                      <w:color w:val="auto"/>
                      <w:szCs w:val="21"/>
                      <w:lang w:val="en-US" w:eastAsia="zh-CN"/>
                    </w:rPr>
                    <w:t>每个</w:t>
                  </w:r>
                  <w:r>
                    <w:rPr>
                      <w:rFonts w:hint="default" w:ascii="Times New Roman" w:hAnsi="Times New Roman" w:cs="Times New Roman"/>
                      <w:color w:val="auto"/>
                      <w:szCs w:val="21"/>
                    </w:rPr>
                    <w:t>施工生产区车辆冲洗平台附近修建1座沉淀池（沉淀池容积不小于</w:t>
                  </w:r>
                  <w:r>
                    <w:rPr>
                      <w:rFonts w:hint="eastAsia" w:cs="Times New Roman"/>
                      <w:color w:val="auto"/>
                      <w:szCs w:val="21"/>
                      <w:lang w:val="en-US" w:eastAsia="zh-CN"/>
                    </w:rPr>
                    <w:t>4</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），共</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座，车辆冲洗废水经沉淀池处理后用于洒水降尘。</w:t>
                  </w:r>
                  <w:r>
                    <w:rPr>
                      <w:rFonts w:hint="default" w:ascii="Times New Roman" w:hAnsi="Times New Roman" w:cs="Times New Roman"/>
                      <w:color w:val="auto"/>
                    </w:rPr>
                    <w:t>混凝土</w:t>
                  </w:r>
                  <w:r>
                    <w:rPr>
                      <w:rFonts w:hint="eastAsia" w:cs="Times New Roman"/>
                      <w:color w:val="auto"/>
                      <w:lang w:eastAsia="zh-CN"/>
                    </w:rPr>
                    <w:t>拌合</w:t>
                  </w:r>
                  <w:r>
                    <w:rPr>
                      <w:rFonts w:hint="default" w:ascii="Times New Roman" w:hAnsi="Times New Roman" w:cs="Times New Roman"/>
                      <w:color w:val="auto"/>
                    </w:rPr>
                    <w:t>系统设置一个沉淀池</w:t>
                  </w:r>
                  <w:r>
                    <w:rPr>
                      <w:rFonts w:hint="default" w:ascii="Times New Roman" w:hAnsi="Times New Roman" w:cs="Times New Roman"/>
                      <w:color w:val="auto"/>
                      <w:szCs w:val="21"/>
                    </w:rPr>
                    <w:t>（</w:t>
                  </w:r>
                  <w:r>
                    <w:rPr>
                      <w:rFonts w:hint="eastAsia" w:cs="Times New Roman"/>
                      <w:color w:val="auto"/>
                      <w:szCs w:val="21"/>
                      <w:lang w:val="en-US" w:eastAsia="zh-CN"/>
                    </w:rPr>
                    <w:t>3</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vertAlign w:val="baseline"/>
                      <w:lang w:eastAsia="zh-CN"/>
                    </w:rPr>
                    <w:t>，</w:t>
                  </w:r>
                  <w:r>
                    <w:rPr>
                      <w:rFonts w:hint="default" w:ascii="Times New Roman" w:hAnsi="Times New Roman" w:cs="Times New Roman"/>
                      <w:color w:val="auto"/>
                      <w:szCs w:val="21"/>
                      <w:vertAlign w:val="baseline"/>
                      <w:lang w:val="en-US" w:eastAsia="zh-CN"/>
                    </w:rPr>
                    <w:t>共2个</w:t>
                  </w:r>
                  <w:r>
                    <w:rPr>
                      <w:rFonts w:hint="default" w:ascii="Times New Roman" w:hAnsi="Times New Roman" w:cs="Times New Roman"/>
                      <w:color w:val="auto"/>
                      <w:szCs w:val="21"/>
                    </w:rPr>
                    <w:t>）</w:t>
                  </w:r>
                  <w:r>
                    <w:rPr>
                      <w:rFonts w:hint="default" w:ascii="Times New Roman" w:hAnsi="Times New Roman" w:cs="Times New Roman"/>
                      <w:color w:val="auto"/>
                    </w:rPr>
                    <w:t>，每天产生的</w:t>
                  </w:r>
                  <w:r>
                    <w:rPr>
                      <w:rFonts w:hint="eastAsia" w:cs="Times New Roman"/>
                      <w:color w:val="auto"/>
                      <w:lang w:eastAsia="zh-CN"/>
                    </w:rPr>
                    <w:t>拌合</w:t>
                  </w:r>
                  <w:r>
                    <w:rPr>
                      <w:rFonts w:hint="default" w:ascii="Times New Roman" w:hAnsi="Times New Roman" w:cs="Times New Roman"/>
                      <w:color w:val="auto"/>
                    </w:rPr>
                    <w:t>机清洗废水经沉淀池沉淀后回用</w:t>
                  </w:r>
                  <w:r>
                    <w:rPr>
                      <w:rFonts w:hint="default" w:ascii="Times New Roman" w:hAnsi="Times New Roman" w:eastAsia="宋体" w:cs="Times New Roman"/>
                      <w:color w:val="auto"/>
                      <w:szCs w:val="21"/>
                      <w:lang w:eastAsia="zh-CN"/>
                    </w:rPr>
                    <w:t>。</w:t>
                  </w:r>
                </w:p>
              </w:tc>
              <w:tc>
                <w:tcPr>
                  <w:tcW w:w="686" w:type="pct"/>
                  <w:noWrap w:val="0"/>
                  <w:vAlign w:val="center"/>
                </w:tcPr>
                <w:p>
                  <w:pPr>
                    <w:jc w:val="center"/>
                    <w:rPr>
                      <w:rFonts w:hint="default" w:ascii="Times New Roman" w:hAnsi="Times New Roman" w:eastAsia="宋体" w:cs="Times New Roman"/>
                      <w:color w:val="auto"/>
                      <w:szCs w:val="21"/>
                      <w:lang w:val="en-US"/>
                    </w:rPr>
                  </w:pPr>
                  <w:r>
                    <w:rPr>
                      <w:rFonts w:hint="eastAsia" w:cs="Times New Roman"/>
                      <w:color w:val="auto"/>
                      <w:szCs w:val="21"/>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60" w:type="pct"/>
                  <w:vMerge w:val="continue"/>
                  <w:noWrap w:val="0"/>
                  <w:vAlign w:val="center"/>
                </w:tcPr>
                <w:p>
                  <w:pPr>
                    <w:jc w:val="center"/>
                    <w:rPr>
                      <w:rFonts w:hint="default" w:ascii="Times New Roman" w:hAnsi="Times New Roman" w:eastAsia="宋体" w:cs="Times New Roman"/>
                      <w:color w:val="auto"/>
                      <w:szCs w:val="21"/>
                      <w:lang w:val="en-US" w:eastAsia="zh-CN"/>
                    </w:rPr>
                  </w:pPr>
                </w:p>
              </w:tc>
              <w:tc>
                <w:tcPr>
                  <w:tcW w:w="403" w:type="pct"/>
                  <w:vMerge w:val="continue"/>
                  <w:noWrap w:val="0"/>
                  <w:vAlign w:val="center"/>
                </w:tcPr>
                <w:p>
                  <w:pPr>
                    <w:jc w:val="center"/>
                    <w:rPr>
                      <w:rFonts w:hint="default" w:ascii="Times New Roman" w:hAnsi="Times New Roman" w:eastAsia="宋体" w:cs="Times New Roman"/>
                      <w:color w:val="auto"/>
                      <w:szCs w:val="21"/>
                      <w:lang w:val="en-US" w:eastAsia="zh-CN"/>
                    </w:rPr>
                  </w:pPr>
                </w:p>
              </w:tc>
              <w:tc>
                <w:tcPr>
                  <w:tcW w:w="866" w:type="pct"/>
                  <w:vMerge w:val="continue"/>
                  <w:noWrap w:val="0"/>
                  <w:vAlign w:val="center"/>
                </w:tcPr>
                <w:p>
                  <w:pPr>
                    <w:jc w:val="center"/>
                    <w:rPr>
                      <w:rFonts w:hint="default" w:ascii="Times New Roman" w:hAnsi="Times New Roman" w:eastAsia="宋体" w:cs="Times New Roman"/>
                      <w:color w:val="auto"/>
                      <w:szCs w:val="21"/>
                      <w:lang w:val="en-US" w:eastAsia="zh-CN"/>
                    </w:rPr>
                  </w:pPr>
                </w:p>
              </w:tc>
              <w:tc>
                <w:tcPr>
                  <w:tcW w:w="2883" w:type="pct"/>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kern w:val="0"/>
                      <w:sz w:val="21"/>
                      <w:szCs w:val="21"/>
                      <w:lang w:val="en-US" w:eastAsia="zh-CN" w:bidi="ar"/>
                    </w:rPr>
                    <w:t>基坑废水：</w:t>
                  </w:r>
                  <w:r>
                    <w:rPr>
                      <w:rFonts w:hint="default" w:ascii="Times New Roman" w:hAnsi="Times New Roman" w:eastAsia="宋体" w:cs="Times New Roman"/>
                      <w:color w:val="auto"/>
                      <w:sz w:val="21"/>
                      <w:szCs w:val="21"/>
                      <w:highlight w:val="none"/>
                      <w:lang w:val="en-US" w:eastAsia="zh-CN"/>
                    </w:rPr>
                    <w:t>坑集水采用常规的排水沟、集水井和水泵抽排方式进行处理。开挖过程中，结合开挖在基坑靠河一侧布置排水沟</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0.6m×0.5m</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，随着开挖工作的进行，逐层布置，排水沟以2--3‰的底坡通向集水井，集水井在每段围堰的末端进行布置，在集水井处布置水泵将集水抽出排到河流内。</w:t>
                  </w:r>
                </w:p>
              </w:tc>
              <w:tc>
                <w:tcPr>
                  <w:tcW w:w="686" w:type="pct"/>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60" w:type="pct"/>
                  <w:vMerge w:val="continue"/>
                  <w:noWrap w:val="0"/>
                  <w:vAlign w:val="center"/>
                </w:tcPr>
                <w:p>
                  <w:pPr>
                    <w:adjustRightInd w:val="0"/>
                    <w:snapToGrid w:val="0"/>
                    <w:jc w:val="center"/>
                    <w:rPr>
                      <w:rFonts w:hint="default" w:ascii="Times New Roman" w:hAnsi="Times New Roman" w:eastAsia="宋体" w:cs="Times New Roman"/>
                      <w:color w:val="auto"/>
                      <w:szCs w:val="21"/>
                    </w:rPr>
                  </w:pPr>
                </w:p>
              </w:tc>
              <w:tc>
                <w:tcPr>
                  <w:tcW w:w="403" w:type="pct"/>
                  <w:vMerge w:val="continue"/>
                  <w:noWrap w:val="0"/>
                  <w:vAlign w:val="center"/>
                </w:tcPr>
                <w:p>
                  <w:pPr>
                    <w:adjustRightInd w:val="0"/>
                    <w:snapToGrid w:val="0"/>
                    <w:jc w:val="center"/>
                    <w:rPr>
                      <w:rFonts w:hint="default" w:ascii="Times New Roman" w:hAnsi="Times New Roman" w:eastAsia="宋体" w:cs="Times New Roman"/>
                      <w:color w:val="auto"/>
                      <w:szCs w:val="21"/>
                    </w:rPr>
                  </w:pPr>
                </w:p>
              </w:tc>
              <w:tc>
                <w:tcPr>
                  <w:tcW w:w="866"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生活污水</w:t>
                  </w:r>
                </w:p>
              </w:tc>
              <w:tc>
                <w:tcPr>
                  <w:tcW w:w="2883" w:type="pct"/>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生活污水经</w:t>
                  </w:r>
                  <w:r>
                    <w:rPr>
                      <w:rFonts w:hint="eastAsia" w:cs="Times New Roman"/>
                      <w:color w:val="auto"/>
                      <w:szCs w:val="21"/>
                      <w:lang w:val="en-US" w:eastAsia="zh-CN"/>
                    </w:rPr>
                    <w:t>旱厕（2个）</w:t>
                  </w:r>
                  <w:r>
                    <w:rPr>
                      <w:rFonts w:hint="default" w:ascii="Times New Roman" w:hAnsi="Times New Roman" w:eastAsia="宋体" w:cs="Times New Roman"/>
                      <w:color w:val="auto"/>
                      <w:szCs w:val="21"/>
                    </w:rPr>
                    <w:t>处理后</w:t>
                  </w:r>
                  <w:r>
                    <w:rPr>
                      <w:rFonts w:hint="default" w:ascii="Times New Roman" w:hAnsi="Times New Roman" w:eastAsia="宋体" w:cs="Times New Roman"/>
                      <w:color w:val="auto"/>
                      <w:szCs w:val="21"/>
                      <w:lang w:val="en-US" w:eastAsia="zh-CN"/>
                    </w:rPr>
                    <w:t>用于施肥</w:t>
                  </w:r>
                  <w:r>
                    <w:rPr>
                      <w:rFonts w:hint="eastAsia" w:cs="Times New Roman"/>
                      <w:color w:val="auto"/>
                      <w:szCs w:val="21"/>
                      <w:lang w:val="en-US" w:eastAsia="zh-CN"/>
                    </w:rPr>
                    <w:t>。</w:t>
                  </w:r>
                  <w:r>
                    <w:rPr>
                      <w:rFonts w:hint="eastAsia" w:cs="Times New Roman"/>
                      <w:color w:val="auto"/>
                      <w:sz w:val="21"/>
                      <w:szCs w:val="21"/>
                      <w:highlight w:val="none"/>
                      <w:lang w:eastAsia="zh-CN"/>
                    </w:rPr>
                    <w:t>生产生活工区设2处简易防渗旱厕，</w:t>
                  </w:r>
                  <w:r>
                    <w:rPr>
                      <w:rFonts w:hint="eastAsia" w:cs="Times New Roman"/>
                      <w:color w:val="auto"/>
                      <w:sz w:val="21"/>
                      <w:szCs w:val="21"/>
                      <w:highlight w:val="none"/>
                      <w:lang w:val="en-US" w:eastAsia="zh-CN"/>
                    </w:rPr>
                    <w:t>经处理后用于周边土地施肥，</w:t>
                  </w:r>
                  <w:r>
                    <w:rPr>
                      <w:rFonts w:hint="eastAsia" w:cs="Times New Roman"/>
                      <w:color w:val="auto"/>
                      <w:sz w:val="21"/>
                      <w:szCs w:val="21"/>
                      <w:highlight w:val="none"/>
                      <w:lang w:eastAsia="zh-CN"/>
                    </w:rPr>
                    <w:t>待施工完毕将其拆除，洒上生石灰后作卫生填埋处理，视其情况填埋后可种上植被</w:t>
                  </w:r>
                </w:p>
              </w:tc>
              <w:tc>
                <w:tcPr>
                  <w:tcW w:w="686" w:type="pct"/>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60" w:type="pct"/>
                  <w:vMerge w:val="continue"/>
                  <w:noWrap w:val="0"/>
                  <w:vAlign w:val="center"/>
                </w:tcPr>
                <w:p>
                  <w:pPr>
                    <w:adjustRightInd w:val="0"/>
                    <w:snapToGrid w:val="0"/>
                    <w:jc w:val="center"/>
                    <w:rPr>
                      <w:rFonts w:hint="default" w:ascii="Times New Roman" w:hAnsi="Times New Roman" w:eastAsia="宋体" w:cs="Times New Roman"/>
                      <w:color w:val="auto"/>
                      <w:szCs w:val="21"/>
                    </w:rPr>
                  </w:pPr>
                </w:p>
              </w:tc>
              <w:tc>
                <w:tcPr>
                  <w:tcW w:w="403"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噪声</w:t>
                  </w:r>
                </w:p>
              </w:tc>
              <w:tc>
                <w:tcPr>
                  <w:tcW w:w="866"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机械噪声</w:t>
                  </w:r>
                </w:p>
              </w:tc>
              <w:tc>
                <w:tcPr>
                  <w:tcW w:w="2883"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选低噪声设备</w:t>
                  </w:r>
                  <w:r>
                    <w:rPr>
                      <w:rFonts w:hint="eastAsia" w:cs="Times New Roman"/>
                      <w:color w:val="auto"/>
                      <w:szCs w:val="21"/>
                      <w:lang w:eastAsia="zh-CN"/>
                    </w:rPr>
                    <w:t>，</w:t>
                  </w:r>
                  <w:r>
                    <w:rPr>
                      <w:rFonts w:hint="eastAsia" w:cs="Times New Roman"/>
                      <w:color w:val="auto"/>
                      <w:szCs w:val="21"/>
                      <w:lang w:val="en-US" w:eastAsia="zh-CN"/>
                    </w:rPr>
                    <w:t>合理布设设备位置</w:t>
                  </w:r>
                  <w:r>
                    <w:rPr>
                      <w:rFonts w:hint="eastAsia" w:cs="Times New Roman"/>
                      <w:color w:val="auto"/>
                      <w:szCs w:val="21"/>
                      <w:lang w:eastAsia="zh-CN"/>
                    </w:rPr>
                    <w:t>；</w:t>
                  </w:r>
                  <w:r>
                    <w:rPr>
                      <w:rFonts w:hint="default" w:ascii="Times New Roman" w:hAnsi="Times New Roman" w:eastAsia="宋体" w:cs="Times New Roman"/>
                      <w:color w:val="auto"/>
                      <w:szCs w:val="21"/>
                    </w:rPr>
                    <w:t>施工场地设置围栏；严格控制施工作业时间；加强车辆管理，控制场区车辆车速</w:t>
                  </w:r>
                </w:p>
              </w:tc>
              <w:tc>
                <w:tcPr>
                  <w:tcW w:w="686" w:type="pct"/>
                  <w:noWrap w:val="0"/>
                  <w:vAlign w:val="center"/>
                </w:tcPr>
                <w:p>
                  <w:pPr>
                    <w:jc w:val="center"/>
                    <w:rPr>
                      <w:rFonts w:hint="default" w:ascii="Times New Roman" w:hAnsi="Times New Roman" w:eastAsia="宋体" w:cs="Times New Roman"/>
                      <w:color w:val="auto"/>
                      <w:szCs w:val="21"/>
                      <w:lang w:val="en-US"/>
                    </w:rPr>
                  </w:pPr>
                  <w:r>
                    <w:rPr>
                      <w:rFonts w:hint="eastAsia" w:cs="Times New Roman"/>
                      <w:color w:val="auto"/>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60" w:type="pct"/>
                  <w:vMerge w:val="continue"/>
                  <w:noWrap w:val="0"/>
                  <w:vAlign w:val="center"/>
                </w:tcPr>
                <w:p>
                  <w:pPr>
                    <w:adjustRightInd w:val="0"/>
                    <w:snapToGrid w:val="0"/>
                    <w:jc w:val="center"/>
                    <w:rPr>
                      <w:rFonts w:hint="default" w:ascii="Times New Roman" w:hAnsi="Times New Roman" w:eastAsia="宋体" w:cs="Times New Roman"/>
                      <w:color w:val="auto"/>
                      <w:szCs w:val="21"/>
                    </w:rPr>
                  </w:pPr>
                </w:p>
              </w:tc>
              <w:tc>
                <w:tcPr>
                  <w:tcW w:w="403" w:type="pct"/>
                  <w:vMerge w:val="restar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固废</w:t>
                  </w:r>
                </w:p>
              </w:tc>
              <w:tc>
                <w:tcPr>
                  <w:tcW w:w="866"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弃渣</w:t>
                  </w:r>
                </w:p>
              </w:tc>
              <w:tc>
                <w:tcPr>
                  <w:tcW w:w="2883" w:type="pct"/>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 w:val="21"/>
                      <w:szCs w:val="21"/>
                      <w:highlight w:val="none"/>
                      <w:lang w:val="en-US" w:eastAsia="zh-CN"/>
                    </w:rPr>
                    <w:t>施工过程中产生的渣土须由相应运输企业资质，运营手续合法、齐全的公司承担，保证将弃土运至政府部门指定的弃土场</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沉淀池中的底泥</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弃渣回填</w:t>
                  </w:r>
                  <w:r>
                    <w:rPr>
                      <w:rFonts w:hint="eastAsia" w:cs="Times New Roman"/>
                      <w:color w:val="auto"/>
                      <w:sz w:val="21"/>
                      <w:szCs w:val="21"/>
                      <w:highlight w:val="none"/>
                      <w:lang w:val="en-US" w:eastAsia="zh-CN"/>
                    </w:rPr>
                    <w:t>，不能完全利用的运至指定渣场堆放，用于堤后回填、绿化，对弃渣堆放区设置截排水沟（195m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）+临时挡土墙（480m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）+沉砂池（2个）+彩条布（3600m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）临时措施；</w:t>
                  </w:r>
                  <w:r>
                    <w:rPr>
                      <w:rFonts w:hint="default" w:ascii="Times New Roman" w:hAnsi="Times New Roman" w:eastAsia="宋体" w:cs="Times New Roman"/>
                      <w:color w:val="auto"/>
                      <w:sz w:val="21"/>
                      <w:szCs w:val="21"/>
                      <w:highlight w:val="none"/>
                      <w:lang w:eastAsia="zh-CN"/>
                    </w:rPr>
                    <w:t>建筑垃圾回收利用，不能回收的运至市政指定建筑垃圾堆场；</w:t>
                  </w:r>
                  <w:r>
                    <w:rPr>
                      <w:rFonts w:hint="default" w:ascii="Times New Roman" w:hAnsi="Times New Roman" w:eastAsia="宋体" w:cs="Times New Roman"/>
                      <w:color w:val="auto"/>
                      <w:sz w:val="21"/>
                      <w:szCs w:val="21"/>
                      <w:highlight w:val="none"/>
                      <w:lang w:val="en-US" w:eastAsia="zh-CN"/>
                    </w:rPr>
                    <w:t>生活垃圾</w:t>
                  </w:r>
                  <w:r>
                    <w:rPr>
                      <w:rFonts w:hint="default" w:ascii="Times New Roman" w:hAnsi="Times New Roman" w:eastAsia="宋体" w:cs="Times New Roman"/>
                      <w:color w:val="auto"/>
                      <w:sz w:val="21"/>
                      <w:szCs w:val="21"/>
                      <w:highlight w:val="none"/>
                    </w:rPr>
                    <w:t>收集</w:t>
                  </w:r>
                  <w:r>
                    <w:rPr>
                      <w:rFonts w:hint="eastAsia" w:cs="Times New Roman"/>
                      <w:color w:val="auto"/>
                      <w:sz w:val="21"/>
                      <w:szCs w:val="21"/>
                      <w:highlight w:val="none"/>
                      <w:lang w:val="en-US" w:eastAsia="zh-CN"/>
                    </w:rPr>
                    <w:t>垃圾桶（3个）</w:t>
                  </w:r>
                  <w:r>
                    <w:rPr>
                      <w:rFonts w:hint="default" w:ascii="Times New Roman" w:hAnsi="Times New Roman" w:eastAsia="宋体" w:cs="Times New Roman"/>
                      <w:color w:val="auto"/>
                      <w:sz w:val="21"/>
                      <w:szCs w:val="21"/>
                      <w:highlight w:val="none"/>
                    </w:rPr>
                    <w:t>后由</w:t>
                  </w:r>
                  <w:r>
                    <w:rPr>
                      <w:rFonts w:hint="eastAsia" w:cs="Times New Roman"/>
                      <w:color w:val="auto"/>
                      <w:sz w:val="21"/>
                      <w:szCs w:val="21"/>
                      <w:highlight w:val="none"/>
                      <w:lang w:val="en-US" w:eastAsia="zh-CN"/>
                    </w:rPr>
                    <w:t>当地</w:t>
                  </w:r>
                  <w:r>
                    <w:rPr>
                      <w:rFonts w:hint="default" w:ascii="Times New Roman" w:hAnsi="Times New Roman" w:eastAsia="宋体" w:cs="Times New Roman"/>
                      <w:color w:val="auto"/>
                      <w:sz w:val="21"/>
                      <w:szCs w:val="21"/>
                      <w:highlight w:val="none"/>
                    </w:rPr>
                    <w:t>环卫部门统一清运</w:t>
                  </w:r>
                </w:p>
              </w:tc>
              <w:tc>
                <w:tcPr>
                  <w:tcW w:w="686" w:type="pct"/>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w:t>
                  </w:r>
                  <w:r>
                    <w:rPr>
                      <w:rFonts w:hint="default" w:ascii="Times New Roman" w:hAnsi="Times New Roman" w:eastAsia="宋体" w:cs="Times New Roman"/>
                      <w:color w:val="auto"/>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60" w:type="pct"/>
                  <w:vMerge w:val="continue"/>
                  <w:noWrap w:val="0"/>
                  <w:vAlign w:val="center"/>
                </w:tcPr>
                <w:p>
                  <w:pPr>
                    <w:adjustRightInd w:val="0"/>
                    <w:snapToGrid w:val="0"/>
                    <w:jc w:val="center"/>
                    <w:rPr>
                      <w:rFonts w:hint="default" w:ascii="Times New Roman" w:hAnsi="Times New Roman" w:eastAsia="宋体" w:cs="Times New Roman"/>
                      <w:color w:val="auto"/>
                      <w:szCs w:val="21"/>
                    </w:rPr>
                  </w:pPr>
                </w:p>
              </w:tc>
              <w:tc>
                <w:tcPr>
                  <w:tcW w:w="403" w:type="pct"/>
                  <w:vMerge w:val="continue"/>
                  <w:noWrap w:val="0"/>
                  <w:vAlign w:val="center"/>
                </w:tcPr>
                <w:p>
                  <w:pPr>
                    <w:adjustRightInd w:val="0"/>
                    <w:snapToGrid w:val="0"/>
                    <w:jc w:val="center"/>
                    <w:rPr>
                      <w:rFonts w:hint="default" w:ascii="Times New Roman" w:hAnsi="Times New Roman" w:eastAsia="宋体" w:cs="Times New Roman"/>
                      <w:color w:val="auto"/>
                      <w:szCs w:val="21"/>
                    </w:rPr>
                  </w:pPr>
                </w:p>
              </w:tc>
              <w:tc>
                <w:tcPr>
                  <w:tcW w:w="866"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建筑垃圾</w:t>
                  </w:r>
                </w:p>
              </w:tc>
              <w:tc>
                <w:tcPr>
                  <w:tcW w:w="2883"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回收利用，不能回收的运至市政指定建筑垃圾堆场</w:t>
                  </w:r>
                </w:p>
              </w:tc>
              <w:tc>
                <w:tcPr>
                  <w:tcW w:w="686" w:type="pct"/>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w:t>
                  </w:r>
                  <w:r>
                    <w:rPr>
                      <w:rFonts w:hint="default" w:ascii="Times New Roman" w:hAnsi="Times New Roman" w:eastAsia="宋体" w:cs="Times New Roman"/>
                      <w:color w:val="auto"/>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60" w:type="pct"/>
                  <w:vMerge w:val="continue"/>
                  <w:noWrap w:val="0"/>
                  <w:vAlign w:val="center"/>
                </w:tcPr>
                <w:p>
                  <w:pPr>
                    <w:adjustRightInd w:val="0"/>
                    <w:snapToGrid w:val="0"/>
                    <w:jc w:val="center"/>
                    <w:rPr>
                      <w:rFonts w:hint="default" w:ascii="Times New Roman" w:hAnsi="Times New Roman" w:eastAsia="宋体" w:cs="Times New Roman"/>
                      <w:color w:val="auto"/>
                      <w:szCs w:val="21"/>
                    </w:rPr>
                  </w:pPr>
                </w:p>
              </w:tc>
              <w:tc>
                <w:tcPr>
                  <w:tcW w:w="403" w:type="pct"/>
                  <w:vMerge w:val="continue"/>
                  <w:noWrap w:val="0"/>
                  <w:vAlign w:val="center"/>
                </w:tcPr>
                <w:p>
                  <w:pPr>
                    <w:adjustRightInd w:val="0"/>
                    <w:snapToGrid w:val="0"/>
                    <w:jc w:val="center"/>
                    <w:rPr>
                      <w:rFonts w:hint="default" w:ascii="Times New Roman" w:hAnsi="Times New Roman" w:eastAsia="宋体" w:cs="Times New Roman"/>
                      <w:color w:val="auto"/>
                      <w:szCs w:val="21"/>
                    </w:rPr>
                  </w:pPr>
                </w:p>
              </w:tc>
              <w:tc>
                <w:tcPr>
                  <w:tcW w:w="866"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生活垃圾</w:t>
                  </w:r>
                </w:p>
              </w:tc>
              <w:tc>
                <w:tcPr>
                  <w:tcW w:w="2883"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收集</w:t>
                  </w:r>
                  <w:r>
                    <w:rPr>
                      <w:rFonts w:hint="eastAsia" w:cs="Times New Roman"/>
                      <w:color w:val="auto"/>
                      <w:szCs w:val="21"/>
                      <w:lang w:val="en-US" w:eastAsia="zh-CN"/>
                    </w:rPr>
                    <w:t>在垃圾桶（3个）</w:t>
                  </w:r>
                  <w:r>
                    <w:rPr>
                      <w:rFonts w:hint="default" w:ascii="Times New Roman" w:hAnsi="Times New Roman" w:eastAsia="宋体" w:cs="Times New Roman"/>
                      <w:color w:val="auto"/>
                      <w:szCs w:val="21"/>
                    </w:rPr>
                    <w:t>后由环卫部门统一清运</w:t>
                  </w:r>
                </w:p>
              </w:tc>
              <w:tc>
                <w:tcPr>
                  <w:tcW w:w="686" w:type="pct"/>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60" w:type="pct"/>
                  <w:vMerge w:val="continue"/>
                  <w:noWrap w:val="0"/>
                  <w:vAlign w:val="center"/>
                </w:tcPr>
                <w:p>
                  <w:pPr>
                    <w:jc w:val="center"/>
                    <w:rPr>
                      <w:rFonts w:hint="default" w:ascii="Times New Roman" w:hAnsi="Times New Roman" w:eastAsia="宋体" w:cs="Times New Roman"/>
                      <w:color w:val="auto"/>
                      <w:szCs w:val="21"/>
                    </w:rPr>
                  </w:pPr>
                </w:p>
              </w:tc>
              <w:tc>
                <w:tcPr>
                  <w:tcW w:w="403" w:type="pct"/>
                  <w:vMerge w:val="continue"/>
                  <w:noWrap w:val="0"/>
                  <w:vAlign w:val="center"/>
                </w:tcPr>
                <w:p>
                  <w:pPr>
                    <w:jc w:val="center"/>
                    <w:rPr>
                      <w:rFonts w:hint="default" w:ascii="Times New Roman" w:hAnsi="Times New Roman" w:eastAsia="宋体" w:cs="Times New Roman"/>
                      <w:color w:val="auto"/>
                      <w:szCs w:val="21"/>
                    </w:rPr>
                  </w:pPr>
                </w:p>
              </w:tc>
              <w:tc>
                <w:tcPr>
                  <w:tcW w:w="866"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沉淀池底泥</w:t>
                  </w:r>
                </w:p>
              </w:tc>
              <w:tc>
                <w:tcPr>
                  <w:tcW w:w="2883"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回填于堤后低洼处</w:t>
                  </w:r>
                </w:p>
              </w:tc>
              <w:tc>
                <w:tcPr>
                  <w:tcW w:w="686" w:type="pct"/>
                  <w:noWrap w:val="0"/>
                  <w:vAlign w:val="center"/>
                </w:tcPr>
                <w:p>
                  <w:pPr>
                    <w:jc w:val="center"/>
                    <w:rPr>
                      <w:rFonts w:hint="default" w:ascii="Times New Roman" w:hAnsi="Times New Roman" w:eastAsia="宋体" w:cs="Times New Roman"/>
                      <w:color w:val="auto"/>
                      <w:szCs w:val="21"/>
                    </w:rPr>
                  </w:pPr>
                  <w:r>
                    <w:rPr>
                      <w:rFonts w:hint="eastAsia"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jc w:val="center"/>
              </w:trPr>
              <w:tc>
                <w:tcPr>
                  <w:tcW w:w="160" w:type="pct"/>
                  <w:vMerge w:val="continue"/>
                  <w:noWrap w:val="0"/>
                  <w:vAlign w:val="center"/>
                </w:tcPr>
                <w:p>
                  <w:pPr>
                    <w:adjustRightInd w:val="0"/>
                    <w:snapToGrid w:val="0"/>
                    <w:jc w:val="center"/>
                    <w:rPr>
                      <w:rFonts w:hint="default" w:ascii="Times New Roman" w:hAnsi="Times New Roman" w:eastAsia="宋体" w:cs="Times New Roman"/>
                      <w:color w:val="auto"/>
                      <w:szCs w:val="21"/>
                    </w:rPr>
                  </w:pPr>
                </w:p>
              </w:tc>
              <w:tc>
                <w:tcPr>
                  <w:tcW w:w="403" w:type="pct"/>
                  <w:vMerge w:val="restar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生态环境</w:t>
                  </w:r>
                </w:p>
              </w:tc>
              <w:tc>
                <w:tcPr>
                  <w:tcW w:w="866" w:type="pct"/>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水土流失</w:t>
                  </w:r>
                </w:p>
              </w:tc>
              <w:tc>
                <w:tcPr>
                  <w:tcW w:w="2883" w:type="pct"/>
                  <w:noWrap w:val="0"/>
                  <w:vAlign w:val="center"/>
                </w:tcPr>
                <w:p>
                  <w:pPr>
                    <w:adjustRightInd w:val="0"/>
                    <w:snapToGrid w:val="0"/>
                    <w:jc w:val="center"/>
                    <w:rPr>
                      <w:rFonts w:hint="default" w:ascii="Times New Roman" w:hAnsi="Times New Roman" w:eastAsia="宋体" w:cs="Times New Roman"/>
                      <w:color w:val="auto"/>
                      <w:szCs w:val="21"/>
                    </w:rPr>
                  </w:pPr>
                  <w:r>
                    <w:rPr>
                      <w:rFonts w:hint="eastAsia" w:cs="Times New Roman"/>
                      <w:color w:val="auto"/>
                      <w:sz w:val="21"/>
                      <w:szCs w:val="21"/>
                      <w:highlight w:val="none"/>
                      <w:lang w:val="en-US" w:eastAsia="zh-CN"/>
                    </w:rPr>
                    <w:t>对弃渣堆放区设置截排水沟（195m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）+临时挡土墙（480m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）+沉砂池（2个）+彩条布（3600m</w:t>
                  </w:r>
                  <w:r>
                    <w:rPr>
                      <w:rFonts w:hint="eastAsia" w:cs="Times New Roman"/>
                      <w:color w:val="auto"/>
                      <w:sz w:val="21"/>
                      <w:szCs w:val="21"/>
                      <w:highlight w:val="none"/>
                      <w:vertAlign w:val="superscript"/>
                      <w:lang w:val="en-US" w:eastAsia="zh-CN"/>
                    </w:rPr>
                    <w:t>2</w:t>
                  </w:r>
                  <w:r>
                    <w:rPr>
                      <w:rFonts w:hint="eastAsia" w:cs="Times New Roman"/>
                      <w:color w:val="auto"/>
                      <w:sz w:val="21"/>
                      <w:szCs w:val="21"/>
                      <w:highlight w:val="none"/>
                      <w:lang w:val="en-US" w:eastAsia="zh-CN"/>
                    </w:rPr>
                    <w:t>）临时措施</w:t>
                  </w:r>
                  <w:r>
                    <w:rPr>
                      <w:rFonts w:hint="default" w:ascii="Times New Roman" w:hAnsi="Times New Roman" w:eastAsia="宋体" w:cs="Times New Roman"/>
                      <w:color w:val="auto"/>
                      <w:szCs w:val="21"/>
                    </w:rPr>
                    <w:t>、对扰动区域进行植被恢复等</w:t>
                  </w:r>
                </w:p>
              </w:tc>
              <w:tc>
                <w:tcPr>
                  <w:tcW w:w="686" w:type="pct"/>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60" w:type="pct"/>
                  <w:vMerge w:val="continue"/>
                  <w:noWrap w:val="0"/>
                  <w:vAlign w:val="center"/>
                </w:tcPr>
                <w:p>
                  <w:pPr>
                    <w:jc w:val="center"/>
                    <w:rPr>
                      <w:rFonts w:hint="default" w:ascii="Times New Roman" w:hAnsi="Times New Roman" w:eastAsia="宋体" w:cs="Times New Roman"/>
                      <w:color w:val="auto"/>
                    </w:rPr>
                  </w:pPr>
                </w:p>
              </w:tc>
              <w:tc>
                <w:tcPr>
                  <w:tcW w:w="403" w:type="pct"/>
                  <w:vMerge w:val="continue"/>
                  <w:noWrap w:val="0"/>
                  <w:vAlign w:val="center"/>
                </w:tcPr>
                <w:p>
                  <w:pPr>
                    <w:jc w:val="center"/>
                    <w:rPr>
                      <w:rFonts w:hint="default" w:ascii="Times New Roman" w:hAnsi="Times New Roman" w:eastAsia="宋体" w:cs="Times New Roman"/>
                      <w:color w:val="auto"/>
                      <w:szCs w:val="21"/>
                    </w:rPr>
                  </w:pPr>
                </w:p>
              </w:tc>
              <w:tc>
                <w:tcPr>
                  <w:tcW w:w="866"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水生生态</w:t>
                  </w:r>
                </w:p>
              </w:tc>
              <w:tc>
                <w:tcPr>
                  <w:tcW w:w="2883" w:type="pct"/>
                  <w:noWrap w:val="0"/>
                  <w:vAlign w:val="center"/>
                </w:tcPr>
                <w:p>
                  <w:pPr>
                    <w:jc w:val="center"/>
                    <w:rPr>
                      <w:rFonts w:hint="default" w:ascii="Times New Roman" w:hAnsi="Times New Roman" w:eastAsia="宋体" w:cs="Times New Roman"/>
                      <w:color w:val="auto"/>
                      <w:szCs w:val="21"/>
                    </w:rPr>
                  </w:pPr>
                  <w:r>
                    <w:rPr>
                      <w:rStyle w:val="48"/>
                      <w:rFonts w:hint="default" w:ascii="Times New Roman" w:hAnsi="Times New Roman" w:eastAsia="宋体" w:cs="Times New Roman"/>
                      <w:color w:val="auto"/>
                      <w:kern w:val="0"/>
                      <w:sz w:val="21"/>
                      <w:szCs w:val="21"/>
                      <w:lang w:val="en-US" w:eastAsia="zh-CN" w:bidi="en-US"/>
                    </w:rPr>
                    <w:t>严禁</w:t>
                  </w:r>
                  <w:r>
                    <w:rPr>
                      <w:rStyle w:val="48"/>
                      <w:rFonts w:hint="default" w:ascii="Times New Roman" w:hAnsi="Times New Roman" w:eastAsia="宋体" w:cs="Times New Roman"/>
                      <w:color w:val="auto"/>
                      <w:kern w:val="0"/>
                      <w:sz w:val="21"/>
                      <w:szCs w:val="21"/>
                      <w:lang w:eastAsia="zh-CN" w:bidi="en-US"/>
                    </w:rPr>
                    <w:t>地表裸露，加强建设过程中的文明施工管理，禁止野蛮施工，基础开挖、回填尽量避免在多雨季节进行，做好施工现场的防尘和水土保持措施，优化施工工序，缩短材料堆放及施工时间。涉水工程的实施应避开水生生物繁殖季节，加强宣传，设置水生生物保护警示牌，增强施工人员的环保意识。工程施工结束后，对沉淀池及导水渠进行填埋，利用表土进行覆盖和压实平整，进行迹地恢复，再根据周围环境的整体要求做绿化设计</w:t>
                  </w:r>
                </w:p>
              </w:tc>
              <w:tc>
                <w:tcPr>
                  <w:tcW w:w="686" w:type="pct"/>
                  <w:noWrap w:val="0"/>
                  <w:vAlign w:val="center"/>
                </w:tcPr>
                <w:p>
                  <w:pPr>
                    <w:jc w:val="center"/>
                    <w:rPr>
                      <w:rFonts w:hint="default" w:ascii="Times New Roman" w:hAnsi="Times New Roman" w:eastAsia="宋体" w:cs="Times New Roman"/>
                      <w:color w:val="auto"/>
                      <w:szCs w:val="21"/>
                      <w:lang w:val="en-US"/>
                    </w:rPr>
                  </w:pPr>
                  <w:r>
                    <w:rPr>
                      <w:rFonts w:hint="eastAsia" w:cs="Times New Roman"/>
                      <w:color w:val="auto"/>
                      <w:szCs w:val="21"/>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60" w:type="pct"/>
                  <w:vMerge w:val="continue"/>
                  <w:noWrap w:val="0"/>
                  <w:vAlign w:val="center"/>
                </w:tcPr>
                <w:p>
                  <w:pPr>
                    <w:jc w:val="center"/>
                    <w:rPr>
                      <w:rFonts w:hint="default" w:ascii="Times New Roman" w:hAnsi="Times New Roman" w:cs="Times New Roman"/>
                      <w:color w:val="auto"/>
                    </w:rPr>
                  </w:pPr>
                </w:p>
              </w:tc>
              <w:tc>
                <w:tcPr>
                  <w:tcW w:w="403" w:type="pct"/>
                  <w:vMerge w:val="continue"/>
                  <w:noWrap w:val="0"/>
                  <w:vAlign w:val="center"/>
                </w:tcPr>
                <w:p>
                  <w:pPr>
                    <w:jc w:val="center"/>
                    <w:rPr>
                      <w:rFonts w:hint="default" w:ascii="Times New Roman" w:hAnsi="Times New Roman" w:cs="Times New Roman"/>
                      <w:color w:val="auto"/>
                    </w:rPr>
                  </w:pPr>
                </w:p>
              </w:tc>
              <w:tc>
                <w:tcPr>
                  <w:tcW w:w="866" w:type="pct"/>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陆生生态</w:t>
                  </w:r>
                </w:p>
              </w:tc>
              <w:tc>
                <w:tcPr>
                  <w:tcW w:w="2883" w:type="pct"/>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完工后撒播草籽，迹地恢复</w:t>
                  </w:r>
                  <w:r>
                    <w:rPr>
                      <w:rFonts w:hint="eastAsia" w:cs="Times New Roman"/>
                      <w:color w:val="auto"/>
                      <w:szCs w:val="21"/>
                      <w:lang w:val="en-US" w:eastAsia="zh-CN"/>
                    </w:rPr>
                    <w:t>，设置</w:t>
                  </w:r>
                  <w:r>
                    <w:rPr>
                      <w:rFonts w:hint="eastAsia" w:ascii="宋体" w:hAnsi="宋体" w:cs="宋体"/>
                      <w:color w:val="000000"/>
                      <w:kern w:val="0"/>
                      <w:szCs w:val="21"/>
                    </w:rPr>
                    <w:t>生态木制宣传栏</w:t>
                  </w:r>
                  <w:r>
                    <w:rPr>
                      <w:rFonts w:hint="eastAsia" w:ascii="宋体" w:hAnsi="宋体" w:cs="宋体"/>
                      <w:color w:val="000000"/>
                      <w:kern w:val="0"/>
                      <w:szCs w:val="21"/>
                      <w:lang w:eastAsia="zh-CN"/>
                    </w:rPr>
                    <w:t>、洒水机具、警示牌</w:t>
                  </w:r>
                </w:p>
              </w:tc>
              <w:tc>
                <w:tcPr>
                  <w:tcW w:w="686" w:type="pct"/>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60" w:type="pct"/>
                  <w:vMerge w:val="continue"/>
                  <w:noWrap w:val="0"/>
                  <w:vAlign w:val="center"/>
                </w:tcPr>
                <w:p>
                  <w:pPr>
                    <w:jc w:val="center"/>
                    <w:rPr>
                      <w:rFonts w:hint="default" w:ascii="Times New Roman" w:hAnsi="Times New Roman" w:eastAsia="宋体" w:cs="Times New Roman"/>
                      <w:color w:val="auto"/>
                      <w:szCs w:val="21"/>
                    </w:rPr>
                  </w:pPr>
                </w:p>
              </w:tc>
              <w:tc>
                <w:tcPr>
                  <w:tcW w:w="403"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环境风险</w:t>
                  </w:r>
                </w:p>
              </w:tc>
              <w:tc>
                <w:tcPr>
                  <w:tcW w:w="3749" w:type="pct"/>
                  <w:gridSpan w:val="2"/>
                  <w:noWrap w:val="0"/>
                  <w:vAlign w:val="center"/>
                </w:tcPr>
                <w:p>
                  <w:pPr>
                    <w:spacing w:line="28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建立完善</w:t>
                  </w:r>
                  <w:r>
                    <w:rPr>
                      <w:rFonts w:hint="default" w:ascii="Times New Roman" w:hAnsi="Times New Roman" w:eastAsia="宋体" w:cs="Times New Roman"/>
                      <w:color w:val="auto"/>
                      <w:szCs w:val="21"/>
                      <w:lang w:val="en-US" w:eastAsia="zh-CN"/>
                    </w:rPr>
                    <w:t>施工期</w:t>
                  </w:r>
                  <w:r>
                    <w:rPr>
                      <w:rFonts w:hint="default" w:ascii="Times New Roman" w:hAnsi="Times New Roman" w:eastAsia="宋体" w:cs="Times New Roman"/>
                      <w:color w:val="auto"/>
                      <w:szCs w:val="21"/>
                    </w:rPr>
                    <w:t>管理的制度等</w:t>
                  </w:r>
                </w:p>
              </w:tc>
              <w:tc>
                <w:tcPr>
                  <w:tcW w:w="686" w:type="pct"/>
                  <w:noWrap w:val="0"/>
                  <w:vAlign w:val="center"/>
                </w:tcPr>
                <w:p>
                  <w:pPr>
                    <w:spacing w:line="28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564" w:type="pct"/>
                  <w:gridSpan w:val="2"/>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合计</w:t>
                  </w:r>
                </w:p>
              </w:tc>
              <w:tc>
                <w:tcPr>
                  <w:tcW w:w="3749" w:type="pct"/>
                  <w:gridSpan w:val="2"/>
                  <w:noWrap w:val="0"/>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686" w:type="pct"/>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41.72</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520" w:firstLineChars="200"/>
              <w:jc w:val="both"/>
              <w:textAlignment w:val="auto"/>
              <w:rPr>
                <w:rFonts w:ascii="宋体" w:hAnsi="宋体" w:cs="宋体"/>
                <w:bCs/>
                <w:color w:val="0000FF"/>
                <w:spacing w:val="10"/>
                <w:sz w:val="24"/>
                <w:szCs w:val="24"/>
              </w:rPr>
            </w:pPr>
          </w:p>
        </w:tc>
      </w:tr>
    </w:tbl>
    <w:p>
      <w:pPr>
        <w:sectPr>
          <w:pgSz w:w="11906" w:h="16838"/>
          <w:pgMar w:top="1440" w:right="1242" w:bottom="1440" w:left="1242"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7"/>
        <w:keepNext w:val="0"/>
        <w:keepLines w:val="0"/>
        <w:pageBreakBefore w:val="0"/>
        <w:kinsoku/>
        <w:wordWrap/>
        <w:overflowPunct/>
        <w:topLinePunct w:val="0"/>
        <w:bidi w:val="0"/>
        <w:adjustRightInd w:val="0"/>
        <w:snapToGrid w:val="0"/>
        <w:jc w:val="center"/>
        <w:textAlignment w:val="auto"/>
        <w:outlineLvl w:val="0"/>
        <w:rPr>
          <w:rFonts w:hint="default" w:ascii="黑体" w:hAnsi="黑体" w:eastAsia="黑体"/>
          <w:snapToGrid w:val="0"/>
          <w:sz w:val="30"/>
          <w:szCs w:val="30"/>
          <w:lang w:val="en-US" w:eastAsia="zh-CN"/>
        </w:rPr>
      </w:pPr>
      <w:r>
        <w:rPr>
          <w:rFonts w:hint="default" w:ascii="黑体" w:hAnsi="黑体" w:eastAsia="黑体"/>
          <w:snapToGrid w:val="0"/>
          <w:sz w:val="30"/>
          <w:szCs w:val="30"/>
          <w:lang w:val="en-US" w:eastAsia="zh-CN"/>
        </w:rPr>
        <w:t>六、生态环境保护措施监督检查清单</w:t>
      </w:r>
    </w:p>
    <w:tbl>
      <w:tblPr>
        <w:tblStyle w:val="41"/>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25"/>
        <w:gridCol w:w="1344"/>
        <w:gridCol w:w="1979"/>
        <w:gridCol w:w="2074"/>
        <w:gridCol w:w="1856"/>
        <w:gridCol w:w="95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739" w:type="pct"/>
            <w:vMerge w:val="restart"/>
            <w:tcBorders>
              <w:tl2br w:val="single" w:color="auto" w:sz="4" w:space="0"/>
            </w:tcBorders>
            <w:noWrap w:val="0"/>
            <w:vAlign w:val="top"/>
          </w:tcPr>
          <w:p>
            <w:pPr>
              <w:keepNext w:val="0"/>
              <w:keepLines w:val="0"/>
              <w:pageBreakBefore w:val="0"/>
              <w:widowControl/>
              <w:kinsoku/>
              <w:wordWrap/>
              <w:overflowPunct/>
              <w:topLinePunct w:val="0"/>
              <w:bidi w:val="0"/>
              <w:adjustRightInd w:val="0"/>
              <w:snapToGrid w:val="0"/>
              <w:spacing w:before="72" w:beforeLines="30" w:beforeAutospacing="0" w:after="0" w:afterAutospacing="0"/>
              <w:jc w:val="right"/>
              <w:textAlignment w:val="auto"/>
              <w:outlineLvl w:val="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内容</w:t>
            </w:r>
          </w:p>
          <w:p>
            <w:pPr>
              <w:keepNext w:val="0"/>
              <w:keepLines w:val="0"/>
              <w:pageBreakBefore w:val="0"/>
              <w:widowControl/>
              <w:kinsoku/>
              <w:wordWrap/>
              <w:overflowPunct/>
              <w:topLinePunct w:val="0"/>
              <w:bidi w:val="0"/>
              <w:adjustRightInd w:val="0"/>
              <w:snapToGrid w:val="0"/>
              <w:spacing w:before="0" w:beforeAutospacing="0" w:after="0" w:afterAutospacing="0" w:line="14" w:lineRule="auto"/>
              <w:jc w:val="left"/>
              <w:textAlignment w:val="auto"/>
              <w:outlineLvl w:val="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 xml:space="preserve">  </w:t>
            </w:r>
          </w:p>
          <w:p>
            <w:pPr>
              <w:keepNext w:val="0"/>
              <w:keepLines w:val="0"/>
              <w:pageBreakBefore w:val="0"/>
              <w:widowControl/>
              <w:kinsoku/>
              <w:wordWrap/>
              <w:overflowPunct/>
              <w:topLinePunct w:val="0"/>
              <w:bidi w:val="0"/>
              <w:adjustRightInd w:val="0"/>
              <w:snapToGrid w:val="0"/>
              <w:spacing w:before="0" w:beforeAutospacing="0" w:after="0" w:afterAutospacing="0"/>
              <w:jc w:val="both"/>
              <w:textAlignment w:val="auto"/>
              <w:outlineLvl w:val="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要素</w:t>
            </w:r>
          </w:p>
        </w:tc>
        <w:tc>
          <w:tcPr>
            <w:tcW w:w="2800" w:type="pct"/>
            <w:gridSpan w:val="3"/>
            <w:noWrap w:val="0"/>
            <w:vAlign w:val="center"/>
          </w:tcPr>
          <w:p>
            <w:pPr>
              <w:keepNext w:val="0"/>
              <w:keepLines w:val="0"/>
              <w:pageBreakBefore w:val="0"/>
              <w:widowControl/>
              <w:kinsoku/>
              <w:wordWrap/>
              <w:overflowPunct/>
              <w:topLinePunct w:val="0"/>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施工期</w:t>
            </w:r>
          </w:p>
        </w:tc>
        <w:tc>
          <w:tcPr>
            <w:tcW w:w="1459" w:type="pct"/>
            <w:gridSpan w:val="2"/>
            <w:noWrap w:val="0"/>
            <w:vAlign w:val="center"/>
          </w:tcPr>
          <w:p>
            <w:pPr>
              <w:keepNext w:val="0"/>
              <w:keepLines w:val="0"/>
              <w:pageBreakBefore w:val="0"/>
              <w:widowControl/>
              <w:kinsoku/>
              <w:wordWrap/>
              <w:overflowPunct/>
              <w:topLinePunct w:val="0"/>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运营期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739" w:type="pct"/>
            <w:vMerge w:val="continue"/>
            <w:noWrap w:val="0"/>
            <w:vAlign w:val="top"/>
          </w:tcPr>
          <w:p>
            <w:pPr>
              <w:keepNext w:val="0"/>
              <w:keepLines w:val="0"/>
              <w:pageBreakBefore w:val="0"/>
              <w:widowControl/>
              <w:kinsoku/>
              <w:wordWrap/>
              <w:overflowPunct/>
              <w:topLinePunct w:val="0"/>
              <w:bidi w:val="0"/>
              <w:adjustRightInd w:val="0"/>
              <w:snapToGrid w:val="0"/>
              <w:spacing w:before="0" w:beforeAutospacing="0" w:after="0" w:afterAutospacing="0"/>
              <w:ind w:firstLine="840"/>
              <w:jc w:val="center"/>
              <w:textAlignment w:val="auto"/>
              <w:outlineLvl w:val="0"/>
              <w:rPr>
                <w:rFonts w:hint="default" w:ascii="Times New Roman" w:hAnsi="Times New Roman" w:eastAsia="宋体" w:cs="Times New Roman"/>
                <w:color w:val="auto"/>
                <w:kern w:val="2"/>
                <w:sz w:val="24"/>
                <w:szCs w:val="24"/>
                <w:lang w:val="en-US" w:eastAsia="zh-CN" w:bidi="ar-SA"/>
              </w:rPr>
            </w:pPr>
          </w:p>
        </w:tc>
        <w:tc>
          <w:tcPr>
            <w:tcW w:w="1724" w:type="pct"/>
            <w:gridSpan w:val="2"/>
            <w:noWrap w:val="0"/>
            <w:vAlign w:val="center"/>
          </w:tcPr>
          <w:p>
            <w:pPr>
              <w:keepNext w:val="0"/>
              <w:keepLines w:val="0"/>
              <w:pageBreakBefore w:val="0"/>
              <w:widowControl/>
              <w:kinsoku/>
              <w:wordWrap/>
              <w:overflowPunct/>
              <w:topLinePunct w:val="0"/>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环境保护措施</w:t>
            </w:r>
          </w:p>
        </w:tc>
        <w:tc>
          <w:tcPr>
            <w:tcW w:w="1076" w:type="pct"/>
            <w:noWrap w:val="0"/>
            <w:vAlign w:val="center"/>
          </w:tcPr>
          <w:p>
            <w:pPr>
              <w:keepNext w:val="0"/>
              <w:keepLines w:val="0"/>
              <w:pageBreakBefore w:val="0"/>
              <w:widowControl/>
              <w:kinsoku/>
              <w:wordWrap/>
              <w:overflowPunct/>
              <w:topLinePunct w:val="0"/>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验收要求</w:t>
            </w:r>
          </w:p>
        </w:tc>
        <w:tc>
          <w:tcPr>
            <w:tcW w:w="963" w:type="pct"/>
            <w:noWrap w:val="0"/>
            <w:vAlign w:val="center"/>
          </w:tcPr>
          <w:p>
            <w:pPr>
              <w:keepNext w:val="0"/>
              <w:keepLines w:val="0"/>
              <w:pageBreakBefore w:val="0"/>
              <w:widowControl/>
              <w:kinsoku/>
              <w:wordWrap/>
              <w:overflowPunct/>
              <w:topLinePunct w:val="0"/>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环境保护措施</w:t>
            </w:r>
          </w:p>
        </w:tc>
        <w:tc>
          <w:tcPr>
            <w:tcW w:w="496" w:type="pct"/>
            <w:noWrap w:val="0"/>
            <w:vAlign w:val="center"/>
          </w:tcPr>
          <w:p>
            <w:pPr>
              <w:keepNext w:val="0"/>
              <w:keepLines w:val="0"/>
              <w:pageBreakBefore w:val="0"/>
              <w:widowControl/>
              <w:kinsoku/>
              <w:wordWrap/>
              <w:overflowPunct/>
              <w:topLinePunct w:val="0"/>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验收要求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9"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陆生生态</w:t>
            </w:r>
          </w:p>
        </w:tc>
        <w:tc>
          <w:tcPr>
            <w:tcW w:w="1724" w:type="pct"/>
            <w:gridSpan w:val="2"/>
            <w:noWrap w:val="0"/>
            <w:vAlign w:val="center"/>
          </w:tcPr>
          <w:p>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减少占地，减少水土流失，完工后撒播草籽，迹地恢复</w:t>
            </w:r>
          </w:p>
        </w:tc>
        <w:tc>
          <w:tcPr>
            <w:tcW w:w="1076" w:type="pct"/>
            <w:noWrap w:val="0"/>
            <w:vAlign w:val="center"/>
          </w:tcPr>
          <w:p>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rPr>
              <w:t>生态环境以不减少区内濒危珍稀动植物和不破坏生态系统完整性为标准，水土流失以不改变土壤侵蚀类型为标准</w:t>
            </w:r>
          </w:p>
        </w:tc>
        <w:tc>
          <w:tcPr>
            <w:tcW w:w="963" w:type="pct"/>
            <w:noWrap w:val="0"/>
            <w:vAlign w:val="center"/>
          </w:tcPr>
          <w:p>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项目施工结束后，撒播草籽，需要监控植被恢复情况，植被恢复率低时，需进行补种，尽量恢复到施工前的生态环境现状</w:t>
            </w:r>
          </w:p>
        </w:tc>
        <w:tc>
          <w:tcPr>
            <w:tcW w:w="496" w:type="pct"/>
            <w:noWrap w:val="0"/>
            <w:vAlign w:val="center"/>
          </w:tcPr>
          <w:p>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植被长势较好，基本恢复原有生态环境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39"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水生生态</w:t>
            </w:r>
          </w:p>
        </w:tc>
        <w:tc>
          <w:tcPr>
            <w:tcW w:w="1724" w:type="pct"/>
            <w:gridSpan w:val="2"/>
            <w:noWrap w:val="0"/>
            <w:vAlign w:val="center"/>
          </w:tcPr>
          <w:p>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lang w:val="en-US" w:eastAsia="zh-CN"/>
              </w:rPr>
            </w:pPr>
            <w:r>
              <w:rPr>
                <w:rStyle w:val="48"/>
                <w:rFonts w:hint="default" w:ascii="Times New Roman" w:hAnsi="Times New Roman" w:eastAsia="宋体" w:cs="Times New Roman"/>
                <w:color w:val="auto"/>
                <w:kern w:val="0"/>
                <w:sz w:val="24"/>
                <w:szCs w:val="24"/>
                <w:lang w:val="en-US" w:eastAsia="zh-CN" w:bidi="en-US"/>
              </w:rPr>
              <w:t>严禁</w:t>
            </w:r>
            <w:r>
              <w:rPr>
                <w:rStyle w:val="48"/>
                <w:rFonts w:hint="default" w:ascii="Times New Roman" w:hAnsi="Times New Roman" w:eastAsia="宋体" w:cs="Times New Roman"/>
                <w:color w:val="auto"/>
                <w:kern w:val="0"/>
                <w:sz w:val="24"/>
                <w:szCs w:val="24"/>
                <w:lang w:eastAsia="zh-CN" w:bidi="en-US"/>
              </w:rPr>
              <w:t>地表裸露，加强建设过程中的文明施工管理，禁止野蛮施工，基础开挖、回填尽量避免在多雨季节进行，做好施工现场的防尘和水土保持措施，优化施工工序，缩短材料堆放及施工时间。涉水工程的实施应避开水生生物繁殖季节，加强宣传，设置水生生物保护警示牌，增强施工人员的环保意识。工程施工结束后，对沉淀池及导水渠进行填埋，利用表土进行覆盖和压实平整，进行迹地恢复，再根据周围环境的整体要求做绿化设计</w:t>
            </w:r>
          </w:p>
        </w:tc>
        <w:tc>
          <w:tcPr>
            <w:tcW w:w="1076" w:type="pct"/>
            <w:noWrap w:val="0"/>
            <w:vAlign w:val="center"/>
          </w:tcPr>
          <w:p>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不因工程的实施而影响区域现有生态环境，水土流失加剧</w:t>
            </w:r>
          </w:p>
        </w:tc>
        <w:tc>
          <w:tcPr>
            <w:tcW w:w="963" w:type="pct"/>
            <w:noWrap w:val="0"/>
            <w:vAlign w:val="center"/>
          </w:tcPr>
          <w:p>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设置河道环境保护宣传牌</w:t>
            </w:r>
          </w:p>
        </w:tc>
        <w:tc>
          <w:tcPr>
            <w:tcW w:w="496" w:type="pct"/>
            <w:noWrap w:val="0"/>
            <w:vAlign w:val="center"/>
          </w:tcPr>
          <w:p>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739" w:type="pct"/>
            <w:vMerge w:val="restar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地表水环境</w:t>
            </w:r>
          </w:p>
        </w:tc>
        <w:tc>
          <w:tcPr>
            <w:tcW w:w="697" w:type="pct"/>
            <w:noWrap w:val="0"/>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施工废水</w:t>
            </w:r>
          </w:p>
        </w:tc>
        <w:tc>
          <w:tcPr>
            <w:tcW w:w="1027" w:type="pct"/>
            <w:noWrap w:val="0"/>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沉淀池收集，收集后回用于洒水抑尘</w:t>
            </w:r>
          </w:p>
        </w:tc>
        <w:tc>
          <w:tcPr>
            <w:tcW w:w="1076" w:type="pct"/>
            <w:vMerge w:val="restart"/>
            <w:noWrap w:val="0"/>
            <w:vAlign w:val="center"/>
          </w:tcPr>
          <w:p>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不会对地表水体造成污染</w:t>
            </w:r>
          </w:p>
        </w:tc>
        <w:tc>
          <w:tcPr>
            <w:tcW w:w="963" w:type="pct"/>
            <w:vMerge w:val="restart"/>
            <w:noWrap w:val="0"/>
            <w:vAlign w:val="center"/>
          </w:tcPr>
          <w:p>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496" w:type="pct"/>
            <w:vMerge w:val="restart"/>
            <w:noWrap w:val="0"/>
            <w:vAlign w:val="center"/>
          </w:tcPr>
          <w:p>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739" w:type="pct"/>
            <w:vMerge w:val="continue"/>
            <w:noWrap w:val="0"/>
            <w:vAlign w:val="center"/>
          </w:tcPr>
          <w:p>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rPr>
            </w:pPr>
          </w:p>
        </w:tc>
        <w:tc>
          <w:tcPr>
            <w:tcW w:w="697" w:type="pct"/>
            <w:noWrap w:val="0"/>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生活污水</w:t>
            </w:r>
          </w:p>
        </w:tc>
        <w:tc>
          <w:tcPr>
            <w:tcW w:w="1027" w:type="pct"/>
            <w:noWrap w:val="0"/>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经当地居民化粪池处理后</w:t>
            </w:r>
            <w:r>
              <w:rPr>
                <w:rFonts w:hint="default" w:ascii="Times New Roman" w:hAnsi="Times New Roman" w:eastAsia="宋体" w:cs="Times New Roman"/>
                <w:color w:val="auto"/>
                <w:sz w:val="24"/>
                <w:szCs w:val="24"/>
                <w:lang w:val="en-US" w:eastAsia="zh-CN"/>
              </w:rPr>
              <w:t>用于施肥</w:t>
            </w:r>
          </w:p>
        </w:tc>
        <w:tc>
          <w:tcPr>
            <w:tcW w:w="1076" w:type="pct"/>
            <w:vMerge w:val="continue"/>
            <w:noWrap w:val="0"/>
            <w:vAlign w:val="center"/>
          </w:tcPr>
          <w:p>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rPr>
            </w:pPr>
          </w:p>
        </w:tc>
        <w:tc>
          <w:tcPr>
            <w:tcW w:w="963" w:type="pct"/>
            <w:vMerge w:val="continue"/>
            <w:noWrap w:val="0"/>
            <w:vAlign w:val="center"/>
          </w:tcPr>
          <w:p>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rPr>
            </w:pPr>
          </w:p>
        </w:tc>
        <w:tc>
          <w:tcPr>
            <w:tcW w:w="496" w:type="pct"/>
            <w:vMerge w:val="continue"/>
            <w:noWrap w:val="0"/>
            <w:vAlign w:val="center"/>
          </w:tcPr>
          <w:p>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739"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地下水及土壤环境</w:t>
            </w:r>
          </w:p>
        </w:tc>
        <w:tc>
          <w:tcPr>
            <w:tcW w:w="1724" w:type="pct"/>
            <w:gridSpan w:val="2"/>
            <w:noWrap w:val="0"/>
            <w:vAlign w:val="center"/>
          </w:tcPr>
          <w:p>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1076" w:type="pct"/>
            <w:noWrap w:val="0"/>
            <w:vAlign w:val="center"/>
          </w:tcPr>
          <w:p>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963" w:type="pct"/>
            <w:noWrap w:val="0"/>
            <w:vAlign w:val="center"/>
          </w:tcPr>
          <w:p>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496" w:type="pct"/>
            <w:noWrap w:val="0"/>
            <w:vAlign w:val="center"/>
          </w:tcPr>
          <w:p>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9"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声环境</w:t>
            </w:r>
          </w:p>
        </w:tc>
        <w:tc>
          <w:tcPr>
            <w:tcW w:w="1724" w:type="pct"/>
            <w:gridSpan w:val="2"/>
            <w:noWrap w:val="0"/>
            <w:vAlign w:val="center"/>
          </w:tcPr>
          <w:p>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选低噪声设备，施工场地设置围栏；严格控制施工作业时间；加强车辆管理，控制场区车辆车速</w:t>
            </w:r>
          </w:p>
        </w:tc>
        <w:tc>
          <w:tcPr>
            <w:tcW w:w="1076" w:type="pct"/>
            <w:noWrap w:val="0"/>
            <w:vAlign w:val="center"/>
          </w:tcPr>
          <w:p>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《建筑施工</w:t>
            </w:r>
            <w:r>
              <w:rPr>
                <w:rFonts w:hint="default" w:ascii="Times New Roman" w:hAnsi="Times New Roman" w:eastAsia="宋体" w:cs="Times New Roman"/>
                <w:color w:val="auto"/>
                <w:sz w:val="24"/>
                <w:szCs w:val="24"/>
                <w:lang w:val="en-US" w:eastAsia="zh-CN"/>
              </w:rPr>
              <w:t>场</w:t>
            </w:r>
            <w:r>
              <w:rPr>
                <w:rFonts w:hint="default" w:ascii="Times New Roman" w:hAnsi="Times New Roman" w:eastAsia="宋体" w:cs="Times New Roman"/>
                <w:color w:val="auto"/>
                <w:sz w:val="24"/>
                <w:szCs w:val="24"/>
              </w:rPr>
              <w:t>界环境噪声排放标准》 （GB12523-2011）</w:t>
            </w:r>
          </w:p>
        </w:tc>
        <w:tc>
          <w:tcPr>
            <w:tcW w:w="963" w:type="pct"/>
            <w:noWrap w:val="0"/>
            <w:vAlign w:val="center"/>
          </w:tcPr>
          <w:p>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496" w:type="pct"/>
            <w:noWrap w:val="0"/>
            <w:vAlign w:val="center"/>
          </w:tcPr>
          <w:p>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739"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振动</w:t>
            </w:r>
          </w:p>
        </w:tc>
        <w:tc>
          <w:tcPr>
            <w:tcW w:w="1724" w:type="pct"/>
            <w:gridSpan w:val="2"/>
            <w:noWrap w:val="0"/>
            <w:vAlign w:val="center"/>
          </w:tcPr>
          <w:p>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1076" w:type="pct"/>
            <w:noWrap w:val="0"/>
            <w:vAlign w:val="center"/>
          </w:tcPr>
          <w:p>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963" w:type="pct"/>
            <w:noWrap w:val="0"/>
            <w:vAlign w:val="center"/>
          </w:tcPr>
          <w:p>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496" w:type="pct"/>
            <w:noWrap w:val="0"/>
            <w:vAlign w:val="center"/>
          </w:tcPr>
          <w:p>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39" w:type="pct"/>
            <w:vMerge w:val="restar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大气环境</w:t>
            </w:r>
          </w:p>
        </w:tc>
        <w:tc>
          <w:tcPr>
            <w:tcW w:w="697" w:type="pct"/>
            <w:noWrap w:val="0"/>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rPr>
              <w:t>施工扬尘</w:t>
            </w:r>
          </w:p>
        </w:tc>
        <w:tc>
          <w:tcPr>
            <w:tcW w:w="1027" w:type="pct"/>
            <w:noWrap w:val="0"/>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rPr>
              <w:t>洒水降尘；及时清扫路面尘土</w:t>
            </w:r>
          </w:p>
        </w:tc>
        <w:tc>
          <w:tcPr>
            <w:tcW w:w="1076" w:type="pct"/>
            <w:vMerge w:val="restart"/>
            <w:noWrap w:val="0"/>
            <w:vAlign w:val="center"/>
          </w:tcPr>
          <w:p>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《环境空气质量标准》（GB3095-2012）中的二级标准</w:t>
            </w:r>
          </w:p>
        </w:tc>
        <w:tc>
          <w:tcPr>
            <w:tcW w:w="963" w:type="pct"/>
            <w:vMerge w:val="restart"/>
            <w:noWrap w:val="0"/>
            <w:vAlign w:val="center"/>
          </w:tcPr>
          <w:p>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496" w:type="pct"/>
            <w:vMerge w:val="restart"/>
            <w:noWrap w:val="0"/>
            <w:vAlign w:val="center"/>
          </w:tcPr>
          <w:p>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39" w:type="pct"/>
            <w:vMerge w:val="continue"/>
            <w:noWrap w:val="0"/>
            <w:vAlign w:val="center"/>
          </w:tcPr>
          <w:p>
            <w:pPr>
              <w:adjustRightInd w:val="0"/>
              <w:snapToGrid w:val="0"/>
              <w:jc w:val="center"/>
              <w:rPr>
                <w:rFonts w:hint="default" w:ascii="Times New Roman" w:hAnsi="Times New Roman" w:cs="Times New Roman"/>
                <w:color w:val="auto"/>
                <w:sz w:val="24"/>
                <w:szCs w:val="24"/>
              </w:rPr>
            </w:pPr>
          </w:p>
        </w:tc>
        <w:tc>
          <w:tcPr>
            <w:tcW w:w="697" w:type="pct"/>
            <w:noWrap w:val="0"/>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rPr>
              <w:t>土石方开挖扬尘</w:t>
            </w:r>
          </w:p>
        </w:tc>
        <w:tc>
          <w:tcPr>
            <w:tcW w:w="1027" w:type="pct"/>
            <w:noWrap w:val="0"/>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rPr>
              <w:t>移动喷水管，边开挖边洒水降尘；开挖裸露面及临时堆土遮盖防尘网</w:t>
            </w:r>
          </w:p>
        </w:tc>
        <w:tc>
          <w:tcPr>
            <w:tcW w:w="1076" w:type="pct"/>
            <w:vMerge w:val="continue"/>
            <w:noWrap w:val="0"/>
            <w:vAlign w:val="center"/>
          </w:tcPr>
          <w:p>
            <w:pPr>
              <w:adjustRightInd w:val="0"/>
              <w:snapToGrid w:val="0"/>
              <w:jc w:val="center"/>
              <w:rPr>
                <w:rFonts w:hint="default" w:ascii="Times New Roman" w:hAnsi="Times New Roman" w:eastAsia="宋体" w:cs="Times New Roman"/>
                <w:color w:val="auto"/>
                <w:sz w:val="24"/>
                <w:szCs w:val="24"/>
              </w:rPr>
            </w:pPr>
          </w:p>
        </w:tc>
        <w:tc>
          <w:tcPr>
            <w:tcW w:w="963" w:type="pct"/>
            <w:vMerge w:val="continue"/>
            <w:noWrap w:val="0"/>
            <w:vAlign w:val="center"/>
          </w:tcPr>
          <w:p>
            <w:pPr>
              <w:adjustRightInd w:val="0"/>
              <w:snapToGrid w:val="0"/>
              <w:jc w:val="center"/>
              <w:rPr>
                <w:rFonts w:hint="default" w:ascii="Times New Roman" w:hAnsi="Times New Roman" w:eastAsia="宋体" w:cs="Times New Roman"/>
                <w:color w:val="auto"/>
                <w:sz w:val="24"/>
                <w:szCs w:val="24"/>
              </w:rPr>
            </w:pPr>
          </w:p>
        </w:tc>
        <w:tc>
          <w:tcPr>
            <w:tcW w:w="496" w:type="pct"/>
            <w:vMerge w:val="continue"/>
            <w:noWrap w:val="0"/>
            <w:vAlign w:val="center"/>
          </w:tcPr>
          <w:p>
            <w:pPr>
              <w:adjustRightInd w:val="0"/>
              <w:snapToGrid w:val="0"/>
              <w:jc w:val="center"/>
              <w:rPr>
                <w:rFonts w:hint="default" w:ascii="Times New Roman" w:hAnsi="Times New Roman" w:eastAsia="宋体" w:cs="Times New Roman"/>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739" w:type="pct"/>
            <w:vMerge w:val="continue"/>
            <w:noWrap w:val="0"/>
            <w:vAlign w:val="center"/>
          </w:tcPr>
          <w:p>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rPr>
            </w:pPr>
          </w:p>
        </w:tc>
        <w:tc>
          <w:tcPr>
            <w:tcW w:w="697" w:type="pct"/>
            <w:noWrap w:val="0"/>
            <w:vAlign w:val="center"/>
          </w:tcPr>
          <w:p>
            <w:pPr>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lang w:val="en-US" w:eastAsia="zh-CN"/>
              </w:rPr>
              <w:t>混凝土</w:t>
            </w:r>
            <w:r>
              <w:rPr>
                <w:rFonts w:hint="eastAsia" w:cs="Times New Roman"/>
                <w:color w:val="auto"/>
                <w:sz w:val="24"/>
                <w:szCs w:val="24"/>
                <w:lang w:val="en-US" w:eastAsia="zh-CN"/>
              </w:rPr>
              <w:t>拌合</w:t>
            </w:r>
            <w:r>
              <w:rPr>
                <w:rFonts w:hint="default" w:ascii="Times New Roman" w:hAnsi="Times New Roman" w:cs="Times New Roman"/>
                <w:color w:val="auto"/>
                <w:sz w:val="24"/>
                <w:szCs w:val="24"/>
                <w:lang w:val="en-US" w:eastAsia="zh-CN"/>
              </w:rPr>
              <w:t>扬尘</w:t>
            </w:r>
          </w:p>
        </w:tc>
        <w:tc>
          <w:tcPr>
            <w:tcW w:w="1027" w:type="pct"/>
            <w:noWrap w:val="0"/>
            <w:vAlign w:val="center"/>
          </w:tcPr>
          <w:p>
            <w:pPr>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szCs w:val="24"/>
                <w:lang w:val="en-US" w:eastAsia="zh-CN"/>
              </w:rPr>
              <w:t>设置围挡，洒水降尘</w:t>
            </w:r>
          </w:p>
        </w:tc>
        <w:tc>
          <w:tcPr>
            <w:tcW w:w="1076" w:type="pct"/>
            <w:vMerge w:val="continue"/>
            <w:noWrap w:val="0"/>
            <w:vAlign w:val="center"/>
          </w:tcPr>
          <w:p>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rPr>
            </w:pPr>
          </w:p>
        </w:tc>
        <w:tc>
          <w:tcPr>
            <w:tcW w:w="963" w:type="pct"/>
            <w:vMerge w:val="continue"/>
            <w:noWrap w:val="0"/>
            <w:vAlign w:val="center"/>
          </w:tcPr>
          <w:p>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rPr>
            </w:pPr>
          </w:p>
        </w:tc>
        <w:tc>
          <w:tcPr>
            <w:tcW w:w="496" w:type="pct"/>
            <w:vMerge w:val="continue"/>
            <w:noWrap w:val="0"/>
            <w:vAlign w:val="center"/>
          </w:tcPr>
          <w:p>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739" w:type="pct"/>
            <w:vMerge w:val="restar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固体废物</w:t>
            </w:r>
          </w:p>
        </w:tc>
        <w:tc>
          <w:tcPr>
            <w:tcW w:w="697" w:type="pct"/>
            <w:noWrap w:val="0"/>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弃渣</w:t>
            </w:r>
          </w:p>
        </w:tc>
        <w:tc>
          <w:tcPr>
            <w:tcW w:w="1027" w:type="pct"/>
            <w:noWrap w:val="0"/>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回填于堤后低洼处</w:t>
            </w:r>
          </w:p>
        </w:tc>
        <w:tc>
          <w:tcPr>
            <w:tcW w:w="1076" w:type="pct"/>
            <w:vMerge w:val="restart"/>
            <w:noWrap w:val="0"/>
            <w:vAlign w:val="center"/>
          </w:tcPr>
          <w:p>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妥善处置，不会带来二次污染</w:t>
            </w:r>
          </w:p>
        </w:tc>
        <w:tc>
          <w:tcPr>
            <w:tcW w:w="963" w:type="pct"/>
            <w:vMerge w:val="restart"/>
            <w:noWrap w:val="0"/>
            <w:vAlign w:val="center"/>
          </w:tcPr>
          <w:p>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496" w:type="pct"/>
            <w:vMerge w:val="restart"/>
            <w:noWrap w:val="0"/>
            <w:vAlign w:val="center"/>
          </w:tcPr>
          <w:p>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739" w:type="pct"/>
            <w:vMerge w:val="continue"/>
            <w:noWrap w:val="0"/>
            <w:vAlign w:val="center"/>
          </w:tcPr>
          <w:p>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rPr>
            </w:pPr>
          </w:p>
        </w:tc>
        <w:tc>
          <w:tcPr>
            <w:tcW w:w="697" w:type="pct"/>
            <w:noWrap w:val="0"/>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建筑垃圾</w:t>
            </w:r>
          </w:p>
        </w:tc>
        <w:tc>
          <w:tcPr>
            <w:tcW w:w="1027" w:type="pct"/>
            <w:noWrap w:val="0"/>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回收利用，不能回收的运至市政指定建筑垃圾堆场</w:t>
            </w:r>
          </w:p>
        </w:tc>
        <w:tc>
          <w:tcPr>
            <w:tcW w:w="1076" w:type="pct"/>
            <w:vMerge w:val="continue"/>
            <w:noWrap w:val="0"/>
            <w:vAlign w:val="center"/>
          </w:tcPr>
          <w:p>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rPr>
            </w:pPr>
          </w:p>
        </w:tc>
        <w:tc>
          <w:tcPr>
            <w:tcW w:w="963" w:type="pct"/>
            <w:vMerge w:val="continue"/>
            <w:noWrap w:val="0"/>
            <w:vAlign w:val="center"/>
          </w:tcPr>
          <w:p>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rPr>
            </w:pPr>
          </w:p>
        </w:tc>
        <w:tc>
          <w:tcPr>
            <w:tcW w:w="496" w:type="pct"/>
            <w:vMerge w:val="continue"/>
            <w:noWrap w:val="0"/>
            <w:vAlign w:val="center"/>
          </w:tcPr>
          <w:p>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739" w:type="pct"/>
            <w:vMerge w:val="continue"/>
            <w:noWrap w:val="0"/>
            <w:vAlign w:val="center"/>
          </w:tcPr>
          <w:p>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rPr>
            </w:pPr>
          </w:p>
        </w:tc>
        <w:tc>
          <w:tcPr>
            <w:tcW w:w="697" w:type="pct"/>
            <w:noWrap w:val="0"/>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生活垃圾</w:t>
            </w:r>
          </w:p>
        </w:tc>
        <w:tc>
          <w:tcPr>
            <w:tcW w:w="1027" w:type="pct"/>
            <w:noWrap w:val="0"/>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收集后由环卫部门统一清运</w:t>
            </w:r>
          </w:p>
        </w:tc>
        <w:tc>
          <w:tcPr>
            <w:tcW w:w="1076" w:type="pct"/>
            <w:vMerge w:val="continue"/>
            <w:noWrap w:val="0"/>
            <w:vAlign w:val="center"/>
          </w:tcPr>
          <w:p>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rPr>
            </w:pPr>
          </w:p>
        </w:tc>
        <w:tc>
          <w:tcPr>
            <w:tcW w:w="963" w:type="pct"/>
            <w:vMerge w:val="continue"/>
            <w:noWrap w:val="0"/>
            <w:vAlign w:val="center"/>
          </w:tcPr>
          <w:p>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rPr>
            </w:pPr>
          </w:p>
        </w:tc>
        <w:tc>
          <w:tcPr>
            <w:tcW w:w="496" w:type="pct"/>
            <w:vMerge w:val="continue"/>
            <w:noWrap w:val="0"/>
            <w:vAlign w:val="center"/>
          </w:tcPr>
          <w:p>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739" w:type="pct"/>
            <w:vMerge w:val="continue"/>
            <w:noWrap w:val="0"/>
            <w:vAlign w:val="center"/>
          </w:tcPr>
          <w:p>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rPr>
            </w:pPr>
          </w:p>
        </w:tc>
        <w:tc>
          <w:tcPr>
            <w:tcW w:w="697" w:type="pct"/>
            <w:noWrap w:val="0"/>
            <w:vAlign w:val="center"/>
          </w:tcPr>
          <w:p>
            <w:pPr>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沉淀池底泥</w:t>
            </w:r>
          </w:p>
        </w:tc>
        <w:tc>
          <w:tcPr>
            <w:tcW w:w="1027" w:type="pct"/>
            <w:noWrap w:val="0"/>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回填于堤后低洼处</w:t>
            </w:r>
          </w:p>
        </w:tc>
        <w:tc>
          <w:tcPr>
            <w:tcW w:w="1076" w:type="pct"/>
            <w:vMerge w:val="continue"/>
            <w:noWrap w:val="0"/>
            <w:vAlign w:val="center"/>
          </w:tcPr>
          <w:p>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rPr>
            </w:pPr>
          </w:p>
        </w:tc>
        <w:tc>
          <w:tcPr>
            <w:tcW w:w="963" w:type="pct"/>
            <w:vMerge w:val="continue"/>
            <w:noWrap w:val="0"/>
            <w:vAlign w:val="center"/>
          </w:tcPr>
          <w:p>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rPr>
            </w:pPr>
          </w:p>
        </w:tc>
        <w:tc>
          <w:tcPr>
            <w:tcW w:w="496" w:type="pct"/>
            <w:vMerge w:val="continue"/>
            <w:noWrap w:val="0"/>
            <w:vAlign w:val="center"/>
          </w:tcPr>
          <w:p>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9"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电磁环境</w:t>
            </w:r>
          </w:p>
        </w:tc>
        <w:tc>
          <w:tcPr>
            <w:tcW w:w="1724" w:type="pct"/>
            <w:gridSpan w:val="2"/>
            <w:noWrap w:val="0"/>
            <w:vAlign w:val="center"/>
          </w:tcPr>
          <w:p>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1076" w:type="pct"/>
            <w:noWrap w:val="0"/>
            <w:vAlign w:val="center"/>
          </w:tcPr>
          <w:p>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963" w:type="pct"/>
            <w:noWrap w:val="0"/>
            <w:vAlign w:val="center"/>
          </w:tcPr>
          <w:p>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496" w:type="pct"/>
            <w:noWrap w:val="0"/>
            <w:vAlign w:val="center"/>
          </w:tcPr>
          <w:p>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9"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环境风险</w:t>
            </w:r>
          </w:p>
        </w:tc>
        <w:tc>
          <w:tcPr>
            <w:tcW w:w="1724" w:type="pct"/>
            <w:gridSpan w:val="2"/>
            <w:noWrap w:val="0"/>
            <w:vAlign w:val="center"/>
          </w:tcPr>
          <w:p>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建立完善运营期管理的制度等</w:t>
            </w:r>
          </w:p>
        </w:tc>
        <w:tc>
          <w:tcPr>
            <w:tcW w:w="1076" w:type="pct"/>
            <w:noWrap w:val="0"/>
            <w:vAlign w:val="center"/>
          </w:tcPr>
          <w:p>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不会造成风险影响</w:t>
            </w:r>
          </w:p>
        </w:tc>
        <w:tc>
          <w:tcPr>
            <w:tcW w:w="963" w:type="pct"/>
            <w:noWrap w:val="0"/>
            <w:vAlign w:val="center"/>
          </w:tcPr>
          <w:p>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496" w:type="pct"/>
            <w:noWrap w:val="0"/>
            <w:vAlign w:val="center"/>
          </w:tcPr>
          <w:p>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9"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环境监测</w:t>
            </w:r>
          </w:p>
        </w:tc>
        <w:tc>
          <w:tcPr>
            <w:tcW w:w="1724" w:type="pct"/>
            <w:gridSpan w:val="2"/>
            <w:noWrap w:val="0"/>
            <w:vAlign w:val="center"/>
          </w:tcPr>
          <w:p>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1076" w:type="pct"/>
            <w:noWrap w:val="0"/>
            <w:vAlign w:val="center"/>
          </w:tcPr>
          <w:p>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963" w:type="pct"/>
            <w:noWrap w:val="0"/>
            <w:vAlign w:val="center"/>
          </w:tcPr>
          <w:p>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496" w:type="pct"/>
            <w:noWrap w:val="0"/>
            <w:vAlign w:val="center"/>
          </w:tcPr>
          <w:p>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9"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其他</w:t>
            </w:r>
          </w:p>
        </w:tc>
        <w:tc>
          <w:tcPr>
            <w:tcW w:w="1724" w:type="pct"/>
            <w:gridSpan w:val="2"/>
            <w:noWrap w:val="0"/>
            <w:vAlign w:val="center"/>
          </w:tcPr>
          <w:p>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1076" w:type="pct"/>
            <w:noWrap w:val="0"/>
            <w:vAlign w:val="center"/>
          </w:tcPr>
          <w:p>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963" w:type="pct"/>
            <w:noWrap w:val="0"/>
            <w:vAlign w:val="center"/>
          </w:tcPr>
          <w:p>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496" w:type="pct"/>
            <w:noWrap w:val="0"/>
            <w:vAlign w:val="center"/>
          </w:tcPr>
          <w:p>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r>
    </w:tbl>
    <w:p>
      <w:pPr>
        <w:pStyle w:val="2"/>
        <w:sectPr>
          <w:pgSz w:w="11906" w:h="16838"/>
          <w:pgMar w:top="1440" w:right="1242" w:bottom="1440" w:left="1242"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7"/>
        <w:keepNext w:val="0"/>
        <w:keepLines w:val="0"/>
        <w:pageBreakBefore w:val="0"/>
        <w:kinsoku/>
        <w:wordWrap/>
        <w:overflowPunct/>
        <w:topLinePunct w:val="0"/>
        <w:bidi w:val="0"/>
        <w:adjustRightInd w:val="0"/>
        <w:snapToGrid w:val="0"/>
        <w:jc w:val="center"/>
        <w:textAlignment w:val="auto"/>
        <w:outlineLvl w:val="0"/>
        <w:rPr>
          <w:rFonts w:hint="default" w:ascii="黑体" w:hAnsi="黑体" w:eastAsia="黑体"/>
          <w:snapToGrid w:val="0"/>
          <w:sz w:val="30"/>
          <w:szCs w:val="30"/>
          <w:lang w:val="en-US" w:eastAsia="zh-CN"/>
        </w:rPr>
      </w:pPr>
      <w:r>
        <w:rPr>
          <w:rFonts w:hint="default" w:ascii="黑体" w:hAnsi="黑体" w:eastAsia="黑体"/>
          <w:snapToGrid w:val="0"/>
          <w:sz w:val="30"/>
          <w:szCs w:val="30"/>
          <w:lang w:val="en-US" w:eastAsia="zh-CN"/>
        </w:rPr>
        <w:t>七、结论</w:t>
      </w:r>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noWrap w:val="0"/>
            <w:vAlign w:val="center"/>
          </w:tcPr>
          <w:p>
            <w:pPr>
              <w:keepNext w:val="0"/>
              <w:keepLines w:val="0"/>
              <w:pageBreakBefore w:val="0"/>
              <w:kinsoku/>
              <w:wordWrap/>
              <w:overflowPunct/>
              <w:topLinePunct w:val="0"/>
              <w:autoSpaceDE/>
              <w:autoSpaceDN/>
              <w:bidi w:val="0"/>
              <w:adjustRightInd w:val="0"/>
              <w:snapToGrid w:val="0"/>
              <w:spacing w:line="360" w:lineRule="auto"/>
              <w:ind w:right="0"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Cs/>
                <w:snapToGrid w:val="0"/>
                <w:color w:val="auto"/>
                <w:sz w:val="24"/>
                <w:szCs w:val="24"/>
              </w:rPr>
              <w:t>综上所述，项目建设符合国家产业政策，符合</w:t>
            </w:r>
            <w:r>
              <w:rPr>
                <w:rFonts w:hint="default" w:ascii="Times New Roman" w:hAnsi="Times New Roman" w:eastAsia="宋体" w:cs="Times New Roman"/>
                <w:bCs/>
                <w:snapToGrid w:val="0"/>
                <w:color w:val="auto"/>
                <w:sz w:val="24"/>
                <w:szCs w:val="24"/>
                <w:lang w:eastAsia="zh-CN"/>
              </w:rPr>
              <w:t>《</w:t>
            </w:r>
            <w:r>
              <w:rPr>
                <w:rFonts w:hint="default" w:ascii="Times New Roman" w:hAnsi="Times New Roman" w:eastAsia="宋体" w:cs="Times New Roman"/>
                <w:bCs/>
                <w:snapToGrid w:val="0"/>
                <w:color w:val="auto"/>
                <w:sz w:val="24"/>
                <w:szCs w:val="24"/>
                <w:lang w:val="en-US" w:eastAsia="zh-CN"/>
              </w:rPr>
              <w:t>四川省乐山市临江河防洪治理工程实施规划》（2011年）</w:t>
            </w:r>
            <w:r>
              <w:rPr>
                <w:rFonts w:hint="eastAsia"/>
                <w:color w:val="auto"/>
                <w:sz w:val="24"/>
                <w:szCs w:val="24"/>
                <w:lang w:val="en-US" w:eastAsia="zh-CN"/>
              </w:rPr>
              <w:t>要求</w:t>
            </w:r>
            <w:r>
              <w:rPr>
                <w:rFonts w:hint="default" w:ascii="Times New Roman" w:hAnsi="Times New Roman" w:eastAsia="宋体" w:cs="Times New Roman"/>
                <w:bCs/>
                <w:snapToGrid w:val="0"/>
                <w:color w:val="auto"/>
                <w:sz w:val="24"/>
                <w:szCs w:val="24"/>
              </w:rPr>
              <w:t>，贯彻了“达标排放、文明施工”控制污染方针，采取的“三废”及噪声污染治理措施经济技术可行。工程实施后不会改变地表水、环境空气、声学等环境质量级别和现有功能。在严格落实环境影响报告表提出的环保对策及措施，确保项目所产生的污染物达标排放的前提下，本项目施工期和营运期对周围环境的影响可以控制在允许的范围以内。</w:t>
            </w:r>
            <w:r>
              <w:rPr>
                <w:rFonts w:hint="default" w:ascii="Times New Roman" w:hAnsi="Times New Roman" w:eastAsia="宋体" w:cs="Times New Roman"/>
                <w:b w:val="0"/>
                <w:bCs w:val="0"/>
                <w:snapToGrid w:val="0"/>
                <w:color w:val="auto"/>
                <w:sz w:val="24"/>
                <w:szCs w:val="24"/>
                <w:u w:val="none"/>
              </w:rPr>
              <w:t>从环境保护角度而言，本项目的建设是可行的。</w:t>
            </w:r>
          </w:p>
          <w:p>
            <w:pPr>
              <w:keepNext w:val="0"/>
              <w:keepLines w:val="0"/>
              <w:pageBreakBefore w:val="0"/>
              <w:kinsoku/>
              <w:wordWrap/>
              <w:overflowPunct/>
              <w:topLinePunct w:val="0"/>
              <w:autoSpaceDE/>
              <w:autoSpaceDN/>
              <w:bidi w:val="0"/>
              <w:adjustRightInd w:val="0"/>
              <w:snapToGrid w:val="0"/>
              <w:spacing w:line="360" w:lineRule="auto"/>
              <w:ind w:right="0" w:firstLine="480" w:firstLineChars="200"/>
              <w:jc w:val="both"/>
              <w:textAlignment w:val="auto"/>
              <w:rPr>
                <w:rFonts w:hint="default" w:ascii="Times New Roman" w:hAnsi="Times New Roman" w:eastAsia="宋体" w:cs="Times New Roman"/>
                <w:color w:val="auto"/>
                <w:sz w:val="24"/>
                <w:szCs w:val="24"/>
                <w:lang w:val="en-US" w:eastAsia="zh-CN"/>
              </w:rPr>
            </w:pPr>
          </w:p>
          <w:p>
            <w:pPr>
              <w:pStyle w:val="2"/>
              <w:rPr>
                <w:rFonts w:hint="default" w:ascii="Times New Roman" w:hAnsi="Times New Roman" w:eastAsia="宋体" w:cs="Times New Roman"/>
                <w:color w:val="auto"/>
                <w:sz w:val="24"/>
                <w:szCs w:val="24"/>
                <w:lang w:val="en-US" w:eastAsia="zh-CN"/>
              </w:rPr>
            </w:pPr>
          </w:p>
          <w:p>
            <w:pPr>
              <w:rPr>
                <w:rFonts w:hint="default" w:ascii="Times New Roman" w:hAnsi="Times New Roman" w:eastAsia="宋体" w:cs="Times New Roman"/>
                <w:color w:val="auto"/>
                <w:sz w:val="24"/>
                <w:szCs w:val="24"/>
                <w:lang w:val="en-US" w:eastAsia="zh-CN"/>
              </w:rPr>
            </w:pPr>
          </w:p>
          <w:p>
            <w:pPr>
              <w:pStyle w:val="2"/>
              <w:rPr>
                <w:rFonts w:hint="default" w:ascii="Times New Roman" w:hAnsi="Times New Roman" w:eastAsia="宋体" w:cs="Times New Roman"/>
                <w:color w:val="auto"/>
                <w:sz w:val="24"/>
                <w:szCs w:val="24"/>
                <w:lang w:val="en-US" w:eastAsia="zh-CN"/>
              </w:rPr>
            </w:pPr>
          </w:p>
          <w:p>
            <w:pPr>
              <w:rPr>
                <w:rFonts w:hint="default" w:ascii="Times New Roman" w:hAnsi="Times New Roman" w:eastAsia="宋体" w:cs="Times New Roman"/>
                <w:color w:val="auto"/>
                <w:sz w:val="24"/>
                <w:szCs w:val="24"/>
                <w:lang w:val="en-US" w:eastAsia="zh-CN"/>
              </w:rPr>
            </w:pPr>
          </w:p>
          <w:p>
            <w:pPr>
              <w:pStyle w:val="2"/>
              <w:rPr>
                <w:rFonts w:hint="default" w:ascii="Times New Roman" w:hAnsi="Times New Roman" w:eastAsia="宋体" w:cs="Times New Roman"/>
                <w:color w:val="auto"/>
                <w:sz w:val="24"/>
                <w:szCs w:val="24"/>
                <w:lang w:val="en-US" w:eastAsia="zh-CN"/>
              </w:rPr>
            </w:pPr>
          </w:p>
          <w:p>
            <w:pPr>
              <w:rPr>
                <w:rFonts w:hint="default" w:ascii="Times New Roman" w:hAnsi="Times New Roman" w:eastAsia="宋体" w:cs="Times New Roman"/>
                <w:color w:val="auto"/>
                <w:sz w:val="24"/>
                <w:szCs w:val="24"/>
                <w:lang w:val="en-US" w:eastAsia="zh-CN"/>
              </w:rPr>
            </w:pPr>
          </w:p>
          <w:p>
            <w:pPr>
              <w:pStyle w:val="2"/>
              <w:rPr>
                <w:rFonts w:hint="default" w:ascii="Times New Roman" w:hAnsi="Times New Roman" w:eastAsia="宋体" w:cs="Times New Roman"/>
                <w:color w:val="auto"/>
                <w:sz w:val="24"/>
                <w:szCs w:val="24"/>
                <w:lang w:val="en-US" w:eastAsia="zh-CN"/>
              </w:rPr>
            </w:pPr>
          </w:p>
          <w:p>
            <w:pPr>
              <w:rPr>
                <w:rFonts w:hint="default" w:ascii="Times New Roman" w:hAnsi="Times New Roman" w:eastAsia="宋体" w:cs="Times New Roman"/>
                <w:color w:val="auto"/>
                <w:sz w:val="24"/>
                <w:szCs w:val="24"/>
                <w:lang w:val="en-US" w:eastAsia="zh-CN"/>
              </w:rPr>
            </w:pPr>
          </w:p>
          <w:p>
            <w:pPr>
              <w:pStyle w:val="2"/>
              <w:rPr>
                <w:rFonts w:hint="default" w:ascii="Times New Roman" w:hAnsi="Times New Roman" w:eastAsia="宋体" w:cs="Times New Roman"/>
                <w:color w:val="auto"/>
                <w:sz w:val="24"/>
                <w:szCs w:val="24"/>
                <w:lang w:val="en-US" w:eastAsia="zh-CN"/>
              </w:rPr>
            </w:pPr>
          </w:p>
          <w:p>
            <w:pPr>
              <w:rPr>
                <w:rFonts w:hint="default" w:ascii="Times New Roman" w:hAnsi="Times New Roman" w:eastAsia="宋体" w:cs="Times New Roman"/>
                <w:color w:val="auto"/>
                <w:sz w:val="24"/>
                <w:szCs w:val="24"/>
                <w:lang w:val="en-US" w:eastAsia="zh-CN"/>
              </w:rPr>
            </w:pPr>
          </w:p>
          <w:p>
            <w:pPr>
              <w:pStyle w:val="2"/>
              <w:rPr>
                <w:rFonts w:hint="default" w:ascii="Times New Roman" w:hAnsi="Times New Roman" w:eastAsia="宋体" w:cs="Times New Roman"/>
                <w:color w:val="auto"/>
                <w:sz w:val="24"/>
                <w:szCs w:val="24"/>
                <w:lang w:val="en-US" w:eastAsia="zh-CN"/>
              </w:rPr>
            </w:pPr>
          </w:p>
          <w:p>
            <w:pPr>
              <w:rPr>
                <w:rFonts w:hint="default" w:ascii="Times New Roman" w:hAnsi="Times New Roman" w:eastAsia="宋体" w:cs="Times New Roman"/>
                <w:color w:val="auto"/>
                <w:sz w:val="24"/>
                <w:szCs w:val="24"/>
                <w:lang w:val="en-US" w:eastAsia="zh-CN"/>
              </w:rPr>
            </w:pPr>
          </w:p>
          <w:p>
            <w:pPr>
              <w:pStyle w:val="2"/>
              <w:rPr>
                <w:rFonts w:hint="default" w:ascii="Times New Roman" w:hAnsi="Times New Roman" w:eastAsia="宋体" w:cs="Times New Roman"/>
                <w:color w:val="auto"/>
                <w:sz w:val="24"/>
                <w:szCs w:val="24"/>
                <w:lang w:val="en-US" w:eastAsia="zh-CN"/>
              </w:rPr>
            </w:pPr>
          </w:p>
          <w:p>
            <w:pPr>
              <w:rPr>
                <w:rFonts w:hint="default" w:ascii="Times New Roman" w:hAnsi="Times New Roman" w:eastAsia="宋体" w:cs="Times New Roman"/>
                <w:color w:val="auto"/>
                <w:sz w:val="24"/>
                <w:szCs w:val="24"/>
                <w:lang w:val="en-US" w:eastAsia="zh-CN"/>
              </w:rPr>
            </w:pPr>
          </w:p>
          <w:p>
            <w:pPr>
              <w:pStyle w:val="2"/>
              <w:rPr>
                <w:rFonts w:hint="default" w:ascii="Times New Roman" w:hAnsi="Times New Roman" w:eastAsia="宋体" w:cs="Times New Roman"/>
                <w:color w:val="auto"/>
                <w:sz w:val="24"/>
                <w:szCs w:val="24"/>
                <w:lang w:val="en-US" w:eastAsia="zh-CN"/>
              </w:rPr>
            </w:pPr>
          </w:p>
          <w:p>
            <w:pPr>
              <w:rPr>
                <w:rFonts w:hint="default" w:ascii="Times New Roman" w:hAnsi="Times New Roman" w:eastAsia="宋体" w:cs="Times New Roman"/>
                <w:color w:val="auto"/>
                <w:sz w:val="24"/>
                <w:szCs w:val="24"/>
                <w:lang w:val="en-US" w:eastAsia="zh-CN"/>
              </w:rPr>
            </w:pPr>
          </w:p>
          <w:p>
            <w:pPr>
              <w:pStyle w:val="2"/>
              <w:rPr>
                <w:rFonts w:hint="default"/>
                <w:lang w:val="en-US" w:eastAsia="zh-CN"/>
              </w:rPr>
            </w:pPr>
          </w:p>
          <w:p>
            <w:pPr>
              <w:keepNext w:val="0"/>
              <w:keepLines w:val="0"/>
              <w:pageBreakBefore w:val="0"/>
              <w:kinsoku/>
              <w:wordWrap/>
              <w:overflowPunct/>
              <w:topLinePunct w:val="0"/>
              <w:autoSpaceDE/>
              <w:autoSpaceDN/>
              <w:bidi w:val="0"/>
              <w:adjustRightInd w:val="0"/>
              <w:snapToGrid w:val="0"/>
              <w:spacing w:line="360" w:lineRule="auto"/>
              <w:ind w:right="0" w:firstLine="480" w:firstLineChars="200"/>
              <w:jc w:val="both"/>
              <w:textAlignment w:val="auto"/>
              <w:rPr>
                <w:rFonts w:hint="default" w:ascii="Times New Roman" w:hAnsi="Times New Roman" w:eastAsia="宋体" w:cs="Times New Roman"/>
                <w:color w:val="auto"/>
                <w:sz w:val="24"/>
                <w:szCs w:val="24"/>
                <w:lang w:val="en-US" w:eastAsia="zh-CN"/>
              </w:rPr>
            </w:pPr>
          </w:p>
          <w:p>
            <w:pPr>
              <w:keepNext w:val="0"/>
              <w:keepLines w:val="0"/>
              <w:pageBreakBefore w:val="0"/>
              <w:kinsoku/>
              <w:wordWrap/>
              <w:overflowPunct/>
              <w:topLinePunct w:val="0"/>
              <w:autoSpaceDE/>
              <w:autoSpaceDN/>
              <w:bidi w:val="0"/>
              <w:adjustRightInd w:val="0"/>
              <w:snapToGrid w:val="0"/>
              <w:spacing w:line="360" w:lineRule="auto"/>
              <w:ind w:right="0" w:firstLine="480" w:firstLineChars="200"/>
              <w:jc w:val="both"/>
              <w:textAlignment w:val="auto"/>
              <w:rPr>
                <w:rFonts w:hint="default" w:ascii="Times New Roman" w:hAnsi="Times New Roman" w:eastAsia="宋体" w:cs="Times New Roman"/>
                <w:color w:val="auto"/>
                <w:sz w:val="24"/>
                <w:szCs w:val="24"/>
                <w:lang w:val="en-US" w:eastAsia="zh-CN"/>
              </w:rPr>
            </w:pPr>
          </w:p>
          <w:p>
            <w:pPr>
              <w:keepNext w:val="0"/>
              <w:keepLines w:val="0"/>
              <w:pageBreakBefore w:val="0"/>
              <w:kinsoku/>
              <w:wordWrap/>
              <w:overflowPunct/>
              <w:topLinePunct w:val="0"/>
              <w:autoSpaceDE/>
              <w:autoSpaceDN/>
              <w:bidi w:val="0"/>
              <w:adjustRightInd w:val="0"/>
              <w:snapToGrid w:val="0"/>
              <w:spacing w:line="360" w:lineRule="auto"/>
              <w:ind w:right="0" w:firstLine="480" w:firstLineChars="200"/>
              <w:jc w:val="both"/>
              <w:textAlignment w:val="auto"/>
              <w:rPr>
                <w:rFonts w:hint="default" w:ascii="Times New Roman" w:hAnsi="Times New Roman" w:eastAsia="宋体" w:cs="Times New Roman"/>
                <w:color w:val="auto"/>
                <w:sz w:val="24"/>
                <w:szCs w:val="24"/>
                <w:lang w:val="en-US" w:eastAsia="zh-CN"/>
              </w:rPr>
            </w:pPr>
          </w:p>
          <w:p>
            <w:pPr>
              <w:keepNext w:val="0"/>
              <w:keepLines w:val="0"/>
              <w:pageBreakBefore w:val="0"/>
              <w:kinsoku/>
              <w:wordWrap/>
              <w:overflowPunct/>
              <w:topLinePunct w:val="0"/>
              <w:autoSpaceDE/>
              <w:autoSpaceDN/>
              <w:bidi w:val="0"/>
              <w:adjustRightInd w:val="0"/>
              <w:snapToGrid w:val="0"/>
              <w:spacing w:line="360" w:lineRule="auto"/>
              <w:ind w:right="0" w:firstLine="480" w:firstLineChars="200"/>
              <w:jc w:val="both"/>
              <w:textAlignment w:val="auto"/>
              <w:rPr>
                <w:rFonts w:hint="default" w:ascii="Times New Roman" w:hAnsi="Times New Roman" w:eastAsia="宋体" w:cs="Times New Roman"/>
                <w:color w:val="auto"/>
                <w:sz w:val="24"/>
                <w:szCs w:val="24"/>
                <w:lang w:val="en-US" w:eastAsia="zh-CN"/>
              </w:rPr>
            </w:pPr>
          </w:p>
          <w:p>
            <w:pPr>
              <w:keepNext w:val="0"/>
              <w:keepLines w:val="0"/>
              <w:pageBreakBefore w:val="0"/>
              <w:kinsoku/>
              <w:wordWrap/>
              <w:overflowPunct/>
              <w:topLinePunct w:val="0"/>
              <w:autoSpaceDE/>
              <w:autoSpaceDN/>
              <w:bidi w:val="0"/>
              <w:adjustRightInd w:val="0"/>
              <w:snapToGrid w:val="0"/>
              <w:spacing w:line="360" w:lineRule="auto"/>
              <w:ind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 </w:t>
            </w:r>
          </w:p>
        </w:tc>
      </w:tr>
    </w:tbl>
    <w:p/>
    <w:p>
      <w:pPr>
        <w:rPr>
          <w:rFonts w:hint="eastAsia" w:ascii="仿宋_GB2312" w:hAnsi="仿宋_GB2312" w:eastAsia="仿宋_GB2312" w:cs="仿宋_GB2312"/>
          <w:sz w:val="36"/>
          <w:szCs w:val="36"/>
        </w:rPr>
      </w:pPr>
    </w:p>
    <w:p>
      <w:pPr>
        <w:pStyle w:val="40"/>
        <w:rPr>
          <w:rFonts w:hint="eastAsia" w:ascii="仿宋_GB2312" w:hAnsi="仿宋_GB2312" w:eastAsia="仿宋_GB2312" w:cs="仿宋_GB2312"/>
          <w:sz w:val="36"/>
          <w:szCs w:val="36"/>
        </w:rPr>
      </w:pPr>
    </w:p>
    <w:p>
      <w:pPr>
        <w:rPr>
          <w:rFonts w:hint="eastAsia" w:ascii="仿宋_GB2312" w:hAnsi="仿宋_GB2312" w:eastAsia="仿宋_GB2312" w:cs="仿宋_GB2312"/>
          <w:sz w:val="36"/>
          <w:szCs w:val="36"/>
        </w:rPr>
      </w:pPr>
    </w:p>
    <w:p>
      <w:pPr>
        <w:pStyle w:val="40"/>
        <w:rPr>
          <w:rFonts w:hint="eastAsia" w:ascii="仿宋_GB2312" w:hAnsi="仿宋_GB2312" w:eastAsia="仿宋_GB2312" w:cs="仿宋_GB2312"/>
          <w:sz w:val="36"/>
          <w:szCs w:val="36"/>
        </w:rPr>
      </w:pPr>
    </w:p>
    <w:p>
      <w:pPr>
        <w:rPr>
          <w:rFonts w:hint="eastAsia" w:ascii="仿宋_GB2312" w:hAnsi="仿宋_GB2312" w:eastAsia="仿宋_GB2312" w:cs="仿宋_GB2312"/>
          <w:sz w:val="36"/>
          <w:szCs w:val="36"/>
        </w:rPr>
      </w:pPr>
    </w:p>
    <w:p>
      <w:pPr>
        <w:pStyle w:val="40"/>
        <w:rPr>
          <w:rFonts w:hint="eastAsia" w:ascii="仿宋_GB2312" w:hAnsi="仿宋_GB2312" w:eastAsia="仿宋_GB2312" w:cs="仿宋_GB2312"/>
          <w:sz w:val="36"/>
          <w:szCs w:val="36"/>
        </w:rPr>
      </w:pPr>
    </w:p>
    <w:p>
      <w:pPr>
        <w:rPr>
          <w:rFonts w:hint="eastAsia" w:ascii="仿宋_GB2312" w:hAnsi="仿宋_GB2312" w:eastAsia="仿宋_GB2312" w:cs="仿宋_GB2312"/>
          <w:sz w:val="36"/>
          <w:szCs w:val="36"/>
        </w:rPr>
      </w:pPr>
    </w:p>
    <w:p>
      <w:pPr>
        <w:pStyle w:val="40"/>
        <w:rPr>
          <w:rFonts w:hint="eastAsia" w:ascii="仿宋_GB2312" w:hAnsi="仿宋_GB2312" w:eastAsia="仿宋_GB2312" w:cs="仿宋_GB2312"/>
          <w:sz w:val="36"/>
          <w:szCs w:val="36"/>
        </w:rPr>
      </w:pPr>
    </w:p>
    <w:p>
      <w:pPr>
        <w:rPr>
          <w:rFonts w:hint="eastAsia" w:ascii="仿宋_GB2312" w:hAnsi="仿宋_GB2312" w:eastAsia="仿宋_GB2312" w:cs="仿宋_GB2312"/>
          <w:sz w:val="36"/>
          <w:szCs w:val="36"/>
        </w:rPr>
      </w:pPr>
    </w:p>
    <w:p>
      <w:pPr>
        <w:pStyle w:val="40"/>
        <w:rPr>
          <w:rFonts w:hint="eastAsia" w:ascii="仿宋_GB2312" w:hAnsi="仿宋_GB2312" w:eastAsia="仿宋_GB2312" w:cs="仿宋_GB2312"/>
          <w:sz w:val="36"/>
          <w:szCs w:val="36"/>
        </w:rPr>
      </w:pPr>
    </w:p>
    <w:p>
      <w:pPr>
        <w:rPr>
          <w:rFonts w:hint="eastAsia" w:ascii="仿宋_GB2312" w:hAnsi="仿宋_GB2312" w:eastAsia="仿宋_GB2312" w:cs="仿宋_GB2312"/>
          <w:sz w:val="36"/>
          <w:szCs w:val="36"/>
        </w:rPr>
      </w:pPr>
    </w:p>
    <w:p>
      <w:pPr>
        <w:keepNext w:val="0"/>
        <w:keepLines w:val="0"/>
        <w:pageBreakBefore w:val="0"/>
        <w:kinsoku/>
        <w:wordWrap/>
        <w:overflowPunct/>
        <w:topLinePunct w:val="0"/>
        <w:bidi w:val="0"/>
        <w:adjustRightInd w:val="0"/>
        <w:snapToGrid w:val="0"/>
        <w:textAlignment w:val="auto"/>
        <w:rPr>
          <w:rFonts w:hint="default" w:ascii="Times New Roman" w:hAnsi="Times New Roman" w:eastAsia="仿宋_GB2312" w:cs="Times New Roman"/>
          <w:sz w:val="36"/>
          <w:szCs w:val="36"/>
        </w:rPr>
      </w:pPr>
      <w:bookmarkStart w:id="18" w:name="_Hlk57883707"/>
    </w:p>
    <w:p>
      <w:pPr>
        <w:keepNext w:val="0"/>
        <w:keepLines w:val="0"/>
        <w:pageBreakBefore w:val="0"/>
        <w:kinsoku/>
        <w:wordWrap/>
        <w:overflowPunct/>
        <w:topLinePunct w:val="0"/>
        <w:bidi w:val="0"/>
        <w:adjustRightInd w:val="0"/>
        <w:snapToGrid w:val="0"/>
        <w:textAlignment w:val="auto"/>
        <w:rPr>
          <w:rFonts w:hint="default" w:ascii="Times New Roman" w:hAnsi="Times New Roman" w:eastAsia="仿宋_GB2312" w:cs="Times New Roman"/>
          <w:sz w:val="36"/>
          <w:szCs w:val="36"/>
        </w:rPr>
      </w:pPr>
    </w:p>
    <w:p>
      <w:pPr>
        <w:keepNext w:val="0"/>
        <w:keepLines w:val="0"/>
        <w:pageBreakBefore w:val="0"/>
        <w:kinsoku/>
        <w:wordWrap/>
        <w:overflowPunct/>
        <w:topLinePunct w:val="0"/>
        <w:bidi w:val="0"/>
        <w:adjustRightInd w:val="0"/>
        <w:snapToGrid w:val="0"/>
        <w:textAlignment w:val="auto"/>
        <w:rPr>
          <w:rFonts w:hint="default" w:ascii="Times New Roman" w:hAnsi="Times New Roman" w:eastAsia="仿宋_GB2312" w:cs="Times New Roman"/>
          <w:sz w:val="36"/>
          <w:szCs w:val="36"/>
        </w:rPr>
      </w:pPr>
    </w:p>
    <w:p>
      <w:pPr>
        <w:keepNext w:val="0"/>
        <w:keepLines w:val="0"/>
        <w:pageBreakBefore w:val="0"/>
        <w:kinsoku/>
        <w:wordWrap/>
        <w:overflowPunct/>
        <w:topLinePunct w:val="0"/>
        <w:bidi w:val="0"/>
        <w:adjustRightInd w:val="0"/>
        <w:snapToGrid w:val="0"/>
        <w:textAlignment w:val="auto"/>
        <w:rPr>
          <w:rFonts w:hint="default" w:ascii="Times New Roman" w:hAnsi="Times New Roman" w:eastAsia="仿宋_GB2312" w:cs="Times New Roman"/>
          <w:sz w:val="36"/>
          <w:szCs w:val="36"/>
        </w:rPr>
      </w:pPr>
    </w:p>
    <w:bookmarkEnd w:id="18"/>
    <w:p>
      <w:pPr>
        <w:keepNext w:val="0"/>
        <w:keepLines w:val="0"/>
        <w:pageBreakBefore w:val="0"/>
        <w:kinsoku/>
        <w:wordWrap/>
        <w:overflowPunct/>
        <w:topLinePunct w:val="0"/>
        <w:bidi w:val="0"/>
        <w:adjustRightInd w:val="0"/>
        <w:snapToGrid w:val="0"/>
        <w:jc w:val="center"/>
        <w:textAlignment w:val="auto"/>
        <w:outlineLvl w:val="0"/>
        <w:rPr>
          <w:rFonts w:hint="default" w:ascii="Times New Roman" w:hAnsi="Times New Roman" w:eastAsia="方正小标宋_GBK" w:cs="Times New Roman"/>
          <w:bCs/>
          <w:sz w:val="72"/>
          <w:szCs w:val="72"/>
        </w:rPr>
      </w:pPr>
      <w:r>
        <w:rPr>
          <w:rFonts w:hint="default" w:ascii="Times New Roman" w:hAnsi="Times New Roman" w:eastAsia="方正小标宋_GBK" w:cs="Times New Roman"/>
          <w:bCs/>
          <w:sz w:val="72"/>
          <w:szCs w:val="72"/>
        </w:rPr>
        <w:t>建设项目环境影响报告表</w:t>
      </w:r>
    </w:p>
    <w:p>
      <w:pPr>
        <w:keepNext w:val="0"/>
        <w:keepLines w:val="0"/>
        <w:pageBreakBefore w:val="0"/>
        <w:kinsoku/>
        <w:wordWrap/>
        <w:overflowPunct/>
        <w:topLinePunct w:val="0"/>
        <w:bidi w:val="0"/>
        <w:adjustRightInd w:val="0"/>
        <w:snapToGrid w:val="0"/>
        <w:spacing w:before="192" w:beforeLines="80"/>
        <w:jc w:val="center"/>
        <w:textAlignment w:val="auto"/>
        <w:rPr>
          <w:rFonts w:hint="default" w:ascii="Times New Roman" w:hAnsi="Times New Roman" w:eastAsia="楷体_GB2312" w:cs="Times New Roman"/>
          <w:bCs/>
          <w:sz w:val="48"/>
          <w:szCs w:val="48"/>
        </w:rPr>
      </w:pPr>
      <w:r>
        <w:rPr>
          <w:rFonts w:hint="default" w:ascii="Times New Roman" w:hAnsi="Times New Roman" w:eastAsia="楷体_GB2312" w:cs="Times New Roman"/>
          <w:bCs/>
          <w:sz w:val="48"/>
          <w:szCs w:val="48"/>
        </w:rPr>
        <w:t>（生态影响类）</w:t>
      </w:r>
    </w:p>
    <w:p>
      <w:pPr>
        <w:keepNext w:val="0"/>
        <w:keepLines w:val="0"/>
        <w:pageBreakBefore w:val="0"/>
        <w:kinsoku/>
        <w:wordWrap/>
        <w:overflowPunct/>
        <w:topLinePunct w:val="0"/>
        <w:bidi w:val="0"/>
        <w:adjustRightInd w:val="0"/>
        <w:snapToGrid w:val="0"/>
        <w:spacing w:before="192" w:beforeLines="80"/>
        <w:jc w:val="center"/>
        <w:textAlignment w:val="auto"/>
        <w:rPr>
          <w:rFonts w:hint="default" w:ascii="Times New Roman" w:hAnsi="Times New Roman" w:eastAsia="楷体_GB2312" w:cs="Times New Roman"/>
          <w:bCs/>
          <w:sz w:val="48"/>
          <w:szCs w:val="48"/>
          <w:lang w:eastAsia="zh-CN"/>
        </w:rPr>
      </w:pPr>
      <w:bookmarkStart w:id="19" w:name="_Hlk57883728"/>
      <w:r>
        <w:rPr>
          <w:rFonts w:hint="default" w:ascii="Times New Roman" w:hAnsi="Times New Roman" w:eastAsia="楷体_GB2312" w:cs="Times New Roman"/>
          <w:bCs/>
          <w:sz w:val="48"/>
          <w:szCs w:val="48"/>
          <w:lang w:eastAsia="zh-CN"/>
        </w:rPr>
        <w:t>（</w:t>
      </w:r>
      <w:r>
        <w:rPr>
          <w:rFonts w:hint="eastAsia" w:ascii="Times New Roman" w:hAnsi="Times New Roman" w:eastAsia="楷体_GB2312" w:cs="Times New Roman"/>
          <w:bCs/>
          <w:sz w:val="48"/>
          <w:szCs w:val="48"/>
          <w:lang w:val="en-US" w:eastAsia="zh-CN"/>
        </w:rPr>
        <w:t>送审稿</w:t>
      </w:r>
      <w:r>
        <w:rPr>
          <w:rFonts w:hint="default" w:ascii="Times New Roman" w:hAnsi="Times New Roman" w:eastAsia="楷体_GB2312" w:cs="Times New Roman"/>
          <w:bCs/>
          <w:sz w:val="48"/>
          <w:szCs w:val="48"/>
          <w:lang w:eastAsia="zh-CN"/>
        </w:rPr>
        <w:t>）</w:t>
      </w:r>
    </w:p>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仿宋" w:cs="Times New Roman"/>
          <w:sz w:val="52"/>
          <w:szCs w:val="52"/>
        </w:rPr>
      </w:pPr>
    </w:p>
    <w:p>
      <w:pPr>
        <w:keepNext w:val="0"/>
        <w:keepLines w:val="0"/>
        <w:pageBreakBefore w:val="0"/>
        <w:widowControl w:val="0"/>
        <w:kinsoku/>
        <w:wordWrap/>
        <w:overflowPunct/>
        <w:topLinePunct w:val="0"/>
        <w:autoSpaceDE/>
        <w:autoSpaceDN/>
        <w:bidi w:val="0"/>
        <w:adjustRightInd w:val="0"/>
        <w:snapToGrid w:val="0"/>
        <w:ind w:firstLine="0"/>
        <w:jc w:val="center"/>
        <w:textAlignment w:val="auto"/>
        <w:rPr>
          <w:rFonts w:hint="default" w:ascii="Times New Roman" w:hAnsi="Times New Roman" w:eastAsia="仿宋" w:cs="Times New Roman"/>
          <w:sz w:val="44"/>
          <w:szCs w:val="44"/>
        </w:rPr>
      </w:pPr>
    </w:p>
    <w:p>
      <w:pPr>
        <w:keepNext w:val="0"/>
        <w:keepLines w:val="0"/>
        <w:pageBreakBefore w:val="0"/>
        <w:kinsoku/>
        <w:wordWrap/>
        <w:overflowPunct/>
        <w:topLinePunct w:val="0"/>
        <w:bidi w:val="0"/>
        <w:adjustRightInd w:val="0"/>
        <w:snapToGrid w:val="0"/>
        <w:ind w:firstLine="1040"/>
        <w:textAlignment w:val="auto"/>
        <w:rPr>
          <w:rFonts w:hint="default" w:ascii="Times New Roman" w:hAnsi="Times New Roman" w:eastAsia="仿宋" w:cs="Times New Roman"/>
          <w:sz w:val="44"/>
          <w:szCs w:val="44"/>
        </w:rPr>
      </w:pPr>
    </w:p>
    <w:p>
      <w:pPr>
        <w:keepNext w:val="0"/>
        <w:keepLines w:val="0"/>
        <w:pageBreakBefore w:val="0"/>
        <w:kinsoku/>
        <w:wordWrap/>
        <w:overflowPunct/>
        <w:topLinePunct w:val="0"/>
        <w:bidi w:val="0"/>
        <w:adjustRightInd w:val="0"/>
        <w:snapToGrid w:val="0"/>
        <w:ind w:firstLine="1040"/>
        <w:textAlignment w:val="auto"/>
        <w:rPr>
          <w:rFonts w:hint="default" w:ascii="Times New Roman" w:hAnsi="Times New Roman" w:eastAsia="仿宋" w:cs="Times New Roman"/>
          <w:sz w:val="44"/>
          <w:szCs w:val="44"/>
        </w:rPr>
      </w:pPr>
    </w:p>
    <w:p>
      <w:pPr>
        <w:keepNext w:val="0"/>
        <w:keepLines w:val="0"/>
        <w:pageBreakBefore w:val="0"/>
        <w:kinsoku/>
        <w:wordWrap/>
        <w:overflowPunct/>
        <w:topLinePunct w:val="0"/>
        <w:bidi w:val="0"/>
        <w:adjustRightInd w:val="0"/>
        <w:snapToGrid w:val="0"/>
        <w:ind w:firstLine="1040"/>
        <w:textAlignment w:val="auto"/>
        <w:rPr>
          <w:rFonts w:hint="default" w:ascii="Times New Roman" w:hAnsi="Times New Roman" w:eastAsia="仿宋" w:cs="Times New Roman"/>
          <w:sz w:val="44"/>
          <w:szCs w:val="44"/>
        </w:rPr>
      </w:pPr>
    </w:p>
    <w:bookmarkEnd w:id="19"/>
    <w:p>
      <w:pPr>
        <w:adjustRightInd w:val="0"/>
        <w:snapToGrid w:val="0"/>
        <w:spacing w:line="288" w:lineRule="auto"/>
        <w:ind w:firstLine="1040"/>
        <w:jc w:val="center"/>
        <w:rPr>
          <w:rFonts w:hint="default" w:ascii="Times New Roman" w:hAnsi="Times New Roman" w:cs="Times New Roman"/>
          <w:color w:val="auto"/>
          <w:spacing w:val="0"/>
          <w:kern w:val="21"/>
          <w:szCs w:val="21"/>
          <w:lang w:val="en-US" w:eastAsia="zh-CN"/>
        </w:rPr>
      </w:pPr>
      <w:r>
        <w:rPr>
          <w:rFonts w:hint="default" w:ascii="Times New Roman" w:hAnsi="Times New Roman" w:eastAsia="仿宋_GB2312" w:cs="Times New Roman"/>
          <w:b/>
          <w:bCs/>
          <w:spacing w:val="0"/>
          <w:kern w:val="21"/>
          <w:sz w:val="36"/>
          <w:szCs w:val="36"/>
        </w:rPr>
        <w:t>项目名称：</w:t>
      </w:r>
      <w:r>
        <w:rPr>
          <w:rFonts w:hint="default" w:ascii="Times New Roman" w:hAnsi="Times New Roman" w:eastAsia="仿宋_GB2312" w:cs="Times New Roman"/>
          <w:color w:val="auto"/>
          <w:spacing w:val="0"/>
          <w:kern w:val="21"/>
          <w:sz w:val="36"/>
          <w:szCs w:val="36"/>
          <w:u w:val="single"/>
          <w:lang w:val="en-US" w:eastAsia="zh-CN"/>
        </w:rPr>
        <w:t>乐山市</w:t>
      </w:r>
      <w:r>
        <w:rPr>
          <w:rFonts w:hint="eastAsia" w:ascii="Times New Roman" w:hAnsi="Times New Roman" w:eastAsia="仿宋_GB2312" w:cs="Times New Roman"/>
          <w:color w:val="auto"/>
          <w:spacing w:val="0"/>
          <w:kern w:val="21"/>
          <w:sz w:val="36"/>
          <w:szCs w:val="36"/>
          <w:u w:val="single"/>
          <w:lang w:val="en-US" w:eastAsia="zh-CN"/>
        </w:rPr>
        <w:t>市中区苏稽峨眉河安福堰综合整治工程</w:t>
      </w:r>
    </w:p>
    <w:p>
      <w:pPr>
        <w:keepNext w:val="0"/>
        <w:keepLines w:val="0"/>
        <w:pageBreakBefore w:val="0"/>
        <w:widowControl w:val="0"/>
        <w:kinsoku/>
        <w:wordWrap/>
        <w:overflowPunct/>
        <w:topLinePunct w:val="0"/>
        <w:autoSpaceDE/>
        <w:autoSpaceDN/>
        <w:bidi w:val="0"/>
        <w:adjustRightInd w:val="0"/>
        <w:snapToGrid w:val="0"/>
        <w:spacing w:line="360" w:lineRule="auto"/>
        <w:ind w:firstLine="1037"/>
        <w:textAlignment w:val="auto"/>
        <w:rPr>
          <w:rFonts w:hint="default" w:ascii="Times New Roman" w:hAnsi="Times New Roman" w:eastAsia="仿宋_GB2312" w:cs="Times New Roman"/>
          <w:color w:val="0000FF"/>
          <w:spacing w:val="0"/>
          <w:kern w:val="21"/>
          <w:sz w:val="36"/>
          <w:szCs w:val="36"/>
          <w:u w:val="single"/>
        </w:rPr>
      </w:pPr>
      <w:r>
        <w:rPr>
          <w:rFonts w:hint="default" w:ascii="Times New Roman" w:hAnsi="Times New Roman" w:eastAsia="仿宋_GB2312" w:cs="Times New Roman"/>
          <w:b/>
          <w:bCs/>
          <w:spacing w:val="0"/>
          <w:kern w:val="21"/>
          <w:sz w:val="36"/>
          <w:szCs w:val="36"/>
        </w:rPr>
        <w:t>建设单位（盖章）：</w:t>
      </w:r>
      <w:r>
        <w:rPr>
          <w:rFonts w:hint="eastAsia" w:ascii="Times New Roman" w:hAnsi="Times New Roman" w:eastAsia="仿宋_GB2312" w:cs="Times New Roman"/>
          <w:color w:val="auto"/>
          <w:spacing w:val="0"/>
          <w:kern w:val="21"/>
          <w:sz w:val="36"/>
          <w:szCs w:val="36"/>
          <w:u w:val="single"/>
          <w:lang w:val="en-US" w:eastAsia="zh-CN"/>
        </w:rPr>
        <w:t>乐山嘉和投资有限责任公司</w:t>
      </w:r>
    </w:p>
    <w:p>
      <w:pPr>
        <w:keepNext w:val="0"/>
        <w:keepLines w:val="0"/>
        <w:pageBreakBefore w:val="0"/>
        <w:kinsoku/>
        <w:wordWrap/>
        <w:overflowPunct/>
        <w:topLinePunct w:val="0"/>
        <w:bidi w:val="0"/>
        <w:adjustRightInd w:val="0"/>
        <w:snapToGrid w:val="0"/>
        <w:spacing w:line="288" w:lineRule="auto"/>
        <w:ind w:firstLine="1040"/>
        <w:textAlignment w:val="auto"/>
        <w:rPr>
          <w:rFonts w:hint="default" w:ascii="Times New Roman" w:hAnsi="Times New Roman" w:eastAsia="仿宋_GB2312" w:cs="Times New Roman"/>
          <w:sz w:val="36"/>
          <w:szCs w:val="36"/>
          <w:u w:val="single"/>
          <w:lang w:val="en-US" w:eastAsia="zh-CN"/>
        </w:rPr>
      </w:pPr>
      <w:r>
        <w:rPr>
          <w:rFonts w:hint="default" w:ascii="Times New Roman" w:hAnsi="Times New Roman" w:eastAsia="仿宋_GB2312" w:cs="Times New Roman"/>
          <w:b/>
          <w:bCs/>
          <w:spacing w:val="0"/>
          <w:kern w:val="21"/>
          <w:sz w:val="36"/>
          <w:szCs w:val="36"/>
        </w:rPr>
        <w:t>编制日期：</w:t>
      </w:r>
      <w:r>
        <w:rPr>
          <w:rFonts w:hint="default" w:ascii="Times New Roman" w:hAnsi="Times New Roman" w:eastAsia="仿宋_GB2312" w:cs="Times New Roman"/>
          <w:spacing w:val="0"/>
          <w:kern w:val="21"/>
          <w:sz w:val="36"/>
          <w:szCs w:val="36"/>
          <w:u w:val="single"/>
          <w:lang w:val="en-US" w:eastAsia="zh-CN"/>
        </w:rPr>
        <w:t>2</w:t>
      </w:r>
      <w:r>
        <w:rPr>
          <w:rFonts w:hint="default" w:ascii="Times New Roman" w:hAnsi="Times New Roman" w:eastAsia="仿宋_GB2312" w:cs="Times New Roman"/>
          <w:color w:val="auto"/>
          <w:spacing w:val="0"/>
          <w:kern w:val="21"/>
          <w:sz w:val="36"/>
          <w:szCs w:val="36"/>
          <w:u w:val="single"/>
          <w:lang w:val="en-US" w:eastAsia="zh-CN"/>
        </w:rPr>
        <w:t>02</w:t>
      </w:r>
      <w:r>
        <w:rPr>
          <w:rFonts w:hint="eastAsia" w:ascii="Times New Roman" w:hAnsi="Times New Roman" w:eastAsia="仿宋_GB2312" w:cs="Times New Roman"/>
          <w:color w:val="auto"/>
          <w:spacing w:val="0"/>
          <w:kern w:val="21"/>
          <w:sz w:val="36"/>
          <w:szCs w:val="36"/>
          <w:u w:val="single"/>
          <w:lang w:val="en-US" w:eastAsia="zh-CN"/>
        </w:rPr>
        <w:t>3</w:t>
      </w:r>
      <w:r>
        <w:rPr>
          <w:rFonts w:hint="default" w:ascii="Times New Roman" w:hAnsi="Times New Roman" w:eastAsia="仿宋_GB2312" w:cs="Times New Roman"/>
          <w:color w:val="auto"/>
          <w:spacing w:val="0"/>
          <w:kern w:val="21"/>
          <w:sz w:val="36"/>
          <w:szCs w:val="36"/>
          <w:u w:val="single"/>
          <w:lang w:val="en-US" w:eastAsia="zh-CN"/>
        </w:rPr>
        <w:t>年</w:t>
      </w:r>
      <w:r>
        <w:rPr>
          <w:rFonts w:hint="eastAsia" w:ascii="Times New Roman" w:hAnsi="Times New Roman" w:eastAsia="仿宋_GB2312" w:cs="Times New Roman"/>
          <w:color w:val="auto"/>
          <w:spacing w:val="0"/>
          <w:kern w:val="21"/>
          <w:sz w:val="36"/>
          <w:szCs w:val="36"/>
          <w:u w:val="single"/>
          <w:lang w:val="en-US" w:eastAsia="zh-CN"/>
        </w:rPr>
        <w:t>4</w:t>
      </w:r>
      <w:r>
        <w:rPr>
          <w:rFonts w:hint="default" w:ascii="Times New Roman" w:hAnsi="Times New Roman" w:eastAsia="仿宋_GB2312" w:cs="Times New Roman"/>
          <w:color w:val="auto"/>
          <w:spacing w:val="0"/>
          <w:kern w:val="21"/>
          <w:sz w:val="36"/>
          <w:szCs w:val="36"/>
          <w:u w:val="single"/>
          <w:lang w:val="en-US" w:eastAsia="zh-CN"/>
        </w:rPr>
        <w:t>月</w:t>
      </w:r>
    </w:p>
    <w:p>
      <w:pPr>
        <w:keepNext w:val="0"/>
        <w:keepLines w:val="0"/>
        <w:pageBreakBefore w:val="0"/>
        <w:kinsoku/>
        <w:wordWrap/>
        <w:overflowPunct/>
        <w:topLinePunct w:val="0"/>
        <w:bidi w:val="0"/>
        <w:adjustRightInd w:val="0"/>
        <w:snapToGrid w:val="0"/>
        <w:spacing w:line="288" w:lineRule="auto"/>
        <w:ind w:firstLine="1040"/>
        <w:textAlignment w:val="auto"/>
        <w:rPr>
          <w:rFonts w:hint="default" w:ascii="Times New Roman" w:hAnsi="Times New Roman" w:eastAsia="仿宋_GB2312" w:cs="Times New Roman"/>
          <w:sz w:val="36"/>
          <w:szCs w:val="36"/>
        </w:rPr>
      </w:pPr>
    </w:p>
    <w:p>
      <w:pPr>
        <w:keepNext w:val="0"/>
        <w:keepLines w:val="0"/>
        <w:pageBreakBefore w:val="0"/>
        <w:kinsoku/>
        <w:wordWrap/>
        <w:overflowPunct/>
        <w:topLinePunct w:val="0"/>
        <w:bidi w:val="0"/>
        <w:adjustRightInd w:val="0"/>
        <w:snapToGrid w:val="0"/>
        <w:spacing w:line="288" w:lineRule="auto"/>
        <w:ind w:firstLine="1040"/>
        <w:textAlignment w:val="auto"/>
        <w:rPr>
          <w:rFonts w:hint="default" w:ascii="Times New Roman" w:hAnsi="Times New Roman" w:eastAsia="仿宋_GB2312" w:cs="Times New Roman"/>
          <w:sz w:val="36"/>
          <w:szCs w:val="36"/>
        </w:rPr>
      </w:pPr>
    </w:p>
    <w:p>
      <w:pPr>
        <w:pStyle w:val="2"/>
        <w:rPr>
          <w:rFonts w:hint="default" w:ascii="Times New Roman" w:hAnsi="Times New Roman" w:eastAsia="仿宋_GB2312" w:cs="Times New Roman"/>
          <w:sz w:val="36"/>
          <w:szCs w:val="36"/>
        </w:rPr>
      </w:pPr>
    </w:p>
    <w:p>
      <w:pPr>
        <w:keepNext w:val="0"/>
        <w:keepLines w:val="0"/>
        <w:pageBreakBefore w:val="0"/>
        <w:kinsoku/>
        <w:wordWrap/>
        <w:overflowPunct/>
        <w:topLinePunct w:val="0"/>
        <w:bidi w:val="0"/>
        <w:adjustRightInd w:val="0"/>
        <w:snapToGrid w:val="0"/>
        <w:spacing w:line="288" w:lineRule="auto"/>
        <w:textAlignment w:val="auto"/>
        <w:rPr>
          <w:rFonts w:hint="default" w:ascii="Times New Roman" w:hAnsi="Times New Roman" w:eastAsia="仿宋_GB2312" w:cs="Times New Roman"/>
          <w:sz w:val="36"/>
          <w:szCs w:val="36"/>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0000FF"/>
          <w:sz w:val="24"/>
          <w:szCs w:val="24"/>
        </w:rPr>
      </w:pPr>
      <w:r>
        <w:rPr>
          <w:rFonts w:hint="default" w:ascii="Times New Roman" w:hAnsi="Times New Roman" w:eastAsia="楷体_GB2312" w:cs="Times New Roman"/>
          <w:sz w:val="36"/>
          <w:szCs w:val="36"/>
        </w:rPr>
        <w:t>中华人民共和国生态环境部制</w:t>
      </w:r>
    </w:p>
    <w:p>
      <w:pPr>
        <w:rPr>
          <w:rFonts w:hint="default" w:ascii="Times New Roman" w:hAnsi="Times New Roman" w:cs="Times New Roman"/>
          <w:color w:val="0000FF"/>
        </w:rPr>
      </w:pPr>
    </w:p>
    <w:p>
      <w:pPr>
        <w:rPr>
          <w:rFonts w:hint="default" w:ascii="Times New Roman" w:hAnsi="Times New Roman" w:cs="Times New Roman"/>
          <w:color w:val="0000FF"/>
        </w:rPr>
        <w:sectPr>
          <w:footerReference r:id="rId10"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37"/>
        <w:keepNext w:val="0"/>
        <w:keepLines w:val="0"/>
        <w:pageBreakBefore w:val="0"/>
        <w:kinsoku/>
        <w:wordWrap/>
        <w:overflowPunct/>
        <w:topLinePunct w:val="0"/>
        <w:bidi w:val="0"/>
        <w:adjustRightInd w:val="0"/>
        <w:snapToGrid w:val="0"/>
        <w:jc w:val="center"/>
        <w:textAlignment w:val="auto"/>
        <w:outlineLvl w:val="0"/>
        <w:rPr>
          <w:rFonts w:hint="default" w:ascii="Times New Roman" w:hAnsi="Times New Roman" w:eastAsia="黑体" w:cs="Times New Roman"/>
          <w:snapToGrid w:val="0"/>
          <w:sz w:val="30"/>
          <w:szCs w:val="30"/>
        </w:rPr>
      </w:pPr>
      <w:r>
        <w:rPr>
          <w:rFonts w:hint="default" w:ascii="Times New Roman" w:hAnsi="Times New Roman" w:eastAsia="黑体" w:cs="Times New Roman"/>
          <w:snapToGrid w:val="0"/>
          <w:sz w:val="30"/>
          <w:szCs w:val="30"/>
        </w:rPr>
        <w:t>一、建设项目基本情况</w:t>
      </w:r>
    </w:p>
    <w:tbl>
      <w:tblPr>
        <w:tblStyle w:val="41"/>
        <w:tblW w:w="991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712"/>
        <w:gridCol w:w="2511"/>
        <w:gridCol w:w="2107"/>
        <w:gridCol w:w="45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12" w:type="dxa"/>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b/>
                <w:bCs/>
                <w:kern w:val="21"/>
                <w:sz w:val="24"/>
                <w:szCs w:val="24"/>
              </w:rPr>
            </w:pPr>
            <w:r>
              <w:rPr>
                <w:rFonts w:hint="default" w:ascii="Times New Roman" w:hAnsi="Times New Roman" w:cs="Times New Roman"/>
                <w:b/>
                <w:bCs/>
                <w:kern w:val="21"/>
                <w:sz w:val="24"/>
                <w:szCs w:val="24"/>
              </w:rPr>
              <w:t>建设项目名称</w:t>
            </w:r>
          </w:p>
        </w:tc>
        <w:tc>
          <w:tcPr>
            <w:tcW w:w="9203" w:type="dxa"/>
            <w:gridSpan w:val="3"/>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kern w:val="21"/>
                <w:sz w:val="24"/>
                <w:szCs w:val="24"/>
                <w:lang w:eastAsia="zh-CN"/>
              </w:rPr>
            </w:pPr>
            <w:r>
              <w:rPr>
                <w:rFonts w:hint="default" w:ascii="Times New Roman" w:hAnsi="Times New Roman" w:eastAsia="宋体" w:cs="Times New Roman"/>
                <w:kern w:val="21"/>
                <w:sz w:val="24"/>
                <w:szCs w:val="24"/>
                <w:lang w:eastAsia="zh-CN"/>
              </w:rPr>
              <w:t>乐山市市中区苏稽峨眉河安福堰综合整治工程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12" w:type="dxa"/>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b/>
                <w:bCs/>
                <w:kern w:val="21"/>
                <w:sz w:val="24"/>
                <w:szCs w:val="24"/>
              </w:rPr>
            </w:pPr>
            <w:r>
              <w:rPr>
                <w:rFonts w:hint="default" w:ascii="Times New Roman" w:hAnsi="Times New Roman" w:cs="Times New Roman"/>
                <w:b/>
                <w:bCs/>
                <w:kern w:val="21"/>
                <w:sz w:val="24"/>
                <w:szCs w:val="24"/>
              </w:rPr>
              <w:t>项目代码</w:t>
            </w:r>
          </w:p>
        </w:tc>
        <w:tc>
          <w:tcPr>
            <w:tcW w:w="9203" w:type="dxa"/>
            <w:gridSpan w:val="3"/>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kern w:val="21"/>
                <w:sz w:val="24"/>
                <w:szCs w:val="24"/>
                <w:lang w:val="en-US" w:eastAsia="zh-CN"/>
              </w:rPr>
            </w:pPr>
            <w:r>
              <w:rPr>
                <w:rFonts w:hint="eastAsia" w:ascii="Times New Roman" w:hAnsi="Times New Roman" w:eastAsia="宋体" w:cs="Times New Roman"/>
                <w:kern w:val="21"/>
                <w:sz w:val="24"/>
                <w:szCs w:val="24"/>
                <w:lang w:val="en-US" w:eastAsia="zh-CN"/>
              </w:rPr>
              <w:t>2202</w:t>
            </w:r>
            <w:r>
              <w:rPr>
                <w:rFonts w:hint="default" w:ascii="Times New Roman" w:hAnsi="Times New Roman" w:eastAsia="Calibri" w:cs="Times New Roman"/>
                <w:kern w:val="21"/>
                <w:sz w:val="24"/>
                <w:szCs w:val="24"/>
              </w:rPr>
              <w:t>-5111</w:t>
            </w:r>
            <w:r>
              <w:rPr>
                <w:rFonts w:hint="eastAsia" w:ascii="Times New Roman" w:hAnsi="Times New Roman" w:eastAsia="宋体" w:cs="Times New Roman"/>
                <w:kern w:val="21"/>
                <w:sz w:val="24"/>
                <w:szCs w:val="24"/>
                <w:lang w:val="en-US" w:eastAsia="zh-CN"/>
              </w:rPr>
              <w:t>02</w:t>
            </w:r>
            <w:r>
              <w:rPr>
                <w:rFonts w:hint="default" w:ascii="Times New Roman" w:hAnsi="Times New Roman" w:eastAsia="Calibri" w:cs="Times New Roman"/>
                <w:kern w:val="21"/>
                <w:sz w:val="24"/>
                <w:szCs w:val="24"/>
              </w:rPr>
              <w:t>-</w:t>
            </w:r>
            <w:r>
              <w:rPr>
                <w:rFonts w:hint="eastAsia" w:ascii="Times New Roman" w:hAnsi="Times New Roman" w:eastAsia="宋体" w:cs="Times New Roman"/>
                <w:kern w:val="21"/>
                <w:sz w:val="24"/>
                <w:szCs w:val="24"/>
                <w:lang w:val="en-US" w:eastAsia="zh-CN"/>
              </w:rPr>
              <w:t>04</w:t>
            </w:r>
            <w:r>
              <w:rPr>
                <w:rFonts w:hint="default" w:ascii="Times New Roman" w:hAnsi="Times New Roman" w:eastAsia="Calibri" w:cs="Times New Roman"/>
                <w:kern w:val="21"/>
                <w:sz w:val="24"/>
                <w:szCs w:val="24"/>
              </w:rPr>
              <w:t>-01-</w:t>
            </w:r>
            <w:r>
              <w:rPr>
                <w:rFonts w:hint="eastAsia" w:ascii="Times New Roman" w:hAnsi="Times New Roman" w:eastAsia="宋体" w:cs="Times New Roman"/>
                <w:kern w:val="21"/>
                <w:sz w:val="24"/>
                <w:szCs w:val="24"/>
                <w:lang w:val="en-US" w:eastAsia="zh-CN"/>
              </w:rPr>
              <w:t>468223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12" w:type="dxa"/>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b/>
                <w:bCs/>
                <w:kern w:val="21"/>
                <w:sz w:val="24"/>
                <w:szCs w:val="24"/>
              </w:rPr>
            </w:pPr>
            <w:r>
              <w:rPr>
                <w:rFonts w:hint="default" w:ascii="Times New Roman" w:hAnsi="Times New Roman" w:cs="Times New Roman"/>
                <w:b/>
                <w:bCs/>
                <w:kern w:val="21"/>
                <w:sz w:val="24"/>
                <w:szCs w:val="24"/>
              </w:rPr>
              <w:t>建设单位联系人</w:t>
            </w:r>
          </w:p>
        </w:tc>
        <w:tc>
          <w:tcPr>
            <w:tcW w:w="2510"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Calibri" w:cs="Times New Roman"/>
                <w:kern w:val="21"/>
                <w:sz w:val="24"/>
                <w:szCs w:val="24"/>
              </w:rPr>
            </w:pPr>
            <w:r>
              <w:rPr>
                <w:rFonts w:hint="eastAsia" w:ascii="Times New Roman" w:hAnsi="Times New Roman" w:eastAsia="Calibri" w:cs="Times New Roman"/>
                <w:kern w:val="21"/>
                <w:sz w:val="24"/>
                <w:szCs w:val="24"/>
                <w:lang w:val="en-US" w:eastAsia="zh-CN"/>
              </w:rPr>
              <w:t>郑勋</w:t>
            </w:r>
          </w:p>
        </w:tc>
        <w:tc>
          <w:tcPr>
            <w:tcW w:w="2106"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Calibri" w:cs="Times New Roman"/>
                <w:kern w:val="21"/>
                <w:sz w:val="24"/>
                <w:szCs w:val="24"/>
              </w:rPr>
            </w:pPr>
            <w:r>
              <w:rPr>
                <w:rFonts w:hint="default" w:ascii="Times New Roman" w:hAnsi="Times New Roman" w:eastAsia="Calibri" w:cs="Times New Roman"/>
                <w:b/>
                <w:bCs/>
                <w:kern w:val="21"/>
                <w:sz w:val="24"/>
                <w:szCs w:val="24"/>
              </w:rPr>
              <w:t>联系方式</w:t>
            </w:r>
          </w:p>
        </w:tc>
        <w:tc>
          <w:tcPr>
            <w:tcW w:w="4587"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Calibri" w:cs="Times New Roman"/>
                <w:kern w:val="21"/>
                <w:sz w:val="24"/>
                <w:szCs w:val="24"/>
                <w:lang w:val="en-US" w:eastAsia="zh-CN"/>
              </w:rPr>
            </w:pPr>
            <w:r>
              <w:rPr>
                <w:rFonts w:hint="eastAsia" w:ascii="Times New Roman" w:hAnsi="Times New Roman" w:eastAsia="Calibri" w:cs="Times New Roman"/>
                <w:kern w:val="21"/>
                <w:sz w:val="24"/>
                <w:szCs w:val="24"/>
                <w:lang w:val="en-US" w:eastAsia="zh-CN"/>
              </w:rPr>
              <w:t>18381543833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12" w:type="dxa"/>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b/>
                <w:bCs/>
                <w:kern w:val="21"/>
                <w:sz w:val="24"/>
                <w:szCs w:val="24"/>
              </w:rPr>
            </w:pPr>
            <w:r>
              <w:rPr>
                <w:rFonts w:hint="default" w:ascii="Times New Roman" w:hAnsi="Times New Roman" w:cs="Times New Roman"/>
                <w:b/>
                <w:bCs/>
                <w:kern w:val="21"/>
                <w:sz w:val="24"/>
                <w:szCs w:val="24"/>
              </w:rPr>
              <w:t>建设地点</w:t>
            </w:r>
          </w:p>
        </w:tc>
        <w:tc>
          <w:tcPr>
            <w:tcW w:w="9203" w:type="dxa"/>
            <w:gridSpan w:val="3"/>
            <w:noWrap w:val="0"/>
            <w:vAlign w:val="center"/>
          </w:tcPr>
          <w:p>
            <w:pPr>
              <w:pStyle w:val="37"/>
              <w:keepNext w:val="0"/>
              <w:keepLines w:val="0"/>
              <w:widowControl/>
              <w:suppressLineNumbers w:val="0"/>
              <w:spacing w:before="0" w:beforeAutospacing="0" w:after="0" w:afterAutospacing="0"/>
              <w:ind w:left="0" w:right="0" w:firstLine="0"/>
              <w:jc w:val="center"/>
              <w:rPr>
                <w:rFonts w:hint="default" w:ascii="Times New Roman" w:hAnsi="Times New Roman" w:cs="Times New Roman"/>
                <w:kern w:val="21"/>
                <w:sz w:val="24"/>
                <w:szCs w:val="24"/>
                <w:lang w:val="en-US"/>
              </w:rPr>
            </w:pPr>
            <w:r>
              <w:rPr>
                <w:rFonts w:hint="default" w:ascii="Times New Roman" w:hAnsi="Times New Roman" w:eastAsia="宋体" w:cs="Times New Roman"/>
                <w:kern w:val="21"/>
                <w:sz w:val="24"/>
                <w:szCs w:val="24"/>
                <w:lang w:eastAsia="zh-CN"/>
              </w:rPr>
              <w:t>四川省乐山市</w:t>
            </w:r>
            <w:r>
              <w:rPr>
                <w:rFonts w:hint="eastAsia" w:ascii="Times New Roman" w:hAnsi="Times New Roman" w:eastAsia="宋体" w:cs="Times New Roman"/>
                <w:kern w:val="21"/>
                <w:sz w:val="24"/>
                <w:szCs w:val="24"/>
                <w:lang w:val="en-US" w:eastAsia="zh-CN"/>
              </w:rPr>
              <w:t>苏稽镇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12" w:type="dxa"/>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b/>
                <w:bCs/>
                <w:kern w:val="21"/>
                <w:sz w:val="24"/>
                <w:szCs w:val="24"/>
              </w:rPr>
            </w:pPr>
            <w:r>
              <w:rPr>
                <w:rFonts w:hint="default" w:ascii="Times New Roman" w:hAnsi="Times New Roman" w:cs="Times New Roman"/>
                <w:b/>
                <w:bCs/>
                <w:kern w:val="21"/>
                <w:sz w:val="24"/>
                <w:szCs w:val="24"/>
              </w:rPr>
              <w:t>地理坐标</w:t>
            </w:r>
          </w:p>
        </w:tc>
        <w:tc>
          <w:tcPr>
            <w:tcW w:w="9203" w:type="dxa"/>
            <w:gridSpan w:val="3"/>
            <w:noWrap w:val="0"/>
            <w:vAlign w:val="center"/>
          </w:tcPr>
          <w:p>
            <w:pPr>
              <w:keepNext w:val="0"/>
              <w:keepLines w:val="0"/>
              <w:pageBreakBefore w:val="0"/>
              <w:kinsoku/>
              <w:wordWrap/>
              <w:overflowPunct/>
              <w:topLinePunct w:val="0"/>
              <w:bidi w:val="0"/>
              <w:adjustRightInd w:val="0"/>
              <w:snapToGrid w:val="0"/>
              <w:ind w:firstLine="420"/>
              <w:jc w:val="center"/>
              <w:textAlignment w:val="auto"/>
              <w:rPr>
                <w:rFonts w:hint="default" w:ascii="Times New Roman" w:hAnsi="Times New Roman" w:eastAsia="宋体" w:cs="Times New Roman"/>
                <w:kern w:val="21"/>
                <w:sz w:val="24"/>
                <w:szCs w:val="24"/>
                <w:lang w:eastAsia="zh-CN"/>
              </w:rPr>
            </w:pPr>
            <w:r>
              <w:rPr>
                <w:rFonts w:hint="default" w:ascii="Times New Roman" w:hAnsi="Times New Roman" w:eastAsia="宋体" w:cs="Times New Roman"/>
                <w:kern w:val="21"/>
                <w:sz w:val="24"/>
                <w:szCs w:val="24"/>
                <w:lang w:val="en-US" w:eastAsia="zh-CN"/>
              </w:rPr>
              <w:t>东经103</w:t>
            </w:r>
            <w:r>
              <w:rPr>
                <w:rFonts w:hint="default" w:ascii="Times New Roman" w:hAnsi="Times New Roman" w:eastAsia="宋体" w:cs="Times New Roman"/>
                <w:kern w:val="21"/>
                <w:sz w:val="24"/>
                <w:szCs w:val="24"/>
                <w:lang w:eastAsia="zh-CN"/>
              </w:rPr>
              <w:t>度</w:t>
            </w:r>
            <w:r>
              <w:rPr>
                <w:rFonts w:hint="default" w:ascii="Times New Roman" w:hAnsi="Times New Roman" w:eastAsia="宋体" w:cs="Times New Roman"/>
                <w:kern w:val="21"/>
                <w:sz w:val="24"/>
                <w:szCs w:val="24"/>
                <w:lang w:val="en-US" w:eastAsia="zh-CN"/>
              </w:rPr>
              <w:t>4</w:t>
            </w:r>
            <w:r>
              <w:rPr>
                <w:rFonts w:hint="eastAsia" w:ascii="Times New Roman" w:hAnsi="Times New Roman" w:eastAsia="宋体" w:cs="Times New Roman"/>
                <w:kern w:val="21"/>
                <w:sz w:val="24"/>
                <w:szCs w:val="24"/>
                <w:lang w:val="en-US" w:eastAsia="zh-CN"/>
              </w:rPr>
              <w:t>0</w:t>
            </w:r>
            <w:r>
              <w:rPr>
                <w:rFonts w:hint="default" w:ascii="Times New Roman" w:hAnsi="Times New Roman" w:eastAsia="宋体" w:cs="Times New Roman"/>
                <w:kern w:val="21"/>
                <w:sz w:val="24"/>
                <w:szCs w:val="24"/>
                <w:lang w:val="en-US" w:eastAsia="zh-CN"/>
              </w:rPr>
              <w:t>分</w:t>
            </w:r>
            <w:r>
              <w:rPr>
                <w:rFonts w:hint="eastAsia" w:ascii="Times New Roman" w:hAnsi="Times New Roman" w:eastAsia="宋体" w:cs="Times New Roman"/>
                <w:kern w:val="21"/>
                <w:sz w:val="24"/>
                <w:szCs w:val="24"/>
                <w:lang w:val="en-US" w:eastAsia="zh-CN"/>
              </w:rPr>
              <w:t>21.05</w:t>
            </w:r>
            <w:r>
              <w:rPr>
                <w:rFonts w:hint="default" w:ascii="Times New Roman" w:hAnsi="Times New Roman" w:eastAsia="宋体" w:cs="Times New Roman"/>
                <w:kern w:val="21"/>
                <w:sz w:val="24"/>
                <w:szCs w:val="24"/>
                <w:lang w:val="en-US" w:eastAsia="zh-CN"/>
              </w:rPr>
              <w:t>秒</w:t>
            </w:r>
            <w:r>
              <w:rPr>
                <w:rFonts w:hint="default" w:ascii="Times New Roman" w:hAnsi="Times New Roman" w:eastAsia="宋体" w:cs="Times New Roman"/>
                <w:kern w:val="21"/>
                <w:sz w:val="24"/>
                <w:szCs w:val="24"/>
                <w:lang w:eastAsia="zh-CN"/>
              </w:rPr>
              <w:t>，</w:t>
            </w:r>
            <w:r>
              <w:rPr>
                <w:rFonts w:hint="default" w:ascii="Times New Roman" w:hAnsi="Times New Roman" w:eastAsia="宋体" w:cs="Times New Roman"/>
                <w:kern w:val="21"/>
                <w:sz w:val="24"/>
                <w:szCs w:val="24"/>
                <w:lang w:val="en-US" w:eastAsia="zh-CN"/>
              </w:rPr>
              <w:t>北纬29度3</w:t>
            </w:r>
            <w:r>
              <w:rPr>
                <w:rFonts w:hint="eastAsia" w:ascii="Times New Roman" w:hAnsi="Times New Roman" w:eastAsia="宋体" w:cs="Times New Roman"/>
                <w:kern w:val="21"/>
                <w:sz w:val="24"/>
                <w:szCs w:val="24"/>
                <w:lang w:val="en-US" w:eastAsia="zh-CN"/>
              </w:rPr>
              <w:t>5</w:t>
            </w:r>
            <w:r>
              <w:rPr>
                <w:rFonts w:hint="default" w:ascii="Times New Roman" w:hAnsi="Times New Roman" w:eastAsia="宋体" w:cs="Times New Roman"/>
                <w:kern w:val="21"/>
                <w:sz w:val="24"/>
                <w:szCs w:val="24"/>
                <w:lang w:val="en-US" w:eastAsia="zh-CN"/>
              </w:rPr>
              <w:t>分</w:t>
            </w:r>
            <w:r>
              <w:rPr>
                <w:rFonts w:hint="eastAsia" w:ascii="Times New Roman" w:hAnsi="Times New Roman" w:eastAsia="宋体" w:cs="Times New Roman"/>
                <w:kern w:val="21"/>
                <w:sz w:val="24"/>
                <w:szCs w:val="24"/>
                <w:lang w:val="en-US" w:eastAsia="zh-CN"/>
              </w:rPr>
              <w:t>8.76</w:t>
            </w:r>
            <w:r>
              <w:rPr>
                <w:rFonts w:hint="default" w:ascii="Times New Roman" w:hAnsi="Times New Roman" w:eastAsia="宋体" w:cs="Times New Roman"/>
                <w:kern w:val="21"/>
                <w:sz w:val="24"/>
                <w:szCs w:val="24"/>
                <w:lang w:val="en-US" w:eastAsia="zh-CN"/>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12" w:type="dxa"/>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b/>
                <w:bCs/>
                <w:kern w:val="21"/>
                <w:sz w:val="24"/>
                <w:szCs w:val="24"/>
              </w:rPr>
            </w:pPr>
            <w:r>
              <w:rPr>
                <w:rFonts w:hint="default" w:ascii="Times New Roman" w:hAnsi="Times New Roman" w:cs="Times New Roman"/>
                <w:b/>
                <w:bCs/>
                <w:kern w:val="21"/>
                <w:sz w:val="24"/>
                <w:szCs w:val="24"/>
              </w:rPr>
              <w:t>建设项目</w:t>
            </w:r>
          </w:p>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b/>
                <w:bCs/>
                <w:kern w:val="21"/>
                <w:sz w:val="24"/>
                <w:szCs w:val="24"/>
              </w:rPr>
            </w:pPr>
            <w:r>
              <w:rPr>
                <w:rFonts w:hint="default" w:ascii="Times New Roman" w:hAnsi="Times New Roman" w:cs="Times New Roman"/>
                <w:b/>
                <w:bCs/>
                <w:kern w:val="21"/>
                <w:sz w:val="24"/>
                <w:szCs w:val="24"/>
              </w:rPr>
              <w:t>行业类别</w:t>
            </w:r>
          </w:p>
        </w:tc>
        <w:tc>
          <w:tcPr>
            <w:tcW w:w="2510" w:type="dxa"/>
            <w:noWrap w:val="0"/>
            <w:vAlign w:val="center"/>
          </w:tcPr>
          <w:p>
            <w:pPr>
              <w:keepNext w:val="0"/>
              <w:keepLines w:val="0"/>
              <w:pageBreakBefore w:val="0"/>
              <w:kinsoku/>
              <w:wordWrap/>
              <w:overflowPunct/>
              <w:topLinePunct w:val="0"/>
              <w:bidi w:val="0"/>
              <w:adjustRightInd w:val="0"/>
              <w:snapToGrid w:val="0"/>
              <w:jc w:val="both"/>
              <w:textAlignment w:val="auto"/>
              <w:rPr>
                <w:rFonts w:hint="default" w:ascii="Times New Roman" w:hAnsi="Times New Roman" w:eastAsia="宋体" w:cs="Times New Roman"/>
                <w:kern w:val="21"/>
                <w:sz w:val="24"/>
                <w:szCs w:val="24"/>
                <w:lang w:val="en-US" w:eastAsia="zh-CN"/>
              </w:rPr>
            </w:pPr>
            <w:r>
              <w:rPr>
                <w:rFonts w:ascii="宋体" w:hAnsi="宋体" w:eastAsia="宋体" w:cs="宋体"/>
                <w:spacing w:val="-18"/>
                <w:sz w:val="23"/>
                <w:szCs w:val="23"/>
              </w:rPr>
              <w:t>五</w:t>
            </w:r>
            <w:r>
              <w:rPr>
                <w:rFonts w:ascii="宋体" w:hAnsi="宋体" w:eastAsia="宋体" w:cs="宋体"/>
                <w:spacing w:val="-10"/>
                <w:sz w:val="23"/>
                <w:szCs w:val="23"/>
              </w:rPr>
              <w:t>十一、水利，</w:t>
            </w:r>
            <w:r>
              <w:rPr>
                <w:rFonts w:ascii="Times New Roman" w:hAnsi="Times New Roman" w:eastAsia="Times New Roman" w:cs="Times New Roman"/>
                <w:spacing w:val="-10"/>
                <w:sz w:val="23"/>
                <w:szCs w:val="23"/>
              </w:rPr>
              <w:t>12</w:t>
            </w:r>
            <w:r>
              <w:rPr>
                <w:rFonts w:hint="eastAsia" w:ascii="Times New Roman" w:hAnsi="Times New Roman" w:eastAsia="宋体" w:cs="Times New Roman"/>
                <w:spacing w:val="-10"/>
                <w:sz w:val="23"/>
                <w:szCs w:val="23"/>
                <w:lang w:val="en-US" w:eastAsia="zh-CN"/>
              </w:rPr>
              <w:t>6</w:t>
            </w:r>
            <w:r>
              <w:rPr>
                <w:rFonts w:hint="eastAsia" w:ascii="宋体" w:hAnsi="宋体" w:eastAsia="宋体" w:cs="宋体"/>
                <w:spacing w:val="-10"/>
                <w:sz w:val="23"/>
                <w:szCs w:val="23"/>
              </w:rPr>
              <w:t>引水工程</w:t>
            </w:r>
            <w:r>
              <w:rPr>
                <w:rFonts w:hint="eastAsia" w:ascii="宋体" w:hAnsi="宋体" w:eastAsia="宋体" w:cs="宋体"/>
                <w:spacing w:val="-10"/>
                <w:sz w:val="23"/>
                <w:szCs w:val="23"/>
                <w:lang w:val="en-US" w:eastAsia="zh-CN"/>
              </w:rPr>
              <w:t>中的</w:t>
            </w:r>
            <w:r>
              <w:rPr>
                <w:rFonts w:ascii="宋体" w:hAnsi="宋体" w:eastAsia="宋体" w:cs="宋体"/>
                <w:color w:val="000000"/>
                <w:spacing w:val="7"/>
                <w:sz w:val="23"/>
                <w:szCs w:val="23"/>
              </w:rPr>
              <w:t>其他</w:t>
            </w:r>
          </w:p>
        </w:tc>
        <w:tc>
          <w:tcPr>
            <w:tcW w:w="2106"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kern w:val="21"/>
                <w:sz w:val="24"/>
                <w:szCs w:val="24"/>
              </w:rPr>
            </w:pPr>
            <w:r>
              <w:rPr>
                <w:rFonts w:hint="default" w:ascii="Times New Roman" w:hAnsi="Times New Roman" w:cs="Times New Roman"/>
                <w:b/>
                <w:bCs/>
                <w:color w:val="000000"/>
                <w:kern w:val="21"/>
                <w:sz w:val="24"/>
                <w:szCs w:val="24"/>
              </w:rPr>
              <w:t>用地（用海）面积（m</w:t>
            </w:r>
            <w:r>
              <w:rPr>
                <w:rFonts w:hint="default" w:ascii="Times New Roman" w:hAnsi="Times New Roman" w:cs="Times New Roman"/>
                <w:b/>
                <w:bCs/>
                <w:color w:val="000000"/>
                <w:kern w:val="21"/>
                <w:sz w:val="24"/>
                <w:szCs w:val="24"/>
                <w:vertAlign w:val="superscript"/>
              </w:rPr>
              <w:t>2</w:t>
            </w:r>
            <w:r>
              <w:rPr>
                <w:rFonts w:hint="default" w:ascii="Times New Roman" w:hAnsi="Times New Roman" w:cs="Times New Roman"/>
                <w:b/>
                <w:bCs/>
                <w:color w:val="000000"/>
                <w:kern w:val="21"/>
                <w:sz w:val="24"/>
                <w:szCs w:val="24"/>
              </w:rPr>
              <w:t>）/长度（km）</w:t>
            </w:r>
          </w:p>
        </w:tc>
        <w:tc>
          <w:tcPr>
            <w:tcW w:w="4587"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kern w:val="21"/>
                <w:sz w:val="24"/>
                <w:szCs w:val="24"/>
                <w:lang w:val="en-US" w:eastAsia="zh-CN"/>
              </w:rPr>
            </w:pPr>
            <w:r>
              <w:rPr>
                <w:rFonts w:hint="eastAsia" w:ascii="Times New Roman" w:hAnsi="Times New Roman" w:eastAsia="宋体" w:cs="Times New Roman"/>
                <w:color w:val="000000"/>
                <w:kern w:val="21"/>
                <w:sz w:val="24"/>
                <w:szCs w:val="24"/>
                <w:lang w:val="en-US" w:eastAsia="zh-CN"/>
              </w:rPr>
              <w:t>27614（41.4亩）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12" w:type="dxa"/>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cs="Times New Roman"/>
                <w:kern w:val="21"/>
                <w:sz w:val="24"/>
                <w:szCs w:val="24"/>
              </w:rPr>
            </w:pPr>
            <w:r>
              <w:rPr>
                <w:rFonts w:hint="default" w:ascii="Times New Roman" w:hAnsi="Times New Roman" w:cs="Times New Roman"/>
                <w:b/>
                <w:bCs/>
                <w:kern w:val="21"/>
                <w:sz w:val="24"/>
                <w:szCs w:val="24"/>
              </w:rPr>
              <w:t>建设性质</w:t>
            </w:r>
          </w:p>
        </w:tc>
        <w:tc>
          <w:tcPr>
            <w:tcW w:w="2510" w:type="dxa"/>
            <w:noWrap w:val="0"/>
            <w:vAlign w:val="center"/>
          </w:tcPr>
          <w:p>
            <w:pPr>
              <w:keepNext w:val="0"/>
              <w:keepLines w:val="0"/>
              <w:pageBreakBefore w:val="0"/>
              <w:kinsoku/>
              <w:wordWrap/>
              <w:overflowPunct/>
              <w:topLinePunct w:val="0"/>
              <w:bidi w:val="0"/>
              <w:adjustRightInd w:val="0"/>
              <w:snapToGrid w:val="0"/>
              <w:jc w:val="left"/>
              <w:textAlignment w:val="auto"/>
              <w:rPr>
                <w:rFonts w:hint="default" w:ascii="Times New Roman" w:hAnsi="Times New Roman" w:cs="Times New Roman"/>
                <w:kern w:val="21"/>
                <w:sz w:val="24"/>
                <w:szCs w:val="24"/>
              </w:rPr>
            </w:pPr>
            <w:r>
              <w:rPr>
                <w:rFonts w:hint="default" w:ascii="Times New Roman" w:hAnsi="Times New Roman" w:cs="Times New Roman"/>
                <w:kern w:val="21"/>
                <w:sz w:val="24"/>
                <w:szCs w:val="24"/>
              </w:rPr>
              <w:sym w:font="Wingdings 2" w:char="00A3"/>
            </w:r>
            <w:r>
              <w:rPr>
                <w:rFonts w:hint="default" w:ascii="Times New Roman" w:hAnsi="Times New Roman" w:cs="Times New Roman"/>
                <w:kern w:val="21"/>
                <w:sz w:val="24"/>
                <w:szCs w:val="24"/>
              </w:rPr>
              <w:t>新建（迁建）</w:t>
            </w:r>
          </w:p>
          <w:p>
            <w:pPr>
              <w:keepNext w:val="0"/>
              <w:keepLines w:val="0"/>
              <w:pageBreakBefore w:val="0"/>
              <w:kinsoku/>
              <w:wordWrap/>
              <w:overflowPunct/>
              <w:topLinePunct w:val="0"/>
              <w:bidi w:val="0"/>
              <w:adjustRightInd w:val="0"/>
              <w:snapToGrid w:val="0"/>
              <w:jc w:val="left"/>
              <w:textAlignment w:val="auto"/>
              <w:rPr>
                <w:rFonts w:hint="default" w:ascii="Times New Roman" w:hAnsi="Times New Roman" w:cs="Times New Roman"/>
                <w:kern w:val="21"/>
                <w:sz w:val="24"/>
                <w:szCs w:val="24"/>
              </w:rPr>
            </w:pPr>
            <w:r>
              <w:rPr>
                <w:rFonts w:hint="default" w:ascii="Times New Roman" w:hAnsi="Times New Roman" w:cs="Times New Roman"/>
                <w:kern w:val="21"/>
                <w:sz w:val="24"/>
                <w:szCs w:val="24"/>
              </w:rPr>
              <w:sym w:font="Wingdings 2" w:char="0052"/>
            </w:r>
            <w:r>
              <w:rPr>
                <w:rFonts w:hint="default" w:ascii="Times New Roman" w:hAnsi="Times New Roman" w:cs="Times New Roman"/>
                <w:kern w:val="21"/>
                <w:sz w:val="24"/>
                <w:szCs w:val="24"/>
              </w:rPr>
              <w:t>改建</w:t>
            </w:r>
          </w:p>
          <w:p>
            <w:pPr>
              <w:keepNext w:val="0"/>
              <w:keepLines w:val="0"/>
              <w:pageBreakBefore w:val="0"/>
              <w:kinsoku/>
              <w:wordWrap/>
              <w:overflowPunct/>
              <w:topLinePunct w:val="0"/>
              <w:bidi w:val="0"/>
              <w:adjustRightInd w:val="0"/>
              <w:snapToGrid w:val="0"/>
              <w:jc w:val="left"/>
              <w:textAlignment w:val="auto"/>
              <w:rPr>
                <w:rFonts w:hint="default" w:ascii="Times New Roman" w:hAnsi="Times New Roman" w:cs="Times New Roman"/>
                <w:kern w:val="21"/>
                <w:sz w:val="24"/>
                <w:szCs w:val="24"/>
              </w:rPr>
            </w:pPr>
            <w:r>
              <w:rPr>
                <w:rFonts w:hint="default" w:ascii="Times New Roman" w:hAnsi="Times New Roman" w:cs="Times New Roman"/>
                <w:kern w:val="21"/>
                <w:sz w:val="24"/>
                <w:szCs w:val="24"/>
              </w:rPr>
              <w:sym w:font="Wingdings 2" w:char="00A3"/>
            </w:r>
            <w:r>
              <w:rPr>
                <w:rFonts w:hint="default" w:ascii="Times New Roman" w:hAnsi="Times New Roman" w:cs="Times New Roman"/>
                <w:kern w:val="21"/>
                <w:sz w:val="24"/>
                <w:szCs w:val="24"/>
              </w:rPr>
              <w:t>扩建</w:t>
            </w:r>
          </w:p>
          <w:p>
            <w:pPr>
              <w:keepNext w:val="0"/>
              <w:keepLines w:val="0"/>
              <w:pageBreakBefore w:val="0"/>
              <w:kinsoku/>
              <w:wordWrap/>
              <w:overflowPunct/>
              <w:topLinePunct w:val="0"/>
              <w:bidi w:val="0"/>
              <w:adjustRightInd w:val="0"/>
              <w:snapToGrid w:val="0"/>
              <w:jc w:val="left"/>
              <w:textAlignment w:val="auto"/>
              <w:rPr>
                <w:rFonts w:hint="default" w:ascii="Times New Roman" w:hAnsi="Times New Roman" w:cs="Times New Roman"/>
                <w:kern w:val="21"/>
                <w:sz w:val="24"/>
                <w:szCs w:val="24"/>
              </w:rPr>
            </w:pPr>
            <w:r>
              <w:rPr>
                <w:rFonts w:hint="default" w:ascii="Times New Roman" w:hAnsi="Times New Roman" w:cs="Times New Roman"/>
                <w:kern w:val="21"/>
                <w:sz w:val="24"/>
                <w:szCs w:val="24"/>
              </w:rPr>
              <w:sym w:font="Wingdings 2" w:char="00A3"/>
            </w:r>
            <w:r>
              <w:rPr>
                <w:rFonts w:hint="default" w:ascii="Times New Roman" w:hAnsi="Times New Roman" w:cs="Times New Roman"/>
                <w:kern w:val="21"/>
                <w:sz w:val="24"/>
                <w:szCs w:val="24"/>
              </w:rPr>
              <w:t>技术改造</w:t>
            </w:r>
          </w:p>
        </w:tc>
        <w:tc>
          <w:tcPr>
            <w:tcW w:w="2106"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b/>
                <w:bCs/>
                <w:kern w:val="21"/>
                <w:sz w:val="24"/>
                <w:szCs w:val="24"/>
              </w:rPr>
            </w:pPr>
            <w:r>
              <w:rPr>
                <w:rFonts w:hint="default" w:ascii="Times New Roman" w:hAnsi="Times New Roman" w:cs="Times New Roman"/>
                <w:b/>
                <w:bCs/>
                <w:kern w:val="21"/>
                <w:sz w:val="24"/>
                <w:szCs w:val="24"/>
              </w:rPr>
              <w:t>建设项目</w:t>
            </w:r>
          </w:p>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cs="Times New Roman"/>
                <w:kern w:val="21"/>
                <w:sz w:val="24"/>
                <w:szCs w:val="24"/>
              </w:rPr>
            </w:pPr>
            <w:r>
              <w:rPr>
                <w:rFonts w:hint="default" w:ascii="Times New Roman" w:hAnsi="Times New Roman" w:cs="Times New Roman"/>
                <w:b/>
                <w:bCs/>
                <w:kern w:val="21"/>
                <w:sz w:val="24"/>
                <w:szCs w:val="24"/>
              </w:rPr>
              <w:t>申报情形</w:t>
            </w:r>
          </w:p>
        </w:tc>
        <w:tc>
          <w:tcPr>
            <w:tcW w:w="4587" w:type="dxa"/>
            <w:noWrap w:val="0"/>
            <w:vAlign w:val="center"/>
          </w:tcPr>
          <w:p>
            <w:pPr>
              <w:keepNext w:val="0"/>
              <w:keepLines w:val="0"/>
              <w:pageBreakBefore w:val="0"/>
              <w:kinsoku/>
              <w:wordWrap/>
              <w:overflowPunct/>
              <w:topLinePunct w:val="0"/>
              <w:bidi w:val="0"/>
              <w:adjustRightInd w:val="0"/>
              <w:snapToGrid w:val="0"/>
              <w:jc w:val="left"/>
              <w:textAlignment w:val="auto"/>
              <w:rPr>
                <w:rFonts w:hint="default" w:ascii="Times New Roman" w:hAnsi="Times New Roman" w:cs="Times New Roman"/>
                <w:kern w:val="21"/>
                <w:sz w:val="24"/>
                <w:szCs w:val="24"/>
              </w:rPr>
            </w:pPr>
            <w:r>
              <w:rPr>
                <w:rFonts w:hint="default" w:ascii="Times New Roman" w:hAnsi="Times New Roman" w:cs="Times New Roman"/>
                <w:kern w:val="21"/>
                <w:sz w:val="24"/>
                <w:szCs w:val="24"/>
              </w:rPr>
              <w:sym w:font="Wingdings 2" w:char="0052"/>
            </w:r>
            <w:r>
              <w:rPr>
                <w:rFonts w:hint="default" w:ascii="Times New Roman" w:hAnsi="Times New Roman" w:cs="Times New Roman"/>
                <w:kern w:val="21"/>
                <w:sz w:val="24"/>
                <w:szCs w:val="24"/>
              </w:rPr>
              <w:t>首次申报项目</w:t>
            </w:r>
          </w:p>
          <w:p>
            <w:pPr>
              <w:keepNext w:val="0"/>
              <w:keepLines w:val="0"/>
              <w:pageBreakBefore w:val="0"/>
              <w:kinsoku/>
              <w:wordWrap/>
              <w:overflowPunct/>
              <w:topLinePunct w:val="0"/>
              <w:bidi w:val="0"/>
              <w:adjustRightInd w:val="0"/>
              <w:snapToGrid w:val="0"/>
              <w:jc w:val="left"/>
              <w:textAlignment w:val="auto"/>
              <w:rPr>
                <w:rFonts w:hint="default" w:ascii="Times New Roman" w:hAnsi="Times New Roman" w:cs="Times New Roman"/>
                <w:kern w:val="21"/>
                <w:sz w:val="24"/>
                <w:szCs w:val="24"/>
              </w:rPr>
            </w:pPr>
            <w:r>
              <w:rPr>
                <w:rFonts w:hint="default" w:ascii="Times New Roman" w:hAnsi="Times New Roman" w:cs="Times New Roman"/>
                <w:kern w:val="21"/>
                <w:sz w:val="24"/>
                <w:szCs w:val="24"/>
              </w:rPr>
              <w:sym w:font="Wingdings 2" w:char="00A3"/>
            </w:r>
            <w:r>
              <w:rPr>
                <w:rFonts w:hint="default" w:ascii="Times New Roman" w:hAnsi="Times New Roman" w:cs="Times New Roman"/>
                <w:kern w:val="21"/>
                <w:sz w:val="24"/>
                <w:szCs w:val="24"/>
              </w:rPr>
              <w:t>不予批准后再次申报项目</w:t>
            </w:r>
          </w:p>
          <w:p>
            <w:pPr>
              <w:keepNext w:val="0"/>
              <w:keepLines w:val="0"/>
              <w:pageBreakBefore w:val="0"/>
              <w:kinsoku/>
              <w:wordWrap/>
              <w:overflowPunct/>
              <w:topLinePunct w:val="0"/>
              <w:bidi w:val="0"/>
              <w:adjustRightInd w:val="0"/>
              <w:snapToGrid w:val="0"/>
              <w:jc w:val="left"/>
              <w:textAlignment w:val="auto"/>
              <w:rPr>
                <w:rFonts w:hint="default" w:ascii="Times New Roman" w:hAnsi="Times New Roman" w:cs="Times New Roman"/>
                <w:kern w:val="21"/>
                <w:sz w:val="24"/>
                <w:szCs w:val="24"/>
              </w:rPr>
            </w:pPr>
            <w:r>
              <w:rPr>
                <w:rFonts w:hint="default" w:ascii="Times New Roman" w:hAnsi="Times New Roman" w:cs="Times New Roman"/>
                <w:kern w:val="21"/>
                <w:sz w:val="24"/>
                <w:szCs w:val="24"/>
              </w:rPr>
              <w:sym w:font="Wingdings 2" w:char="00A3"/>
            </w:r>
            <w:r>
              <w:rPr>
                <w:rFonts w:hint="default" w:ascii="Times New Roman" w:hAnsi="Times New Roman" w:cs="Times New Roman"/>
                <w:kern w:val="21"/>
                <w:sz w:val="24"/>
                <w:szCs w:val="24"/>
              </w:rPr>
              <w:t>超五年重新审核项目</w:t>
            </w:r>
          </w:p>
          <w:p>
            <w:pPr>
              <w:keepNext w:val="0"/>
              <w:keepLines w:val="0"/>
              <w:pageBreakBefore w:val="0"/>
              <w:kinsoku/>
              <w:wordWrap/>
              <w:overflowPunct/>
              <w:topLinePunct w:val="0"/>
              <w:bidi w:val="0"/>
              <w:adjustRightInd w:val="0"/>
              <w:snapToGrid w:val="0"/>
              <w:textAlignment w:val="auto"/>
              <w:rPr>
                <w:rFonts w:hint="default" w:ascii="Times New Roman" w:hAnsi="Times New Roman" w:cs="Times New Roman"/>
                <w:kern w:val="21"/>
                <w:sz w:val="24"/>
                <w:szCs w:val="24"/>
              </w:rPr>
            </w:pPr>
            <w:r>
              <w:rPr>
                <w:rFonts w:hint="default" w:ascii="Times New Roman" w:hAnsi="Times New Roman" w:cs="Times New Roman"/>
                <w:kern w:val="21"/>
                <w:sz w:val="24"/>
                <w:szCs w:val="24"/>
              </w:rPr>
              <w:sym w:font="Wingdings 2" w:char="00A3"/>
            </w:r>
            <w:r>
              <w:rPr>
                <w:rFonts w:hint="default" w:ascii="Times New Roman" w:hAnsi="Times New Roman" w:cs="Times New Roman"/>
                <w:kern w:val="21"/>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12" w:type="dxa"/>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b/>
                <w:bCs/>
                <w:kern w:val="21"/>
                <w:sz w:val="24"/>
                <w:szCs w:val="24"/>
              </w:rPr>
            </w:pPr>
            <w:r>
              <w:rPr>
                <w:rFonts w:hint="default" w:ascii="Times New Roman" w:hAnsi="Times New Roman" w:cs="Times New Roman"/>
                <w:b/>
                <w:bCs/>
                <w:kern w:val="21"/>
                <w:sz w:val="24"/>
                <w:szCs w:val="24"/>
              </w:rPr>
              <w:t>项目审批（核准/</w:t>
            </w:r>
          </w:p>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kern w:val="21"/>
                <w:sz w:val="24"/>
                <w:szCs w:val="24"/>
              </w:rPr>
            </w:pPr>
            <w:r>
              <w:rPr>
                <w:rFonts w:hint="default" w:ascii="Times New Roman" w:hAnsi="Times New Roman" w:cs="Times New Roman"/>
                <w:b/>
                <w:bCs/>
                <w:kern w:val="21"/>
                <w:sz w:val="24"/>
                <w:szCs w:val="24"/>
              </w:rPr>
              <w:t>备案）部门（选填）</w:t>
            </w:r>
          </w:p>
        </w:tc>
        <w:tc>
          <w:tcPr>
            <w:tcW w:w="2510" w:type="dxa"/>
            <w:noWrap w:val="0"/>
            <w:vAlign w:val="center"/>
          </w:tcPr>
          <w:p>
            <w:pPr>
              <w:keepNext w:val="0"/>
              <w:keepLines w:val="0"/>
              <w:pageBreakBefore w:val="0"/>
              <w:kinsoku/>
              <w:wordWrap/>
              <w:overflowPunct/>
              <w:topLinePunct w:val="0"/>
              <w:bidi w:val="0"/>
              <w:adjustRightInd w:val="0"/>
              <w:snapToGrid w:val="0"/>
              <w:jc w:val="center"/>
              <w:textAlignment w:val="auto"/>
              <w:rPr>
                <w:rFonts w:hint="eastAsia" w:ascii="Times New Roman" w:hAnsi="Times New Roman" w:eastAsia="宋体" w:cs="Times New Roman"/>
                <w:kern w:val="21"/>
                <w:sz w:val="24"/>
                <w:szCs w:val="24"/>
                <w:lang w:eastAsia="zh-CN"/>
              </w:rPr>
            </w:pPr>
            <w:r>
              <w:rPr>
                <w:rFonts w:hint="default" w:ascii="Times New Roman" w:hAnsi="Times New Roman" w:cs="Times New Roman"/>
                <w:kern w:val="21"/>
                <w:sz w:val="24"/>
                <w:szCs w:val="24"/>
              </w:rPr>
              <w:t>乐山市</w:t>
            </w:r>
            <w:r>
              <w:rPr>
                <w:rFonts w:hint="eastAsia" w:ascii="Times New Roman" w:hAnsi="Times New Roman" w:cs="Times New Roman"/>
                <w:kern w:val="21"/>
                <w:sz w:val="24"/>
                <w:szCs w:val="24"/>
                <w:lang w:val="en-US" w:eastAsia="zh-CN"/>
              </w:rPr>
              <w:t>中区</w:t>
            </w:r>
            <w:r>
              <w:rPr>
                <w:rFonts w:hint="default" w:ascii="Times New Roman" w:hAnsi="Times New Roman" w:cs="Times New Roman"/>
                <w:kern w:val="21"/>
                <w:sz w:val="24"/>
                <w:szCs w:val="24"/>
              </w:rPr>
              <w:t>发展和改革</w:t>
            </w:r>
            <w:r>
              <w:rPr>
                <w:rFonts w:hint="eastAsia" w:ascii="Times New Roman" w:hAnsi="Times New Roman" w:cs="Times New Roman"/>
                <w:kern w:val="21"/>
                <w:sz w:val="24"/>
                <w:szCs w:val="24"/>
                <w:lang w:val="en-US" w:eastAsia="zh-CN"/>
              </w:rPr>
              <w:t>局</w:t>
            </w:r>
          </w:p>
        </w:tc>
        <w:tc>
          <w:tcPr>
            <w:tcW w:w="2106"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b/>
                <w:bCs/>
                <w:kern w:val="21"/>
                <w:sz w:val="24"/>
                <w:szCs w:val="24"/>
              </w:rPr>
            </w:pPr>
            <w:r>
              <w:rPr>
                <w:rFonts w:hint="default" w:ascii="Times New Roman" w:hAnsi="Times New Roman" w:cs="Times New Roman"/>
                <w:b/>
                <w:bCs/>
                <w:kern w:val="21"/>
                <w:sz w:val="24"/>
                <w:szCs w:val="24"/>
              </w:rPr>
              <w:t>项目审批（核准/</w:t>
            </w:r>
          </w:p>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kern w:val="21"/>
                <w:sz w:val="24"/>
                <w:szCs w:val="24"/>
              </w:rPr>
            </w:pPr>
            <w:r>
              <w:rPr>
                <w:rFonts w:hint="default" w:ascii="Times New Roman" w:hAnsi="Times New Roman" w:cs="Times New Roman"/>
                <w:b/>
                <w:bCs/>
                <w:kern w:val="21"/>
                <w:sz w:val="24"/>
                <w:szCs w:val="24"/>
              </w:rPr>
              <w:t>备案）文号（选填）</w:t>
            </w:r>
          </w:p>
        </w:tc>
        <w:tc>
          <w:tcPr>
            <w:tcW w:w="4587"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kern w:val="21"/>
                <w:sz w:val="24"/>
                <w:szCs w:val="24"/>
                <w:lang w:val="en-US"/>
              </w:rPr>
            </w:pPr>
            <w:r>
              <w:rPr>
                <w:rFonts w:hint="eastAsia" w:ascii="Times New Roman" w:hAnsi="Times New Roman" w:eastAsia="宋体" w:cs="Times New Roman"/>
                <w:kern w:val="21"/>
                <w:sz w:val="24"/>
                <w:szCs w:val="24"/>
                <w:lang w:val="en-US" w:eastAsia="zh-CN"/>
              </w:rPr>
              <w:t>川投资备【2202</w:t>
            </w:r>
            <w:r>
              <w:rPr>
                <w:rFonts w:hint="default" w:ascii="Times New Roman" w:hAnsi="Times New Roman" w:eastAsia="Calibri" w:cs="Times New Roman"/>
                <w:kern w:val="21"/>
                <w:sz w:val="24"/>
                <w:szCs w:val="24"/>
              </w:rPr>
              <w:t>-5111</w:t>
            </w:r>
            <w:r>
              <w:rPr>
                <w:rFonts w:hint="eastAsia" w:ascii="Times New Roman" w:hAnsi="Times New Roman" w:eastAsia="宋体" w:cs="Times New Roman"/>
                <w:kern w:val="21"/>
                <w:sz w:val="24"/>
                <w:szCs w:val="24"/>
                <w:lang w:val="en-US" w:eastAsia="zh-CN"/>
              </w:rPr>
              <w:t>02</w:t>
            </w:r>
            <w:r>
              <w:rPr>
                <w:rFonts w:hint="default" w:ascii="Times New Roman" w:hAnsi="Times New Roman" w:eastAsia="Calibri" w:cs="Times New Roman"/>
                <w:kern w:val="21"/>
                <w:sz w:val="24"/>
                <w:szCs w:val="24"/>
              </w:rPr>
              <w:t>-</w:t>
            </w:r>
            <w:r>
              <w:rPr>
                <w:rFonts w:hint="eastAsia" w:ascii="Times New Roman" w:hAnsi="Times New Roman" w:eastAsia="宋体" w:cs="Times New Roman"/>
                <w:kern w:val="21"/>
                <w:sz w:val="24"/>
                <w:szCs w:val="24"/>
                <w:lang w:val="en-US" w:eastAsia="zh-CN"/>
              </w:rPr>
              <w:t>04</w:t>
            </w:r>
            <w:r>
              <w:rPr>
                <w:rFonts w:hint="default" w:ascii="Times New Roman" w:hAnsi="Times New Roman" w:eastAsia="Calibri" w:cs="Times New Roman"/>
                <w:kern w:val="21"/>
                <w:sz w:val="24"/>
                <w:szCs w:val="24"/>
              </w:rPr>
              <w:t>-01-</w:t>
            </w:r>
            <w:r>
              <w:rPr>
                <w:rFonts w:hint="eastAsia" w:ascii="Times New Roman" w:hAnsi="Times New Roman" w:eastAsia="宋体" w:cs="Times New Roman"/>
                <w:kern w:val="21"/>
                <w:sz w:val="24"/>
                <w:szCs w:val="24"/>
                <w:lang w:val="en-US" w:eastAsia="zh-CN"/>
              </w:rPr>
              <w:t>468223】FGQB-0032号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12" w:type="dxa"/>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color w:val="auto"/>
                <w:kern w:val="21"/>
                <w:sz w:val="24"/>
                <w:szCs w:val="24"/>
                <w:highlight w:val="none"/>
              </w:rPr>
            </w:pPr>
            <w:r>
              <w:rPr>
                <w:rFonts w:hint="default" w:ascii="Times New Roman" w:hAnsi="Times New Roman" w:cs="Times New Roman"/>
                <w:color w:val="auto"/>
                <w:kern w:val="21"/>
                <w:sz w:val="24"/>
                <w:szCs w:val="24"/>
                <w:highlight w:val="none"/>
              </w:rPr>
              <w:t>总投资（万元）</w:t>
            </w:r>
          </w:p>
        </w:tc>
        <w:tc>
          <w:tcPr>
            <w:tcW w:w="2510"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color w:val="auto"/>
                <w:kern w:val="21"/>
                <w:sz w:val="24"/>
                <w:szCs w:val="24"/>
                <w:highlight w:val="none"/>
                <w:lang w:val="en-US" w:eastAsia="zh-CN"/>
              </w:rPr>
              <w:t>3438</w:t>
            </w:r>
          </w:p>
        </w:tc>
        <w:tc>
          <w:tcPr>
            <w:tcW w:w="2106" w:type="dxa"/>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color w:val="auto"/>
                <w:kern w:val="21"/>
                <w:sz w:val="24"/>
                <w:szCs w:val="24"/>
                <w:highlight w:val="none"/>
              </w:rPr>
            </w:pPr>
            <w:r>
              <w:rPr>
                <w:rFonts w:hint="default" w:ascii="Times New Roman" w:hAnsi="Times New Roman" w:cs="Times New Roman"/>
                <w:color w:val="auto"/>
                <w:kern w:val="21"/>
                <w:sz w:val="24"/>
                <w:szCs w:val="24"/>
                <w:highlight w:val="none"/>
              </w:rPr>
              <w:t>环保投资（万元）</w:t>
            </w:r>
          </w:p>
        </w:tc>
        <w:tc>
          <w:tcPr>
            <w:tcW w:w="4587"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b/>
                <w:bCs/>
                <w:color w:val="auto"/>
                <w:kern w:val="21"/>
                <w:sz w:val="24"/>
                <w:szCs w:val="24"/>
                <w:highlight w:val="none"/>
                <w:lang w:val="en-US" w:eastAsia="zh-CN"/>
              </w:rPr>
            </w:pPr>
            <w:r>
              <w:rPr>
                <w:rFonts w:hint="eastAsia" w:ascii="Times New Roman" w:hAnsi="Times New Roman" w:eastAsia="宋体" w:cs="Times New Roman"/>
                <w:b w:val="0"/>
                <w:bCs w:val="0"/>
                <w:color w:val="000000"/>
                <w:kern w:val="21"/>
                <w:sz w:val="24"/>
                <w:szCs w:val="24"/>
                <w:highlight w:val="none"/>
                <w:lang w:val="en-US" w:eastAsia="zh-CN"/>
              </w:rPr>
              <w:t>250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12" w:type="dxa"/>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color w:val="auto"/>
                <w:kern w:val="21"/>
                <w:sz w:val="24"/>
                <w:szCs w:val="24"/>
                <w:highlight w:val="none"/>
              </w:rPr>
            </w:pPr>
            <w:r>
              <w:rPr>
                <w:rFonts w:hint="default" w:ascii="Times New Roman" w:hAnsi="Times New Roman" w:cs="Times New Roman"/>
                <w:color w:val="auto"/>
                <w:kern w:val="21"/>
                <w:sz w:val="24"/>
                <w:szCs w:val="24"/>
                <w:highlight w:val="none"/>
              </w:rPr>
              <w:t>环保投资占比（%）</w:t>
            </w:r>
          </w:p>
        </w:tc>
        <w:tc>
          <w:tcPr>
            <w:tcW w:w="2510"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kern w:val="21"/>
                <w:sz w:val="24"/>
                <w:szCs w:val="24"/>
                <w:highlight w:val="none"/>
                <w:lang w:val="en-US" w:eastAsia="zh-CN"/>
              </w:rPr>
            </w:pPr>
            <w:r>
              <w:rPr>
                <w:rFonts w:hint="eastAsia" w:ascii="Times New Roman" w:hAnsi="Times New Roman" w:eastAsia="宋体" w:cs="Times New Roman"/>
                <w:b w:val="0"/>
                <w:bCs w:val="0"/>
                <w:color w:val="000000"/>
                <w:kern w:val="21"/>
                <w:sz w:val="24"/>
                <w:szCs w:val="24"/>
                <w:highlight w:val="none"/>
                <w:lang w:val="en-US" w:eastAsia="zh-CN"/>
              </w:rPr>
              <w:t>7.27</w:t>
            </w:r>
          </w:p>
        </w:tc>
        <w:tc>
          <w:tcPr>
            <w:tcW w:w="2106" w:type="dxa"/>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color w:val="auto"/>
                <w:kern w:val="21"/>
                <w:sz w:val="24"/>
                <w:szCs w:val="24"/>
                <w:highlight w:val="none"/>
              </w:rPr>
            </w:pPr>
            <w:r>
              <w:rPr>
                <w:rFonts w:hint="default" w:ascii="Times New Roman" w:hAnsi="Times New Roman" w:cs="Times New Roman"/>
                <w:color w:val="auto"/>
                <w:kern w:val="21"/>
                <w:sz w:val="24"/>
                <w:szCs w:val="24"/>
                <w:highlight w:val="none"/>
              </w:rPr>
              <w:t>施工工期</w:t>
            </w:r>
          </w:p>
        </w:tc>
        <w:tc>
          <w:tcPr>
            <w:tcW w:w="4587"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color w:val="auto"/>
                <w:kern w:val="21"/>
                <w:sz w:val="24"/>
                <w:szCs w:val="24"/>
                <w:highlight w:val="none"/>
                <w:lang w:val="en-US"/>
              </w:rPr>
            </w:pPr>
            <w:r>
              <w:rPr>
                <w:rFonts w:hint="eastAsia" w:ascii="Times New Roman" w:hAnsi="Times New Roman" w:cs="Times New Roman"/>
                <w:color w:val="auto"/>
                <w:spacing w:val="0"/>
                <w:kern w:val="21"/>
                <w:sz w:val="24"/>
                <w:szCs w:val="24"/>
                <w:highlight w:val="none"/>
                <w:lang w:val="en-US" w:eastAsia="zh-CN"/>
              </w:rPr>
              <w:t>8</w:t>
            </w:r>
            <w:r>
              <w:rPr>
                <w:rFonts w:hint="default" w:ascii="Times New Roman" w:hAnsi="Times New Roman" w:cs="Times New Roman"/>
                <w:color w:val="auto"/>
                <w:spacing w:val="0"/>
                <w:kern w:val="21"/>
                <w:sz w:val="24"/>
                <w:szCs w:val="24"/>
                <w:highlight w:val="none"/>
                <w:lang w:val="en-US" w:eastAsia="zh-CN"/>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12" w:type="dxa"/>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kern w:val="21"/>
                <w:sz w:val="24"/>
                <w:szCs w:val="24"/>
              </w:rPr>
            </w:pPr>
            <w:r>
              <w:rPr>
                <w:rFonts w:hint="default" w:ascii="Times New Roman" w:hAnsi="Times New Roman" w:cs="Times New Roman"/>
                <w:kern w:val="21"/>
                <w:sz w:val="24"/>
                <w:szCs w:val="24"/>
              </w:rPr>
              <w:t>是否开工建设</w:t>
            </w:r>
          </w:p>
        </w:tc>
        <w:tc>
          <w:tcPr>
            <w:tcW w:w="9203"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105"/>
              <w:jc w:val="left"/>
              <w:textAlignment w:val="auto"/>
              <w:rPr>
                <w:rFonts w:hint="default" w:ascii="Times New Roman" w:hAnsi="Times New Roman" w:cs="Times New Roman"/>
                <w:kern w:val="21"/>
                <w:sz w:val="24"/>
                <w:szCs w:val="24"/>
              </w:rPr>
            </w:pPr>
            <w:r>
              <w:rPr>
                <w:rFonts w:hint="default" w:ascii="Times New Roman" w:hAnsi="Times New Roman" w:cs="Times New Roman"/>
                <w:kern w:val="21"/>
                <w:sz w:val="24"/>
                <w:szCs w:val="24"/>
              </w:rPr>
              <w:sym w:font="Wingdings 2" w:char="0052"/>
            </w:r>
            <w:r>
              <w:rPr>
                <w:rFonts w:hint="default" w:ascii="Times New Roman" w:hAnsi="Times New Roman" w:cs="Times New Roman"/>
                <w:kern w:val="21"/>
                <w:sz w:val="24"/>
                <w:szCs w:val="24"/>
              </w:rPr>
              <w:t>否</w:t>
            </w:r>
          </w:p>
          <w:p>
            <w:pPr>
              <w:keepNext w:val="0"/>
              <w:keepLines w:val="0"/>
              <w:pageBreakBefore w:val="0"/>
              <w:kinsoku/>
              <w:wordWrap/>
              <w:overflowPunct/>
              <w:topLinePunct w:val="0"/>
              <w:bidi w:val="0"/>
              <w:adjustRightInd w:val="0"/>
              <w:snapToGrid w:val="0"/>
              <w:jc w:val="left"/>
              <w:textAlignment w:val="auto"/>
              <w:rPr>
                <w:rFonts w:hint="default" w:ascii="Times New Roman" w:hAnsi="Times New Roman" w:eastAsia="宋体" w:cs="Times New Roman"/>
                <w:color w:val="auto"/>
                <w:spacing w:val="0"/>
                <w:sz w:val="24"/>
                <w:szCs w:val="24"/>
              </w:rPr>
            </w:pPr>
            <w:r>
              <w:rPr>
                <w:rFonts w:hint="default" w:ascii="Times New Roman" w:hAnsi="Times New Roman" w:cs="Times New Roman"/>
                <w:kern w:val="21"/>
                <w:sz w:val="24"/>
                <w:szCs w:val="24"/>
              </w:rPr>
              <w:sym w:font="Wingdings 2" w:char="00A3"/>
            </w:r>
            <w:r>
              <w:rPr>
                <w:rFonts w:hint="default" w:ascii="Times New Roman" w:hAnsi="Times New Roman" w:cs="Times New Roman"/>
                <w:kern w:val="21"/>
                <w:sz w:val="24"/>
                <w:szCs w:val="24"/>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12" w:type="dxa"/>
            <w:noWrap w:val="0"/>
            <w:tcMar>
              <w:top w:w="16" w:type="dxa"/>
              <w:left w:w="16" w:type="dxa"/>
              <w:right w:w="16" w:type="dxa"/>
            </w:tcMar>
            <w:vAlign w:val="center"/>
          </w:tcPr>
          <w:p>
            <w:pPr>
              <w:keepNext w:val="0"/>
              <w:keepLines w:val="0"/>
              <w:pageBreakBefore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kern w:val="21"/>
                <w:sz w:val="24"/>
                <w:szCs w:val="24"/>
              </w:rPr>
            </w:pPr>
            <w:r>
              <w:rPr>
                <w:rFonts w:hint="default" w:ascii="Times New Roman" w:hAnsi="Times New Roman" w:cs="Times New Roman"/>
                <w:kern w:val="21"/>
                <w:sz w:val="24"/>
                <w:szCs w:val="24"/>
              </w:rPr>
              <w:t>专项评价设置情况</w:t>
            </w:r>
          </w:p>
        </w:tc>
        <w:tc>
          <w:tcPr>
            <w:tcW w:w="9203" w:type="dxa"/>
            <w:gridSpan w:val="3"/>
            <w:noWrap w:val="0"/>
            <w:tcMar>
              <w:top w:w="16" w:type="dxa"/>
              <w:left w:w="16" w:type="dxa"/>
              <w:right w:w="16" w:type="dxa"/>
            </w:tcMar>
            <w:vAlign w:val="center"/>
          </w:tcPr>
          <w:tbl>
            <w:tblPr>
              <w:tblStyle w:val="41"/>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164"/>
              <w:gridCol w:w="5734"/>
              <w:gridCol w:w="12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181" w:type="pct"/>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专项评价的类别</w:t>
                  </w:r>
                </w:p>
              </w:tc>
              <w:tc>
                <w:tcPr>
                  <w:tcW w:w="3129" w:type="pct"/>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涉及项目类别</w:t>
                  </w:r>
                </w:p>
              </w:tc>
              <w:tc>
                <w:tcPr>
                  <w:tcW w:w="689" w:type="pct"/>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eastAsia="zh-CN"/>
                    </w:rPr>
                    <w:t>本项目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181" w:type="pct"/>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地表水</w:t>
                  </w:r>
                </w:p>
              </w:tc>
              <w:tc>
                <w:tcPr>
                  <w:tcW w:w="3129" w:type="pct"/>
                  <w:noWrap w:val="0"/>
                  <w:vAlign w:val="center"/>
                </w:tcPr>
                <w:p>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水力发电：引水式发电、涉及调峰发电的项目；人工湖、人工湿地：全部；</w:t>
                  </w:r>
                </w:p>
                <w:p>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水库：全部；</w:t>
                  </w:r>
                </w:p>
                <w:p>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引水工程：全部（配套的管线工程等除外）；防洪除涝工程：包含水库的项目；</w:t>
                  </w:r>
                </w:p>
                <w:p>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河湖整治：涉及清淤且底泥存在重金属污染的项目</w:t>
                  </w:r>
                </w:p>
              </w:tc>
              <w:tc>
                <w:tcPr>
                  <w:tcW w:w="689" w:type="pct"/>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本项目</w:t>
                  </w:r>
                  <w:r>
                    <w:rPr>
                      <w:rFonts w:hint="eastAsia" w:ascii="Times New Roman" w:hAnsi="Times New Roman" w:cs="Times New Roman"/>
                      <w:color w:val="auto"/>
                      <w:sz w:val="21"/>
                      <w:szCs w:val="21"/>
                      <w:lang w:val="en-US" w:eastAsia="zh-CN"/>
                    </w:rPr>
                    <w:t>涉及引水工程，因此需做地表水专章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181" w:type="pct"/>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地下水</w:t>
                  </w:r>
                </w:p>
              </w:tc>
              <w:tc>
                <w:tcPr>
                  <w:tcW w:w="3129" w:type="pct"/>
                  <w:noWrap w:val="0"/>
                  <w:vAlign w:val="center"/>
                </w:tcPr>
                <w:p>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陆地石油和天然气开采：全部；地下水（含矿泉水）开采：全部；</w:t>
                  </w:r>
                </w:p>
                <w:p>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水利、水电、交通等：含穿越可溶岩地层隧道的项目</w:t>
                  </w:r>
                </w:p>
              </w:tc>
              <w:tc>
                <w:tcPr>
                  <w:tcW w:w="689" w:type="pct"/>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181" w:type="pct"/>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生态</w:t>
                  </w:r>
                </w:p>
              </w:tc>
              <w:tc>
                <w:tcPr>
                  <w:tcW w:w="3129" w:type="pct"/>
                  <w:noWrap w:val="0"/>
                  <w:vAlign w:val="center"/>
                </w:tcPr>
                <w:p>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涉及环境敏感区（不包括饮用水水源保护区，以居住、医疗卫生、文化教育、科研、行政办公为主要功能的区域，以及文物保护单位）的项目</w:t>
                  </w:r>
                </w:p>
              </w:tc>
              <w:tc>
                <w:tcPr>
                  <w:tcW w:w="689" w:type="pct"/>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不涉及重要水生生物的自然产卵场、索饵场、越冬场和洄游通道，天然渔场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181" w:type="pct"/>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大气</w:t>
                  </w:r>
                </w:p>
              </w:tc>
              <w:tc>
                <w:tcPr>
                  <w:tcW w:w="3129" w:type="pct"/>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油气、液体化工码头：全部；干散货（含煤炭、矿石）、件杂、多用途、通用码头：涉及粉尘、挥发性有机物排放的项目</w:t>
                  </w:r>
                </w:p>
              </w:tc>
              <w:tc>
                <w:tcPr>
                  <w:tcW w:w="689" w:type="pct"/>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181" w:type="pct"/>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w:t>
                  </w:r>
                </w:p>
              </w:tc>
              <w:tc>
                <w:tcPr>
                  <w:tcW w:w="3129" w:type="pct"/>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公路、铁路、机场等交通运输业涉及环境敏感区（以居住、医疗卫生、文化教育、科研、行政办公为主要功能的区域）的项目；</w:t>
                  </w:r>
                </w:p>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城市道路（不含维护，不含支路、人行天桥、人行地道）：全部</w:t>
                  </w:r>
                </w:p>
              </w:tc>
              <w:tc>
                <w:tcPr>
                  <w:tcW w:w="689" w:type="pct"/>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181" w:type="pct"/>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环境风险</w:t>
                  </w:r>
                </w:p>
              </w:tc>
              <w:tc>
                <w:tcPr>
                  <w:tcW w:w="3129" w:type="pct"/>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石油和天然气开采：全部；油气、液体化工码头：全部；原油、成品油、天然气管线（不含城镇天然气管线、企业厂区内管线），危  险化学品输送管线（不含企业厂区内管线）：全部</w:t>
                  </w:r>
                </w:p>
              </w:tc>
              <w:tc>
                <w:tcPr>
                  <w:tcW w:w="689" w:type="pct"/>
                  <w:noWrap w:val="0"/>
                  <w:vAlign w:val="center"/>
                </w:tcPr>
                <w:p>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不涉及</w:t>
                  </w:r>
                </w:p>
              </w:tc>
            </w:tr>
          </w:tbl>
          <w:p>
            <w:pPr>
              <w:keepNext w:val="0"/>
              <w:keepLines w:val="0"/>
              <w:pageBreakBefore w:val="0"/>
              <w:kinsoku/>
              <w:wordWrap/>
              <w:overflowPunct/>
              <w:topLinePunct w:val="0"/>
              <w:autoSpaceDE w:val="0"/>
              <w:autoSpaceDN w:val="0"/>
              <w:bidi w:val="0"/>
              <w:adjustRightInd w:val="0"/>
              <w:snapToGrid w:val="0"/>
              <w:ind w:firstLine="482" w:firstLineChars="200"/>
              <w:textAlignment w:val="auto"/>
              <w:rPr>
                <w:rFonts w:hint="default" w:ascii="Times New Roman" w:hAnsi="Times New Roman" w:cs="Times New Roman"/>
                <w:color w:val="0000FF"/>
                <w:kern w:val="21"/>
                <w:sz w:val="24"/>
                <w:szCs w:val="24"/>
              </w:rPr>
            </w:pPr>
            <w:r>
              <w:rPr>
                <w:rFonts w:hint="default"/>
                <w:b/>
                <w:bCs/>
                <w:color w:val="auto"/>
                <w:sz w:val="24"/>
                <w:szCs w:val="24"/>
                <w:lang w:eastAsia="zh-CN"/>
              </w:rPr>
              <w:t>综上，本项目需要设置</w:t>
            </w:r>
            <w:r>
              <w:rPr>
                <w:rFonts w:hint="eastAsia"/>
                <w:b/>
                <w:bCs/>
                <w:color w:val="auto"/>
                <w:sz w:val="24"/>
                <w:szCs w:val="24"/>
                <w:lang w:eastAsia="zh-CN"/>
              </w:rPr>
              <w:t>地表水</w:t>
            </w:r>
            <w:r>
              <w:rPr>
                <w:rFonts w:hint="default"/>
                <w:b/>
                <w:bCs/>
                <w:color w:val="auto"/>
                <w:sz w:val="24"/>
                <w:szCs w:val="24"/>
                <w:lang w:eastAsia="zh-CN"/>
              </w:rPr>
              <w:t>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12" w:type="dxa"/>
            <w:noWrap w:val="0"/>
            <w:tcMar>
              <w:top w:w="16" w:type="dxa"/>
              <w:left w:w="16" w:type="dxa"/>
              <w:right w:w="16" w:type="dxa"/>
            </w:tcMar>
            <w:vAlign w:val="center"/>
          </w:tcPr>
          <w:p>
            <w:pPr>
              <w:keepNext w:val="0"/>
              <w:keepLines w:val="0"/>
              <w:pageBreakBefore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kern w:val="21"/>
                <w:sz w:val="24"/>
                <w:szCs w:val="24"/>
              </w:rPr>
            </w:pPr>
            <w:r>
              <w:rPr>
                <w:rFonts w:hint="default" w:ascii="Times New Roman" w:hAnsi="Times New Roman" w:cs="Times New Roman"/>
                <w:kern w:val="21"/>
                <w:sz w:val="24"/>
                <w:szCs w:val="24"/>
              </w:rPr>
              <w:t>规划情况</w:t>
            </w:r>
          </w:p>
        </w:tc>
        <w:tc>
          <w:tcPr>
            <w:tcW w:w="9203" w:type="dxa"/>
            <w:gridSpan w:val="3"/>
            <w:noWrap w:val="0"/>
            <w:tcMar>
              <w:top w:w="16" w:type="dxa"/>
              <w:left w:w="16" w:type="dxa"/>
              <w:right w:w="16"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cs="Times New Roman"/>
                <w:color w:val="0000FF"/>
                <w:kern w:val="21"/>
                <w:sz w:val="24"/>
                <w:szCs w:val="24"/>
              </w:rPr>
            </w:pPr>
            <w:r>
              <w:rPr>
                <w:rFonts w:hint="eastAsia" w:ascii="Times New Roman" w:hAnsi="Times New Roman" w:cs="Times New Roman"/>
                <w:b/>
                <w:bCs/>
                <w:color w:val="auto"/>
                <w:kern w:val="21"/>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12" w:type="dxa"/>
            <w:noWrap w:val="0"/>
            <w:tcMar>
              <w:top w:w="16" w:type="dxa"/>
              <w:left w:w="16" w:type="dxa"/>
              <w:right w:w="16" w:type="dxa"/>
            </w:tcMar>
            <w:vAlign w:val="center"/>
          </w:tcPr>
          <w:p>
            <w:pPr>
              <w:keepNext w:val="0"/>
              <w:keepLines w:val="0"/>
              <w:pageBreakBefore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kern w:val="21"/>
                <w:sz w:val="24"/>
                <w:szCs w:val="24"/>
              </w:rPr>
            </w:pPr>
            <w:r>
              <w:rPr>
                <w:rFonts w:hint="default" w:ascii="Times New Roman" w:hAnsi="Times New Roman" w:cs="Times New Roman"/>
                <w:kern w:val="21"/>
                <w:sz w:val="24"/>
                <w:szCs w:val="24"/>
              </w:rPr>
              <w:t>规划环境影响评价情况</w:t>
            </w:r>
          </w:p>
        </w:tc>
        <w:tc>
          <w:tcPr>
            <w:tcW w:w="9203" w:type="dxa"/>
            <w:gridSpan w:val="3"/>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仿宋_GB2312" w:cs="Times New Roman"/>
                <w:color w:val="0000FF"/>
                <w:kern w:val="21"/>
                <w:sz w:val="24"/>
                <w:szCs w:val="24"/>
                <w:lang w:eastAsia="zh-CN"/>
              </w:rPr>
            </w:pPr>
            <w:r>
              <w:rPr>
                <w:rFonts w:hint="default" w:ascii="Times New Roman" w:hAnsi="Times New Roman" w:cs="Times New Roman"/>
                <w:color w:val="auto"/>
                <w:kern w:val="21"/>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712" w:type="dxa"/>
            <w:noWrap w:val="0"/>
            <w:tcMar>
              <w:top w:w="16" w:type="dxa"/>
              <w:left w:w="16" w:type="dxa"/>
              <w:right w:w="16" w:type="dxa"/>
            </w:tcMar>
            <w:vAlign w:val="center"/>
          </w:tcPr>
          <w:p>
            <w:pPr>
              <w:keepNext w:val="0"/>
              <w:keepLines w:val="0"/>
              <w:pageBreakBefore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kern w:val="21"/>
                <w:sz w:val="24"/>
                <w:szCs w:val="24"/>
              </w:rPr>
            </w:pPr>
            <w:r>
              <w:rPr>
                <w:rFonts w:hint="default" w:ascii="Times New Roman" w:hAnsi="Times New Roman" w:cs="Times New Roman"/>
                <w:kern w:val="21"/>
                <w:sz w:val="24"/>
                <w:szCs w:val="24"/>
              </w:rPr>
              <w:t>规划及规划环境影响评价符合性分析</w:t>
            </w:r>
          </w:p>
        </w:tc>
        <w:tc>
          <w:tcPr>
            <w:tcW w:w="9203" w:type="dxa"/>
            <w:gridSpan w:val="3"/>
            <w:noWrap w:val="0"/>
            <w:tcMar>
              <w:top w:w="16" w:type="dxa"/>
              <w:left w:w="16" w:type="dxa"/>
              <w:right w:w="16" w:type="dxa"/>
            </w:tcMar>
            <w:vAlign w:val="center"/>
          </w:tcPr>
          <w:p>
            <w:pPr>
              <w:keepNext w:val="0"/>
              <w:keepLines w:val="0"/>
              <w:pageBreakBefore w:val="0"/>
              <w:widowControl w:val="0"/>
              <w:kinsoku/>
              <w:wordWrap/>
              <w:overflowPunct/>
              <w:topLinePunct w:val="0"/>
              <w:autoSpaceDE/>
              <w:autoSpaceDN/>
              <w:bidi w:val="0"/>
              <w:adjustRightInd/>
              <w:snapToGrid/>
              <w:spacing w:line="360" w:lineRule="auto"/>
              <w:ind w:left="0" w:firstLine="518" w:firstLineChars="200"/>
              <w:textAlignment w:val="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pacing w:val="14"/>
                <w:position w:val="2"/>
                <w:sz w:val="23"/>
                <w:szCs w:val="23"/>
                <w:lang w:val="en-US" w:eastAsia="zh-CN"/>
              </w:rPr>
              <w:t>1</w:t>
            </w:r>
            <w:r>
              <w:rPr>
                <w:rFonts w:hint="eastAsia" w:ascii="Times New Roman" w:hAnsi="Times New Roman" w:eastAsia="宋体" w:cs="Times New Roman"/>
                <w:b/>
                <w:bCs/>
                <w:sz w:val="24"/>
                <w:szCs w:val="24"/>
                <w:lang w:val="en-US" w:eastAsia="zh-CN"/>
              </w:rPr>
              <w:t>、项目与《中华人民共和国河道管理条例》符合性分析</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right="0" w:firstLine="462" w:firstLineChars="20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pacing w:val="10"/>
                <w:sz w:val="21"/>
                <w:szCs w:val="21"/>
              </w:rPr>
              <w:t>表</w:t>
            </w:r>
            <w:r>
              <w:rPr>
                <w:rFonts w:hint="default" w:ascii="Times New Roman" w:hAnsi="Times New Roman" w:eastAsia="宋体" w:cs="Times New Roman"/>
                <w:b/>
                <w:bCs/>
                <w:spacing w:val="7"/>
                <w:sz w:val="21"/>
                <w:szCs w:val="21"/>
              </w:rPr>
              <w:t>1-</w:t>
            </w:r>
            <w:r>
              <w:rPr>
                <w:rFonts w:hint="eastAsia" w:ascii="Times New Roman" w:hAnsi="Times New Roman" w:eastAsia="宋体" w:cs="Times New Roman"/>
                <w:b/>
                <w:bCs/>
                <w:spacing w:val="7"/>
                <w:sz w:val="21"/>
                <w:szCs w:val="21"/>
                <w:lang w:val="en-US" w:eastAsia="zh-CN"/>
              </w:rPr>
              <w:t>1</w:t>
            </w:r>
            <w:r>
              <w:rPr>
                <w:rFonts w:hint="default" w:ascii="Times New Roman" w:hAnsi="Times New Roman" w:eastAsia="宋体" w:cs="Times New Roman"/>
                <w:b/>
                <w:bCs/>
                <w:spacing w:val="7"/>
                <w:sz w:val="21"/>
                <w:szCs w:val="21"/>
              </w:rPr>
              <w:t xml:space="preserve">  项目与中华人民共和国河道管理条例符合性分析</w:t>
            </w:r>
          </w:p>
          <w:tbl>
            <w:tblPr>
              <w:tblStyle w:val="252"/>
              <w:tblW w:w="916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860"/>
              <w:gridCol w:w="43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2651" w:type="pct"/>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9"/>
                      <w:sz w:val="21"/>
                      <w:szCs w:val="21"/>
                    </w:rPr>
                    <w:t>河道管理条例内</w:t>
                  </w:r>
                  <w:r>
                    <w:rPr>
                      <w:rFonts w:hint="default" w:ascii="Times New Roman" w:hAnsi="Times New Roman" w:eastAsia="宋体" w:cs="Times New Roman"/>
                      <w:spacing w:val="7"/>
                      <w:sz w:val="21"/>
                      <w:szCs w:val="21"/>
                    </w:rPr>
                    <w:t>容</w:t>
                  </w:r>
                </w:p>
              </w:tc>
              <w:tc>
                <w:tcPr>
                  <w:tcW w:w="2348" w:type="pct"/>
                  <w:tcBorders>
                    <w:right w:val="single" w:color="000000" w:sz="6"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本</w:t>
                  </w:r>
                  <w:r>
                    <w:rPr>
                      <w:rFonts w:hint="default" w:ascii="Times New Roman" w:hAnsi="Times New Roman" w:eastAsia="宋体" w:cs="Times New Roman"/>
                      <w:spacing w:val="6"/>
                      <w:sz w:val="21"/>
                      <w:szCs w:val="21"/>
                    </w:rPr>
                    <w:t>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2651" w:type="pct"/>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3"/>
                      <w:sz w:val="21"/>
                      <w:szCs w:val="21"/>
                    </w:rPr>
                  </w:pPr>
                  <w:r>
                    <w:rPr>
                      <w:rFonts w:hint="default" w:ascii="Times New Roman" w:hAnsi="Times New Roman" w:eastAsia="宋体" w:cs="Times New Roman"/>
                      <w:spacing w:val="13"/>
                      <w:sz w:val="21"/>
                      <w:szCs w:val="21"/>
                    </w:rPr>
                    <w:t>第二章河道整治与建设</w:t>
                  </w: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3"/>
                      <w:sz w:val="21"/>
                      <w:szCs w:val="21"/>
                    </w:rPr>
                  </w:pPr>
                  <w:r>
                    <w:rPr>
                      <w:rFonts w:hint="default" w:ascii="Times New Roman" w:hAnsi="Times New Roman" w:eastAsia="宋体" w:cs="Times New Roman"/>
                      <w:spacing w:val="13"/>
                      <w:sz w:val="21"/>
                      <w:szCs w:val="21"/>
                    </w:rPr>
                    <w:t>第十条河道的整治与建设，应当服从流域综合规划，符合国家规定 的防洪标准、通航标准和其他有关技术要求，维护堤防安全，保持 河势稳定和行洪、航运通畅。</w:t>
                  </w:r>
                </w:p>
              </w:tc>
              <w:tc>
                <w:tcPr>
                  <w:tcW w:w="2348" w:type="pct"/>
                  <w:tcBorders>
                    <w:right w:val="single" w:color="000000" w:sz="6"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3"/>
                      <w:sz w:val="21"/>
                      <w:szCs w:val="21"/>
                    </w:rPr>
                  </w:pPr>
                  <w:r>
                    <w:rPr>
                      <w:rFonts w:hint="default" w:ascii="Times New Roman" w:hAnsi="Times New Roman" w:eastAsia="宋体" w:cs="Times New Roman"/>
                      <w:spacing w:val="13"/>
                      <w:sz w:val="21"/>
                      <w:szCs w:val="21"/>
                    </w:rPr>
                    <w:t>本项目符合</w:t>
                  </w:r>
                  <w:r>
                    <w:rPr>
                      <w:rFonts w:hint="default" w:ascii="Times New Roman" w:hAnsi="Times New Roman" w:eastAsia="宋体" w:cs="Times New Roman"/>
                      <w:spacing w:val="13"/>
                      <w:sz w:val="21"/>
                      <w:szCs w:val="21"/>
                      <w:lang w:val="en-US" w:eastAsia="zh-CN"/>
                    </w:rPr>
                    <w:t>乐山市峨眉河旅游综合开发规划</w:t>
                  </w:r>
                  <w:r>
                    <w:rPr>
                      <w:rFonts w:hint="default" w:ascii="Times New Roman" w:hAnsi="Times New Roman" w:eastAsia="宋体" w:cs="Times New Roman"/>
                      <w:spacing w:val="13"/>
                      <w:sz w:val="21"/>
                      <w:szCs w:val="21"/>
                    </w:rPr>
                    <w:t>，峨眉河开发已列入乐山市近期重点实施的工程，实施安福堰综合整治工程，不仅可以确保灌溉工程发挥正常作用，也改善了景观效果，提升了峨眉河旅游价值。</w:t>
                  </w:r>
                </w:p>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pacing w:val="13"/>
                      <w:sz w:val="21"/>
                      <w:szCs w:val="21"/>
                    </w:rPr>
                  </w:pPr>
                  <w:r>
                    <w:rPr>
                      <w:rFonts w:hint="default" w:ascii="Times New Roman" w:hAnsi="Times New Roman" w:eastAsia="宋体" w:cs="Times New Roman"/>
                      <w:spacing w:val="13"/>
                      <w:sz w:val="21"/>
                      <w:szCs w:val="21"/>
                    </w:rPr>
                    <w:t>符合国家规定的防护标准及相关技术要求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8" w:hRule="atLeast"/>
              </w:trPr>
              <w:tc>
                <w:tcPr>
                  <w:tcW w:w="2651" w:type="pct"/>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3"/>
                      <w:sz w:val="21"/>
                      <w:szCs w:val="21"/>
                    </w:rPr>
                    <w:t>第十一条修建开发水利、防治水害、整治河道的各类工程和跨河</w:t>
                  </w:r>
                  <w:r>
                    <w:rPr>
                      <w:rFonts w:hint="default" w:ascii="Times New Roman" w:hAnsi="Times New Roman" w:eastAsia="宋体" w:cs="Times New Roman"/>
                      <w:spacing w:val="7"/>
                      <w:sz w:val="21"/>
                      <w:szCs w:val="21"/>
                    </w:rPr>
                    <w:t>、</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13"/>
                      <w:sz w:val="21"/>
                      <w:szCs w:val="21"/>
                    </w:rPr>
                    <w:t>穿河、穿堤、临河的桥梁、码头、道路、渡口、管道、缆线等建</w:t>
                  </w:r>
                  <w:r>
                    <w:rPr>
                      <w:rFonts w:hint="default" w:ascii="Times New Roman" w:hAnsi="Times New Roman" w:eastAsia="宋体" w:cs="Times New Roman"/>
                      <w:spacing w:val="8"/>
                      <w:sz w:val="21"/>
                      <w:szCs w:val="21"/>
                    </w:rPr>
                    <w:t>筑</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13"/>
                      <w:sz w:val="21"/>
                      <w:szCs w:val="21"/>
                    </w:rPr>
                    <w:t>物及设施，建设单位必须按照河道管理权限，将工程建设方案报</w:t>
                  </w:r>
                  <w:r>
                    <w:rPr>
                      <w:rFonts w:hint="default" w:ascii="Times New Roman" w:hAnsi="Times New Roman" w:eastAsia="宋体" w:cs="Times New Roman"/>
                      <w:spacing w:val="8"/>
                      <w:sz w:val="21"/>
                      <w:szCs w:val="21"/>
                    </w:rPr>
                    <w:t>送</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13"/>
                      <w:sz w:val="21"/>
                      <w:szCs w:val="21"/>
                    </w:rPr>
                    <w:t>河道主管机关审查同意。未经河道主管机关审查同意的，建设单</w:t>
                  </w:r>
                  <w:r>
                    <w:rPr>
                      <w:rFonts w:hint="default" w:ascii="Times New Roman" w:hAnsi="Times New Roman" w:eastAsia="宋体" w:cs="Times New Roman"/>
                      <w:spacing w:val="8"/>
                      <w:sz w:val="21"/>
                      <w:szCs w:val="21"/>
                    </w:rPr>
                    <w:t>位</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13"/>
                      <w:sz w:val="21"/>
                      <w:szCs w:val="21"/>
                    </w:rPr>
                    <w:t>不得开工建设。建设项目经批准后，建设单位应当将施工安排告</w:t>
                  </w:r>
                  <w:r>
                    <w:rPr>
                      <w:rFonts w:hint="default" w:ascii="Times New Roman" w:hAnsi="Times New Roman" w:eastAsia="宋体" w:cs="Times New Roman"/>
                      <w:spacing w:val="8"/>
                      <w:sz w:val="21"/>
                      <w:szCs w:val="21"/>
                    </w:rPr>
                    <w:t>知</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8"/>
                      <w:sz w:val="21"/>
                      <w:szCs w:val="21"/>
                    </w:rPr>
                    <w:t>河</w:t>
                  </w:r>
                  <w:r>
                    <w:rPr>
                      <w:rFonts w:hint="default" w:ascii="Times New Roman" w:hAnsi="Times New Roman" w:eastAsia="宋体" w:cs="Times New Roman"/>
                      <w:spacing w:val="7"/>
                      <w:sz w:val="21"/>
                      <w:szCs w:val="21"/>
                    </w:rPr>
                    <w:t>道主管机关。</w:t>
                  </w:r>
                </w:p>
              </w:tc>
              <w:tc>
                <w:tcPr>
                  <w:tcW w:w="2348" w:type="pct"/>
                  <w:tcBorders>
                    <w:right w:val="single" w:color="000000" w:sz="6" w:space="0"/>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pacing w:val="12"/>
                      <w:sz w:val="21"/>
                      <w:szCs w:val="21"/>
                    </w:rPr>
                    <w:t>本</w:t>
                  </w:r>
                  <w:r>
                    <w:rPr>
                      <w:rFonts w:hint="default" w:ascii="Times New Roman" w:hAnsi="Times New Roman" w:eastAsia="宋体" w:cs="Times New Roman"/>
                      <w:spacing w:val="7"/>
                      <w:sz w:val="21"/>
                      <w:szCs w:val="21"/>
                    </w:rPr>
                    <w:t>项目</w:t>
                  </w:r>
                  <w:r>
                    <w:rPr>
                      <w:rFonts w:hint="default" w:ascii="Times New Roman" w:hAnsi="Times New Roman" w:eastAsia="宋体" w:cs="Times New Roman"/>
                      <w:spacing w:val="7"/>
                      <w:sz w:val="21"/>
                      <w:szCs w:val="21"/>
                      <w:lang w:val="en-US" w:eastAsia="zh-CN"/>
                    </w:rPr>
                    <w:t>初步设计已通过市中区审批局组织评审；乐山市税务局已出具本项目行洪论证与河势稳定评价报告的批复（乐水审批</w:t>
                  </w:r>
                  <w:r>
                    <w:rPr>
                      <w:rFonts w:ascii="宋体" w:hAnsi="宋体" w:eastAsia="宋体" w:cs="宋体"/>
                      <w:sz w:val="21"/>
                      <w:szCs w:val="21"/>
                    </w:rPr>
                    <w:t>〔</w:t>
                  </w:r>
                  <w:r>
                    <w:rPr>
                      <w:rFonts w:ascii="Times New Roman" w:hAnsi="Times New Roman" w:eastAsia="Times New Roman" w:cs="Times New Roman"/>
                      <w:sz w:val="21"/>
                      <w:szCs w:val="21"/>
                    </w:rPr>
                    <w:t>20</w:t>
                  </w:r>
                  <w:r>
                    <w:rPr>
                      <w:rFonts w:hint="eastAsia" w:ascii="Times New Roman" w:hAnsi="Times New Roman" w:eastAsia="宋体" w:cs="Times New Roman"/>
                      <w:sz w:val="21"/>
                      <w:szCs w:val="21"/>
                      <w:lang w:val="en-US" w:eastAsia="zh-CN"/>
                    </w:rPr>
                    <w:t>22</w:t>
                  </w:r>
                  <w:r>
                    <w:rPr>
                      <w:rFonts w:ascii="宋体" w:hAnsi="宋体" w:eastAsia="宋体" w:cs="宋体"/>
                      <w:sz w:val="21"/>
                      <w:szCs w:val="21"/>
                    </w:rPr>
                    <w:t>〕</w:t>
                  </w:r>
                  <w:r>
                    <w:rPr>
                      <w:rFonts w:hint="default" w:ascii="Times New Roman" w:hAnsi="Times New Roman" w:eastAsia="宋体" w:cs="Times New Roman"/>
                      <w:spacing w:val="7"/>
                      <w:sz w:val="21"/>
                      <w:szCs w:val="21"/>
                      <w:lang w:val="en-US" w:eastAsia="zh-CN"/>
                    </w:rPr>
                    <w:t>23号）</w:t>
                  </w:r>
                </w:p>
              </w:tc>
            </w:tr>
          </w:tbl>
          <w:p>
            <w:pPr>
              <w:keepNext w:val="0"/>
              <w:keepLines w:val="0"/>
              <w:pageBreakBefore w:val="0"/>
              <w:numPr>
                <w:ilvl w:val="0"/>
                <w:numId w:val="0"/>
              </w:numPr>
              <w:kinsoku/>
              <w:wordWrap/>
              <w:overflowPunct/>
              <w:topLinePunct w:val="0"/>
              <w:autoSpaceDE w:val="0"/>
              <w:autoSpaceDN w:val="0"/>
              <w:bidi w:val="0"/>
              <w:adjustRightInd w:val="0"/>
              <w:snapToGrid w:val="0"/>
              <w:spacing w:line="360" w:lineRule="auto"/>
              <w:ind w:right="0" w:firstLine="482" w:firstLineChars="200"/>
              <w:textAlignment w:val="auto"/>
              <w:rPr>
                <w:rFonts w:hint="default" w:ascii="Times New Roman" w:hAnsi="Times New Roman" w:eastAsia="宋体" w:cs="Times New Roman"/>
                <w:b/>
                <w:bCs/>
                <w:sz w:val="24"/>
                <w:szCs w:val="24"/>
                <w:lang w:val="en-US" w:eastAsia="zh-CN"/>
              </w:rPr>
            </w:pPr>
            <w:r>
              <w:rPr>
                <w:rFonts w:hint="eastAsia" w:ascii="Times New Roman" w:hAnsi="Times New Roman" w:cs="Times New Roman"/>
                <w:b/>
                <w:bCs/>
                <w:sz w:val="24"/>
                <w:szCs w:val="24"/>
                <w:lang w:val="en-US" w:eastAsia="zh-CN"/>
              </w:rPr>
              <w:t>2</w:t>
            </w:r>
            <w:r>
              <w:rPr>
                <w:rFonts w:hint="default" w:ascii="Times New Roman" w:hAnsi="Times New Roman" w:cs="Times New Roman"/>
                <w:b/>
                <w:bCs/>
                <w:sz w:val="24"/>
                <w:szCs w:val="24"/>
                <w:lang w:val="en-US" w:eastAsia="zh-CN"/>
              </w:rPr>
              <w:t>、与</w:t>
            </w:r>
            <w:r>
              <w:rPr>
                <w:rFonts w:hint="default" w:ascii="Times New Roman" w:hAnsi="Times New Roman" w:cs="Times New Roman"/>
                <w:b/>
                <w:bCs/>
                <w:color w:val="auto"/>
                <w:kern w:val="21"/>
                <w:sz w:val="24"/>
                <w:szCs w:val="24"/>
                <w:lang w:eastAsia="zh-CN"/>
              </w:rPr>
              <w:t>《</w:t>
            </w:r>
            <w:r>
              <w:rPr>
                <w:rFonts w:hint="eastAsia" w:ascii="Times New Roman" w:hAnsi="Times New Roman" w:cs="Times New Roman"/>
                <w:b/>
                <w:bCs/>
                <w:color w:val="auto"/>
                <w:kern w:val="21"/>
                <w:sz w:val="24"/>
                <w:szCs w:val="24"/>
                <w:lang w:val="en-US" w:eastAsia="zh-CN"/>
              </w:rPr>
              <w:t>四川省“十三五”水利发展</w:t>
            </w:r>
            <w:r>
              <w:rPr>
                <w:rFonts w:hint="default" w:ascii="Times New Roman" w:hAnsi="Times New Roman" w:cs="Times New Roman"/>
                <w:b/>
                <w:bCs/>
                <w:color w:val="auto"/>
                <w:kern w:val="21"/>
                <w:sz w:val="24"/>
                <w:szCs w:val="24"/>
                <w:lang w:eastAsia="zh-CN"/>
              </w:rPr>
              <w:t>规划》符合性分析</w:t>
            </w:r>
          </w:p>
          <w:p>
            <w:pPr>
              <w:keepNext w:val="0"/>
              <w:keepLines w:val="0"/>
              <w:pageBreakBefore w:val="0"/>
              <w:widowControl w:val="0"/>
              <w:kinsoku/>
              <w:wordWrap/>
              <w:overflowPunct/>
              <w:topLinePunct w:val="0"/>
              <w:bidi w:val="0"/>
              <w:spacing w:line="360" w:lineRule="auto"/>
              <w:ind w:firstLine="480" w:firstLineChars="200"/>
              <w:jc w:val="both"/>
              <w:textAlignment w:val="auto"/>
              <w:rPr>
                <w:rFonts w:hint="eastAsia" w:ascii="宋体" w:hAnsi="宋体" w:eastAsia="宋体"/>
                <w:sz w:val="24"/>
                <w:szCs w:val="24"/>
              </w:rPr>
            </w:pPr>
            <w:r>
              <w:rPr>
                <w:rFonts w:hint="eastAsia" w:ascii="宋体" w:hAnsi="宋体" w:eastAsia="宋体"/>
                <w:sz w:val="24"/>
                <w:szCs w:val="24"/>
              </w:rPr>
              <w:t>《规划》紧紧围绕“四个全面”战略布局，坚持“创新、协调、绿色、开放、共享”发展理念，按照“节水优先、空间均衡、系统治理、两手发力”的新时期水利工作方针，根据我省“三大发展战略”、“两个跨越”和“推进绿色发展建设美丽四川”的要求……促进幸福美丽新村着力点，大力推进水生态文明建设，筑牢长江上游生态屏障；加快推进绿水兴川，为同步全面</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right="0" w:firstLine="480" w:firstLineChars="200"/>
              <w:jc w:val="both"/>
              <w:textAlignment w:val="auto"/>
              <w:rPr>
                <w:rFonts w:hint="eastAsia" w:ascii="宋体" w:hAnsi="宋体" w:eastAsia="宋体"/>
                <w:sz w:val="24"/>
                <w:szCs w:val="24"/>
              </w:rPr>
            </w:pPr>
            <w:r>
              <w:rPr>
                <w:rFonts w:hint="eastAsia" w:ascii="宋体" w:hAnsi="宋体" w:eastAsia="宋体"/>
                <w:sz w:val="24"/>
                <w:szCs w:val="24"/>
              </w:rPr>
              <w:t>建成小康社会提供更加坚实的水安全保障。……把保障和改善民生作为水利工作的出发点和落脚点，着力解决人民群众最关心最直接最现实的水利问题，使广大人民群众共享水利改革发展成果。</w:t>
            </w:r>
          </w:p>
          <w:p>
            <w:pPr>
              <w:keepNext w:val="0"/>
              <w:keepLines w:val="0"/>
              <w:pageBreakBefore w:val="0"/>
              <w:widowControl w:val="0"/>
              <w:kinsoku/>
              <w:wordWrap/>
              <w:overflowPunct/>
              <w:topLinePunct w:val="0"/>
              <w:bidi w:val="0"/>
              <w:spacing w:line="360" w:lineRule="auto"/>
              <w:ind w:firstLine="480" w:firstLineChars="200"/>
              <w:jc w:val="both"/>
              <w:textAlignment w:val="auto"/>
              <w:rPr>
                <w:rFonts w:hint="eastAsia" w:ascii="宋体" w:hAnsi="宋体" w:eastAsia="宋体"/>
                <w:sz w:val="24"/>
                <w:szCs w:val="24"/>
              </w:rPr>
            </w:pPr>
            <w:r>
              <w:rPr>
                <w:rFonts w:hint="eastAsia" w:ascii="宋体" w:hAnsi="宋体" w:eastAsia="宋体"/>
                <w:sz w:val="24"/>
                <w:szCs w:val="24"/>
              </w:rPr>
              <w:t>《规划》主要目标：防洪抗旱减灾。健全防汛抗旱指挥决策体系；城镇防洪排涝设施建设明显加强，主要江河和重点中小河流重要河段的防洪能力显著提升，完善山洪灾害综合防御体系；重点区域和城乡抗旱能力明显增强……。</w:t>
            </w:r>
          </w:p>
          <w:p>
            <w:pPr>
              <w:keepNext w:val="0"/>
              <w:keepLines w:val="0"/>
              <w:pageBreakBefore w:val="0"/>
              <w:widowControl w:val="0"/>
              <w:kinsoku/>
              <w:wordWrap/>
              <w:overflowPunct/>
              <w:topLinePunct w:val="0"/>
              <w:bidi w:val="0"/>
              <w:spacing w:line="360" w:lineRule="auto"/>
              <w:ind w:firstLine="480" w:firstLineChars="200"/>
              <w:jc w:val="both"/>
              <w:textAlignment w:val="auto"/>
              <w:rPr>
                <w:rFonts w:hint="eastAsia" w:ascii="宋体" w:hAnsi="宋体" w:eastAsia="宋体"/>
                <w:sz w:val="24"/>
                <w:szCs w:val="24"/>
              </w:rPr>
            </w:pPr>
            <w:r>
              <w:rPr>
                <w:rFonts w:hint="eastAsia" w:ascii="宋体" w:hAnsi="宋体" w:eastAsia="宋体"/>
                <w:sz w:val="24"/>
                <w:szCs w:val="24"/>
              </w:rPr>
              <w:t>加快完善水利基础设施网络：继续推进中小河流治理，采取综合措施提高防御洪水能力，改善河流生态环境。</w:t>
            </w:r>
          </w:p>
          <w:p>
            <w:pPr>
              <w:keepNext w:val="0"/>
              <w:keepLines w:val="0"/>
              <w:pageBreakBefore w:val="0"/>
              <w:widowControl w:val="0"/>
              <w:kinsoku/>
              <w:wordWrap/>
              <w:overflowPunct/>
              <w:topLinePunct w:val="0"/>
              <w:bidi w:val="0"/>
              <w:spacing w:line="360" w:lineRule="auto"/>
              <w:ind w:firstLine="480" w:firstLineChars="200"/>
              <w:jc w:val="both"/>
              <w:textAlignment w:val="auto"/>
              <w:rPr>
                <w:rFonts w:hint="eastAsia" w:ascii="宋体" w:hAnsi="宋体" w:eastAsia="宋体" w:cs="Times New Roman"/>
                <w:sz w:val="24"/>
                <w:szCs w:val="24"/>
              </w:rPr>
            </w:pPr>
            <w:r>
              <w:rPr>
                <w:rFonts w:hint="eastAsia" w:ascii="宋体" w:hAnsi="宋体" w:eastAsia="宋体"/>
                <w:sz w:val="24"/>
                <w:szCs w:val="24"/>
              </w:rPr>
              <w:t>强力推进水利扶贫攻坚：……在高原藏区继续实施岷江、雅砻江、黑河、白河防洪治理和牧区水利工程；……实施中小河流治理和</w:t>
            </w:r>
            <w:r>
              <w:rPr>
                <w:rFonts w:hint="eastAsia" w:ascii="宋体" w:hAnsi="宋体" w:eastAsia="宋体" w:cs="Times New Roman"/>
                <w:sz w:val="24"/>
                <w:szCs w:val="24"/>
              </w:rPr>
              <w:t>山洪灾害防治，进一步提高贫困地区防洪保安水平。</w:t>
            </w:r>
          </w:p>
          <w:p>
            <w:pPr>
              <w:keepNext w:val="0"/>
              <w:keepLines w:val="0"/>
              <w:pageBreakBefore w:val="0"/>
              <w:widowControl w:val="0"/>
              <w:kinsoku/>
              <w:wordWrap/>
              <w:overflowPunct/>
              <w:topLinePunct w:val="0"/>
              <w:bidi w:val="0"/>
              <w:spacing w:line="360" w:lineRule="auto"/>
              <w:ind w:firstLine="480" w:firstLineChars="200"/>
              <w:jc w:val="both"/>
              <w:textAlignment w:val="auto"/>
              <w:rPr>
                <w:rFonts w:hint="eastAsia" w:ascii="宋体" w:hAnsi="宋体" w:eastAsia="宋体" w:cs="Times New Roman"/>
                <w:sz w:val="24"/>
                <w:szCs w:val="24"/>
              </w:rPr>
            </w:pPr>
            <w:r>
              <w:rPr>
                <w:rFonts w:hint="default" w:ascii="宋体" w:hAnsi="宋体" w:eastAsia="宋体" w:cs="Times New Roman"/>
                <w:sz w:val="24"/>
                <w:szCs w:val="24"/>
                <w:lang w:eastAsia="zh-CN"/>
              </w:rPr>
              <w:t>本项目</w:t>
            </w:r>
            <w:r>
              <w:rPr>
                <w:rFonts w:hint="eastAsia" w:ascii="宋体" w:hAnsi="宋体" w:eastAsia="宋体" w:cs="Times New Roman"/>
                <w:sz w:val="24"/>
                <w:szCs w:val="24"/>
                <w:lang w:val="en-US" w:eastAsia="zh-CN"/>
              </w:rPr>
              <w:t>是安福堰综合整治工程，是建设骨干水利工程，保障水源，提高粮食综合生产力的需要，能提高防洪能力，确保人民群众生命安全，同时本项目可以改善安福堰水生态环境，是提升苏稽镇品质的需要。</w:t>
            </w:r>
            <w:r>
              <w:rPr>
                <w:rFonts w:hint="eastAsia" w:ascii="宋体" w:hAnsi="宋体" w:eastAsia="宋体" w:cs="Times New Roman"/>
                <w:sz w:val="24"/>
                <w:szCs w:val="24"/>
              </w:rPr>
              <w:t>本次安福堰综合整治工程建成后，可在保证灌溉水源保证率的同时引入富余水量作为生态流，促进水体交换和水生态修复。将极大地改善当地的水生态环境，提升城镇形象。故项目建设符合《四川省“十三五”水利发展规划》。</w:t>
            </w:r>
          </w:p>
          <w:p>
            <w:pPr>
              <w:keepNext w:val="0"/>
              <w:keepLines w:val="0"/>
              <w:pageBreakBefore w:val="0"/>
              <w:numPr>
                <w:ilvl w:val="0"/>
                <w:numId w:val="0"/>
              </w:numPr>
              <w:kinsoku/>
              <w:wordWrap/>
              <w:overflowPunct/>
              <w:topLinePunct w:val="0"/>
              <w:autoSpaceDE w:val="0"/>
              <w:autoSpaceDN w:val="0"/>
              <w:bidi w:val="0"/>
              <w:adjustRightInd w:val="0"/>
              <w:snapToGrid w:val="0"/>
              <w:spacing w:line="360" w:lineRule="auto"/>
              <w:ind w:right="0" w:firstLine="482" w:firstLineChars="200"/>
              <w:textAlignment w:val="auto"/>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3</w:t>
            </w:r>
            <w:r>
              <w:rPr>
                <w:rFonts w:hint="default" w:ascii="Times New Roman" w:hAnsi="Times New Roman" w:cs="Times New Roman"/>
                <w:b/>
                <w:bCs/>
                <w:sz w:val="24"/>
                <w:szCs w:val="24"/>
                <w:lang w:val="en-US" w:eastAsia="zh-CN"/>
              </w:rPr>
              <w:t>、与</w:t>
            </w:r>
            <w:r>
              <w:rPr>
                <w:rFonts w:hint="default" w:ascii="Times New Roman" w:hAnsi="Times New Roman" w:cs="Times New Roman"/>
                <w:b/>
                <w:bCs/>
                <w:color w:val="auto"/>
                <w:kern w:val="21"/>
                <w:sz w:val="24"/>
                <w:szCs w:val="24"/>
                <w:lang w:eastAsia="zh-CN"/>
              </w:rPr>
              <w:t>《四川省“十四五”</w:t>
            </w:r>
            <w:r>
              <w:rPr>
                <w:rFonts w:hint="eastAsia" w:ascii="Times New Roman" w:hAnsi="Times New Roman" w:cs="Times New Roman"/>
                <w:b/>
                <w:bCs/>
                <w:color w:val="auto"/>
                <w:kern w:val="21"/>
                <w:sz w:val="24"/>
                <w:szCs w:val="24"/>
                <w:lang w:val="en-US" w:eastAsia="zh-CN"/>
              </w:rPr>
              <w:t>水安全保障规划</w:t>
            </w:r>
            <w:r>
              <w:rPr>
                <w:rFonts w:hint="default" w:ascii="Times New Roman" w:hAnsi="Times New Roman" w:cs="Times New Roman"/>
                <w:b/>
                <w:bCs/>
                <w:color w:val="auto"/>
                <w:kern w:val="21"/>
                <w:sz w:val="24"/>
                <w:szCs w:val="24"/>
                <w:lang w:eastAsia="zh-CN"/>
              </w:rPr>
              <w:t>》符合性分析</w:t>
            </w:r>
          </w:p>
          <w:p>
            <w:pPr>
              <w:pStyle w:val="2"/>
              <w:keepNext w:val="0"/>
              <w:keepLines w:val="0"/>
              <w:pageBreakBefore w:val="0"/>
              <w:kinsoku/>
              <w:wordWrap/>
              <w:overflowPunct/>
              <w:topLinePunct w:val="0"/>
              <w:bidi w:val="0"/>
              <w:adjustRightInd w:val="0"/>
              <w:snapToGrid w:val="0"/>
              <w:spacing w:before="0" w:after="0" w:line="360" w:lineRule="auto"/>
              <w:ind w:right="0" w:firstLine="480" w:firstLineChars="200"/>
              <w:textAlignment w:val="auto"/>
              <w:rPr>
                <w:rFonts w:hint="default" w:ascii="Times New Roman" w:hAnsi="Times New Roman" w:cs="Times New Roman"/>
                <w:b w:val="0"/>
                <w:bCs w:val="0"/>
                <w:color w:val="auto"/>
                <w:kern w:val="21"/>
                <w:sz w:val="24"/>
                <w:szCs w:val="24"/>
                <w:lang w:eastAsia="zh-CN"/>
              </w:rPr>
            </w:pPr>
            <w:r>
              <w:rPr>
                <w:rFonts w:hint="default" w:ascii="Times New Roman" w:hAnsi="Times New Roman" w:cs="Times New Roman"/>
                <w:b w:val="0"/>
                <w:bCs w:val="0"/>
                <w:color w:val="auto"/>
                <w:kern w:val="21"/>
                <w:sz w:val="24"/>
                <w:szCs w:val="24"/>
                <w:lang w:eastAsia="zh-CN"/>
              </w:rPr>
              <w:t>提升水旱灾害防御能力：统筹发展与安全，坚持人民至上、生命至上，切实践行“两个坚持、三个转变”防灾减灾救灾理念，实施防洪提升工程，解决防汛薄弱环节，强化流域防洪调度，加强洪水风险管理，构建工程措施和非工程措施相结合的现代水旱灾害防治体系，实现“更高标准、更严要求、更快反应、更好效果”，保障人民生命财产安全和经济社会和谐稳定。加强主要江河和中小河流防洪治理：……加强中小河流治理，优先解决城镇河段防洪不达标、近年洪涝灾害频发、河堤损毁严重等问题。</w:t>
            </w:r>
          </w:p>
          <w:p>
            <w:pPr>
              <w:pStyle w:val="2"/>
              <w:keepNext w:val="0"/>
              <w:keepLines w:val="0"/>
              <w:pageBreakBefore w:val="0"/>
              <w:kinsoku/>
              <w:wordWrap/>
              <w:overflowPunct/>
              <w:topLinePunct w:val="0"/>
              <w:bidi w:val="0"/>
              <w:adjustRightInd w:val="0"/>
              <w:snapToGrid w:val="0"/>
              <w:spacing w:before="0" w:after="0" w:line="360" w:lineRule="auto"/>
              <w:ind w:right="0" w:firstLine="480" w:firstLineChars="200"/>
              <w:textAlignment w:val="auto"/>
              <w:rPr>
                <w:rFonts w:hint="default" w:ascii="Times New Roman" w:hAnsi="Times New Roman" w:cs="Times New Roman"/>
                <w:b w:val="0"/>
                <w:bCs w:val="0"/>
                <w:color w:val="auto"/>
                <w:kern w:val="21"/>
                <w:sz w:val="24"/>
                <w:szCs w:val="24"/>
                <w:lang w:eastAsia="zh-CN"/>
              </w:rPr>
            </w:pPr>
            <w:r>
              <w:rPr>
                <w:rFonts w:hint="default" w:ascii="Times New Roman" w:hAnsi="Times New Roman" w:cs="Times New Roman"/>
                <w:b w:val="0"/>
                <w:bCs w:val="0"/>
                <w:color w:val="000000"/>
                <w:kern w:val="21"/>
                <w:sz w:val="24"/>
                <w:szCs w:val="24"/>
                <w:lang w:eastAsia="zh-CN"/>
              </w:rPr>
              <w:t>本项目</w:t>
            </w:r>
            <w:r>
              <w:rPr>
                <w:rFonts w:hint="eastAsia" w:ascii="Times New Roman" w:hAnsi="Times New Roman" w:cs="Times New Roman"/>
                <w:b w:val="0"/>
                <w:bCs w:val="0"/>
                <w:color w:val="000000"/>
                <w:kern w:val="21"/>
                <w:sz w:val="24"/>
                <w:szCs w:val="24"/>
                <w:lang w:val="en-US" w:eastAsia="zh-CN"/>
              </w:rPr>
              <w:t>是安福堰综合整治工程，能提高防洪能力，确保人民群众生命安全。</w:t>
            </w:r>
            <w:r>
              <w:rPr>
                <w:rFonts w:hint="default" w:ascii="Times New Roman" w:hAnsi="Times New Roman" w:cs="Times New Roman"/>
                <w:b w:val="0"/>
                <w:bCs w:val="0"/>
                <w:color w:val="000000"/>
                <w:kern w:val="21"/>
                <w:sz w:val="24"/>
                <w:szCs w:val="24"/>
                <w:lang w:eastAsia="zh-CN"/>
              </w:rPr>
              <w:t>故项</w:t>
            </w:r>
            <w:r>
              <w:rPr>
                <w:rFonts w:hint="default" w:ascii="Times New Roman" w:hAnsi="Times New Roman" w:cs="Times New Roman"/>
                <w:b w:val="0"/>
                <w:bCs w:val="0"/>
                <w:color w:val="auto"/>
                <w:kern w:val="21"/>
                <w:sz w:val="24"/>
                <w:szCs w:val="24"/>
                <w:lang w:eastAsia="zh-CN"/>
              </w:rPr>
              <w:t>目建设符合《四川省“十四五”水安全保障规划》。</w:t>
            </w:r>
          </w:p>
          <w:p>
            <w:pPr>
              <w:pStyle w:val="2"/>
              <w:keepNext w:val="0"/>
              <w:keepLines w:val="0"/>
              <w:pageBreakBefore w:val="0"/>
              <w:kinsoku/>
              <w:wordWrap/>
              <w:overflowPunct/>
              <w:topLinePunct w:val="0"/>
              <w:bidi w:val="0"/>
              <w:adjustRightInd w:val="0"/>
              <w:snapToGrid w:val="0"/>
              <w:spacing w:before="0" w:after="0" w:line="360" w:lineRule="auto"/>
              <w:ind w:right="0" w:firstLine="482" w:firstLineChars="200"/>
              <w:textAlignment w:val="auto"/>
              <w:rPr>
                <w:rFonts w:hint="default" w:ascii="Times New Roman" w:hAnsi="Times New Roman" w:eastAsia="宋体" w:cs="Times New Roman"/>
                <w:b/>
                <w:bCs/>
                <w:color w:val="auto"/>
                <w:kern w:val="21"/>
                <w:sz w:val="24"/>
                <w:szCs w:val="24"/>
                <w:lang w:val="en-US" w:eastAsia="zh-CN"/>
              </w:rPr>
            </w:pPr>
            <w:r>
              <w:rPr>
                <w:rFonts w:hint="eastAsia" w:ascii="Times New Roman" w:hAnsi="Times New Roman" w:eastAsia="宋体" w:cs="Times New Roman"/>
                <w:b/>
                <w:bCs/>
                <w:color w:val="auto"/>
                <w:kern w:val="21"/>
                <w:sz w:val="24"/>
                <w:szCs w:val="24"/>
                <w:lang w:val="en-US" w:eastAsia="zh-CN"/>
              </w:rPr>
              <w:t>4</w:t>
            </w:r>
            <w:r>
              <w:rPr>
                <w:rFonts w:hint="default" w:ascii="Times New Roman" w:hAnsi="Times New Roman" w:eastAsia="宋体" w:cs="Times New Roman"/>
                <w:b/>
                <w:bCs/>
                <w:color w:val="auto"/>
                <w:kern w:val="21"/>
                <w:sz w:val="24"/>
                <w:szCs w:val="24"/>
                <w:lang w:val="en-US" w:eastAsia="zh-CN"/>
              </w:rPr>
              <w:t>、与</w:t>
            </w:r>
            <w:r>
              <w:rPr>
                <w:rFonts w:hint="default" w:ascii="Times New Roman" w:hAnsi="Times New Roman" w:cs="Times New Roman"/>
                <w:b/>
                <w:bCs/>
                <w:color w:val="auto"/>
                <w:kern w:val="21"/>
                <w:sz w:val="24"/>
                <w:szCs w:val="24"/>
                <w:lang w:eastAsia="zh-CN"/>
              </w:rPr>
              <w:t>《乐山市</w:t>
            </w:r>
            <w:r>
              <w:rPr>
                <w:rFonts w:hint="eastAsia" w:ascii="Times New Roman" w:hAnsi="Times New Roman" w:cs="Times New Roman"/>
                <w:b/>
                <w:bCs/>
                <w:color w:val="auto"/>
                <w:kern w:val="21"/>
                <w:sz w:val="24"/>
                <w:szCs w:val="24"/>
                <w:lang w:val="en-US" w:eastAsia="zh-CN"/>
              </w:rPr>
              <w:t>城市总体规划（2011-2030）</w:t>
            </w:r>
            <w:r>
              <w:rPr>
                <w:rFonts w:hint="default" w:ascii="Times New Roman" w:hAnsi="Times New Roman" w:cs="Times New Roman"/>
                <w:b/>
                <w:bCs/>
                <w:color w:val="auto"/>
                <w:kern w:val="21"/>
                <w:sz w:val="24"/>
                <w:szCs w:val="24"/>
                <w:lang w:eastAsia="zh-CN"/>
              </w:rPr>
              <w:t>》</w:t>
            </w:r>
            <w:r>
              <w:rPr>
                <w:rFonts w:hint="eastAsia" w:ascii="Times New Roman" w:hAnsi="Times New Roman" w:cs="Times New Roman"/>
                <w:b/>
                <w:bCs/>
                <w:color w:val="auto"/>
                <w:kern w:val="21"/>
                <w:sz w:val="24"/>
                <w:szCs w:val="24"/>
                <w:lang w:eastAsia="zh-CN"/>
              </w:rPr>
              <w:t>（</w:t>
            </w:r>
            <w:r>
              <w:rPr>
                <w:rFonts w:hint="eastAsia" w:ascii="Times New Roman" w:hAnsi="Times New Roman" w:cs="Times New Roman"/>
                <w:b/>
                <w:bCs/>
                <w:color w:val="auto"/>
                <w:kern w:val="21"/>
                <w:sz w:val="24"/>
                <w:szCs w:val="24"/>
                <w:lang w:val="en-US" w:eastAsia="zh-CN"/>
              </w:rPr>
              <w:t>2017版</w:t>
            </w:r>
            <w:r>
              <w:rPr>
                <w:rFonts w:hint="eastAsia" w:ascii="Times New Roman" w:hAnsi="Times New Roman" w:cs="Times New Roman"/>
                <w:b/>
                <w:bCs/>
                <w:color w:val="auto"/>
                <w:kern w:val="21"/>
                <w:sz w:val="24"/>
                <w:szCs w:val="24"/>
                <w:lang w:eastAsia="zh-CN"/>
              </w:rPr>
              <w:t>）</w:t>
            </w:r>
            <w:r>
              <w:rPr>
                <w:rFonts w:hint="default" w:ascii="Times New Roman" w:hAnsi="Times New Roman" w:cs="Times New Roman"/>
                <w:b/>
                <w:bCs/>
                <w:color w:val="auto"/>
                <w:kern w:val="21"/>
                <w:sz w:val="24"/>
                <w:szCs w:val="24"/>
                <w:lang w:eastAsia="zh-CN"/>
              </w:rPr>
              <w:t>符合性分析</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eastAsia" w:ascii="宋体" w:hAnsi="宋体" w:eastAsia="宋体"/>
                <w:sz w:val="24"/>
                <w:szCs w:val="24"/>
              </w:rPr>
            </w:pPr>
            <w:r>
              <w:rPr>
                <w:rFonts w:hint="eastAsia" w:ascii="宋体" w:hAnsi="宋体" w:eastAsia="宋体"/>
                <w:sz w:val="24"/>
                <w:szCs w:val="24"/>
              </w:rPr>
              <w:t>根据《乐山市城市总体规划（</w:t>
            </w:r>
            <w:r>
              <w:rPr>
                <w:rFonts w:hint="eastAsia" w:ascii="TimesNewRomanPSMT" w:hAnsi="TimesNewRomanPSMT" w:eastAsia="TimesNewRomanPSMT"/>
                <w:sz w:val="24"/>
                <w:szCs w:val="24"/>
              </w:rPr>
              <w:t>2011-2030</w:t>
            </w:r>
            <w:r>
              <w:rPr>
                <w:rFonts w:hint="eastAsia" w:ascii="宋体" w:hAnsi="宋体" w:eastAsia="宋体"/>
                <w:sz w:val="24"/>
                <w:szCs w:val="24"/>
              </w:rPr>
              <w:t>）》：</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eastAsia" w:ascii="宋体" w:hAnsi="宋体" w:eastAsia="宋体"/>
                <w:sz w:val="24"/>
                <w:szCs w:val="24"/>
              </w:rPr>
            </w:pPr>
            <w:r>
              <w:rPr>
                <w:rFonts w:hint="eastAsia" w:ascii="宋体" w:hAnsi="宋体" w:eastAsia="宋体"/>
                <w:sz w:val="24"/>
                <w:szCs w:val="24"/>
              </w:rPr>
              <w:t>规划大渡河、青衣江、岷江按</w:t>
            </w:r>
            <w:r>
              <w:rPr>
                <w:rFonts w:hint="eastAsia" w:ascii="TimesNewRomanPSMT" w:hAnsi="TimesNewRomanPSMT" w:eastAsia="TimesNewRomanPSMT"/>
                <w:sz w:val="24"/>
                <w:szCs w:val="24"/>
              </w:rPr>
              <w:t xml:space="preserve">50 </w:t>
            </w:r>
            <w:r>
              <w:rPr>
                <w:rFonts w:hint="eastAsia" w:ascii="宋体" w:hAnsi="宋体" w:eastAsia="宋体"/>
                <w:sz w:val="24"/>
                <w:szCs w:val="24"/>
              </w:rPr>
              <w:t>年一遇防洪标准设防；竹公溪、峨眉河等中小河流可按</w:t>
            </w:r>
            <w:r>
              <w:rPr>
                <w:rFonts w:hint="eastAsia" w:ascii="TimesNewRomanPSMT" w:hAnsi="TimesNewRomanPSMT" w:eastAsia="TimesNewRomanPSMT"/>
                <w:sz w:val="24"/>
                <w:szCs w:val="24"/>
              </w:rPr>
              <w:t xml:space="preserve">20 </w:t>
            </w:r>
            <w:r>
              <w:rPr>
                <w:rFonts w:hint="eastAsia" w:ascii="宋体" w:hAnsi="宋体" w:eastAsia="宋体"/>
                <w:sz w:val="24"/>
                <w:szCs w:val="24"/>
              </w:rPr>
              <w:t>年一遇防洪标准设防。乐山中心城区内涝防治标准应按不小于</w:t>
            </w:r>
            <w:r>
              <w:rPr>
                <w:rFonts w:hint="eastAsia" w:ascii="TimesNewRomanPSMT" w:hAnsi="TimesNewRomanPSMT" w:eastAsia="TimesNewRomanPSMT"/>
                <w:sz w:val="24"/>
                <w:szCs w:val="24"/>
              </w:rPr>
              <w:t xml:space="preserve">30 </w:t>
            </w:r>
            <w:r>
              <w:rPr>
                <w:rFonts w:hint="eastAsia" w:ascii="宋体" w:hAnsi="宋体" w:eastAsia="宋体"/>
                <w:sz w:val="24"/>
                <w:szCs w:val="24"/>
              </w:rPr>
              <w:t>年一遇暴雨进行设防，即保证在发生</w:t>
            </w:r>
            <w:r>
              <w:rPr>
                <w:rFonts w:hint="eastAsia" w:ascii="TimesNewRomanPSMT" w:hAnsi="TimesNewRomanPSMT" w:eastAsia="TimesNewRomanPSMT"/>
                <w:sz w:val="24"/>
                <w:szCs w:val="24"/>
              </w:rPr>
              <w:t xml:space="preserve">30 </w:t>
            </w:r>
            <w:r>
              <w:rPr>
                <w:rFonts w:hint="eastAsia" w:ascii="宋体" w:hAnsi="宋体" w:eastAsia="宋体"/>
                <w:sz w:val="24"/>
                <w:szCs w:val="24"/>
              </w:rPr>
              <w:t>年一遇暴雨时，居民住宅和工商业建筑的底层不进水，道路确保至少有一条车道积水深度小于</w:t>
            </w:r>
            <w:r>
              <w:rPr>
                <w:rFonts w:hint="eastAsia" w:ascii="TimesNewRomanPSMT" w:hAnsi="TimesNewRomanPSMT" w:eastAsia="TimesNewRomanPSMT"/>
                <w:sz w:val="24"/>
                <w:szCs w:val="24"/>
              </w:rPr>
              <w:t>15cm</w:t>
            </w:r>
            <w:r>
              <w:rPr>
                <w:rFonts w:hint="eastAsia" w:ascii="宋体" w:hAnsi="宋体" w:eastAsia="宋体"/>
                <w:sz w:val="24"/>
                <w:szCs w:val="24"/>
              </w:rPr>
              <w:t>。中心城区应全面推进完善流域和区域防洪减灾体系，重点加强岷江、青衣江、大渡河及重要支流防洪工程建设；继续推进防洪控制性枢纽工程建设；加快推进峨眉河、茫溪河等中小河流流域治理；加快推进山洪灾害防治；建设完善非工程措施。</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eastAsia" w:ascii="宋体" w:hAnsi="宋体" w:eastAsia="宋体"/>
                <w:sz w:val="24"/>
                <w:szCs w:val="24"/>
                <w:lang w:eastAsia="zh-CN"/>
              </w:rPr>
            </w:pPr>
            <w:r>
              <w:rPr>
                <w:rFonts w:hint="eastAsia" w:ascii="宋体" w:hAnsi="宋体" w:eastAsia="宋体"/>
                <w:sz w:val="24"/>
                <w:szCs w:val="24"/>
              </w:rPr>
              <w:t>本项目</w:t>
            </w:r>
            <w:r>
              <w:rPr>
                <w:rFonts w:hint="eastAsia" w:ascii="宋体" w:hAnsi="宋体" w:cs="宋体"/>
                <w:bCs/>
                <w:color w:val="auto"/>
                <w:sz w:val="24"/>
                <w:highlight w:val="none"/>
              </w:rPr>
              <w:t>安福堰综合整治工程</w:t>
            </w:r>
            <w:r>
              <w:rPr>
                <w:rFonts w:hint="eastAsia" w:ascii="宋体" w:hAnsi="宋体" w:eastAsia="宋体"/>
                <w:sz w:val="24"/>
                <w:szCs w:val="24"/>
              </w:rPr>
              <w:t>位于乐山市市中区</w:t>
            </w:r>
            <w:r>
              <w:rPr>
                <w:rFonts w:hint="eastAsia" w:ascii="宋体" w:hAnsi="宋体" w:eastAsia="宋体"/>
                <w:sz w:val="24"/>
                <w:szCs w:val="24"/>
                <w:lang w:val="en-US" w:eastAsia="zh-CN"/>
              </w:rPr>
              <w:t>苏稽镇</w:t>
            </w:r>
            <w:r>
              <w:rPr>
                <w:rFonts w:hint="eastAsia" w:ascii="宋体" w:hAnsi="宋体" w:eastAsia="宋体"/>
                <w:sz w:val="24"/>
                <w:szCs w:val="24"/>
              </w:rPr>
              <w:t>，</w:t>
            </w:r>
            <w:r>
              <w:rPr>
                <w:rFonts w:hint="eastAsia" w:ascii="宋体" w:hAnsi="宋体" w:eastAsia="宋体"/>
                <w:sz w:val="24"/>
                <w:szCs w:val="24"/>
                <w:lang w:val="en-US" w:eastAsia="zh-CN"/>
              </w:rPr>
              <w:t>项目建成后不仅能确保灌区的灌溉水量，有利于推动灌区农业经济发展，</w:t>
            </w:r>
            <w:r>
              <w:rPr>
                <w:rFonts w:hint="eastAsia" w:ascii="Times New Roman" w:hAnsi="Times New Roman" w:cs="Times New Roman"/>
                <w:b w:val="0"/>
                <w:bCs w:val="0"/>
                <w:color w:val="000000"/>
                <w:kern w:val="21"/>
                <w:sz w:val="24"/>
                <w:szCs w:val="24"/>
                <w:lang w:val="en-US" w:eastAsia="zh-CN"/>
              </w:rPr>
              <w:t>提高防洪能力，确保人民群众生命安全，还能极大地改善当地的水生态环境，提升水域的景观效果。因此本项目</w:t>
            </w:r>
            <w:r>
              <w:rPr>
                <w:rFonts w:hint="eastAsia" w:ascii="宋体" w:hAnsi="宋体" w:eastAsia="宋体"/>
                <w:sz w:val="24"/>
                <w:szCs w:val="24"/>
              </w:rPr>
              <w:t>符合《乐山市城市总体规划（</w:t>
            </w:r>
            <w:r>
              <w:rPr>
                <w:rFonts w:hint="eastAsia" w:ascii="TimesNewRomanPSMT" w:hAnsi="TimesNewRomanPSMT" w:eastAsia="TimesNewRomanPSMT"/>
                <w:sz w:val="24"/>
                <w:szCs w:val="24"/>
              </w:rPr>
              <w:t xml:space="preserve">2011-2020 </w:t>
            </w:r>
            <w:r>
              <w:rPr>
                <w:rFonts w:hint="eastAsia" w:ascii="宋体" w:hAnsi="宋体" w:eastAsia="宋体"/>
                <w:sz w:val="24"/>
                <w:szCs w:val="24"/>
              </w:rPr>
              <w:t>年）》</w:t>
            </w:r>
            <w:r>
              <w:rPr>
                <w:rFonts w:hint="eastAsia" w:ascii="宋体" w:hAnsi="宋体" w:eastAsia="宋体"/>
                <w:sz w:val="24"/>
                <w:szCs w:val="24"/>
                <w:lang w:eastAsia="zh-CN"/>
              </w:rPr>
              <w:t>。</w:t>
            </w:r>
          </w:p>
          <w:p>
            <w:pPr>
              <w:pStyle w:val="2"/>
              <w:keepNext w:val="0"/>
              <w:keepLines w:val="0"/>
              <w:pageBreakBefore w:val="0"/>
              <w:kinsoku/>
              <w:wordWrap/>
              <w:overflowPunct/>
              <w:topLinePunct w:val="0"/>
              <w:autoSpaceDE/>
              <w:autoSpaceDN/>
              <w:bidi w:val="0"/>
              <w:adjustRightInd w:val="0"/>
              <w:snapToGrid w:val="0"/>
              <w:spacing w:before="0" w:after="0" w:line="360" w:lineRule="auto"/>
              <w:ind w:left="0" w:right="0" w:firstLine="482" w:firstLineChars="200"/>
              <w:textAlignment w:val="auto"/>
              <w:rPr>
                <w:rFonts w:hint="eastAsia" w:ascii="Times New Roman" w:hAnsi="Times New Roman" w:eastAsia="宋体" w:cs="Times New Roman"/>
                <w:b/>
                <w:bCs/>
                <w:color w:val="auto"/>
                <w:kern w:val="21"/>
                <w:sz w:val="24"/>
                <w:szCs w:val="24"/>
                <w:lang w:val="en-US" w:eastAsia="zh-CN"/>
              </w:rPr>
            </w:pPr>
            <w:r>
              <w:rPr>
                <w:rFonts w:hint="eastAsia" w:ascii="Times New Roman" w:hAnsi="Times New Roman" w:eastAsia="宋体" w:cs="Times New Roman"/>
                <w:b/>
                <w:bCs/>
                <w:color w:val="auto"/>
                <w:kern w:val="21"/>
                <w:sz w:val="24"/>
                <w:szCs w:val="24"/>
                <w:lang w:val="en-US" w:eastAsia="zh-CN"/>
              </w:rPr>
              <w:t>5、项目与《岷江流域综合规划》符合性分析</w:t>
            </w:r>
          </w:p>
          <w:p>
            <w:pPr>
              <w:keepNext w:val="0"/>
              <w:keepLines w:val="0"/>
              <w:pageBreakBefore w:val="0"/>
              <w:kinsoku/>
              <w:wordWrap/>
              <w:overflowPunct/>
              <w:topLinePunct w:val="0"/>
              <w:autoSpaceDE/>
              <w:autoSpaceDN/>
              <w:bidi w:val="0"/>
              <w:spacing w:line="360" w:lineRule="auto"/>
              <w:ind w:left="0" w:right="0" w:firstLine="520" w:firstLineChars="200"/>
              <w:textAlignment w:val="auto"/>
              <w:rPr>
                <w:rFonts w:ascii="宋体" w:hAnsi="宋体" w:eastAsia="宋体" w:cs="宋体"/>
                <w:sz w:val="24"/>
                <w:szCs w:val="24"/>
              </w:rPr>
            </w:pPr>
            <w:r>
              <w:rPr>
                <w:rFonts w:ascii="宋体" w:hAnsi="宋体" w:eastAsia="宋体" w:cs="宋体"/>
                <w:spacing w:val="10"/>
                <w:sz w:val="24"/>
                <w:szCs w:val="24"/>
              </w:rPr>
              <w:t>根据水利部《</w:t>
            </w:r>
            <w:r>
              <w:rPr>
                <w:rFonts w:ascii="宋体" w:hAnsi="宋体" w:eastAsia="宋体" w:cs="宋体"/>
                <w:spacing w:val="6"/>
                <w:sz w:val="24"/>
                <w:szCs w:val="24"/>
              </w:rPr>
              <w:t>岷</w:t>
            </w:r>
            <w:r>
              <w:rPr>
                <w:rFonts w:ascii="宋体" w:hAnsi="宋体" w:eastAsia="宋体" w:cs="宋体"/>
                <w:spacing w:val="5"/>
                <w:sz w:val="24"/>
                <w:szCs w:val="24"/>
              </w:rPr>
              <w:t>江流域综合规划》(水规计〔</w:t>
            </w:r>
            <w:r>
              <w:rPr>
                <w:rFonts w:ascii="Times New Roman" w:hAnsi="Times New Roman" w:eastAsia="Times New Roman" w:cs="Times New Roman"/>
                <w:spacing w:val="5"/>
                <w:sz w:val="24"/>
                <w:szCs w:val="24"/>
              </w:rPr>
              <w:t>2021</w:t>
            </w:r>
            <w:r>
              <w:rPr>
                <w:rFonts w:ascii="宋体" w:hAnsi="宋体" w:eastAsia="宋体" w:cs="宋体"/>
                <w:spacing w:val="5"/>
                <w:sz w:val="24"/>
                <w:szCs w:val="24"/>
              </w:rPr>
              <w:t>〕</w:t>
            </w:r>
            <w:r>
              <w:rPr>
                <w:rFonts w:ascii="Times New Roman" w:hAnsi="Times New Roman" w:eastAsia="Times New Roman" w:cs="Times New Roman"/>
                <w:spacing w:val="5"/>
                <w:sz w:val="24"/>
                <w:szCs w:val="24"/>
              </w:rPr>
              <w:t xml:space="preserve">287 </w:t>
            </w:r>
            <w:r>
              <w:rPr>
                <w:rFonts w:ascii="宋体" w:hAnsi="宋体" w:eastAsia="宋体" w:cs="宋体"/>
                <w:spacing w:val="5"/>
                <w:sz w:val="24"/>
                <w:szCs w:val="24"/>
              </w:rPr>
              <w:t>号) ，规划范围为</w:t>
            </w:r>
            <w:r>
              <w:rPr>
                <w:rFonts w:ascii="宋体" w:hAnsi="宋体" w:eastAsia="宋体" w:cs="宋体"/>
                <w:spacing w:val="6"/>
                <w:sz w:val="24"/>
                <w:szCs w:val="24"/>
              </w:rPr>
              <w:t>岷</w:t>
            </w:r>
            <w:r>
              <w:rPr>
                <w:rFonts w:ascii="宋体" w:hAnsi="宋体" w:eastAsia="宋体" w:cs="宋体"/>
                <w:spacing w:val="5"/>
                <w:sz w:val="24"/>
                <w:szCs w:val="24"/>
              </w:rPr>
              <w:t xml:space="preserve">江流域，重点是岷江干流及大渡河、青衣江等主要支流规划水平年为 </w:t>
            </w:r>
            <w:r>
              <w:rPr>
                <w:rFonts w:ascii="Times New Roman" w:hAnsi="Times New Roman" w:eastAsia="Times New Roman" w:cs="Times New Roman"/>
                <w:spacing w:val="5"/>
                <w:sz w:val="24"/>
                <w:szCs w:val="24"/>
              </w:rPr>
              <w:t xml:space="preserve">2030 </w:t>
            </w:r>
            <w:r>
              <w:rPr>
                <w:rFonts w:ascii="宋体" w:hAnsi="宋体" w:eastAsia="宋体" w:cs="宋体"/>
                <w:spacing w:val="5"/>
                <w:sz w:val="24"/>
                <w:szCs w:val="24"/>
              </w:rPr>
              <w:t>年。</w:t>
            </w:r>
            <w:r>
              <w:rPr>
                <w:rFonts w:ascii="宋体" w:hAnsi="宋体" w:eastAsia="宋体" w:cs="宋体"/>
                <w:sz w:val="24"/>
                <w:szCs w:val="24"/>
              </w:rPr>
              <w:t xml:space="preserve"> </w:t>
            </w:r>
            <w:r>
              <w:rPr>
                <w:rFonts w:ascii="宋体" w:hAnsi="宋体" w:eastAsia="宋体" w:cs="宋体"/>
                <w:spacing w:val="8"/>
                <w:sz w:val="24"/>
                <w:szCs w:val="24"/>
              </w:rPr>
              <w:t>本项目为</w:t>
            </w:r>
            <w:r>
              <w:rPr>
                <w:rFonts w:hint="eastAsia" w:ascii="宋体" w:hAnsi="宋体" w:cs="宋体"/>
                <w:bCs/>
                <w:color w:val="auto"/>
                <w:sz w:val="24"/>
                <w:highlight w:val="none"/>
              </w:rPr>
              <w:t>安福堰综合整治工程</w:t>
            </w:r>
            <w:r>
              <w:rPr>
                <w:rFonts w:ascii="宋体" w:hAnsi="宋体" w:eastAsia="宋体" w:cs="宋体"/>
                <w:spacing w:val="8"/>
                <w:sz w:val="24"/>
                <w:szCs w:val="24"/>
              </w:rPr>
              <w:t>，</w:t>
            </w:r>
            <w:r>
              <w:rPr>
                <w:rFonts w:hint="eastAsia" w:ascii="宋体" w:hAnsi="宋体" w:eastAsia="宋体" w:cs="宋体"/>
                <w:spacing w:val="8"/>
                <w:sz w:val="24"/>
                <w:szCs w:val="24"/>
                <w:lang w:val="en-US" w:eastAsia="zh-CN"/>
              </w:rPr>
              <w:t>涉及河流是峨眉河，峨眉河是</w:t>
            </w:r>
            <w:r>
              <w:rPr>
                <w:rFonts w:hint="eastAsia"/>
                <w:color w:val="auto"/>
                <w:sz w:val="24"/>
                <w:highlight w:val="none"/>
              </w:rPr>
              <w:t>大渡河下游左岸一级支流</w:t>
            </w:r>
            <w:r>
              <w:rPr>
                <w:rFonts w:ascii="宋体" w:hAnsi="宋体" w:eastAsia="宋体" w:cs="宋体"/>
                <w:spacing w:val="8"/>
                <w:sz w:val="24"/>
                <w:szCs w:val="24"/>
              </w:rPr>
              <w:t>。规划要求如下</w:t>
            </w:r>
            <w:r>
              <w:rPr>
                <w:rFonts w:ascii="宋体" w:hAnsi="宋体" w:eastAsia="宋体" w:cs="宋体"/>
                <w:spacing w:val="3"/>
                <w:sz w:val="24"/>
                <w:szCs w:val="24"/>
              </w:rPr>
              <w:t>：</w:t>
            </w:r>
          </w:p>
          <w:p>
            <w:pPr>
              <w:keepNext w:val="0"/>
              <w:keepLines w:val="0"/>
              <w:pageBreakBefore w:val="0"/>
              <w:kinsoku/>
              <w:wordWrap/>
              <w:overflowPunct/>
              <w:topLinePunct w:val="0"/>
              <w:autoSpaceDE/>
              <w:autoSpaceDN/>
              <w:bidi w:val="0"/>
              <w:spacing w:line="360" w:lineRule="auto"/>
              <w:ind w:left="0" w:right="0" w:firstLine="506" w:firstLineChars="200"/>
              <w:textAlignment w:val="auto"/>
              <w:rPr>
                <w:rFonts w:ascii="宋体" w:hAnsi="宋体" w:eastAsia="宋体" w:cs="宋体"/>
                <w:sz w:val="24"/>
                <w:szCs w:val="24"/>
              </w:rPr>
            </w:pPr>
            <w:r>
              <w:rPr>
                <w:rFonts w:ascii="宋体" w:hAnsi="宋体" w:eastAsia="宋体" w:cs="宋体"/>
                <w:b/>
                <w:bCs/>
                <w:spacing w:val="6"/>
                <w:sz w:val="24"/>
                <w:szCs w:val="24"/>
              </w:rPr>
              <w:t>治理、保护</w:t>
            </w:r>
            <w:r>
              <w:rPr>
                <w:rFonts w:ascii="宋体" w:hAnsi="宋体" w:eastAsia="宋体" w:cs="宋体"/>
                <w:b/>
                <w:bCs/>
                <w:spacing w:val="3"/>
                <w:sz w:val="24"/>
                <w:szCs w:val="24"/>
              </w:rPr>
              <w:t>与开发任务：</w:t>
            </w:r>
            <w:r>
              <w:rPr>
                <w:rFonts w:ascii="宋体" w:hAnsi="宋体" w:eastAsia="宋体" w:cs="宋体"/>
                <w:spacing w:val="3"/>
                <w:sz w:val="24"/>
                <w:szCs w:val="24"/>
              </w:rPr>
              <w:t>岷江流域治理开发与保护任务为供水、灌溉、防洪、</w:t>
            </w:r>
            <w:r>
              <w:rPr>
                <w:rFonts w:ascii="宋体" w:hAnsi="宋体" w:eastAsia="宋体" w:cs="宋体"/>
                <w:sz w:val="24"/>
                <w:szCs w:val="24"/>
              </w:rPr>
              <w:t xml:space="preserve"> </w:t>
            </w:r>
            <w:r>
              <w:rPr>
                <w:rFonts w:ascii="宋体" w:hAnsi="宋体" w:eastAsia="宋体" w:cs="宋体"/>
                <w:spacing w:val="6"/>
                <w:sz w:val="24"/>
                <w:szCs w:val="24"/>
              </w:rPr>
              <w:t>水资源与水生态环境</w:t>
            </w:r>
            <w:r>
              <w:rPr>
                <w:rFonts w:ascii="宋体" w:hAnsi="宋体" w:eastAsia="宋体" w:cs="宋体"/>
                <w:spacing w:val="4"/>
                <w:sz w:val="24"/>
                <w:szCs w:val="24"/>
              </w:rPr>
              <w:t>保</w:t>
            </w:r>
            <w:r>
              <w:rPr>
                <w:rFonts w:ascii="宋体" w:hAnsi="宋体" w:eastAsia="宋体" w:cs="宋体"/>
                <w:spacing w:val="3"/>
                <w:sz w:val="24"/>
                <w:szCs w:val="24"/>
              </w:rPr>
              <w:t>护、跨流域调水、水力发电、航运、水土保持、水利血防。</w:t>
            </w:r>
          </w:p>
          <w:p>
            <w:pPr>
              <w:keepNext w:val="0"/>
              <w:keepLines w:val="0"/>
              <w:pageBreakBefore w:val="0"/>
              <w:kinsoku/>
              <w:wordWrap/>
              <w:overflowPunct/>
              <w:topLinePunct w:val="0"/>
              <w:autoSpaceDE/>
              <w:autoSpaceDN/>
              <w:bidi w:val="0"/>
              <w:spacing w:line="360" w:lineRule="auto"/>
              <w:ind w:left="0" w:right="0" w:firstLine="546" w:firstLineChars="200"/>
              <w:textAlignment w:val="auto"/>
              <w:rPr>
                <w:rFonts w:ascii="宋体" w:hAnsi="宋体" w:eastAsia="宋体" w:cs="宋体"/>
                <w:sz w:val="24"/>
                <w:szCs w:val="24"/>
              </w:rPr>
            </w:pPr>
            <w:r>
              <w:rPr>
                <w:rFonts w:ascii="宋体" w:hAnsi="宋体" w:eastAsia="宋体" w:cs="宋体"/>
                <w:b/>
                <w:bCs/>
                <w:spacing w:val="16"/>
                <w:sz w:val="24"/>
                <w:szCs w:val="24"/>
              </w:rPr>
              <w:t>规</w:t>
            </w:r>
            <w:r>
              <w:rPr>
                <w:rFonts w:ascii="宋体" w:hAnsi="宋体" w:eastAsia="宋体" w:cs="宋体"/>
                <w:b/>
                <w:bCs/>
                <w:spacing w:val="10"/>
                <w:sz w:val="24"/>
                <w:szCs w:val="24"/>
              </w:rPr>
              <w:t>划目标：</w:t>
            </w:r>
            <w:r>
              <w:rPr>
                <w:rFonts w:ascii="宋体" w:hAnsi="宋体" w:eastAsia="宋体" w:cs="宋体"/>
                <w:spacing w:val="10"/>
                <w:sz w:val="24"/>
                <w:szCs w:val="24"/>
              </w:rPr>
              <w:t>规划目标是基本实现水资源节约集约与高效利用，防洪保护对象</w:t>
            </w:r>
            <w:r>
              <w:rPr>
                <w:rFonts w:ascii="宋体" w:hAnsi="宋体" w:eastAsia="宋体" w:cs="宋体"/>
                <w:sz w:val="24"/>
                <w:szCs w:val="24"/>
              </w:rPr>
              <w:t xml:space="preserve"> </w:t>
            </w:r>
            <w:r>
              <w:rPr>
                <w:rFonts w:ascii="宋体" w:hAnsi="宋体" w:eastAsia="宋体" w:cs="宋体"/>
                <w:spacing w:val="16"/>
                <w:sz w:val="24"/>
                <w:szCs w:val="24"/>
              </w:rPr>
              <w:t>规</w:t>
            </w:r>
            <w:r>
              <w:rPr>
                <w:rFonts w:ascii="宋体" w:hAnsi="宋体" w:eastAsia="宋体" w:cs="宋体"/>
                <w:spacing w:val="10"/>
                <w:sz w:val="24"/>
                <w:szCs w:val="24"/>
              </w:rPr>
              <w:t>划标准内洪水可防御，水资源保护有效提升，生态环境质量总体改善，受损水</w:t>
            </w:r>
            <w:r>
              <w:rPr>
                <w:rFonts w:ascii="宋体" w:hAnsi="宋体" w:eastAsia="宋体" w:cs="宋体"/>
                <w:spacing w:val="16"/>
                <w:sz w:val="24"/>
                <w:szCs w:val="24"/>
              </w:rPr>
              <w:t>生</w:t>
            </w:r>
            <w:r>
              <w:rPr>
                <w:rFonts w:ascii="宋体" w:hAnsi="宋体" w:eastAsia="宋体" w:cs="宋体"/>
                <w:spacing w:val="10"/>
                <w:sz w:val="24"/>
                <w:szCs w:val="24"/>
              </w:rPr>
              <w:t>态系统逐步恢复并呈良性发展，基本实现流域管理现代化，保障经济社会可持</w:t>
            </w:r>
            <w:r>
              <w:rPr>
                <w:rFonts w:ascii="宋体" w:hAnsi="宋体" w:eastAsia="宋体" w:cs="宋体"/>
                <w:spacing w:val="5"/>
                <w:sz w:val="24"/>
                <w:szCs w:val="24"/>
              </w:rPr>
              <w:t>续发展</w:t>
            </w:r>
            <w:r>
              <w:rPr>
                <w:rFonts w:ascii="宋体" w:hAnsi="宋体" w:eastAsia="宋体" w:cs="宋体"/>
                <w:spacing w:val="4"/>
                <w:sz w:val="24"/>
                <w:szCs w:val="24"/>
              </w:rPr>
              <w:t>。</w:t>
            </w:r>
          </w:p>
          <w:p>
            <w:pPr>
              <w:keepNext w:val="0"/>
              <w:keepLines w:val="0"/>
              <w:pageBreakBefore w:val="0"/>
              <w:kinsoku/>
              <w:wordWrap/>
              <w:overflowPunct/>
              <w:topLinePunct w:val="0"/>
              <w:autoSpaceDE/>
              <w:autoSpaceDN/>
              <w:bidi w:val="0"/>
              <w:spacing w:line="360" w:lineRule="auto"/>
              <w:ind w:left="0" w:right="0" w:firstLine="554" w:firstLineChars="200"/>
              <w:textAlignment w:val="auto"/>
              <w:rPr>
                <w:rFonts w:ascii="宋体" w:hAnsi="宋体" w:eastAsia="宋体" w:cs="宋体"/>
                <w:sz w:val="24"/>
                <w:szCs w:val="24"/>
              </w:rPr>
            </w:pPr>
            <w:r>
              <w:rPr>
                <w:rFonts w:ascii="宋体" w:hAnsi="宋体" w:eastAsia="宋体" w:cs="宋体"/>
                <w:b/>
                <w:bCs/>
                <w:spacing w:val="18"/>
                <w:sz w:val="24"/>
                <w:szCs w:val="24"/>
              </w:rPr>
              <w:t>规</w:t>
            </w:r>
            <w:r>
              <w:rPr>
                <w:rFonts w:ascii="宋体" w:hAnsi="宋体" w:eastAsia="宋体" w:cs="宋体"/>
                <w:b/>
                <w:bCs/>
                <w:spacing w:val="10"/>
                <w:sz w:val="24"/>
                <w:szCs w:val="24"/>
              </w:rPr>
              <w:t>划总部布局岷江干流：</w:t>
            </w:r>
            <w:r>
              <w:rPr>
                <w:rFonts w:ascii="宋体" w:hAnsi="宋体" w:eastAsia="宋体" w:cs="宋体"/>
                <w:spacing w:val="10"/>
                <w:sz w:val="24"/>
                <w:szCs w:val="24"/>
              </w:rPr>
              <w:t>实施河道整治和堤防、护岸工程，通过紫坪铺等水</w:t>
            </w:r>
            <w:r>
              <w:rPr>
                <w:rFonts w:ascii="宋体" w:hAnsi="宋体" w:eastAsia="宋体" w:cs="宋体"/>
                <w:spacing w:val="12"/>
                <w:sz w:val="24"/>
                <w:szCs w:val="24"/>
              </w:rPr>
              <w:t>库</w:t>
            </w:r>
            <w:r>
              <w:rPr>
                <w:rFonts w:ascii="宋体" w:hAnsi="宋体" w:eastAsia="宋体" w:cs="宋体"/>
                <w:spacing w:val="9"/>
                <w:sz w:val="24"/>
                <w:szCs w:val="24"/>
              </w:rPr>
              <w:t>调控洪水并分担川江河段及长江中下游的防洪任务。</w:t>
            </w:r>
          </w:p>
          <w:p>
            <w:pPr>
              <w:keepNext w:val="0"/>
              <w:keepLines w:val="0"/>
              <w:pageBreakBefore w:val="0"/>
              <w:kinsoku/>
              <w:wordWrap/>
              <w:overflowPunct/>
              <w:topLinePunct w:val="0"/>
              <w:autoSpaceDE/>
              <w:autoSpaceDN/>
              <w:bidi w:val="0"/>
              <w:spacing w:line="360" w:lineRule="auto"/>
              <w:ind w:left="0" w:right="0" w:firstLine="504" w:firstLineChars="200"/>
              <w:textAlignment w:val="auto"/>
              <w:rPr>
                <w:rFonts w:ascii="宋体" w:hAnsi="宋体" w:eastAsia="宋体" w:cs="宋体"/>
                <w:sz w:val="24"/>
                <w:szCs w:val="24"/>
              </w:rPr>
            </w:pPr>
            <w:r>
              <w:rPr>
                <w:rFonts w:ascii="宋体" w:hAnsi="宋体" w:eastAsia="宋体" w:cs="宋体"/>
                <w:spacing w:val="6"/>
                <w:sz w:val="24"/>
                <w:szCs w:val="24"/>
              </w:rPr>
              <w:t>本项目为</w:t>
            </w:r>
            <w:r>
              <w:rPr>
                <w:rFonts w:hint="eastAsia" w:ascii="宋体" w:hAnsi="宋体" w:cs="宋体"/>
                <w:bCs/>
                <w:color w:val="auto"/>
                <w:sz w:val="24"/>
                <w:highlight w:val="none"/>
              </w:rPr>
              <w:t>安福堰综合整治工程</w:t>
            </w:r>
            <w:r>
              <w:rPr>
                <w:rFonts w:ascii="宋体" w:hAnsi="宋体" w:eastAsia="宋体" w:cs="宋体"/>
                <w:spacing w:val="3"/>
                <w:sz w:val="24"/>
                <w:szCs w:val="24"/>
              </w:rPr>
              <w:t>，</w:t>
            </w:r>
            <w:r>
              <w:rPr>
                <w:rFonts w:hint="eastAsia" w:ascii="宋体" w:hAnsi="宋体"/>
                <w:color w:val="auto"/>
                <w:sz w:val="24"/>
                <w:highlight w:val="none"/>
              </w:rPr>
              <w:t>本次安福堰综合整治</w:t>
            </w:r>
            <w:r>
              <w:rPr>
                <w:rFonts w:ascii="宋体" w:hAnsi="宋体"/>
                <w:color w:val="auto"/>
                <w:sz w:val="24"/>
                <w:highlight w:val="none"/>
              </w:rPr>
              <w:t>任务以</w:t>
            </w:r>
            <w:r>
              <w:rPr>
                <w:rFonts w:hint="eastAsia" w:ascii="宋体" w:hAnsi="宋体"/>
                <w:color w:val="auto"/>
                <w:sz w:val="24"/>
                <w:highlight w:val="none"/>
              </w:rPr>
              <w:t>农田</w:t>
            </w:r>
            <w:r>
              <w:rPr>
                <w:rFonts w:ascii="宋体" w:hAnsi="宋体"/>
                <w:color w:val="auto"/>
                <w:sz w:val="24"/>
                <w:highlight w:val="none"/>
              </w:rPr>
              <w:t>灌溉为主，兼顾</w:t>
            </w:r>
            <w:r>
              <w:rPr>
                <w:rFonts w:hint="eastAsia" w:ascii="宋体" w:hAnsi="宋体"/>
                <w:color w:val="auto"/>
                <w:sz w:val="24"/>
                <w:highlight w:val="none"/>
              </w:rPr>
              <w:t>河湖生态治理及打造峨眉河苏稽段水</w:t>
            </w:r>
            <w:r>
              <w:rPr>
                <w:rFonts w:hint="eastAsia" w:ascii="Times New Roman" w:hAnsi="Times New Roman" w:eastAsia="宋体" w:cs="Times New Roman"/>
                <w:color w:val="auto"/>
                <w:spacing w:val="-2"/>
                <w:sz w:val="24"/>
                <w:szCs w:val="32"/>
                <w:highlight w:val="none"/>
              </w:rPr>
              <w:t>景观</w:t>
            </w:r>
            <w:r>
              <w:rPr>
                <w:rFonts w:ascii="宋体" w:hAnsi="宋体"/>
                <w:color w:val="auto"/>
                <w:sz w:val="24"/>
                <w:highlight w:val="none"/>
              </w:rPr>
              <w:t>等综合利用</w:t>
            </w:r>
            <w:r>
              <w:rPr>
                <w:rFonts w:ascii="宋体" w:hAnsi="宋体" w:eastAsia="宋体" w:cs="宋体"/>
                <w:spacing w:val="3"/>
                <w:sz w:val="24"/>
                <w:szCs w:val="24"/>
              </w:rPr>
              <w:t>，</w:t>
            </w:r>
            <w:r>
              <w:rPr>
                <w:rFonts w:ascii="宋体" w:hAnsi="宋体" w:eastAsia="宋体" w:cs="宋体"/>
                <w:sz w:val="24"/>
                <w:szCs w:val="24"/>
              </w:rPr>
              <w:t xml:space="preserve"> </w:t>
            </w:r>
            <w:r>
              <w:rPr>
                <w:rFonts w:ascii="宋体" w:hAnsi="宋体" w:eastAsia="宋体" w:cs="宋体"/>
                <w:spacing w:val="14"/>
                <w:sz w:val="24"/>
                <w:szCs w:val="24"/>
              </w:rPr>
              <w:t>本</w:t>
            </w:r>
            <w:r>
              <w:rPr>
                <w:rFonts w:ascii="宋体" w:hAnsi="宋体" w:eastAsia="宋体" w:cs="宋体"/>
                <w:spacing w:val="10"/>
                <w:sz w:val="24"/>
                <w:szCs w:val="24"/>
              </w:rPr>
              <w:t>项</w:t>
            </w:r>
            <w:r>
              <w:rPr>
                <w:rFonts w:ascii="宋体" w:hAnsi="宋体" w:eastAsia="宋体" w:cs="宋体"/>
                <w:spacing w:val="7"/>
                <w:sz w:val="24"/>
                <w:szCs w:val="24"/>
              </w:rPr>
              <w:t>目与《四川省岷江流域综合规划》相符。</w:t>
            </w:r>
          </w:p>
          <w:p>
            <w:pPr>
              <w:pStyle w:val="2"/>
              <w:keepNext w:val="0"/>
              <w:keepLines w:val="0"/>
              <w:pageBreakBefore w:val="0"/>
              <w:kinsoku/>
              <w:wordWrap/>
              <w:overflowPunct/>
              <w:topLinePunct w:val="0"/>
              <w:bidi w:val="0"/>
              <w:adjustRightInd w:val="0"/>
              <w:snapToGrid w:val="0"/>
              <w:spacing w:before="0" w:after="0" w:line="360" w:lineRule="auto"/>
              <w:ind w:right="0" w:firstLine="480" w:firstLineChars="200"/>
              <w:textAlignment w:val="auto"/>
              <w:rPr>
                <w:rFonts w:hint="default" w:ascii="Times New Roman" w:hAnsi="Times New Roman" w:eastAsia="宋体" w:cs="Times New Roman"/>
                <w:b w:val="0"/>
                <w:bCs w:val="0"/>
                <w:color w:val="auto"/>
                <w:kern w:val="21"/>
                <w:sz w:val="24"/>
                <w:szCs w:val="24"/>
                <w:lang w:val="en-US" w:eastAsia="zh-CN"/>
              </w:rPr>
            </w:pPr>
          </w:p>
          <w:p>
            <w:pPr>
              <w:pStyle w:val="2"/>
              <w:keepNext w:val="0"/>
              <w:keepLines w:val="0"/>
              <w:pageBreakBefore w:val="0"/>
              <w:kinsoku/>
              <w:wordWrap/>
              <w:overflowPunct/>
              <w:topLinePunct w:val="0"/>
              <w:bidi w:val="0"/>
              <w:adjustRightInd w:val="0"/>
              <w:snapToGrid w:val="0"/>
              <w:spacing w:before="0" w:after="0" w:line="360" w:lineRule="auto"/>
              <w:ind w:right="0" w:firstLine="480" w:firstLineChars="200"/>
              <w:textAlignment w:val="auto"/>
              <w:rPr>
                <w:rFonts w:hint="default" w:ascii="Times New Roman" w:hAnsi="Times New Roman" w:eastAsia="宋体" w:cs="Times New Roman"/>
                <w:b w:val="0"/>
                <w:bCs w:val="0"/>
                <w:color w:val="auto"/>
                <w:kern w:val="21"/>
                <w:sz w:val="24"/>
                <w:szCs w:val="24"/>
                <w:lang w:val="en-US" w:eastAsia="zh-CN"/>
              </w:rPr>
            </w:pPr>
          </w:p>
          <w:p>
            <w:pPr>
              <w:pStyle w:val="2"/>
              <w:keepNext w:val="0"/>
              <w:keepLines w:val="0"/>
              <w:pageBreakBefore w:val="0"/>
              <w:kinsoku/>
              <w:wordWrap/>
              <w:overflowPunct/>
              <w:topLinePunct w:val="0"/>
              <w:bidi w:val="0"/>
              <w:adjustRightInd w:val="0"/>
              <w:snapToGrid w:val="0"/>
              <w:spacing w:before="0" w:after="0" w:line="360" w:lineRule="auto"/>
              <w:ind w:right="0" w:firstLine="480" w:firstLineChars="200"/>
              <w:textAlignment w:val="auto"/>
              <w:rPr>
                <w:rFonts w:hint="default" w:ascii="Times New Roman" w:hAnsi="Times New Roman" w:eastAsia="宋体" w:cs="Times New Roman"/>
                <w:b w:val="0"/>
                <w:bCs w:val="0"/>
                <w:color w:val="auto"/>
                <w:kern w:val="21"/>
                <w:sz w:val="24"/>
                <w:szCs w:val="24"/>
                <w:lang w:val="en-US" w:eastAsia="zh-CN"/>
              </w:rPr>
            </w:pPr>
          </w:p>
          <w:p>
            <w:pPr>
              <w:pStyle w:val="2"/>
              <w:keepNext w:val="0"/>
              <w:keepLines w:val="0"/>
              <w:pageBreakBefore w:val="0"/>
              <w:kinsoku/>
              <w:wordWrap/>
              <w:overflowPunct/>
              <w:topLinePunct w:val="0"/>
              <w:bidi w:val="0"/>
              <w:adjustRightInd w:val="0"/>
              <w:snapToGrid w:val="0"/>
              <w:spacing w:before="0" w:after="0" w:line="360" w:lineRule="auto"/>
              <w:ind w:right="0" w:firstLine="480" w:firstLineChars="200"/>
              <w:textAlignment w:val="auto"/>
              <w:rPr>
                <w:rFonts w:hint="default" w:ascii="Times New Roman" w:hAnsi="Times New Roman" w:eastAsia="宋体" w:cs="Times New Roman"/>
                <w:b w:val="0"/>
                <w:bCs w:val="0"/>
                <w:color w:val="auto"/>
                <w:kern w:val="21"/>
                <w:sz w:val="24"/>
                <w:szCs w:val="24"/>
                <w:lang w:val="en-US" w:eastAsia="zh-CN"/>
              </w:rPr>
            </w:pPr>
          </w:p>
          <w:p>
            <w:pPr>
              <w:pStyle w:val="2"/>
              <w:keepNext w:val="0"/>
              <w:keepLines w:val="0"/>
              <w:pageBreakBefore w:val="0"/>
              <w:kinsoku/>
              <w:wordWrap/>
              <w:overflowPunct/>
              <w:topLinePunct w:val="0"/>
              <w:bidi w:val="0"/>
              <w:adjustRightInd w:val="0"/>
              <w:snapToGrid w:val="0"/>
              <w:spacing w:before="0" w:after="0" w:line="360" w:lineRule="auto"/>
              <w:ind w:right="0" w:firstLine="480" w:firstLineChars="200"/>
              <w:textAlignment w:val="auto"/>
              <w:rPr>
                <w:rFonts w:hint="default" w:ascii="Times New Roman" w:hAnsi="Times New Roman" w:eastAsia="宋体" w:cs="Times New Roman"/>
                <w:b w:val="0"/>
                <w:bCs w:val="0"/>
                <w:color w:val="auto"/>
                <w:kern w:val="21"/>
                <w:sz w:val="24"/>
                <w:szCs w:val="24"/>
                <w:lang w:val="en-US" w:eastAsia="zh-CN"/>
              </w:rPr>
            </w:pPr>
          </w:p>
          <w:p>
            <w:pPr>
              <w:pStyle w:val="2"/>
              <w:keepNext w:val="0"/>
              <w:keepLines w:val="0"/>
              <w:pageBreakBefore w:val="0"/>
              <w:kinsoku/>
              <w:wordWrap/>
              <w:overflowPunct/>
              <w:topLinePunct w:val="0"/>
              <w:bidi w:val="0"/>
              <w:adjustRightInd w:val="0"/>
              <w:snapToGrid w:val="0"/>
              <w:spacing w:before="0" w:after="0" w:line="360" w:lineRule="auto"/>
              <w:ind w:right="0" w:firstLine="480" w:firstLineChars="200"/>
              <w:textAlignment w:val="auto"/>
              <w:rPr>
                <w:rFonts w:hint="default" w:ascii="Times New Roman" w:hAnsi="Times New Roman" w:eastAsia="宋体" w:cs="Times New Roman"/>
                <w:b w:val="0"/>
                <w:bCs w:val="0"/>
                <w:color w:val="auto"/>
                <w:kern w:val="21"/>
                <w:sz w:val="24"/>
                <w:szCs w:val="24"/>
                <w:lang w:val="en-US" w:eastAsia="zh-CN"/>
              </w:rPr>
            </w:pPr>
          </w:p>
          <w:p>
            <w:pPr>
              <w:pStyle w:val="2"/>
              <w:keepNext w:val="0"/>
              <w:keepLines w:val="0"/>
              <w:pageBreakBefore w:val="0"/>
              <w:kinsoku/>
              <w:wordWrap/>
              <w:overflowPunct/>
              <w:topLinePunct w:val="0"/>
              <w:bidi w:val="0"/>
              <w:adjustRightInd w:val="0"/>
              <w:snapToGrid w:val="0"/>
              <w:spacing w:before="0" w:after="0" w:line="360" w:lineRule="auto"/>
              <w:ind w:right="0" w:firstLine="480" w:firstLineChars="200"/>
              <w:textAlignment w:val="auto"/>
              <w:rPr>
                <w:rFonts w:hint="default" w:ascii="Times New Roman" w:hAnsi="Times New Roman" w:eastAsia="宋体" w:cs="Times New Roman"/>
                <w:b w:val="0"/>
                <w:bCs w:val="0"/>
                <w:color w:val="auto"/>
                <w:kern w:val="21"/>
                <w:sz w:val="24"/>
                <w:szCs w:val="24"/>
                <w:lang w:val="en-US" w:eastAsia="zh-CN"/>
              </w:rPr>
            </w:pPr>
          </w:p>
          <w:p>
            <w:pPr>
              <w:pStyle w:val="2"/>
              <w:keepNext w:val="0"/>
              <w:keepLines w:val="0"/>
              <w:pageBreakBefore w:val="0"/>
              <w:kinsoku/>
              <w:wordWrap/>
              <w:overflowPunct/>
              <w:topLinePunct w:val="0"/>
              <w:bidi w:val="0"/>
              <w:adjustRightInd w:val="0"/>
              <w:snapToGrid w:val="0"/>
              <w:spacing w:before="0" w:after="0" w:line="360" w:lineRule="auto"/>
              <w:ind w:right="0" w:firstLine="480" w:firstLineChars="200"/>
              <w:textAlignment w:val="auto"/>
              <w:rPr>
                <w:rFonts w:hint="default" w:ascii="Times New Roman" w:hAnsi="Times New Roman" w:eastAsia="宋体" w:cs="Times New Roman"/>
                <w:b w:val="0"/>
                <w:bCs w:val="0"/>
                <w:color w:val="auto"/>
                <w:kern w:val="21"/>
                <w:sz w:val="24"/>
                <w:szCs w:val="24"/>
                <w:lang w:val="en-US" w:eastAsia="zh-CN"/>
              </w:rPr>
            </w:pPr>
          </w:p>
          <w:p>
            <w:pPr>
              <w:pStyle w:val="2"/>
              <w:keepNext w:val="0"/>
              <w:keepLines w:val="0"/>
              <w:pageBreakBefore w:val="0"/>
              <w:kinsoku/>
              <w:wordWrap/>
              <w:overflowPunct/>
              <w:topLinePunct w:val="0"/>
              <w:bidi w:val="0"/>
              <w:adjustRightInd w:val="0"/>
              <w:snapToGrid w:val="0"/>
              <w:spacing w:before="0" w:after="0" w:line="360" w:lineRule="auto"/>
              <w:ind w:right="0" w:firstLine="480" w:firstLineChars="200"/>
              <w:textAlignment w:val="auto"/>
              <w:rPr>
                <w:rFonts w:hint="default" w:ascii="Times New Roman" w:hAnsi="Times New Roman" w:eastAsia="宋体" w:cs="Times New Roman"/>
                <w:b w:val="0"/>
                <w:bCs w:val="0"/>
                <w:color w:val="auto"/>
                <w:kern w:val="21"/>
                <w:sz w:val="24"/>
                <w:szCs w:val="24"/>
                <w:lang w:val="en-US" w:eastAsia="zh-CN"/>
              </w:rPr>
            </w:pPr>
          </w:p>
          <w:p>
            <w:pPr>
              <w:pStyle w:val="2"/>
              <w:keepNext w:val="0"/>
              <w:keepLines w:val="0"/>
              <w:pageBreakBefore w:val="0"/>
              <w:kinsoku/>
              <w:wordWrap/>
              <w:overflowPunct/>
              <w:topLinePunct w:val="0"/>
              <w:bidi w:val="0"/>
              <w:adjustRightInd w:val="0"/>
              <w:snapToGrid w:val="0"/>
              <w:spacing w:before="0" w:after="0" w:line="360" w:lineRule="auto"/>
              <w:ind w:right="0" w:firstLine="480" w:firstLineChars="200"/>
              <w:textAlignment w:val="auto"/>
              <w:rPr>
                <w:rFonts w:hint="default" w:ascii="Times New Roman" w:hAnsi="Times New Roman" w:eastAsia="宋体" w:cs="Times New Roman"/>
                <w:b w:val="0"/>
                <w:bCs w:val="0"/>
                <w:color w:val="auto"/>
                <w:kern w:val="21"/>
                <w:sz w:val="24"/>
                <w:szCs w:val="24"/>
                <w:lang w:val="en-US" w:eastAsia="zh-CN"/>
              </w:rPr>
            </w:pPr>
          </w:p>
          <w:p>
            <w:pPr>
              <w:pStyle w:val="2"/>
              <w:keepNext w:val="0"/>
              <w:keepLines w:val="0"/>
              <w:pageBreakBefore w:val="0"/>
              <w:kinsoku/>
              <w:wordWrap/>
              <w:overflowPunct/>
              <w:topLinePunct w:val="0"/>
              <w:bidi w:val="0"/>
              <w:adjustRightInd w:val="0"/>
              <w:snapToGrid w:val="0"/>
              <w:spacing w:before="0" w:after="0" w:line="360" w:lineRule="auto"/>
              <w:ind w:right="0" w:firstLine="480" w:firstLineChars="200"/>
              <w:textAlignment w:val="auto"/>
              <w:rPr>
                <w:rFonts w:hint="default" w:ascii="Times New Roman" w:hAnsi="Times New Roman" w:eastAsia="宋体" w:cs="Times New Roman"/>
                <w:b w:val="0"/>
                <w:bCs w:val="0"/>
                <w:color w:val="auto"/>
                <w:kern w:val="21"/>
                <w:sz w:val="24"/>
                <w:szCs w:val="24"/>
                <w:lang w:val="en-US" w:eastAsia="zh-CN"/>
              </w:rPr>
            </w:pPr>
          </w:p>
          <w:p>
            <w:pPr>
              <w:pStyle w:val="2"/>
              <w:keepNext w:val="0"/>
              <w:keepLines w:val="0"/>
              <w:pageBreakBefore w:val="0"/>
              <w:kinsoku/>
              <w:wordWrap/>
              <w:overflowPunct/>
              <w:topLinePunct w:val="0"/>
              <w:bidi w:val="0"/>
              <w:adjustRightInd w:val="0"/>
              <w:snapToGrid w:val="0"/>
              <w:spacing w:before="0" w:after="0" w:line="360" w:lineRule="auto"/>
              <w:ind w:right="0" w:firstLine="480" w:firstLineChars="200"/>
              <w:textAlignment w:val="auto"/>
              <w:rPr>
                <w:rFonts w:hint="default" w:ascii="Times New Roman" w:hAnsi="Times New Roman" w:eastAsia="宋体" w:cs="Times New Roman"/>
                <w:b w:val="0"/>
                <w:bCs w:val="0"/>
                <w:color w:val="auto"/>
                <w:kern w:val="21"/>
                <w:sz w:val="24"/>
                <w:szCs w:val="24"/>
                <w:lang w:val="en-US" w:eastAsia="zh-CN"/>
              </w:rPr>
            </w:pPr>
          </w:p>
          <w:p>
            <w:pPr>
              <w:pStyle w:val="2"/>
              <w:keepNext w:val="0"/>
              <w:keepLines w:val="0"/>
              <w:pageBreakBefore w:val="0"/>
              <w:kinsoku/>
              <w:wordWrap/>
              <w:overflowPunct/>
              <w:topLinePunct w:val="0"/>
              <w:bidi w:val="0"/>
              <w:adjustRightInd w:val="0"/>
              <w:snapToGrid w:val="0"/>
              <w:spacing w:before="0" w:after="0" w:line="360" w:lineRule="auto"/>
              <w:ind w:right="0" w:firstLine="480" w:firstLineChars="200"/>
              <w:textAlignment w:val="auto"/>
              <w:rPr>
                <w:rFonts w:hint="default" w:ascii="Times New Roman" w:hAnsi="Times New Roman" w:eastAsia="宋体" w:cs="Times New Roman"/>
                <w:b w:val="0"/>
                <w:bCs w:val="0"/>
                <w:color w:val="auto"/>
                <w:kern w:val="21"/>
                <w:sz w:val="24"/>
                <w:szCs w:val="24"/>
                <w:lang w:val="en-US" w:eastAsia="zh-CN"/>
              </w:rPr>
            </w:pPr>
          </w:p>
          <w:p>
            <w:pPr>
              <w:pStyle w:val="2"/>
              <w:keepNext w:val="0"/>
              <w:keepLines w:val="0"/>
              <w:pageBreakBefore w:val="0"/>
              <w:kinsoku/>
              <w:wordWrap/>
              <w:overflowPunct/>
              <w:topLinePunct w:val="0"/>
              <w:bidi w:val="0"/>
              <w:adjustRightInd w:val="0"/>
              <w:snapToGrid w:val="0"/>
              <w:spacing w:before="0" w:after="0" w:line="360" w:lineRule="auto"/>
              <w:ind w:right="0" w:firstLine="480" w:firstLineChars="200"/>
              <w:textAlignment w:val="auto"/>
              <w:rPr>
                <w:rFonts w:hint="default" w:ascii="Times New Roman" w:hAnsi="Times New Roman" w:eastAsia="宋体" w:cs="Times New Roman"/>
                <w:b w:val="0"/>
                <w:bCs w:val="0"/>
                <w:color w:val="auto"/>
                <w:kern w:val="21"/>
                <w:sz w:val="24"/>
                <w:szCs w:val="24"/>
                <w:lang w:val="en-US" w:eastAsia="zh-CN"/>
              </w:rPr>
            </w:pPr>
          </w:p>
          <w:p>
            <w:pPr>
              <w:pStyle w:val="2"/>
              <w:keepNext w:val="0"/>
              <w:keepLines w:val="0"/>
              <w:pageBreakBefore w:val="0"/>
              <w:kinsoku/>
              <w:wordWrap/>
              <w:overflowPunct/>
              <w:topLinePunct w:val="0"/>
              <w:bidi w:val="0"/>
              <w:adjustRightInd w:val="0"/>
              <w:snapToGrid w:val="0"/>
              <w:spacing w:before="0" w:after="0" w:line="360" w:lineRule="auto"/>
              <w:ind w:right="0" w:firstLine="480" w:firstLineChars="200"/>
              <w:textAlignment w:val="auto"/>
              <w:rPr>
                <w:rFonts w:hint="default" w:ascii="Times New Roman" w:hAnsi="Times New Roman" w:eastAsia="宋体" w:cs="Times New Roman"/>
                <w:b w:val="0"/>
                <w:bCs w:val="0"/>
                <w:color w:val="auto"/>
                <w:kern w:val="21"/>
                <w:sz w:val="24"/>
                <w:szCs w:val="24"/>
                <w:lang w:val="en-US" w:eastAsia="zh-CN"/>
              </w:rPr>
            </w:pPr>
          </w:p>
          <w:p>
            <w:pPr>
              <w:pStyle w:val="2"/>
              <w:keepNext w:val="0"/>
              <w:keepLines w:val="0"/>
              <w:pageBreakBefore w:val="0"/>
              <w:kinsoku/>
              <w:wordWrap/>
              <w:overflowPunct/>
              <w:topLinePunct w:val="0"/>
              <w:bidi w:val="0"/>
              <w:adjustRightInd w:val="0"/>
              <w:snapToGrid w:val="0"/>
              <w:spacing w:before="0" w:after="0" w:line="360" w:lineRule="auto"/>
              <w:ind w:right="0" w:firstLine="480" w:firstLineChars="200"/>
              <w:textAlignment w:val="auto"/>
              <w:rPr>
                <w:rFonts w:hint="default" w:ascii="Times New Roman" w:hAnsi="Times New Roman" w:eastAsia="宋体" w:cs="Times New Roman"/>
                <w:b w:val="0"/>
                <w:bCs w:val="0"/>
                <w:color w:val="auto"/>
                <w:kern w:val="21"/>
                <w:sz w:val="24"/>
                <w:szCs w:val="24"/>
                <w:lang w:val="en-US" w:eastAsia="zh-CN"/>
              </w:rPr>
            </w:pPr>
          </w:p>
          <w:p>
            <w:pPr>
              <w:pStyle w:val="2"/>
              <w:keepNext w:val="0"/>
              <w:keepLines w:val="0"/>
              <w:pageBreakBefore w:val="0"/>
              <w:kinsoku/>
              <w:wordWrap/>
              <w:overflowPunct/>
              <w:topLinePunct w:val="0"/>
              <w:bidi w:val="0"/>
              <w:adjustRightInd w:val="0"/>
              <w:snapToGrid w:val="0"/>
              <w:spacing w:before="0" w:after="0" w:line="360" w:lineRule="auto"/>
              <w:ind w:right="0" w:firstLine="480" w:firstLineChars="200"/>
              <w:textAlignment w:val="auto"/>
              <w:rPr>
                <w:rFonts w:hint="default" w:ascii="Times New Roman" w:hAnsi="Times New Roman" w:eastAsia="宋体" w:cs="Times New Roman"/>
                <w:b w:val="0"/>
                <w:bCs w:val="0"/>
                <w:color w:val="auto"/>
                <w:kern w:val="21"/>
                <w:sz w:val="24"/>
                <w:szCs w:val="24"/>
                <w:lang w:val="en-US" w:eastAsia="zh-CN"/>
              </w:rPr>
            </w:pPr>
          </w:p>
          <w:p>
            <w:pPr>
              <w:pStyle w:val="2"/>
              <w:keepNext w:val="0"/>
              <w:keepLines w:val="0"/>
              <w:pageBreakBefore w:val="0"/>
              <w:kinsoku/>
              <w:wordWrap/>
              <w:overflowPunct/>
              <w:topLinePunct w:val="0"/>
              <w:bidi w:val="0"/>
              <w:adjustRightInd w:val="0"/>
              <w:snapToGrid w:val="0"/>
              <w:spacing w:before="0" w:after="0" w:line="360" w:lineRule="auto"/>
              <w:ind w:right="0" w:firstLine="480" w:firstLineChars="200"/>
              <w:textAlignment w:val="auto"/>
              <w:rPr>
                <w:rFonts w:hint="default" w:ascii="Times New Roman" w:hAnsi="Times New Roman" w:eastAsia="宋体" w:cs="Times New Roman"/>
                <w:b w:val="0"/>
                <w:bCs w:val="0"/>
                <w:color w:val="auto"/>
                <w:kern w:val="21"/>
                <w:sz w:val="24"/>
                <w:szCs w:val="24"/>
                <w:lang w:val="en-US" w:eastAsia="zh-CN"/>
              </w:rPr>
            </w:pPr>
          </w:p>
          <w:p>
            <w:pPr>
              <w:pStyle w:val="2"/>
              <w:keepNext w:val="0"/>
              <w:keepLines w:val="0"/>
              <w:pageBreakBefore w:val="0"/>
              <w:kinsoku/>
              <w:wordWrap/>
              <w:overflowPunct/>
              <w:topLinePunct w:val="0"/>
              <w:bidi w:val="0"/>
              <w:adjustRightInd w:val="0"/>
              <w:snapToGrid w:val="0"/>
              <w:spacing w:before="0" w:after="0" w:line="360" w:lineRule="auto"/>
              <w:ind w:right="0" w:firstLine="480" w:firstLineChars="200"/>
              <w:textAlignment w:val="auto"/>
              <w:rPr>
                <w:rFonts w:hint="default" w:ascii="Times New Roman" w:hAnsi="Times New Roman" w:eastAsia="宋体" w:cs="Times New Roman"/>
                <w:b w:val="0"/>
                <w:bCs w:val="0"/>
                <w:color w:val="auto"/>
                <w:kern w:val="21"/>
                <w:sz w:val="24"/>
                <w:szCs w:val="24"/>
                <w:lang w:val="en-US" w:eastAsia="zh-CN"/>
              </w:rPr>
            </w:pPr>
          </w:p>
          <w:p>
            <w:pPr>
              <w:pStyle w:val="2"/>
              <w:keepNext w:val="0"/>
              <w:keepLines w:val="0"/>
              <w:pageBreakBefore w:val="0"/>
              <w:kinsoku/>
              <w:wordWrap/>
              <w:overflowPunct/>
              <w:topLinePunct w:val="0"/>
              <w:bidi w:val="0"/>
              <w:adjustRightInd w:val="0"/>
              <w:snapToGrid w:val="0"/>
              <w:spacing w:before="0" w:after="0" w:line="360" w:lineRule="auto"/>
              <w:ind w:right="0" w:firstLine="480" w:firstLineChars="200"/>
              <w:textAlignment w:val="auto"/>
              <w:rPr>
                <w:rFonts w:hint="default" w:ascii="Times New Roman" w:hAnsi="Times New Roman" w:eastAsia="宋体" w:cs="Times New Roman"/>
                <w:b w:val="0"/>
                <w:bCs w:val="0"/>
                <w:color w:val="auto"/>
                <w:kern w:val="21"/>
                <w:sz w:val="24"/>
                <w:szCs w:val="24"/>
                <w:lang w:val="en-US" w:eastAsia="zh-CN"/>
              </w:rPr>
            </w:pPr>
          </w:p>
          <w:p>
            <w:pPr>
              <w:pStyle w:val="2"/>
              <w:keepNext w:val="0"/>
              <w:keepLines w:val="0"/>
              <w:pageBreakBefore w:val="0"/>
              <w:kinsoku/>
              <w:wordWrap/>
              <w:overflowPunct/>
              <w:topLinePunct w:val="0"/>
              <w:bidi w:val="0"/>
              <w:adjustRightInd w:val="0"/>
              <w:snapToGrid w:val="0"/>
              <w:spacing w:before="0" w:after="0" w:line="360" w:lineRule="auto"/>
              <w:ind w:right="0" w:firstLine="480" w:firstLineChars="200"/>
              <w:textAlignment w:val="auto"/>
              <w:rPr>
                <w:rFonts w:hint="default" w:ascii="Times New Roman" w:hAnsi="Times New Roman" w:eastAsia="宋体" w:cs="Times New Roman"/>
                <w:b w:val="0"/>
                <w:bCs w:val="0"/>
                <w:color w:val="auto"/>
                <w:kern w:val="21"/>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3609" w:hRule="atLeast"/>
          <w:jc w:val="center"/>
        </w:trPr>
        <w:tc>
          <w:tcPr>
            <w:tcW w:w="712" w:type="dxa"/>
            <w:noWrap w:val="0"/>
            <w:tcMar>
              <w:top w:w="16" w:type="dxa"/>
              <w:left w:w="16" w:type="dxa"/>
              <w:right w:w="16" w:type="dxa"/>
            </w:tcMar>
            <w:vAlign w:val="center"/>
          </w:tcPr>
          <w:p>
            <w:pPr>
              <w:keepNext w:val="0"/>
              <w:keepLines w:val="0"/>
              <w:pageBreakBefore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kern w:val="21"/>
                <w:sz w:val="24"/>
                <w:szCs w:val="24"/>
              </w:rPr>
            </w:pPr>
            <w:r>
              <w:rPr>
                <w:rFonts w:hint="default" w:ascii="Times New Roman" w:hAnsi="Times New Roman" w:cs="Times New Roman"/>
                <w:kern w:val="21"/>
                <w:sz w:val="24"/>
                <w:szCs w:val="24"/>
              </w:rPr>
              <w:t>其他符合性分析</w:t>
            </w:r>
          </w:p>
        </w:tc>
        <w:tc>
          <w:tcPr>
            <w:tcW w:w="9203" w:type="dxa"/>
            <w:gridSpan w:val="3"/>
            <w:noWrap w:val="0"/>
            <w:tcMar>
              <w:top w:w="16" w:type="dxa"/>
              <w:left w:w="16" w:type="dxa"/>
              <w:right w:w="16" w:type="dxa"/>
            </w:tcMar>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baseline"/>
              <w:rPr>
                <w:rFonts w:hint="default" w:ascii="Times New Roman" w:hAnsi="Times New Roman" w:cs="Times New Roman"/>
                <w:b/>
                <w:bCs/>
                <w:color w:val="auto"/>
                <w:spacing w:val="0"/>
                <w:sz w:val="24"/>
                <w:szCs w:val="24"/>
              </w:rPr>
            </w:pPr>
            <w:r>
              <w:rPr>
                <w:rFonts w:hint="default" w:ascii="Times New Roman" w:hAnsi="Times New Roman" w:cs="Times New Roman"/>
                <w:b/>
                <w:bCs/>
                <w:color w:val="auto"/>
                <w:spacing w:val="0"/>
                <w:sz w:val="24"/>
                <w:szCs w:val="24"/>
                <w:lang w:val="en-US" w:eastAsia="zh-CN"/>
              </w:rPr>
              <w:t>1、</w:t>
            </w:r>
            <w:r>
              <w:rPr>
                <w:rFonts w:hint="default" w:ascii="Times New Roman" w:hAnsi="Times New Roman" w:cs="Times New Roman"/>
                <w:b/>
                <w:bCs/>
                <w:color w:val="auto"/>
                <w:spacing w:val="0"/>
                <w:sz w:val="24"/>
                <w:szCs w:val="24"/>
              </w:rPr>
              <w:t>产业政策符合性分析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color w:val="auto"/>
                <w:spacing w:val="0"/>
                <w:sz w:val="24"/>
                <w:szCs w:val="24"/>
              </w:rPr>
            </w:pPr>
            <w:r>
              <w:rPr>
                <w:rFonts w:hint="default" w:ascii="Times New Roman" w:hAnsi="Times New Roman" w:cs="Times New Roman"/>
                <w:color w:val="auto"/>
                <w:spacing w:val="0"/>
                <w:sz w:val="24"/>
                <w:szCs w:val="24"/>
              </w:rPr>
              <w:t>本项目为</w:t>
            </w:r>
            <w:r>
              <w:rPr>
                <w:rFonts w:hint="eastAsia" w:ascii="宋体" w:hAnsi="宋体" w:cs="宋体"/>
                <w:bCs/>
                <w:color w:val="auto"/>
                <w:sz w:val="24"/>
                <w:highlight w:val="none"/>
              </w:rPr>
              <w:t>安福堰综合整治工程</w:t>
            </w:r>
            <w:r>
              <w:rPr>
                <w:rFonts w:hint="default" w:ascii="Times New Roman" w:hAnsi="Times New Roman" w:cs="Times New Roman"/>
                <w:color w:val="auto"/>
                <w:spacing w:val="0"/>
                <w:sz w:val="24"/>
                <w:szCs w:val="24"/>
              </w:rPr>
              <w:t>，根据《产业结构调整指导目录（2019年本）》</w:t>
            </w:r>
            <w:r>
              <w:rPr>
                <w:rFonts w:hint="eastAsia" w:ascii="Times New Roman" w:hAnsi="Times New Roman" w:cs="Times New Roman"/>
                <w:color w:val="auto"/>
                <w:spacing w:val="0"/>
                <w:sz w:val="24"/>
                <w:szCs w:val="24"/>
                <w:lang w:eastAsia="zh-CN"/>
              </w:rPr>
              <w:t>（</w:t>
            </w:r>
            <w:r>
              <w:rPr>
                <w:rFonts w:hint="eastAsia" w:ascii="Times New Roman" w:hAnsi="Times New Roman" w:cs="Times New Roman"/>
                <w:color w:val="auto"/>
                <w:spacing w:val="0"/>
                <w:sz w:val="24"/>
                <w:szCs w:val="24"/>
                <w:lang w:val="en-US" w:eastAsia="zh-CN"/>
              </w:rPr>
              <w:t>2021年修正</w:t>
            </w:r>
            <w:r>
              <w:rPr>
                <w:rFonts w:hint="eastAsia" w:ascii="Times New Roman" w:hAnsi="Times New Roman" w:cs="Times New Roman"/>
                <w:color w:val="auto"/>
                <w:spacing w:val="0"/>
                <w:sz w:val="24"/>
                <w:szCs w:val="24"/>
                <w:lang w:eastAsia="zh-CN"/>
              </w:rPr>
              <w:t>）</w:t>
            </w:r>
            <w:r>
              <w:rPr>
                <w:rFonts w:hint="default" w:ascii="Times New Roman" w:hAnsi="Times New Roman" w:cs="Times New Roman"/>
                <w:color w:val="auto"/>
                <w:spacing w:val="0"/>
                <w:sz w:val="24"/>
                <w:szCs w:val="24"/>
              </w:rPr>
              <w:t>，本项目</w:t>
            </w:r>
            <w:r>
              <w:rPr>
                <w:rFonts w:hint="default" w:ascii="Times New Roman" w:hAnsi="Times New Roman" w:cs="Times New Roman"/>
                <w:color w:val="auto"/>
                <w:spacing w:val="0"/>
                <w:sz w:val="24"/>
                <w:szCs w:val="24"/>
                <w:lang w:eastAsia="zh-CN"/>
              </w:rPr>
              <w:t>属于</w:t>
            </w:r>
            <w:r>
              <w:rPr>
                <w:rFonts w:hint="default" w:ascii="Times New Roman" w:hAnsi="Times New Roman" w:cs="Times New Roman"/>
                <w:color w:val="auto"/>
                <w:spacing w:val="0"/>
                <w:sz w:val="24"/>
                <w:szCs w:val="24"/>
                <w:highlight w:val="none"/>
                <w:lang w:eastAsia="zh-CN"/>
              </w:rPr>
              <w:t>第一类</w:t>
            </w:r>
            <w:r>
              <w:rPr>
                <w:rFonts w:hint="default" w:ascii="Times New Roman" w:hAnsi="Times New Roman" w:cs="Times New Roman"/>
                <w:color w:val="auto"/>
                <w:spacing w:val="0"/>
                <w:sz w:val="24"/>
                <w:szCs w:val="24"/>
                <w:highlight w:val="none"/>
              </w:rPr>
              <w:t>鼓励类中</w:t>
            </w:r>
            <w:r>
              <w:rPr>
                <w:rFonts w:hint="default" w:ascii="Times New Roman" w:hAnsi="Times New Roman" w:cs="Times New Roman"/>
                <w:color w:val="auto"/>
                <w:spacing w:val="0"/>
                <w:sz w:val="24"/>
                <w:szCs w:val="24"/>
                <w:highlight w:val="none"/>
                <w:lang w:eastAsia="zh-CN"/>
              </w:rPr>
              <w:t>第二条“水</w:t>
            </w:r>
            <w:r>
              <w:rPr>
                <w:rFonts w:hint="eastAsia" w:ascii="Times New Roman" w:hAnsi="Times New Roman" w:cs="Times New Roman"/>
                <w:color w:val="auto"/>
                <w:spacing w:val="0"/>
                <w:sz w:val="24"/>
                <w:szCs w:val="24"/>
                <w:highlight w:val="none"/>
                <w:lang w:val="en-US" w:eastAsia="zh-CN"/>
              </w:rPr>
              <w:t>利</w:t>
            </w:r>
            <w:r>
              <w:rPr>
                <w:rFonts w:hint="default" w:ascii="Times New Roman" w:hAnsi="Times New Roman" w:cs="Times New Roman"/>
                <w:color w:val="auto"/>
                <w:spacing w:val="0"/>
                <w:sz w:val="24"/>
                <w:szCs w:val="24"/>
                <w:highlight w:val="none"/>
                <w:lang w:eastAsia="zh-CN"/>
              </w:rPr>
              <w:t>”</w:t>
            </w:r>
            <w:r>
              <w:rPr>
                <w:rFonts w:hint="default" w:ascii="Times New Roman" w:hAnsi="Times New Roman" w:cs="Times New Roman"/>
                <w:color w:val="auto"/>
                <w:spacing w:val="0"/>
                <w:sz w:val="24"/>
                <w:szCs w:val="24"/>
                <w:highlight w:val="none"/>
                <w:lang w:val="en-US" w:eastAsia="zh-CN"/>
              </w:rPr>
              <w:t>中的</w:t>
            </w:r>
            <w:r>
              <w:rPr>
                <w:rFonts w:hint="default" w:ascii="Times New Roman" w:hAnsi="Times New Roman" w:cs="Times New Roman"/>
                <w:color w:val="auto"/>
                <w:spacing w:val="0"/>
                <w:sz w:val="24"/>
                <w:szCs w:val="24"/>
                <w:highlight w:val="none"/>
                <w:lang w:eastAsia="zh-CN"/>
              </w:rPr>
              <w:t>第</w:t>
            </w:r>
            <w:r>
              <w:rPr>
                <w:rFonts w:hint="eastAsia" w:ascii="Times New Roman" w:hAnsi="Times New Roman" w:cs="Times New Roman"/>
                <w:color w:val="auto"/>
                <w:spacing w:val="0"/>
                <w:sz w:val="24"/>
                <w:szCs w:val="24"/>
                <w:highlight w:val="none"/>
                <w:lang w:val="en-US" w:eastAsia="zh-CN"/>
              </w:rPr>
              <w:t>1</w:t>
            </w:r>
            <w:r>
              <w:rPr>
                <w:rFonts w:hint="default" w:ascii="Times New Roman" w:hAnsi="Times New Roman" w:cs="Times New Roman"/>
                <w:color w:val="auto"/>
                <w:spacing w:val="0"/>
                <w:sz w:val="24"/>
                <w:szCs w:val="24"/>
                <w:highlight w:val="none"/>
                <w:lang w:val="en-US" w:eastAsia="zh-CN"/>
              </w:rPr>
              <w:t>条“</w:t>
            </w:r>
            <w:r>
              <w:rPr>
                <w:rFonts w:hint="eastAsia" w:ascii="Times New Roman" w:hAnsi="Times New Roman" w:cs="Times New Roman"/>
                <w:color w:val="auto"/>
                <w:spacing w:val="0"/>
                <w:sz w:val="24"/>
                <w:szCs w:val="24"/>
                <w:highlight w:val="none"/>
                <w:lang w:val="en-US" w:eastAsia="zh-CN"/>
              </w:rPr>
              <w:t>江河湖海堤防建设及河道治理工程</w:t>
            </w:r>
            <w:r>
              <w:rPr>
                <w:rFonts w:hint="default" w:ascii="Times New Roman" w:hAnsi="Times New Roman" w:cs="Times New Roman"/>
                <w:color w:val="auto"/>
                <w:spacing w:val="0"/>
                <w:sz w:val="24"/>
                <w:szCs w:val="24"/>
                <w:highlight w:val="none"/>
                <w:lang w:val="en-US" w:eastAsia="zh-CN"/>
              </w:rPr>
              <w:t>”</w:t>
            </w:r>
            <w:r>
              <w:rPr>
                <w:rFonts w:hint="eastAsia" w:ascii="Times New Roman" w:hAnsi="Times New Roman" w:cs="Times New Roman"/>
                <w:color w:val="auto"/>
                <w:spacing w:val="0"/>
                <w:sz w:val="24"/>
                <w:szCs w:val="24"/>
                <w:highlight w:val="none"/>
                <w:lang w:val="en-US" w:eastAsia="zh-CN"/>
              </w:rPr>
              <w:t>以及第4条“灌区及配套设施建设、改造”</w:t>
            </w:r>
            <w:r>
              <w:rPr>
                <w:rFonts w:hint="default" w:ascii="Times New Roman" w:hAnsi="Times New Roman" w:cs="Times New Roman"/>
                <w:color w:val="auto"/>
                <w:spacing w:val="0"/>
                <w:sz w:val="24"/>
                <w:szCs w:val="24"/>
                <w:highlight w:val="none"/>
                <w:lang w:eastAsia="zh-CN"/>
              </w:rPr>
              <w:t>项目</w:t>
            </w:r>
            <w:r>
              <w:rPr>
                <w:rFonts w:hint="default" w:ascii="Times New Roman" w:hAnsi="Times New Roman" w:cs="Times New Roman"/>
                <w:color w:val="auto"/>
                <w:spacing w:val="0"/>
                <w:sz w:val="24"/>
                <w:szCs w:val="24"/>
                <w:highlight w:val="none"/>
              </w:rPr>
              <w:t>，属于鼓励类</w:t>
            </w:r>
            <w:r>
              <w:rPr>
                <w:rFonts w:hint="default" w:ascii="Times New Roman" w:hAnsi="Times New Roman" w:cs="Times New Roman"/>
                <w:color w:val="auto"/>
                <w:spacing w:val="0"/>
                <w:sz w:val="24"/>
                <w:szCs w:val="24"/>
                <w:highlight w:val="none"/>
                <w:lang w:eastAsia="zh-CN"/>
              </w:rPr>
              <w:t>；</w:t>
            </w:r>
            <w:r>
              <w:rPr>
                <w:rFonts w:hint="default" w:ascii="Times New Roman" w:hAnsi="Times New Roman" w:cs="Times New Roman"/>
                <w:color w:val="auto"/>
                <w:spacing w:val="0"/>
                <w:sz w:val="24"/>
                <w:szCs w:val="24"/>
              </w:rPr>
              <w:t>同时，202</w:t>
            </w:r>
            <w:r>
              <w:rPr>
                <w:rFonts w:hint="eastAsia" w:ascii="Times New Roman" w:hAnsi="Times New Roman" w:cs="Times New Roman"/>
                <w:color w:val="auto"/>
                <w:spacing w:val="0"/>
                <w:sz w:val="24"/>
                <w:szCs w:val="24"/>
                <w:lang w:val="en-US" w:eastAsia="zh-CN"/>
              </w:rPr>
              <w:t>2</w:t>
            </w:r>
            <w:r>
              <w:rPr>
                <w:rFonts w:hint="default" w:ascii="Times New Roman" w:hAnsi="Times New Roman" w:cs="Times New Roman"/>
                <w:color w:val="auto"/>
                <w:spacing w:val="0"/>
                <w:sz w:val="24"/>
                <w:szCs w:val="24"/>
              </w:rPr>
              <w:t>年</w:t>
            </w:r>
            <w:r>
              <w:rPr>
                <w:rFonts w:hint="default" w:ascii="Times New Roman" w:hAnsi="Times New Roman" w:cs="Times New Roman"/>
                <w:color w:val="auto"/>
                <w:spacing w:val="0"/>
                <w:sz w:val="24"/>
                <w:szCs w:val="24"/>
                <w:lang w:val="en-US" w:eastAsia="zh-CN"/>
              </w:rPr>
              <w:t>2</w:t>
            </w:r>
            <w:r>
              <w:rPr>
                <w:rFonts w:hint="default" w:ascii="Times New Roman" w:hAnsi="Times New Roman" w:cs="Times New Roman"/>
                <w:color w:val="auto"/>
                <w:spacing w:val="0"/>
                <w:sz w:val="24"/>
                <w:szCs w:val="24"/>
              </w:rPr>
              <w:t>月</w:t>
            </w:r>
            <w:r>
              <w:rPr>
                <w:rFonts w:hint="eastAsia" w:ascii="Times New Roman" w:hAnsi="Times New Roman" w:cs="Times New Roman"/>
                <w:color w:val="auto"/>
                <w:spacing w:val="0"/>
                <w:sz w:val="24"/>
                <w:szCs w:val="24"/>
                <w:lang w:val="en-US" w:eastAsia="zh-CN"/>
              </w:rPr>
              <w:t>23</w:t>
            </w:r>
            <w:r>
              <w:rPr>
                <w:rFonts w:hint="default" w:ascii="Times New Roman" w:hAnsi="Times New Roman" w:cs="Times New Roman"/>
                <w:color w:val="auto"/>
                <w:spacing w:val="0"/>
                <w:sz w:val="24"/>
                <w:szCs w:val="24"/>
              </w:rPr>
              <w:t>日，</w:t>
            </w:r>
            <w:r>
              <w:rPr>
                <w:rFonts w:hint="default" w:ascii="Times New Roman" w:hAnsi="Times New Roman" w:cs="Times New Roman"/>
                <w:color w:val="auto"/>
                <w:spacing w:val="0"/>
                <w:sz w:val="24"/>
                <w:szCs w:val="24"/>
                <w:lang w:eastAsia="zh-CN"/>
              </w:rPr>
              <w:t>乐山市</w:t>
            </w:r>
            <w:r>
              <w:rPr>
                <w:rFonts w:hint="eastAsia" w:ascii="Times New Roman" w:hAnsi="Times New Roman" w:cs="Times New Roman"/>
                <w:color w:val="auto"/>
                <w:spacing w:val="0"/>
                <w:sz w:val="24"/>
                <w:szCs w:val="24"/>
                <w:lang w:val="en-US" w:eastAsia="zh-CN"/>
              </w:rPr>
              <w:t>中区</w:t>
            </w:r>
            <w:r>
              <w:rPr>
                <w:rFonts w:hint="default" w:ascii="Times New Roman" w:hAnsi="Times New Roman" w:cs="Times New Roman"/>
                <w:color w:val="auto"/>
                <w:spacing w:val="0"/>
                <w:sz w:val="24"/>
                <w:szCs w:val="24"/>
                <w:lang w:eastAsia="zh-CN"/>
              </w:rPr>
              <w:t>发展和改革</w:t>
            </w:r>
            <w:r>
              <w:rPr>
                <w:rFonts w:hint="eastAsia" w:ascii="Times New Roman" w:hAnsi="Times New Roman" w:cs="Times New Roman"/>
                <w:color w:val="auto"/>
                <w:spacing w:val="0"/>
                <w:sz w:val="24"/>
                <w:szCs w:val="24"/>
                <w:lang w:val="en-US" w:eastAsia="zh-CN"/>
              </w:rPr>
              <w:t>局</w:t>
            </w:r>
            <w:r>
              <w:rPr>
                <w:rFonts w:hint="default" w:ascii="Times New Roman" w:hAnsi="Times New Roman" w:cs="Times New Roman"/>
                <w:color w:val="auto"/>
                <w:spacing w:val="0"/>
                <w:sz w:val="24"/>
                <w:szCs w:val="24"/>
              </w:rPr>
              <w:t>出具了</w:t>
            </w:r>
            <w:r>
              <w:rPr>
                <w:rFonts w:hint="eastAsia" w:ascii="Times New Roman" w:hAnsi="Times New Roman" w:cs="Times New Roman"/>
                <w:color w:val="auto"/>
                <w:spacing w:val="0"/>
                <w:sz w:val="24"/>
                <w:szCs w:val="24"/>
                <w:lang w:val="en-US" w:eastAsia="zh-CN"/>
              </w:rPr>
              <w:t>该项目备案表</w:t>
            </w:r>
            <w:r>
              <w:rPr>
                <w:rFonts w:hint="default" w:ascii="Times New Roman" w:hAnsi="Times New Roman" w:eastAsia="宋体" w:cs="Times New Roman"/>
                <w:color w:val="auto"/>
                <w:spacing w:val="0"/>
                <w:sz w:val="24"/>
                <w:szCs w:val="24"/>
                <w:highlight w:val="none"/>
                <w:lang w:eastAsia="zh-CN"/>
              </w:rPr>
              <w:t>，</w:t>
            </w:r>
            <w:r>
              <w:rPr>
                <w:rFonts w:hint="eastAsia" w:ascii="Times New Roman" w:hAnsi="Times New Roman" w:eastAsia="宋体" w:cs="Times New Roman"/>
                <w:color w:val="auto"/>
                <w:spacing w:val="0"/>
                <w:sz w:val="24"/>
                <w:szCs w:val="24"/>
                <w:highlight w:val="none"/>
                <w:lang w:val="en-US" w:eastAsia="zh-CN"/>
              </w:rPr>
              <w:t>备案号</w:t>
            </w:r>
            <w:r>
              <w:rPr>
                <w:rFonts w:hint="default" w:ascii="Times New Roman" w:hAnsi="Times New Roman" w:eastAsia="宋体" w:cs="Times New Roman"/>
                <w:color w:val="auto"/>
                <w:spacing w:val="0"/>
                <w:sz w:val="24"/>
                <w:szCs w:val="24"/>
                <w:highlight w:val="none"/>
                <w:lang w:eastAsia="zh-CN"/>
              </w:rPr>
              <w:t>为“</w:t>
            </w:r>
            <w:r>
              <w:rPr>
                <w:rFonts w:hint="eastAsia" w:ascii="Times New Roman" w:hAnsi="Times New Roman" w:eastAsia="宋体" w:cs="Times New Roman"/>
                <w:color w:val="auto"/>
                <w:spacing w:val="0"/>
                <w:sz w:val="24"/>
                <w:szCs w:val="24"/>
                <w:highlight w:val="none"/>
                <w:lang w:val="en-US" w:eastAsia="zh-CN"/>
              </w:rPr>
              <w:t>川投资备</w:t>
            </w:r>
            <w:r>
              <w:rPr>
                <w:rFonts w:hint="eastAsia" w:ascii="Times New Roman" w:hAnsi="Times New Roman" w:eastAsia="宋体" w:cs="Times New Roman"/>
                <w:kern w:val="21"/>
                <w:sz w:val="24"/>
                <w:szCs w:val="24"/>
                <w:lang w:val="en-US" w:eastAsia="zh-CN"/>
              </w:rPr>
              <w:t>【2202</w:t>
            </w:r>
            <w:r>
              <w:rPr>
                <w:rFonts w:hint="default" w:ascii="Times New Roman" w:hAnsi="Times New Roman" w:eastAsia="Calibri" w:cs="Times New Roman"/>
                <w:kern w:val="21"/>
                <w:sz w:val="24"/>
                <w:szCs w:val="24"/>
              </w:rPr>
              <w:t>-5111</w:t>
            </w:r>
            <w:r>
              <w:rPr>
                <w:rFonts w:hint="eastAsia" w:ascii="Times New Roman" w:hAnsi="Times New Roman" w:eastAsia="宋体" w:cs="Times New Roman"/>
                <w:kern w:val="21"/>
                <w:sz w:val="24"/>
                <w:szCs w:val="24"/>
                <w:lang w:val="en-US" w:eastAsia="zh-CN"/>
              </w:rPr>
              <w:t>02</w:t>
            </w:r>
            <w:r>
              <w:rPr>
                <w:rFonts w:hint="default" w:ascii="Times New Roman" w:hAnsi="Times New Roman" w:eastAsia="Calibri" w:cs="Times New Roman"/>
                <w:kern w:val="21"/>
                <w:sz w:val="24"/>
                <w:szCs w:val="24"/>
              </w:rPr>
              <w:t>-</w:t>
            </w:r>
            <w:r>
              <w:rPr>
                <w:rFonts w:hint="eastAsia" w:ascii="Times New Roman" w:hAnsi="Times New Roman" w:eastAsia="宋体" w:cs="Times New Roman"/>
                <w:kern w:val="21"/>
                <w:sz w:val="24"/>
                <w:szCs w:val="24"/>
                <w:lang w:val="en-US" w:eastAsia="zh-CN"/>
              </w:rPr>
              <w:t>04</w:t>
            </w:r>
            <w:r>
              <w:rPr>
                <w:rFonts w:hint="default" w:ascii="Times New Roman" w:hAnsi="Times New Roman" w:eastAsia="Calibri" w:cs="Times New Roman"/>
                <w:kern w:val="21"/>
                <w:sz w:val="24"/>
                <w:szCs w:val="24"/>
              </w:rPr>
              <w:t>-01-</w:t>
            </w:r>
            <w:r>
              <w:rPr>
                <w:rFonts w:hint="eastAsia" w:ascii="Times New Roman" w:hAnsi="Times New Roman" w:eastAsia="宋体" w:cs="Times New Roman"/>
                <w:kern w:val="21"/>
                <w:sz w:val="24"/>
                <w:szCs w:val="24"/>
                <w:lang w:val="en-US" w:eastAsia="zh-CN"/>
              </w:rPr>
              <w:t>468223】FGQB-0032号</w:t>
            </w:r>
            <w:r>
              <w:rPr>
                <w:rFonts w:hint="default" w:ascii="Times New Roman" w:hAnsi="Times New Roman" w:eastAsia="宋体" w:cs="Times New Roman"/>
                <w:color w:val="auto"/>
                <w:spacing w:val="0"/>
                <w:sz w:val="24"/>
                <w:szCs w:val="24"/>
                <w:highlight w:val="none"/>
                <w:lang w:eastAsia="zh-CN"/>
              </w:rPr>
              <w:t>”，同意本项目的建设。</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2" w:firstLineChars="200"/>
              <w:textAlignment w:val="baseline"/>
              <w:rPr>
                <w:rFonts w:hint="default" w:ascii="Times New Roman" w:hAnsi="Times New Roman" w:cs="Times New Roman"/>
                <w:b/>
                <w:bCs/>
                <w:color w:val="auto"/>
                <w:spacing w:val="0"/>
                <w:sz w:val="24"/>
                <w:szCs w:val="24"/>
              </w:rPr>
            </w:pPr>
            <w:r>
              <w:rPr>
                <w:rFonts w:hint="default" w:ascii="Times New Roman" w:hAnsi="Times New Roman" w:cs="Times New Roman"/>
                <w:b/>
                <w:bCs/>
                <w:color w:val="auto"/>
                <w:spacing w:val="0"/>
                <w:sz w:val="24"/>
                <w:szCs w:val="24"/>
              </w:rPr>
              <w:t>因此，本项目建设符合国家产业政策的要求。</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baseline"/>
              <w:rPr>
                <w:rFonts w:hint="default" w:ascii="Times New Roman" w:hAnsi="Times New Roman" w:eastAsia="宋体" w:cs="Times New Roman"/>
                <w:color w:val="auto"/>
                <w:spacing w:val="0"/>
                <w:sz w:val="24"/>
                <w:szCs w:val="24"/>
              </w:rPr>
            </w:pPr>
            <w:r>
              <w:rPr>
                <w:rFonts w:hint="eastAsia" w:ascii="Times New Roman" w:hAnsi="Times New Roman" w:eastAsia="宋体" w:cs="Times New Roman"/>
                <w:b/>
                <w:bCs/>
                <w:color w:val="auto"/>
                <w:spacing w:val="0"/>
                <w:sz w:val="24"/>
                <w:szCs w:val="24"/>
                <w:lang w:val="en-US" w:eastAsia="zh-CN"/>
              </w:rPr>
              <w:t>2</w:t>
            </w:r>
            <w:r>
              <w:rPr>
                <w:rFonts w:hint="default" w:ascii="Times New Roman" w:hAnsi="Times New Roman" w:eastAsia="宋体" w:cs="Times New Roman"/>
                <w:b/>
                <w:bCs/>
                <w:color w:val="auto"/>
                <w:spacing w:val="0"/>
                <w:sz w:val="24"/>
                <w:szCs w:val="24"/>
              </w:rPr>
              <w:t xml:space="preserve"> 、本项目与《四川省长江经济带发展负面清单实施细则 (试行) 》符合性分析</w:t>
            </w:r>
          </w:p>
          <w:p>
            <w:pPr>
              <w:spacing w:before="56" w:line="373" w:lineRule="auto"/>
              <w:ind w:left="20" w:right="9" w:firstLine="1"/>
              <w:rPr>
                <w:rFonts w:ascii="宋体" w:hAnsi="宋体" w:eastAsia="宋体" w:cs="宋体"/>
                <w:sz w:val="23"/>
                <w:szCs w:val="23"/>
              </w:rPr>
            </w:pPr>
            <w:r>
              <w:rPr>
                <w:rFonts w:ascii="宋体" w:hAnsi="宋体" w:eastAsia="宋体" w:cs="宋体"/>
                <w:spacing w:val="1"/>
                <w:sz w:val="23"/>
                <w:szCs w:val="23"/>
              </w:rPr>
              <w:t>根据《四</w:t>
            </w:r>
            <w:r>
              <w:rPr>
                <w:rFonts w:ascii="宋体" w:hAnsi="宋体" w:eastAsia="宋体" w:cs="宋体"/>
                <w:sz w:val="23"/>
                <w:szCs w:val="23"/>
              </w:rPr>
              <w:t>川省长江经济带发展负面清单实施细则(试行)》(川长江办〔</w:t>
            </w:r>
            <w:r>
              <w:rPr>
                <w:rFonts w:ascii="Times New Roman" w:hAnsi="Times New Roman" w:eastAsia="Times New Roman" w:cs="Times New Roman"/>
                <w:sz w:val="23"/>
                <w:szCs w:val="23"/>
              </w:rPr>
              <w:t>2019</w:t>
            </w:r>
            <w:r>
              <w:rPr>
                <w:rFonts w:ascii="宋体" w:hAnsi="宋体" w:eastAsia="宋体" w:cs="宋体"/>
                <w:sz w:val="23"/>
                <w:szCs w:val="23"/>
              </w:rPr>
              <w:t>〕</w:t>
            </w:r>
            <w:r>
              <w:rPr>
                <w:rFonts w:ascii="Times New Roman" w:hAnsi="Times New Roman" w:eastAsia="Times New Roman" w:cs="Times New Roman"/>
                <w:spacing w:val="11"/>
                <w:sz w:val="23"/>
                <w:szCs w:val="23"/>
              </w:rPr>
              <w:t>8</w:t>
            </w:r>
            <w:r>
              <w:rPr>
                <w:rFonts w:ascii="宋体" w:hAnsi="宋体" w:eastAsia="宋体" w:cs="宋体"/>
                <w:spacing w:val="11"/>
                <w:sz w:val="23"/>
                <w:szCs w:val="23"/>
              </w:rPr>
              <w:t>号)相关标准要求，本项目与《四川省长江经济带发展负面清单实施细则(</w:t>
            </w:r>
            <w:r>
              <w:rPr>
                <w:rFonts w:ascii="宋体" w:hAnsi="宋体" w:eastAsia="宋体" w:cs="宋体"/>
                <w:spacing w:val="4"/>
                <w:sz w:val="23"/>
                <w:szCs w:val="23"/>
              </w:rPr>
              <w:t>试行)</w:t>
            </w:r>
            <w:r>
              <w:rPr>
                <w:rFonts w:ascii="宋体" w:hAnsi="宋体" w:eastAsia="宋体" w:cs="宋体"/>
                <w:spacing w:val="2"/>
                <w:sz w:val="23"/>
                <w:szCs w:val="23"/>
              </w:rPr>
              <w:t xml:space="preserve">》的符合性见表 </w:t>
            </w:r>
            <w:r>
              <w:rPr>
                <w:rFonts w:ascii="Times New Roman" w:hAnsi="Times New Roman" w:eastAsia="Times New Roman" w:cs="Times New Roman"/>
                <w:spacing w:val="2"/>
                <w:sz w:val="23"/>
                <w:szCs w:val="23"/>
              </w:rPr>
              <w:t>1-</w:t>
            </w:r>
            <w:r>
              <w:rPr>
                <w:rFonts w:hint="eastAsia" w:ascii="Times New Roman" w:hAnsi="Times New Roman" w:eastAsia="宋体" w:cs="Times New Roman"/>
                <w:spacing w:val="2"/>
                <w:sz w:val="23"/>
                <w:szCs w:val="23"/>
                <w:lang w:val="en-US" w:eastAsia="zh-CN"/>
              </w:rPr>
              <w:t>2</w:t>
            </w:r>
            <w:r>
              <w:rPr>
                <w:rFonts w:ascii="宋体" w:hAnsi="宋体" w:eastAsia="宋体" w:cs="宋体"/>
                <w:spacing w:val="2"/>
                <w:sz w:val="23"/>
                <w:szCs w:val="23"/>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430" w:firstLineChars="200"/>
              <w:jc w:val="center"/>
              <w:textAlignment w:val="baseline"/>
              <w:rPr>
                <w:rFonts w:hint="default" w:ascii="Times New Roman" w:hAnsi="Times New Roman" w:cs="Times New Roman"/>
                <w:b/>
                <w:bCs/>
                <w:color w:val="auto"/>
                <w:spacing w:val="0"/>
                <w:sz w:val="24"/>
                <w:szCs w:val="24"/>
              </w:rPr>
            </w:pPr>
            <w:r>
              <w:rPr>
                <w:rFonts w:ascii="宋体" w:hAnsi="宋体" w:eastAsia="宋体" w:cs="宋体"/>
                <w:b/>
                <w:bCs/>
                <w:spacing w:val="7"/>
                <w:sz w:val="20"/>
                <w:szCs w:val="20"/>
              </w:rPr>
              <w:t xml:space="preserve">表 </w:t>
            </w:r>
            <w:r>
              <w:rPr>
                <w:rFonts w:ascii="Times New Roman" w:hAnsi="Times New Roman" w:eastAsia="Times New Roman" w:cs="Times New Roman"/>
                <w:b/>
                <w:bCs/>
                <w:spacing w:val="7"/>
                <w:sz w:val="20"/>
                <w:szCs w:val="20"/>
              </w:rPr>
              <w:t>1-</w:t>
            </w:r>
            <w:r>
              <w:rPr>
                <w:rFonts w:hint="eastAsia" w:ascii="Times New Roman" w:hAnsi="Times New Roman" w:eastAsia="宋体" w:cs="Times New Roman"/>
                <w:b/>
                <w:bCs/>
                <w:spacing w:val="7"/>
                <w:sz w:val="20"/>
                <w:szCs w:val="20"/>
                <w:lang w:val="en-US" w:eastAsia="zh-CN"/>
              </w:rPr>
              <w:t>2</w:t>
            </w:r>
            <w:r>
              <w:rPr>
                <w:rFonts w:ascii="Times New Roman" w:hAnsi="Times New Roman" w:eastAsia="Times New Roman" w:cs="Times New Roman"/>
                <w:b/>
                <w:bCs/>
                <w:spacing w:val="7"/>
                <w:sz w:val="20"/>
                <w:szCs w:val="20"/>
              </w:rPr>
              <w:t xml:space="preserve">  </w:t>
            </w:r>
            <w:r>
              <w:rPr>
                <w:rFonts w:ascii="宋体" w:hAnsi="宋体" w:eastAsia="宋体" w:cs="宋体"/>
                <w:b/>
                <w:bCs/>
                <w:spacing w:val="7"/>
                <w:sz w:val="20"/>
                <w:szCs w:val="20"/>
              </w:rPr>
              <w:t>项目与四川省长江经济带发展负面清单实施细则 (试行</w:t>
            </w:r>
            <w:r>
              <w:rPr>
                <w:rFonts w:ascii="宋体" w:hAnsi="宋体" w:eastAsia="宋体" w:cs="宋体"/>
                <w:b/>
                <w:bCs/>
                <w:spacing w:val="6"/>
                <w:sz w:val="20"/>
                <w:szCs w:val="20"/>
              </w:rPr>
              <w:t>)</w:t>
            </w:r>
          </w:p>
          <w:tbl>
            <w:tblPr>
              <w:tblStyle w:val="41"/>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5"/>
              <w:gridCol w:w="6303"/>
              <w:gridCol w:w="1578"/>
              <w:gridCol w:w="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54"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序号</w:t>
                  </w:r>
                </w:p>
              </w:tc>
              <w:tc>
                <w:tcPr>
                  <w:tcW w:w="3439"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规范内容</w:t>
                  </w:r>
                </w:p>
              </w:tc>
              <w:tc>
                <w:tcPr>
                  <w:tcW w:w="861"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本项目情况</w:t>
                  </w:r>
                </w:p>
              </w:tc>
              <w:tc>
                <w:tcPr>
                  <w:tcW w:w="445"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是否符合要求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4"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1</w:t>
                  </w:r>
                </w:p>
              </w:tc>
              <w:tc>
                <w:tcPr>
                  <w:tcW w:w="3439" w:type="pct"/>
                  <w:tcBorders>
                    <w:tl2br w:val="nil"/>
                    <w:tr2bl w:val="nil"/>
                  </w:tcBorders>
                  <w:noWrap w:val="0"/>
                  <w:vAlign w:val="center"/>
                </w:tcPr>
                <w:p>
                  <w:pPr>
                    <w:snapToGrid w:val="0"/>
                    <w:spacing w:line="240" w:lineRule="auto"/>
                    <w:jc w:val="left"/>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禁止新建、改建和扩建未纳入《全国内河航道与港口布局规划》等全国港口规划，以及《四川省内河水运发展规划》、《泸州—宜宾—乐山港口群布局规划》等省级港口布局规划及港口总体规划的码头项目。</w:t>
                  </w:r>
                </w:p>
              </w:tc>
              <w:tc>
                <w:tcPr>
                  <w:tcW w:w="861"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本项目不属于码头项目</w:t>
                  </w:r>
                </w:p>
              </w:tc>
              <w:tc>
                <w:tcPr>
                  <w:tcW w:w="445"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4"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2</w:t>
                  </w:r>
                </w:p>
              </w:tc>
              <w:tc>
                <w:tcPr>
                  <w:tcW w:w="3439" w:type="pct"/>
                  <w:tcBorders>
                    <w:tl2br w:val="nil"/>
                    <w:tr2bl w:val="nil"/>
                  </w:tcBorders>
                  <w:noWrap w:val="0"/>
                  <w:vAlign w:val="center"/>
                </w:tcPr>
                <w:p>
                  <w:pPr>
                    <w:snapToGrid w:val="0"/>
                    <w:spacing w:line="240" w:lineRule="auto"/>
                    <w:jc w:val="left"/>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禁止新建、改建和扩建不符合《长江干线过江通道布局规划》的过长江通道项目（含桥梁、隧道）。</w:t>
                  </w:r>
                </w:p>
              </w:tc>
              <w:tc>
                <w:tcPr>
                  <w:tcW w:w="861"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本项目不属于过江通道项目</w:t>
                  </w:r>
                </w:p>
              </w:tc>
              <w:tc>
                <w:tcPr>
                  <w:tcW w:w="445"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4"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3</w:t>
                  </w:r>
                </w:p>
              </w:tc>
              <w:tc>
                <w:tcPr>
                  <w:tcW w:w="3439" w:type="pct"/>
                  <w:tcBorders>
                    <w:tl2br w:val="nil"/>
                    <w:tr2bl w:val="nil"/>
                  </w:tcBorders>
                  <w:noWrap w:val="0"/>
                  <w:vAlign w:val="center"/>
                </w:tcPr>
                <w:p>
                  <w:pPr>
                    <w:snapToGrid w:val="0"/>
                    <w:spacing w:line="240" w:lineRule="auto"/>
                    <w:jc w:val="left"/>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禁止在自然保护区核心区、缓冲区的岸线和河段范围内投资建设旅游和生产经营项目。禁止在自然保护区内进行砍伐、放牧、狩猎、捕捞、采药、开垦、烧荒、开矿、采石、挖沙等活动。</w:t>
                  </w:r>
                </w:p>
              </w:tc>
              <w:tc>
                <w:tcPr>
                  <w:tcW w:w="861"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项目选址不在风景名胜区内</w:t>
                  </w:r>
                </w:p>
              </w:tc>
              <w:tc>
                <w:tcPr>
                  <w:tcW w:w="445"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4"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4</w:t>
                  </w:r>
                </w:p>
              </w:tc>
              <w:tc>
                <w:tcPr>
                  <w:tcW w:w="3439" w:type="pct"/>
                  <w:tcBorders>
                    <w:tl2br w:val="nil"/>
                    <w:tr2bl w:val="nil"/>
                  </w:tcBorders>
                  <w:noWrap w:val="0"/>
                  <w:vAlign w:val="center"/>
                </w:tcPr>
                <w:p>
                  <w:pPr>
                    <w:snapToGrid w:val="0"/>
                    <w:spacing w:line="240" w:lineRule="auto"/>
                    <w:jc w:val="left"/>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禁止在饮用水水源准保护区的岸线和河段范围内新建、扩建对水体污染严重的建设项目；改建建设项目不得增加排污量。禁止在饮用水水源准保护区的岸线和河段范围内设置化工原料、矿物油类及有毒有害矿产品的贮存场所，以及生活垃圾、工业固体废物和危险废物的堆放场所和转运站。</w:t>
                  </w:r>
                </w:p>
              </w:tc>
              <w:tc>
                <w:tcPr>
                  <w:tcW w:w="861"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项目选址不在饮用水保护区内</w:t>
                  </w:r>
                </w:p>
              </w:tc>
              <w:tc>
                <w:tcPr>
                  <w:tcW w:w="445"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4"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5</w:t>
                  </w:r>
                </w:p>
              </w:tc>
              <w:tc>
                <w:tcPr>
                  <w:tcW w:w="3439" w:type="pct"/>
                  <w:tcBorders>
                    <w:tl2br w:val="nil"/>
                    <w:tr2bl w:val="nil"/>
                  </w:tcBorders>
                  <w:noWrap w:val="0"/>
                  <w:vAlign w:val="center"/>
                </w:tcPr>
                <w:p>
                  <w:pPr>
                    <w:snapToGrid w:val="0"/>
                    <w:spacing w:line="240" w:lineRule="auto"/>
                    <w:jc w:val="left"/>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在饮用水水源二级保护区的岸线和河段范围内，除应遵守准保护区规定外，禁止新建、改建、扩建排放污染物的建设项目；禁止从事经营性取土和采石（砂）等活动；禁止从事网箱养殖、施肥养鱼等污染饮用水水体的活动；禁止铺设输送污水、油类、有毒有害物品的管道。</w:t>
                  </w:r>
                </w:p>
              </w:tc>
              <w:tc>
                <w:tcPr>
                  <w:tcW w:w="861"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项目选址不在饮用水保护区内</w:t>
                  </w:r>
                </w:p>
              </w:tc>
              <w:tc>
                <w:tcPr>
                  <w:tcW w:w="445"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4"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6</w:t>
                  </w:r>
                </w:p>
              </w:tc>
              <w:tc>
                <w:tcPr>
                  <w:tcW w:w="3439" w:type="pct"/>
                  <w:tcBorders>
                    <w:tl2br w:val="nil"/>
                    <w:tr2bl w:val="nil"/>
                  </w:tcBorders>
                  <w:noWrap w:val="0"/>
                  <w:vAlign w:val="center"/>
                </w:tcPr>
                <w:p>
                  <w:pPr>
                    <w:snapToGrid w:val="0"/>
                    <w:spacing w:line="240" w:lineRule="auto"/>
                    <w:jc w:val="left"/>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饮用水水源一级保护区的岸线和河段范围内，除应遵守准保护区和二级保护区规定外，禁止新建、改建、扩建与供（取）水设施和保护水源无关的项目，以及网箱养殖、旅游等可能污染饮用水水体的投资建设项目；禁止设置畜禽养殖场。</w:t>
                  </w:r>
                </w:p>
              </w:tc>
              <w:tc>
                <w:tcPr>
                  <w:tcW w:w="861"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项目选址不在饮用水保护区内</w:t>
                  </w:r>
                </w:p>
              </w:tc>
              <w:tc>
                <w:tcPr>
                  <w:tcW w:w="445"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4"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7</w:t>
                  </w:r>
                </w:p>
              </w:tc>
              <w:tc>
                <w:tcPr>
                  <w:tcW w:w="3439" w:type="pct"/>
                  <w:tcBorders>
                    <w:tl2br w:val="nil"/>
                    <w:tr2bl w:val="nil"/>
                  </w:tcBorders>
                  <w:noWrap w:val="0"/>
                  <w:vAlign w:val="center"/>
                </w:tcPr>
                <w:p>
                  <w:pPr>
                    <w:snapToGrid w:val="0"/>
                    <w:spacing w:line="240" w:lineRule="auto"/>
                    <w:jc w:val="left"/>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禁止在水产种质资源保护区的岸线和河段范围内新建排污口。</w:t>
                  </w:r>
                </w:p>
              </w:tc>
              <w:tc>
                <w:tcPr>
                  <w:tcW w:w="861" w:type="pct"/>
                  <w:vMerge w:val="restar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项目选址不在水产种质资源保护区内</w:t>
                  </w:r>
                </w:p>
              </w:tc>
              <w:tc>
                <w:tcPr>
                  <w:tcW w:w="445"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4"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8</w:t>
                  </w:r>
                </w:p>
              </w:tc>
              <w:tc>
                <w:tcPr>
                  <w:tcW w:w="3439" w:type="pct"/>
                  <w:tcBorders>
                    <w:tl2br w:val="nil"/>
                    <w:tr2bl w:val="nil"/>
                  </w:tcBorders>
                  <w:noWrap w:val="0"/>
                  <w:vAlign w:val="center"/>
                </w:tcPr>
                <w:p>
                  <w:pPr>
                    <w:snapToGrid w:val="0"/>
                    <w:spacing w:line="240" w:lineRule="auto"/>
                    <w:jc w:val="left"/>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禁止在水产种质资源保护区岸线和河段范围内围湖造田、围湖造地、挖沙采石。</w:t>
                  </w:r>
                </w:p>
              </w:tc>
              <w:tc>
                <w:tcPr>
                  <w:tcW w:w="861" w:type="pct"/>
                  <w:vMerge w:val="continue"/>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p>
              </w:tc>
              <w:tc>
                <w:tcPr>
                  <w:tcW w:w="445"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4"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9</w:t>
                  </w:r>
                </w:p>
              </w:tc>
              <w:tc>
                <w:tcPr>
                  <w:tcW w:w="3439" w:type="pct"/>
                  <w:tcBorders>
                    <w:tl2br w:val="nil"/>
                    <w:tr2bl w:val="nil"/>
                  </w:tcBorders>
                  <w:noWrap w:val="0"/>
                  <w:vAlign w:val="center"/>
                </w:tcPr>
                <w:p>
                  <w:pPr>
                    <w:snapToGrid w:val="0"/>
                    <w:spacing w:line="240" w:lineRule="auto"/>
                    <w:jc w:val="left"/>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滥采滥捕野生动植物，引入外来物种，擅自放牧、捕捞、取土、取水、排污、放生，以及其他破坏湿地及其生态功能的活动</w:t>
                  </w:r>
                </w:p>
              </w:tc>
              <w:tc>
                <w:tcPr>
                  <w:tcW w:w="861"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项目选址不在国家湿地公园保护范围内</w:t>
                  </w:r>
                </w:p>
              </w:tc>
              <w:tc>
                <w:tcPr>
                  <w:tcW w:w="445"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54"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10</w:t>
                  </w:r>
                </w:p>
              </w:tc>
              <w:tc>
                <w:tcPr>
                  <w:tcW w:w="3439" w:type="pct"/>
                  <w:tcBorders>
                    <w:tl2br w:val="nil"/>
                    <w:tr2bl w:val="nil"/>
                  </w:tcBorders>
                  <w:noWrap w:val="0"/>
                  <w:vAlign w:val="center"/>
                </w:tcPr>
                <w:p>
                  <w:pPr>
                    <w:snapToGrid w:val="0"/>
                    <w:spacing w:line="240" w:lineRule="auto"/>
                    <w:jc w:val="left"/>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禁止在《长江岸线保护和开发利用总体规划》划定的岸线保护区内投资建设除保障防洪安全、河势稳定、供水安全以及保护生态环境、已建重要枢纽工程以外的项目。</w:t>
                  </w:r>
                </w:p>
              </w:tc>
              <w:tc>
                <w:tcPr>
                  <w:tcW w:w="861"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项目选址不在长江岸线保护区内</w:t>
                  </w:r>
                </w:p>
              </w:tc>
              <w:tc>
                <w:tcPr>
                  <w:tcW w:w="445"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254"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11</w:t>
                  </w:r>
                </w:p>
              </w:tc>
              <w:tc>
                <w:tcPr>
                  <w:tcW w:w="3439" w:type="pct"/>
                  <w:tcBorders>
                    <w:tl2br w:val="nil"/>
                    <w:tr2bl w:val="nil"/>
                  </w:tcBorders>
                  <w:noWrap w:val="0"/>
                  <w:vAlign w:val="center"/>
                </w:tcPr>
                <w:p>
                  <w:pPr>
                    <w:snapToGrid w:val="0"/>
                    <w:spacing w:line="240" w:lineRule="auto"/>
                    <w:jc w:val="left"/>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禁止在《长江岸线保护和开发利用总体规划》划定的岸线保留区内投资建设除保障防洪安全、河势稳定、供水安全、航道稳定以及保护生态环境以外的项目。</w:t>
                  </w:r>
                </w:p>
              </w:tc>
              <w:tc>
                <w:tcPr>
                  <w:tcW w:w="861"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项目选址不在长江岸线保护区内</w:t>
                  </w:r>
                </w:p>
              </w:tc>
              <w:tc>
                <w:tcPr>
                  <w:tcW w:w="445"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254"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12</w:t>
                  </w:r>
                </w:p>
              </w:tc>
              <w:tc>
                <w:tcPr>
                  <w:tcW w:w="3439" w:type="pct"/>
                  <w:tcBorders>
                    <w:tl2br w:val="nil"/>
                    <w:tr2bl w:val="nil"/>
                  </w:tcBorders>
                  <w:noWrap w:val="0"/>
                  <w:vAlign w:val="center"/>
                </w:tcPr>
                <w:p>
                  <w:pPr>
                    <w:snapToGrid w:val="0"/>
                    <w:spacing w:line="240" w:lineRule="auto"/>
                    <w:jc w:val="left"/>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禁止在《全国重要江河湖泊水功能区划》划定的河段保护区、保留区内投资建设不利于水资源及自然生态保护的项目。</w:t>
                  </w:r>
                </w:p>
              </w:tc>
              <w:tc>
                <w:tcPr>
                  <w:tcW w:w="861"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项目选址不再全国重要江河湖泊水功能区划保护区、保留区</w:t>
                  </w:r>
                </w:p>
              </w:tc>
              <w:tc>
                <w:tcPr>
                  <w:tcW w:w="445"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254"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13</w:t>
                  </w:r>
                </w:p>
              </w:tc>
              <w:tc>
                <w:tcPr>
                  <w:tcW w:w="3439" w:type="pct"/>
                  <w:tcBorders>
                    <w:tl2br w:val="nil"/>
                    <w:tr2bl w:val="nil"/>
                  </w:tcBorders>
                  <w:noWrap w:val="0"/>
                  <w:vAlign w:val="center"/>
                </w:tcPr>
                <w:p>
                  <w:pPr>
                    <w:snapToGrid w:val="0"/>
                    <w:spacing w:line="240" w:lineRule="auto"/>
                    <w:jc w:val="left"/>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禁止在生态保护红线范围内投资建设除国家重大战略资源勘查项目、生态保护修复和环境治理项目、重大基础设施项目、军事国防项目以及农牧民基本生产生活等必要的民生项目以外的项目。生态保护红线原则上按禁止开发区域的要求进行管理。严禁不符合主体功能定位的各类开发活动，严禁任意改变用途。</w:t>
                  </w:r>
                </w:p>
              </w:tc>
              <w:tc>
                <w:tcPr>
                  <w:tcW w:w="861"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项目选址不在生态红线范围内</w:t>
                  </w:r>
                </w:p>
              </w:tc>
              <w:tc>
                <w:tcPr>
                  <w:tcW w:w="445"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254"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14</w:t>
                  </w:r>
                </w:p>
              </w:tc>
              <w:tc>
                <w:tcPr>
                  <w:tcW w:w="3439" w:type="pct"/>
                  <w:tcBorders>
                    <w:tl2br w:val="nil"/>
                    <w:tr2bl w:val="nil"/>
                  </w:tcBorders>
                  <w:noWrap w:val="0"/>
                  <w:vAlign w:val="center"/>
                </w:tcPr>
                <w:p>
                  <w:pPr>
                    <w:snapToGrid w:val="0"/>
                    <w:spacing w:line="240" w:lineRule="auto"/>
                    <w:jc w:val="left"/>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止占用永久基本农田，国家重大战略资源勘查、生态保护修复和环境治理、重大基础设施、军事国防以及农牧民基本生产生活等必要的民生项目（包括深度贫困地区、集中连片特困地区、国家扶贫开发工作重点县省级以下基础设施、易扶贫搬迁、民生发展等建设项目），选址确实难以避让永久基本农田的，按程序严格论证后依法依规报批。</w:t>
                  </w:r>
                </w:p>
              </w:tc>
              <w:tc>
                <w:tcPr>
                  <w:tcW w:w="861"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项目不占用基本农田</w:t>
                  </w:r>
                </w:p>
              </w:tc>
              <w:tc>
                <w:tcPr>
                  <w:tcW w:w="445"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4"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15</w:t>
                  </w:r>
                </w:p>
              </w:tc>
              <w:tc>
                <w:tcPr>
                  <w:tcW w:w="3439" w:type="pct"/>
                  <w:tcBorders>
                    <w:tl2br w:val="nil"/>
                    <w:tr2bl w:val="nil"/>
                  </w:tcBorders>
                  <w:noWrap w:val="0"/>
                  <w:vAlign w:val="center"/>
                </w:tcPr>
                <w:p>
                  <w:pPr>
                    <w:snapToGrid w:val="0"/>
                    <w:spacing w:line="240" w:lineRule="auto"/>
                    <w:jc w:val="left"/>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禁止在长江干流和主要支流（包括：岷江干流、沱江干流、赤水河干流、嘉陵江干流、雅砻江干流）1公里〔指长江干支流岸线边界（即水利部门河道管理范围边界）向陆域纵深 1 公里〕范围内新建、扩建化工园区和化工项目。</w:t>
                  </w:r>
                </w:p>
              </w:tc>
              <w:tc>
                <w:tcPr>
                  <w:tcW w:w="861"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本项目不属于化工项目</w:t>
                  </w:r>
                </w:p>
              </w:tc>
              <w:tc>
                <w:tcPr>
                  <w:tcW w:w="445"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4"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16</w:t>
                  </w:r>
                </w:p>
              </w:tc>
              <w:tc>
                <w:tcPr>
                  <w:tcW w:w="3439" w:type="pct"/>
                  <w:tcBorders>
                    <w:tl2br w:val="nil"/>
                    <w:tr2bl w:val="nil"/>
                  </w:tcBorders>
                  <w:noWrap w:val="0"/>
                  <w:vAlign w:val="center"/>
                </w:tcPr>
                <w:p>
                  <w:pPr>
                    <w:snapToGrid w:val="0"/>
                    <w:spacing w:line="240" w:lineRule="auto"/>
                    <w:jc w:val="left"/>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禁止在合规园区外新建、扩建钢铁、石化、化工、焦化、建材、有色等高污染项目。合规园区指列入《中国开发区审核公告目录（2018 年版）》或是由省级人民政府批准设立的园区。高污染项目应严格按照《环境保护综合名录（2017 年版）》“高污染”产品名录执行。</w:t>
                  </w:r>
                </w:p>
              </w:tc>
              <w:tc>
                <w:tcPr>
                  <w:tcW w:w="861"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本项目为</w:t>
                  </w:r>
                  <w:r>
                    <w:rPr>
                      <w:rFonts w:hint="eastAsia" w:ascii="Times New Roman" w:hAnsi="Times New Roman" w:cs="Times New Roman"/>
                      <w:bCs/>
                      <w:color w:val="000000"/>
                      <w:spacing w:val="4"/>
                      <w:sz w:val="21"/>
                      <w:szCs w:val="21"/>
                      <w:lang w:val="en-US" w:eastAsia="zh-CN"/>
                    </w:rPr>
                    <w:t>河道综合整治工程</w:t>
                  </w:r>
                  <w:r>
                    <w:rPr>
                      <w:rFonts w:hint="default" w:ascii="Times New Roman" w:hAnsi="Times New Roman" w:cs="Times New Roman"/>
                      <w:bCs/>
                      <w:color w:val="000000"/>
                      <w:spacing w:val="4"/>
                      <w:sz w:val="21"/>
                      <w:szCs w:val="21"/>
                    </w:rPr>
                    <w:t>，不属于钢铁、石化、化工、焦化、建材、有色等高污染项目。</w:t>
                  </w:r>
                </w:p>
              </w:tc>
              <w:tc>
                <w:tcPr>
                  <w:tcW w:w="445"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254"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17</w:t>
                  </w:r>
                </w:p>
              </w:tc>
              <w:tc>
                <w:tcPr>
                  <w:tcW w:w="3439" w:type="pct"/>
                  <w:tcBorders>
                    <w:tl2br w:val="nil"/>
                    <w:tr2bl w:val="nil"/>
                  </w:tcBorders>
                  <w:noWrap w:val="0"/>
                  <w:vAlign w:val="center"/>
                </w:tcPr>
                <w:p>
                  <w:pPr>
                    <w:snapToGrid w:val="0"/>
                    <w:spacing w:line="240" w:lineRule="auto"/>
                    <w:jc w:val="left"/>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禁止新建、扩建不符合国家石化、现代煤化工等产业布局规划（包括但不限于《石化产业规划布局方案（修订版）》《现代煤化工产业创新发展布局方案》）的项目</w:t>
                  </w:r>
                </w:p>
              </w:tc>
              <w:tc>
                <w:tcPr>
                  <w:tcW w:w="861"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本项目不属于石化、现代煤化工项目</w:t>
                  </w:r>
                </w:p>
              </w:tc>
              <w:tc>
                <w:tcPr>
                  <w:tcW w:w="445"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254"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18</w:t>
                  </w:r>
                </w:p>
              </w:tc>
              <w:tc>
                <w:tcPr>
                  <w:tcW w:w="3439" w:type="pct"/>
                  <w:tcBorders>
                    <w:tl2br w:val="nil"/>
                    <w:tr2bl w:val="nil"/>
                  </w:tcBorders>
                  <w:noWrap w:val="0"/>
                  <w:vAlign w:val="center"/>
                </w:tcPr>
                <w:p>
                  <w:pPr>
                    <w:snapToGrid w:val="0"/>
                    <w:spacing w:line="240" w:lineRule="auto"/>
                    <w:jc w:val="left"/>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新建乙烯、对二甲苯（PX）、二苯基甲烷二异氰酸酯（MDI）项目由省政府投资主管部门按照国家批准的石化产业规划布局方案核准。未列入国家批准的相关规划的新建乙烯、对二甲苯（PX）、二苯基甲烷二异氰酸酯（MDI）项目，禁止建设。</w:t>
                  </w:r>
                </w:p>
              </w:tc>
              <w:tc>
                <w:tcPr>
                  <w:tcW w:w="861"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项目不属于石化产业</w:t>
                  </w:r>
                </w:p>
              </w:tc>
              <w:tc>
                <w:tcPr>
                  <w:tcW w:w="445"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4"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19</w:t>
                  </w:r>
                </w:p>
              </w:tc>
              <w:tc>
                <w:tcPr>
                  <w:tcW w:w="3439" w:type="pct"/>
                  <w:tcBorders>
                    <w:tl2br w:val="nil"/>
                    <w:tr2bl w:val="nil"/>
                  </w:tcBorders>
                  <w:noWrap w:val="0"/>
                  <w:vAlign w:val="center"/>
                </w:tcPr>
                <w:p>
                  <w:pPr>
                    <w:snapToGrid w:val="0"/>
                    <w:spacing w:line="240" w:lineRule="auto"/>
                    <w:jc w:val="left"/>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861"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本项目不属于法律法规和相关政策明令禁止的落后产能项目</w:t>
                  </w:r>
                </w:p>
              </w:tc>
              <w:tc>
                <w:tcPr>
                  <w:tcW w:w="445"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254"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20</w:t>
                  </w:r>
                </w:p>
              </w:tc>
              <w:tc>
                <w:tcPr>
                  <w:tcW w:w="3439" w:type="pct"/>
                  <w:tcBorders>
                    <w:tl2br w:val="nil"/>
                    <w:tr2bl w:val="nil"/>
                  </w:tcBorders>
                  <w:noWrap w:val="0"/>
                  <w:vAlign w:val="center"/>
                </w:tcPr>
                <w:p>
                  <w:pPr>
                    <w:snapToGrid w:val="0"/>
                    <w:spacing w:line="240" w:lineRule="auto"/>
                    <w:jc w:val="left"/>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禁止新建、扩建不符合国家产能置换要求的严重过剩产能行业的项目。对于不符合国家产能置换要求的严重过剩产能行业，不得以其他任何名义、任何方式备案新增产能项目</w:t>
                  </w:r>
                </w:p>
              </w:tc>
              <w:tc>
                <w:tcPr>
                  <w:tcW w:w="861"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本项目不属于严重过剩产能行业的项目</w:t>
                  </w:r>
                </w:p>
              </w:tc>
              <w:tc>
                <w:tcPr>
                  <w:tcW w:w="445"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254"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21</w:t>
                  </w:r>
                </w:p>
              </w:tc>
              <w:tc>
                <w:tcPr>
                  <w:tcW w:w="3439" w:type="pct"/>
                  <w:tcBorders>
                    <w:tl2br w:val="nil"/>
                    <w:tr2bl w:val="nil"/>
                  </w:tcBorders>
                  <w:noWrap w:val="0"/>
                  <w:vAlign w:val="center"/>
                </w:tcPr>
                <w:p>
                  <w:pPr>
                    <w:snapToGrid w:val="0"/>
                    <w:spacing w:line="240" w:lineRule="auto"/>
                    <w:jc w:val="left"/>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禁止新建和改扩建后产能低于30万吨/年的煤矿</w:t>
                  </w:r>
                </w:p>
              </w:tc>
              <w:tc>
                <w:tcPr>
                  <w:tcW w:w="861"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项目不属于煤矿项目</w:t>
                  </w:r>
                </w:p>
              </w:tc>
              <w:tc>
                <w:tcPr>
                  <w:tcW w:w="445"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254"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22</w:t>
                  </w:r>
                </w:p>
              </w:tc>
              <w:tc>
                <w:tcPr>
                  <w:tcW w:w="3439" w:type="pct"/>
                  <w:tcBorders>
                    <w:tl2br w:val="nil"/>
                    <w:tr2bl w:val="nil"/>
                  </w:tcBorders>
                  <w:noWrap w:val="0"/>
                  <w:vAlign w:val="center"/>
                </w:tcPr>
                <w:p>
                  <w:pPr>
                    <w:snapToGrid w:val="0"/>
                    <w:spacing w:line="240" w:lineRule="auto"/>
                    <w:jc w:val="left"/>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禁止建设以下燃油汽车投资项目（不在中国境内销售产品的投资项目除外）：（一）新建独立燃油汽车企业；（二）现有汽车企业跨乘用车、商用车类别建设燃油汽车生产能力；（三）外省现有燃油汽车企业整体搬迁至本省（列入国家级区域发展规划或不改变企业股权结构的项目除外）；（四）对行业管理部门特别公示的燃油汽车企业进行投资（企业原有股东投资或将该企业转为非独立法人的投资项目除外）。</w:t>
                  </w:r>
                </w:p>
              </w:tc>
              <w:tc>
                <w:tcPr>
                  <w:tcW w:w="861"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项目不属于燃油汽车项目</w:t>
                  </w:r>
                </w:p>
              </w:tc>
              <w:tc>
                <w:tcPr>
                  <w:tcW w:w="445" w:type="pct"/>
                  <w:tcBorders>
                    <w:tl2br w:val="nil"/>
                    <w:tr2bl w:val="nil"/>
                  </w:tcBorders>
                  <w:noWrap w:val="0"/>
                  <w:vAlign w:val="center"/>
                </w:tcPr>
                <w:p>
                  <w:pPr>
                    <w:snapToGrid w:val="0"/>
                    <w:spacing w:line="240" w:lineRule="auto"/>
                    <w:jc w:val="center"/>
                    <w:rPr>
                      <w:rFonts w:hint="default" w:ascii="Times New Roman" w:hAnsi="Times New Roman" w:cs="Times New Roman"/>
                      <w:bCs/>
                      <w:color w:val="000000"/>
                      <w:spacing w:val="4"/>
                      <w:sz w:val="21"/>
                      <w:szCs w:val="21"/>
                    </w:rPr>
                  </w:pPr>
                  <w:r>
                    <w:rPr>
                      <w:rFonts w:hint="default" w:ascii="Times New Roman" w:hAnsi="Times New Roman" w:cs="Times New Roman"/>
                      <w:bCs/>
                      <w:color w:val="000000"/>
                      <w:spacing w:val="4"/>
                      <w:sz w:val="21"/>
                      <w:szCs w:val="21"/>
                    </w:rPr>
                    <w:t>符合</w:t>
                  </w:r>
                </w:p>
              </w:tc>
            </w:tr>
          </w:tbl>
          <w:p>
            <w:pPr>
              <w:keepNext w:val="0"/>
              <w:keepLines w:val="0"/>
              <w:pageBreakBefore w:val="0"/>
              <w:widowControl w:val="0"/>
              <w:numPr>
                <w:ilvl w:val="0"/>
                <w:numId w:val="8"/>
              </w:numPr>
              <w:kinsoku/>
              <w:wordWrap/>
              <w:overflowPunct/>
              <w:topLinePunct w:val="0"/>
              <w:autoSpaceDE w:val="0"/>
              <w:autoSpaceDN w:val="0"/>
              <w:bidi w:val="0"/>
              <w:adjustRightInd w:val="0"/>
              <w:snapToGrid w:val="0"/>
              <w:spacing w:line="360" w:lineRule="auto"/>
              <w:ind w:firstLine="482" w:firstLineChars="200"/>
              <w:textAlignment w:val="baseline"/>
              <w:rPr>
                <w:rFonts w:hint="default" w:ascii="Times New Roman" w:hAnsi="Times New Roman" w:eastAsia="宋体" w:cs="Times New Roman"/>
                <w:b/>
                <w:bCs/>
                <w:color w:val="auto"/>
                <w:spacing w:val="0"/>
                <w:sz w:val="24"/>
                <w:szCs w:val="24"/>
                <w:lang w:val="en-US" w:eastAsia="zh-CN"/>
              </w:rPr>
            </w:pPr>
            <w:r>
              <w:rPr>
                <w:rFonts w:hint="default" w:ascii="Times New Roman" w:hAnsi="Times New Roman" w:eastAsia="宋体" w:cs="Times New Roman"/>
                <w:b/>
                <w:bCs/>
                <w:color w:val="auto"/>
                <w:spacing w:val="0"/>
                <w:sz w:val="24"/>
                <w:szCs w:val="24"/>
                <w:lang w:val="en-US" w:eastAsia="zh-CN"/>
              </w:rPr>
              <w:t>与《长江经济带发展负面清单指南（试行）2022年版》相符性分析</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color w:val="auto"/>
                <w:spacing w:val="0"/>
                <w:sz w:val="21"/>
                <w:szCs w:val="21"/>
                <w:lang w:val="en-US" w:eastAsia="zh-CN"/>
              </w:rPr>
            </w:pPr>
            <w:r>
              <w:rPr>
                <w:rFonts w:hint="eastAsia" w:ascii="Times New Roman" w:hAnsi="Times New Roman" w:eastAsia="宋体" w:cs="Times New Roman"/>
                <w:b/>
                <w:bCs/>
                <w:color w:val="auto"/>
                <w:spacing w:val="0"/>
                <w:sz w:val="21"/>
                <w:szCs w:val="21"/>
                <w:lang w:val="en-US" w:eastAsia="zh-CN"/>
              </w:rPr>
              <w:t>表1-3  项目与</w:t>
            </w:r>
            <w:r>
              <w:rPr>
                <w:rFonts w:hint="default" w:ascii="Times New Roman" w:hAnsi="Times New Roman" w:eastAsia="宋体" w:cs="Times New Roman"/>
                <w:b/>
                <w:bCs/>
                <w:color w:val="auto"/>
                <w:spacing w:val="0"/>
                <w:sz w:val="21"/>
                <w:szCs w:val="21"/>
                <w:lang w:val="en-US" w:eastAsia="zh-CN"/>
              </w:rPr>
              <w:t>《长江经济带发展负面清单指南》</w:t>
            </w:r>
            <w:r>
              <w:rPr>
                <w:rFonts w:hint="eastAsia" w:ascii="Times New Roman" w:hAnsi="Times New Roman" w:eastAsia="宋体" w:cs="Times New Roman"/>
                <w:b/>
                <w:bCs/>
                <w:color w:val="auto"/>
                <w:spacing w:val="0"/>
                <w:sz w:val="21"/>
                <w:szCs w:val="21"/>
                <w:lang w:val="en-US" w:eastAsia="zh-CN"/>
              </w:rPr>
              <w:t>符合性分析</w:t>
            </w:r>
          </w:p>
          <w:tbl>
            <w:tblPr>
              <w:tblStyle w:val="41"/>
              <w:tblW w:w="49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650"/>
              <w:gridCol w:w="6099"/>
              <w:gridCol w:w="1336"/>
              <w:gridCol w:w="10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55" w:type="pct"/>
                  <w:noWrap w:val="0"/>
                  <w:vAlign w:val="center"/>
                </w:tcPr>
                <w:p>
                  <w:pPr>
                    <w:pStyle w:val="158"/>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auto"/>
                      <w:spacing w:val="0"/>
                      <w:sz w:val="21"/>
                      <w:szCs w:val="21"/>
                    </w:rPr>
                  </w:pPr>
                  <w:r>
                    <w:rPr>
                      <w:rFonts w:hint="default" w:ascii="Times New Roman" w:hAnsi="Times New Roman" w:eastAsia="宋体" w:cs="Times New Roman"/>
                      <w:b/>
                      <w:bCs/>
                      <w:color w:val="auto"/>
                      <w:spacing w:val="0"/>
                      <w:sz w:val="21"/>
                      <w:szCs w:val="21"/>
                    </w:rPr>
                    <w:t>序号</w:t>
                  </w:r>
                </w:p>
              </w:tc>
              <w:tc>
                <w:tcPr>
                  <w:tcW w:w="3329" w:type="pct"/>
                  <w:noWrap w:val="0"/>
                  <w:vAlign w:val="center"/>
                </w:tcPr>
                <w:p>
                  <w:pPr>
                    <w:pStyle w:val="158"/>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auto"/>
                      <w:spacing w:val="0"/>
                      <w:sz w:val="21"/>
                      <w:szCs w:val="21"/>
                    </w:rPr>
                  </w:pPr>
                  <w:r>
                    <w:rPr>
                      <w:rFonts w:hint="default" w:ascii="Times New Roman" w:hAnsi="Times New Roman" w:eastAsia="宋体" w:cs="Times New Roman"/>
                      <w:b/>
                      <w:bCs/>
                      <w:color w:val="auto"/>
                      <w:spacing w:val="0"/>
                      <w:w w:val="95"/>
                      <w:sz w:val="21"/>
                      <w:szCs w:val="21"/>
                    </w:rPr>
                    <w:t>负面清单</w:t>
                  </w:r>
                </w:p>
              </w:tc>
              <w:tc>
                <w:tcPr>
                  <w:tcW w:w="729" w:type="pct"/>
                  <w:noWrap w:val="0"/>
                  <w:vAlign w:val="center"/>
                </w:tcPr>
                <w:p>
                  <w:pPr>
                    <w:pStyle w:val="158"/>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auto"/>
                      <w:spacing w:val="0"/>
                      <w:sz w:val="21"/>
                      <w:szCs w:val="21"/>
                    </w:rPr>
                  </w:pPr>
                  <w:r>
                    <w:rPr>
                      <w:rFonts w:hint="default" w:ascii="Times New Roman" w:hAnsi="Times New Roman" w:eastAsia="宋体" w:cs="Times New Roman"/>
                      <w:b/>
                      <w:bCs/>
                      <w:color w:val="auto"/>
                      <w:spacing w:val="0"/>
                      <w:w w:val="95"/>
                      <w:sz w:val="21"/>
                      <w:szCs w:val="21"/>
                    </w:rPr>
                    <w:t>符合性分析</w:t>
                  </w:r>
                </w:p>
              </w:tc>
              <w:tc>
                <w:tcPr>
                  <w:tcW w:w="586" w:type="pct"/>
                  <w:noWrap w:val="0"/>
                  <w:vAlign w:val="center"/>
                </w:tcPr>
                <w:p>
                  <w:pPr>
                    <w:pStyle w:val="158"/>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auto"/>
                      <w:spacing w:val="0"/>
                      <w:sz w:val="21"/>
                      <w:szCs w:val="21"/>
                    </w:rPr>
                  </w:pPr>
                  <w:r>
                    <w:rPr>
                      <w:rFonts w:hint="default" w:ascii="Times New Roman" w:hAnsi="Times New Roman" w:eastAsia="宋体" w:cs="Times New Roman"/>
                      <w:b/>
                      <w:bCs/>
                      <w:color w:val="auto"/>
                      <w:spacing w:val="0"/>
                      <w:w w:val="95"/>
                      <w:sz w:val="21"/>
                      <w:szCs w:val="21"/>
                    </w:rPr>
                    <w:t>是否符合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55" w:type="pct"/>
                  <w:noWrap w:val="0"/>
                  <w:vAlign w:val="center"/>
                </w:tcPr>
                <w:p>
                  <w:pPr>
                    <w:pStyle w:val="158"/>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1</w:t>
                  </w:r>
                </w:p>
              </w:tc>
              <w:tc>
                <w:tcPr>
                  <w:tcW w:w="3329" w:type="pct"/>
                  <w:noWrap w:val="0"/>
                  <w:vAlign w:val="center"/>
                </w:tcPr>
                <w:p>
                  <w:pPr>
                    <w:pStyle w:val="158"/>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禁止建设不符合全国和省级港口布局规划以及港口总体规划的码头项目，禁止建设不符合《长江干线过江通道布局规划》的过长江通道项目。</w:t>
                  </w:r>
                </w:p>
              </w:tc>
              <w:tc>
                <w:tcPr>
                  <w:tcW w:w="729" w:type="pct"/>
                  <w:noWrap w:val="0"/>
                  <w:vAlign w:val="center"/>
                </w:tcPr>
                <w:p>
                  <w:pPr>
                    <w:pStyle w:val="158"/>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rPr>
                    <w:t>本项目</w:t>
                  </w:r>
                  <w:r>
                    <w:rPr>
                      <w:rFonts w:hint="default" w:ascii="Times New Roman" w:hAnsi="Times New Roman" w:eastAsia="宋体" w:cs="Times New Roman"/>
                      <w:color w:val="auto"/>
                      <w:spacing w:val="0"/>
                      <w:sz w:val="21"/>
                      <w:szCs w:val="21"/>
                      <w:lang w:eastAsia="zh-CN"/>
                    </w:rPr>
                    <w:t>不涉及码头建设，不属于过江项目</w:t>
                  </w:r>
                </w:p>
              </w:tc>
              <w:tc>
                <w:tcPr>
                  <w:tcW w:w="586" w:type="pct"/>
                  <w:noWrap w:val="0"/>
                  <w:vAlign w:val="center"/>
                </w:tcPr>
                <w:p>
                  <w:pPr>
                    <w:pStyle w:val="158"/>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55" w:type="pct"/>
                  <w:noWrap w:val="0"/>
                  <w:vAlign w:val="center"/>
                </w:tcPr>
                <w:p>
                  <w:pPr>
                    <w:pStyle w:val="158"/>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2</w:t>
                  </w:r>
                </w:p>
              </w:tc>
              <w:tc>
                <w:tcPr>
                  <w:tcW w:w="3329" w:type="pct"/>
                  <w:noWrap w:val="0"/>
                  <w:vAlign w:val="center"/>
                </w:tcPr>
                <w:p>
                  <w:pPr>
                    <w:pStyle w:val="158"/>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禁止在自然保护区核心区、缓冲区的岸线和河段范围内投资建设旅游和生产经营项目。禁止在风景名胜区核心景区的岸线和河段范围内投资建设与风景名胜资源保护无关的项目。</w:t>
                  </w:r>
                </w:p>
              </w:tc>
              <w:tc>
                <w:tcPr>
                  <w:tcW w:w="729" w:type="pct"/>
                  <w:noWrap w:val="0"/>
                  <w:vAlign w:val="center"/>
                </w:tcPr>
                <w:p>
                  <w:pPr>
                    <w:pStyle w:val="158"/>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lang w:eastAsia="zh-CN"/>
                    </w:rPr>
                    <w:t>本项目不涉及风景名胜区</w:t>
                  </w:r>
                </w:p>
              </w:tc>
              <w:tc>
                <w:tcPr>
                  <w:tcW w:w="586" w:type="pct"/>
                  <w:noWrap w:val="0"/>
                  <w:vAlign w:val="center"/>
                </w:tcPr>
                <w:p>
                  <w:pPr>
                    <w:pStyle w:val="158"/>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55" w:type="pct"/>
                  <w:noWrap w:val="0"/>
                  <w:vAlign w:val="center"/>
                </w:tcPr>
                <w:p>
                  <w:pPr>
                    <w:pStyle w:val="158"/>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3</w:t>
                  </w:r>
                </w:p>
              </w:tc>
              <w:tc>
                <w:tcPr>
                  <w:tcW w:w="3329" w:type="pct"/>
                  <w:noWrap w:val="0"/>
                  <w:vAlign w:val="center"/>
                </w:tcPr>
                <w:p>
                  <w:pPr>
                    <w:pStyle w:val="158"/>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729" w:type="pct"/>
                  <w:noWrap w:val="0"/>
                  <w:vAlign w:val="center"/>
                </w:tcPr>
                <w:p>
                  <w:pPr>
                    <w:pStyle w:val="158"/>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本项目不涉及</w:t>
                  </w:r>
                  <w:r>
                    <w:rPr>
                      <w:rFonts w:hint="default" w:ascii="Times New Roman" w:hAnsi="Times New Roman" w:eastAsia="宋体" w:cs="Times New Roman"/>
                      <w:color w:val="auto"/>
                      <w:spacing w:val="0"/>
                      <w:sz w:val="21"/>
                      <w:szCs w:val="21"/>
                    </w:rPr>
                    <w:t>饮用水源准保护区</w:t>
                  </w:r>
                </w:p>
              </w:tc>
              <w:tc>
                <w:tcPr>
                  <w:tcW w:w="586" w:type="pct"/>
                  <w:noWrap w:val="0"/>
                  <w:vAlign w:val="center"/>
                </w:tcPr>
                <w:p>
                  <w:pPr>
                    <w:pStyle w:val="158"/>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55" w:type="pct"/>
                  <w:noWrap w:val="0"/>
                  <w:vAlign w:val="center"/>
                </w:tcPr>
                <w:p>
                  <w:pPr>
                    <w:pStyle w:val="158"/>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4</w:t>
                  </w:r>
                </w:p>
              </w:tc>
              <w:tc>
                <w:tcPr>
                  <w:tcW w:w="3329" w:type="pct"/>
                  <w:noWrap w:val="0"/>
                  <w:vAlign w:val="center"/>
                </w:tcPr>
                <w:p>
                  <w:pPr>
                    <w:pStyle w:val="158"/>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729" w:type="pct"/>
                  <w:noWrap w:val="0"/>
                  <w:vAlign w:val="center"/>
                </w:tcPr>
                <w:p>
                  <w:pPr>
                    <w:pStyle w:val="158"/>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本项目不涉及</w:t>
                  </w:r>
                  <w:r>
                    <w:rPr>
                      <w:rFonts w:hint="default" w:ascii="Times New Roman" w:hAnsi="Times New Roman" w:eastAsia="宋体" w:cs="Times New Roman"/>
                      <w:color w:val="auto"/>
                      <w:spacing w:val="0"/>
                      <w:sz w:val="21"/>
                      <w:szCs w:val="21"/>
                    </w:rPr>
                    <w:t>水产种质资源保护区</w:t>
                  </w:r>
                  <w:r>
                    <w:rPr>
                      <w:rFonts w:hint="default" w:ascii="Times New Roman" w:hAnsi="Times New Roman" w:eastAsia="宋体" w:cs="Times New Roman"/>
                      <w:color w:val="auto"/>
                      <w:spacing w:val="0"/>
                      <w:sz w:val="21"/>
                      <w:szCs w:val="21"/>
                      <w:lang w:eastAsia="zh-CN"/>
                    </w:rPr>
                    <w:t>，不涉及</w:t>
                  </w:r>
                  <w:r>
                    <w:rPr>
                      <w:rFonts w:hint="default" w:ascii="Times New Roman" w:hAnsi="Times New Roman" w:eastAsia="宋体" w:cs="Times New Roman"/>
                      <w:color w:val="auto"/>
                      <w:spacing w:val="0"/>
                      <w:sz w:val="21"/>
                      <w:szCs w:val="21"/>
                    </w:rPr>
                    <w:t>国家湿地公园</w:t>
                  </w:r>
                </w:p>
              </w:tc>
              <w:tc>
                <w:tcPr>
                  <w:tcW w:w="586" w:type="pct"/>
                  <w:noWrap w:val="0"/>
                  <w:vAlign w:val="center"/>
                </w:tcPr>
                <w:p>
                  <w:pPr>
                    <w:pStyle w:val="158"/>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55" w:type="pct"/>
                  <w:noWrap w:val="0"/>
                  <w:vAlign w:val="center"/>
                </w:tcPr>
                <w:p>
                  <w:pPr>
                    <w:pStyle w:val="158"/>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5</w:t>
                  </w:r>
                </w:p>
              </w:tc>
              <w:tc>
                <w:tcPr>
                  <w:tcW w:w="3329" w:type="pct"/>
                  <w:noWrap w:val="0"/>
                  <w:vAlign w:val="center"/>
                </w:tcPr>
                <w:p>
                  <w:pPr>
                    <w:pStyle w:val="158"/>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729" w:type="pct"/>
                  <w:noWrap w:val="0"/>
                  <w:vAlign w:val="center"/>
                </w:tcPr>
                <w:p>
                  <w:pPr>
                    <w:pStyle w:val="158"/>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本项目属于</w:t>
                  </w:r>
                  <w:r>
                    <w:rPr>
                      <w:rFonts w:hint="eastAsia" w:ascii="Times New Roman" w:hAnsi="Times New Roman" w:eastAsia="宋体" w:cs="Times New Roman"/>
                      <w:color w:val="auto"/>
                      <w:spacing w:val="0"/>
                      <w:sz w:val="21"/>
                      <w:szCs w:val="21"/>
                      <w:lang w:val="en-US" w:eastAsia="zh-CN"/>
                    </w:rPr>
                    <w:t>河道</w:t>
                  </w:r>
                  <w:r>
                    <w:rPr>
                      <w:rFonts w:hint="eastAsia" w:ascii="Times New Roman" w:hAnsi="Times New Roman" w:eastAsia="宋体" w:cs="Times New Roman"/>
                      <w:color w:val="auto"/>
                      <w:spacing w:val="0"/>
                      <w:sz w:val="21"/>
                      <w:szCs w:val="21"/>
                      <w:lang w:eastAsia="zh-CN"/>
                    </w:rPr>
                    <w:t>综合整治工程</w:t>
                  </w:r>
                </w:p>
              </w:tc>
              <w:tc>
                <w:tcPr>
                  <w:tcW w:w="586" w:type="pct"/>
                  <w:noWrap w:val="0"/>
                  <w:vAlign w:val="center"/>
                </w:tcPr>
                <w:p>
                  <w:pPr>
                    <w:pStyle w:val="158"/>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55" w:type="pct"/>
                  <w:noWrap w:val="0"/>
                  <w:vAlign w:val="center"/>
                </w:tcPr>
                <w:p>
                  <w:pPr>
                    <w:pStyle w:val="158"/>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6</w:t>
                  </w:r>
                </w:p>
              </w:tc>
              <w:tc>
                <w:tcPr>
                  <w:tcW w:w="3329" w:type="pct"/>
                  <w:noWrap w:val="0"/>
                  <w:vAlign w:val="center"/>
                </w:tcPr>
                <w:p>
                  <w:pPr>
                    <w:pStyle w:val="158"/>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禁止未经许可在长江干支流及湖泊新设、改设或扩大排污口。</w:t>
                  </w:r>
                </w:p>
              </w:tc>
              <w:tc>
                <w:tcPr>
                  <w:tcW w:w="729" w:type="pct"/>
                  <w:noWrap w:val="0"/>
                  <w:vAlign w:val="center"/>
                </w:tcPr>
                <w:p>
                  <w:pPr>
                    <w:pStyle w:val="158"/>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本项目不涉及</w:t>
                  </w:r>
                  <w:r>
                    <w:rPr>
                      <w:rFonts w:hint="default" w:ascii="Times New Roman" w:hAnsi="Times New Roman" w:eastAsia="宋体" w:cs="Times New Roman"/>
                      <w:color w:val="auto"/>
                      <w:spacing w:val="0"/>
                      <w:sz w:val="21"/>
                      <w:szCs w:val="21"/>
                    </w:rPr>
                    <w:t>排污口</w:t>
                  </w:r>
                </w:p>
              </w:tc>
              <w:tc>
                <w:tcPr>
                  <w:tcW w:w="586" w:type="pct"/>
                  <w:noWrap w:val="0"/>
                  <w:vAlign w:val="center"/>
                </w:tcPr>
                <w:p>
                  <w:pPr>
                    <w:pStyle w:val="158"/>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55" w:type="pct"/>
                  <w:noWrap w:val="0"/>
                  <w:vAlign w:val="center"/>
                </w:tcPr>
                <w:p>
                  <w:pPr>
                    <w:pStyle w:val="158"/>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7</w:t>
                  </w:r>
                </w:p>
              </w:tc>
              <w:tc>
                <w:tcPr>
                  <w:tcW w:w="3329" w:type="pct"/>
                  <w:noWrap w:val="0"/>
                  <w:vAlign w:val="center"/>
                </w:tcPr>
                <w:p>
                  <w:pPr>
                    <w:pStyle w:val="158"/>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禁止在“一江一口两湖七河”和332个水生生物保护区开展生产性捕捞。</w:t>
                  </w:r>
                </w:p>
              </w:tc>
              <w:tc>
                <w:tcPr>
                  <w:tcW w:w="729" w:type="pct"/>
                  <w:noWrap w:val="0"/>
                  <w:vAlign w:val="center"/>
                </w:tcPr>
                <w:p>
                  <w:pPr>
                    <w:pStyle w:val="158"/>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lang w:eastAsia="zh-CN"/>
                    </w:rPr>
                    <w:t>本项目不涉及捕捞</w:t>
                  </w:r>
                </w:p>
              </w:tc>
              <w:tc>
                <w:tcPr>
                  <w:tcW w:w="586" w:type="pct"/>
                  <w:noWrap w:val="0"/>
                  <w:vAlign w:val="center"/>
                </w:tcPr>
                <w:p>
                  <w:pPr>
                    <w:pStyle w:val="158"/>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55" w:type="pct"/>
                  <w:noWrap w:val="0"/>
                  <w:vAlign w:val="center"/>
                </w:tcPr>
                <w:p>
                  <w:pPr>
                    <w:pStyle w:val="158"/>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8</w:t>
                  </w:r>
                </w:p>
              </w:tc>
              <w:tc>
                <w:tcPr>
                  <w:tcW w:w="3329" w:type="pct"/>
                  <w:noWrap w:val="0"/>
                  <w:vAlign w:val="center"/>
                </w:tcPr>
                <w:p>
                  <w:pPr>
                    <w:pStyle w:val="158"/>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729" w:type="pct"/>
                  <w:noWrap w:val="0"/>
                  <w:vAlign w:val="center"/>
                </w:tcPr>
                <w:p>
                  <w:pPr>
                    <w:pStyle w:val="158"/>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lang w:eastAsia="zh-CN"/>
                    </w:rPr>
                    <w:t>本项目不属于</w:t>
                  </w:r>
                  <w:r>
                    <w:rPr>
                      <w:rFonts w:hint="default" w:ascii="Times New Roman" w:hAnsi="Times New Roman" w:eastAsia="宋体" w:cs="Times New Roman"/>
                      <w:color w:val="auto"/>
                      <w:spacing w:val="0"/>
                      <w:sz w:val="21"/>
                      <w:szCs w:val="21"/>
                    </w:rPr>
                    <w:t>化工尾矿库</w:t>
                  </w:r>
                  <w:r>
                    <w:rPr>
                      <w:rFonts w:hint="default" w:ascii="Times New Roman" w:hAnsi="Times New Roman" w:eastAsia="宋体" w:cs="Times New Roman"/>
                      <w:color w:val="auto"/>
                      <w:spacing w:val="0"/>
                      <w:sz w:val="21"/>
                      <w:szCs w:val="21"/>
                      <w:lang w:eastAsia="zh-CN"/>
                    </w:rPr>
                    <w:t>等</w:t>
                  </w:r>
                  <w:r>
                    <w:rPr>
                      <w:rFonts w:hint="default" w:ascii="Times New Roman" w:hAnsi="Times New Roman" w:eastAsia="宋体" w:cs="Times New Roman"/>
                      <w:color w:val="auto"/>
                      <w:spacing w:val="0"/>
                      <w:sz w:val="21"/>
                      <w:szCs w:val="21"/>
                    </w:rPr>
                    <w:t>项目</w:t>
                  </w:r>
                </w:p>
              </w:tc>
              <w:tc>
                <w:tcPr>
                  <w:tcW w:w="586" w:type="pct"/>
                  <w:noWrap w:val="0"/>
                  <w:vAlign w:val="center"/>
                </w:tcPr>
                <w:p>
                  <w:pPr>
                    <w:pStyle w:val="158"/>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55" w:type="pct"/>
                  <w:noWrap w:val="0"/>
                  <w:vAlign w:val="center"/>
                </w:tcPr>
                <w:p>
                  <w:pPr>
                    <w:pStyle w:val="158"/>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9</w:t>
                  </w:r>
                </w:p>
              </w:tc>
              <w:tc>
                <w:tcPr>
                  <w:tcW w:w="3329" w:type="pct"/>
                  <w:noWrap w:val="0"/>
                  <w:vAlign w:val="center"/>
                </w:tcPr>
                <w:p>
                  <w:pPr>
                    <w:pStyle w:val="158"/>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禁止在合规园区外新建、</w:t>
                  </w:r>
                  <w:r>
                    <w:rPr>
                      <w:rFonts w:hint="eastAsia" w:ascii="Times New Roman" w:hAnsi="Times New Roman" w:eastAsia="宋体" w:cs="Times New Roman"/>
                      <w:color w:val="auto"/>
                      <w:spacing w:val="0"/>
                      <w:sz w:val="21"/>
                      <w:szCs w:val="21"/>
                      <w:lang w:eastAsia="zh-CN"/>
                    </w:rPr>
                    <w:t>扩建</w:t>
                  </w:r>
                  <w:r>
                    <w:rPr>
                      <w:rFonts w:hint="default" w:ascii="Times New Roman" w:hAnsi="Times New Roman" w:eastAsia="宋体" w:cs="Times New Roman"/>
                      <w:color w:val="auto"/>
                      <w:spacing w:val="0"/>
                      <w:sz w:val="21"/>
                      <w:szCs w:val="21"/>
                    </w:rPr>
                    <w:t>钢铁、石化、化工、焦化、建材、有色、制浆造纸等高污染项目。</w:t>
                  </w:r>
                </w:p>
              </w:tc>
              <w:tc>
                <w:tcPr>
                  <w:tcW w:w="729" w:type="pct"/>
                  <w:noWrap w:val="0"/>
                  <w:vAlign w:val="center"/>
                </w:tcPr>
                <w:p>
                  <w:pPr>
                    <w:pStyle w:val="158"/>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lang w:eastAsia="zh-CN"/>
                    </w:rPr>
                    <w:t>本项目不涉及</w:t>
                  </w:r>
                </w:p>
              </w:tc>
              <w:tc>
                <w:tcPr>
                  <w:tcW w:w="586" w:type="pct"/>
                  <w:noWrap w:val="0"/>
                  <w:vAlign w:val="center"/>
                </w:tcPr>
                <w:p>
                  <w:pPr>
                    <w:pStyle w:val="158"/>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55" w:type="pct"/>
                  <w:noWrap w:val="0"/>
                  <w:vAlign w:val="center"/>
                </w:tcPr>
                <w:p>
                  <w:pPr>
                    <w:pStyle w:val="158"/>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10</w:t>
                  </w:r>
                </w:p>
              </w:tc>
              <w:tc>
                <w:tcPr>
                  <w:tcW w:w="3329" w:type="pct"/>
                  <w:noWrap w:val="0"/>
                  <w:vAlign w:val="center"/>
                </w:tcPr>
                <w:p>
                  <w:pPr>
                    <w:pStyle w:val="158"/>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禁止新建、扩建不符合国家石化、现代煤化工等产业布局规划的项目。</w:t>
                  </w:r>
                </w:p>
              </w:tc>
              <w:tc>
                <w:tcPr>
                  <w:tcW w:w="729" w:type="pct"/>
                  <w:noWrap w:val="0"/>
                  <w:vAlign w:val="center"/>
                </w:tcPr>
                <w:p>
                  <w:pPr>
                    <w:pStyle w:val="158"/>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lang w:eastAsia="zh-CN"/>
                    </w:rPr>
                    <w:t>本项目不涉及</w:t>
                  </w:r>
                </w:p>
              </w:tc>
              <w:tc>
                <w:tcPr>
                  <w:tcW w:w="586" w:type="pct"/>
                  <w:noWrap w:val="0"/>
                  <w:vAlign w:val="center"/>
                </w:tcPr>
                <w:p>
                  <w:pPr>
                    <w:pStyle w:val="158"/>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355" w:type="pct"/>
                  <w:noWrap w:val="0"/>
                  <w:vAlign w:val="center"/>
                </w:tcPr>
                <w:p>
                  <w:pPr>
                    <w:pStyle w:val="158"/>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11</w:t>
                  </w:r>
                </w:p>
              </w:tc>
              <w:tc>
                <w:tcPr>
                  <w:tcW w:w="3329" w:type="pct"/>
                  <w:noWrap w:val="0"/>
                  <w:vAlign w:val="center"/>
                </w:tcPr>
                <w:p>
                  <w:pPr>
                    <w:pStyle w:val="158"/>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1禁止新建、扩建法律法规和相关政策明令禁止的落后产能项目。禁止新建、扩建不符合国家产能置换要求的严重过剩产能行业的项目。禁止新建、扩建不符合要求的高耗能高排放项目。</w:t>
                  </w:r>
                </w:p>
              </w:tc>
              <w:tc>
                <w:tcPr>
                  <w:tcW w:w="729" w:type="pct"/>
                  <w:noWrap w:val="0"/>
                  <w:vAlign w:val="center"/>
                </w:tcPr>
                <w:p>
                  <w:pPr>
                    <w:pStyle w:val="158"/>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lang w:eastAsia="zh-CN"/>
                    </w:rPr>
                    <w:t>本项目</w:t>
                  </w:r>
                  <w:r>
                    <w:rPr>
                      <w:rFonts w:hint="eastAsia" w:eastAsia="宋体" w:cs="Times New Roman"/>
                      <w:color w:val="auto"/>
                      <w:spacing w:val="0"/>
                      <w:sz w:val="21"/>
                      <w:szCs w:val="21"/>
                      <w:lang w:val="en-US" w:eastAsia="zh-CN"/>
                    </w:rPr>
                    <w:t>不涉及</w:t>
                  </w:r>
                </w:p>
              </w:tc>
              <w:tc>
                <w:tcPr>
                  <w:tcW w:w="586" w:type="pct"/>
                  <w:noWrap w:val="0"/>
                  <w:vAlign w:val="center"/>
                </w:tcPr>
                <w:p>
                  <w:pPr>
                    <w:pStyle w:val="158"/>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符合</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imes New Roman" w:hAnsi="Times New Roman" w:cs="Times New Roman"/>
                <w:b/>
                <w:bCs/>
                <w:color w:val="auto"/>
                <w:spacing w:val="0"/>
                <w:sz w:val="24"/>
                <w:szCs w:val="24"/>
                <w:lang w:eastAsia="zh-CN"/>
              </w:rPr>
            </w:pPr>
            <w:r>
              <w:rPr>
                <w:rFonts w:hint="default" w:ascii="Times New Roman" w:hAnsi="Times New Roman" w:cs="Times New Roman"/>
                <w:b/>
                <w:bCs/>
                <w:color w:val="auto"/>
                <w:spacing w:val="0"/>
                <w:sz w:val="24"/>
                <w:szCs w:val="24"/>
                <w:lang w:eastAsia="zh-CN"/>
              </w:rPr>
              <w:t>综上所述，本项目不属于</w:t>
            </w:r>
            <w:r>
              <w:rPr>
                <w:rFonts w:hint="default" w:ascii="Times New Roman" w:hAnsi="Times New Roman" w:cs="Times New Roman"/>
                <w:b/>
                <w:bCs/>
                <w:color w:val="auto"/>
                <w:spacing w:val="0"/>
                <w:sz w:val="24"/>
                <w:szCs w:val="24"/>
                <w:lang w:val="en-US" w:eastAsia="zh-CN"/>
              </w:rPr>
              <w:t>《长江经济带发展负面清单指南（试行）2022年版》中禁止类项目。</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2" w:firstLineChars="200"/>
              <w:textAlignment w:val="auto"/>
              <w:rPr>
                <w:rFonts w:hint="default" w:ascii="Times New Roman" w:hAnsi="Times New Roman" w:cs="Times New Roman"/>
                <w:b/>
                <w:bCs/>
                <w:color w:val="auto"/>
                <w:spacing w:val="0"/>
                <w:sz w:val="24"/>
                <w:szCs w:val="24"/>
                <w:lang w:val="en-US" w:eastAsia="zh-CN"/>
              </w:rPr>
            </w:pPr>
            <w:r>
              <w:rPr>
                <w:rFonts w:hint="eastAsia" w:ascii="Times New Roman" w:hAnsi="Times New Roman" w:cs="Times New Roman"/>
                <w:b/>
                <w:bCs/>
                <w:color w:val="auto"/>
                <w:spacing w:val="0"/>
                <w:sz w:val="24"/>
                <w:szCs w:val="24"/>
                <w:lang w:val="en-US" w:eastAsia="zh-CN"/>
              </w:rPr>
              <w:t>4、</w:t>
            </w:r>
            <w:r>
              <w:rPr>
                <w:rFonts w:hint="default" w:ascii="Times New Roman" w:hAnsi="Times New Roman" w:cs="Times New Roman"/>
                <w:b/>
                <w:bCs/>
                <w:color w:val="auto"/>
                <w:spacing w:val="0"/>
                <w:sz w:val="24"/>
                <w:szCs w:val="24"/>
                <w:lang w:val="en-US" w:eastAsia="zh-CN"/>
              </w:rPr>
              <w:t>与“三线一单”管控要求的符合性分析</w:t>
            </w:r>
          </w:p>
          <w:p>
            <w:pPr>
              <w:keepNext w:val="0"/>
              <w:keepLines w:val="0"/>
              <w:pageBreakBefore w:val="0"/>
              <w:widowControl w:val="0"/>
              <w:kinsoku/>
              <w:wordWrap/>
              <w:overflowPunct/>
              <w:topLinePunct w:val="0"/>
              <w:bidi w:val="0"/>
              <w:spacing w:line="360" w:lineRule="auto"/>
              <w:ind w:left="0" w:right="0" w:firstLine="536" w:firstLineChars="200"/>
              <w:textAlignment w:val="auto"/>
              <w:rPr>
                <w:rFonts w:ascii="宋体" w:hAnsi="宋体" w:eastAsia="宋体" w:cs="宋体"/>
                <w:sz w:val="24"/>
                <w:szCs w:val="24"/>
              </w:rPr>
            </w:pPr>
            <w:r>
              <w:rPr>
                <w:rFonts w:ascii="宋体" w:hAnsi="宋体" w:eastAsia="宋体" w:cs="宋体"/>
                <w:spacing w:val="14"/>
                <w:sz w:val="24"/>
                <w:szCs w:val="24"/>
              </w:rPr>
              <w:t>为</w:t>
            </w:r>
            <w:r>
              <w:rPr>
                <w:rFonts w:ascii="宋体" w:hAnsi="宋体" w:eastAsia="宋体" w:cs="宋体"/>
                <w:spacing w:val="10"/>
                <w:sz w:val="24"/>
                <w:szCs w:val="24"/>
              </w:rPr>
              <w:t>深入贯彻习近平生态文明思想，落实党中央、国务院和省委、省政府关于</w:t>
            </w:r>
            <w:r>
              <w:rPr>
                <w:rFonts w:ascii="宋体" w:hAnsi="宋体" w:eastAsia="宋体" w:cs="宋体"/>
                <w:sz w:val="24"/>
                <w:szCs w:val="24"/>
              </w:rPr>
              <w:t xml:space="preserve"> </w:t>
            </w:r>
            <w:r>
              <w:rPr>
                <w:rFonts w:ascii="宋体" w:hAnsi="宋体" w:eastAsia="宋体" w:cs="宋体"/>
                <w:spacing w:val="17"/>
                <w:sz w:val="24"/>
                <w:szCs w:val="24"/>
              </w:rPr>
              <w:t>全</w:t>
            </w:r>
            <w:r>
              <w:rPr>
                <w:rFonts w:ascii="宋体" w:hAnsi="宋体" w:eastAsia="宋体" w:cs="宋体"/>
                <w:spacing w:val="10"/>
                <w:sz w:val="24"/>
                <w:szCs w:val="24"/>
              </w:rPr>
              <w:t>面加强生态环境保护深入打好污染防治攻坚战的重大决策部署，推动全市生态</w:t>
            </w:r>
            <w:r>
              <w:rPr>
                <w:rFonts w:ascii="宋体" w:hAnsi="宋体" w:eastAsia="宋体" w:cs="宋体"/>
                <w:sz w:val="24"/>
                <w:szCs w:val="24"/>
              </w:rPr>
              <w:t xml:space="preserve"> </w:t>
            </w:r>
            <w:r>
              <w:rPr>
                <w:rFonts w:ascii="宋体" w:hAnsi="宋体" w:eastAsia="宋体" w:cs="宋体"/>
                <w:spacing w:val="17"/>
                <w:sz w:val="24"/>
                <w:szCs w:val="24"/>
              </w:rPr>
              <w:t>环</w:t>
            </w:r>
            <w:r>
              <w:rPr>
                <w:rFonts w:ascii="宋体" w:hAnsi="宋体" w:eastAsia="宋体" w:cs="宋体"/>
                <w:spacing w:val="10"/>
                <w:sz w:val="24"/>
                <w:szCs w:val="24"/>
              </w:rPr>
              <w:t>境质量持续改善和经济社会高质量发展，现就落实生态保护红线、环境质量底</w:t>
            </w:r>
            <w:r>
              <w:rPr>
                <w:rFonts w:ascii="宋体" w:hAnsi="宋体" w:eastAsia="宋体" w:cs="宋体"/>
                <w:spacing w:val="17"/>
                <w:sz w:val="24"/>
                <w:szCs w:val="24"/>
              </w:rPr>
              <w:t>线</w:t>
            </w:r>
            <w:r>
              <w:rPr>
                <w:rFonts w:ascii="宋体" w:hAnsi="宋体" w:eastAsia="宋体" w:cs="宋体"/>
                <w:spacing w:val="10"/>
                <w:sz w:val="24"/>
                <w:szCs w:val="24"/>
              </w:rPr>
              <w:t>、资源利用上线，制定生态环境准入清单。乐山市人民政府发布了《乐山市人</w:t>
            </w:r>
            <w:r>
              <w:rPr>
                <w:rFonts w:ascii="宋体" w:hAnsi="宋体" w:eastAsia="宋体" w:cs="宋体"/>
                <w:spacing w:val="17"/>
                <w:sz w:val="24"/>
                <w:szCs w:val="24"/>
              </w:rPr>
              <w:t>民</w:t>
            </w:r>
            <w:r>
              <w:rPr>
                <w:rFonts w:ascii="宋体" w:hAnsi="宋体" w:eastAsia="宋体" w:cs="宋体"/>
                <w:spacing w:val="10"/>
                <w:sz w:val="24"/>
                <w:szCs w:val="24"/>
              </w:rPr>
              <w:t>政府关于落实生态保护红线、环境质量底线、资源利用上限制定生态环境准入</w:t>
            </w:r>
            <w:r>
              <w:rPr>
                <w:rFonts w:ascii="宋体" w:hAnsi="宋体" w:eastAsia="宋体" w:cs="宋体"/>
                <w:sz w:val="24"/>
                <w:szCs w:val="24"/>
              </w:rPr>
              <w:t xml:space="preserve"> </w:t>
            </w:r>
            <w:r>
              <w:rPr>
                <w:rFonts w:ascii="宋体" w:hAnsi="宋体" w:eastAsia="宋体" w:cs="宋体"/>
                <w:spacing w:val="14"/>
                <w:sz w:val="24"/>
                <w:szCs w:val="24"/>
              </w:rPr>
              <w:t>清单</w:t>
            </w:r>
            <w:r>
              <w:rPr>
                <w:rFonts w:ascii="宋体" w:hAnsi="宋体" w:eastAsia="宋体" w:cs="宋体"/>
                <w:spacing w:val="8"/>
                <w:sz w:val="24"/>
                <w:szCs w:val="24"/>
              </w:rPr>
              <w:t>实</w:t>
            </w:r>
            <w:r>
              <w:rPr>
                <w:rFonts w:ascii="宋体" w:hAnsi="宋体" w:eastAsia="宋体" w:cs="宋体"/>
                <w:spacing w:val="7"/>
                <w:sz w:val="24"/>
                <w:szCs w:val="24"/>
              </w:rPr>
              <w:t>施生态环境分区管控的通知》(乐府发〔</w:t>
            </w:r>
            <w:r>
              <w:rPr>
                <w:rFonts w:ascii="Times New Roman" w:hAnsi="Times New Roman" w:eastAsia="Times New Roman" w:cs="Times New Roman"/>
                <w:spacing w:val="7"/>
                <w:sz w:val="24"/>
                <w:szCs w:val="24"/>
              </w:rPr>
              <w:t>2021</w:t>
            </w:r>
            <w:r>
              <w:rPr>
                <w:rFonts w:ascii="宋体" w:hAnsi="宋体" w:eastAsia="宋体" w:cs="宋体"/>
                <w:spacing w:val="7"/>
                <w:sz w:val="24"/>
                <w:szCs w:val="24"/>
              </w:rPr>
              <w:t>〕</w:t>
            </w:r>
            <w:r>
              <w:rPr>
                <w:rFonts w:ascii="Times New Roman" w:hAnsi="Times New Roman" w:eastAsia="Times New Roman" w:cs="Times New Roman"/>
                <w:spacing w:val="7"/>
                <w:sz w:val="24"/>
                <w:szCs w:val="24"/>
              </w:rPr>
              <w:t>7</w:t>
            </w:r>
            <w:r>
              <w:rPr>
                <w:rFonts w:ascii="宋体" w:hAnsi="宋体" w:eastAsia="宋体" w:cs="宋体"/>
                <w:spacing w:val="7"/>
                <w:sz w:val="24"/>
                <w:szCs w:val="24"/>
              </w:rPr>
              <w:t>号) ，本项目与其符合</w:t>
            </w:r>
            <w:r>
              <w:rPr>
                <w:rFonts w:ascii="宋体" w:hAnsi="宋体" w:eastAsia="宋体" w:cs="宋体"/>
                <w:spacing w:val="10"/>
                <w:sz w:val="24"/>
                <w:szCs w:val="24"/>
              </w:rPr>
              <w:t>性</w:t>
            </w:r>
            <w:r>
              <w:rPr>
                <w:rFonts w:ascii="宋体" w:hAnsi="宋体" w:eastAsia="宋体" w:cs="宋体"/>
                <w:spacing w:val="6"/>
                <w:sz w:val="24"/>
                <w:szCs w:val="24"/>
              </w:rPr>
              <w:t>分析如下：</w:t>
            </w:r>
          </w:p>
          <w:p>
            <w:pPr>
              <w:keepNext w:val="0"/>
              <w:keepLines w:val="0"/>
              <w:pageBreakBefore w:val="0"/>
              <w:widowControl w:val="0"/>
              <w:kinsoku/>
              <w:wordWrap/>
              <w:overflowPunct/>
              <w:topLinePunct w:val="0"/>
              <w:bidi w:val="0"/>
              <w:spacing w:line="360" w:lineRule="auto"/>
              <w:ind w:left="0" w:right="0" w:firstLine="526" w:firstLineChars="200"/>
              <w:textAlignment w:val="auto"/>
              <w:rPr>
                <w:rFonts w:ascii="宋体" w:hAnsi="宋体" w:eastAsia="宋体" w:cs="宋体"/>
                <w:b/>
                <w:bCs/>
                <w:sz w:val="24"/>
                <w:szCs w:val="24"/>
              </w:rPr>
            </w:pPr>
            <w:r>
              <w:rPr>
                <w:rFonts w:ascii="宋体" w:hAnsi="宋体" w:eastAsia="宋体" w:cs="宋体"/>
                <w:b/>
                <w:bCs/>
                <w:spacing w:val="11"/>
                <w:sz w:val="24"/>
                <w:szCs w:val="24"/>
              </w:rPr>
              <w:t>①</w:t>
            </w:r>
            <w:r>
              <w:rPr>
                <w:rFonts w:ascii="宋体" w:hAnsi="宋体" w:eastAsia="宋体" w:cs="宋体"/>
                <w:b/>
                <w:bCs/>
                <w:spacing w:val="10"/>
                <w:sz w:val="24"/>
                <w:szCs w:val="24"/>
              </w:rPr>
              <w:t>与生态保护红线符合性分析</w:t>
            </w:r>
          </w:p>
          <w:p>
            <w:pPr>
              <w:keepNext w:val="0"/>
              <w:keepLines w:val="0"/>
              <w:pageBreakBefore w:val="0"/>
              <w:widowControl w:val="0"/>
              <w:kinsoku/>
              <w:wordWrap/>
              <w:overflowPunct/>
              <w:topLinePunct w:val="0"/>
              <w:bidi w:val="0"/>
              <w:spacing w:line="360" w:lineRule="auto"/>
              <w:ind w:left="0" w:right="0" w:firstLine="496" w:firstLineChars="200"/>
              <w:textAlignment w:val="auto"/>
              <w:rPr>
                <w:rFonts w:ascii="宋体" w:hAnsi="宋体" w:eastAsia="宋体" w:cs="宋体"/>
                <w:spacing w:val="6"/>
                <w:sz w:val="24"/>
                <w:szCs w:val="24"/>
              </w:rPr>
            </w:pPr>
            <w:r>
              <w:rPr>
                <w:rFonts w:ascii="宋体" w:hAnsi="宋体" w:eastAsia="宋体" w:cs="宋体"/>
                <w:spacing w:val="4"/>
                <w:sz w:val="24"/>
                <w:szCs w:val="24"/>
              </w:rPr>
              <w:t>乐山市境内划定的生态保护红线总面积为</w:t>
            </w:r>
            <w:r>
              <w:rPr>
                <w:rFonts w:ascii="Times New Roman" w:hAnsi="Times New Roman" w:eastAsia="Times New Roman" w:cs="Times New Roman"/>
                <w:spacing w:val="4"/>
                <w:sz w:val="24"/>
                <w:szCs w:val="24"/>
              </w:rPr>
              <w:t>2430.92</w:t>
            </w:r>
            <w:r>
              <w:rPr>
                <w:rFonts w:ascii="宋体" w:hAnsi="宋体" w:eastAsia="宋体" w:cs="宋体"/>
                <w:spacing w:val="4"/>
                <w:sz w:val="24"/>
                <w:szCs w:val="24"/>
              </w:rPr>
              <w:t>平方公里，占乐山市</w:t>
            </w:r>
            <w:r>
              <w:rPr>
                <w:rFonts w:ascii="宋体" w:hAnsi="宋体" w:eastAsia="宋体" w:cs="宋体"/>
                <w:spacing w:val="1"/>
                <w:sz w:val="24"/>
                <w:szCs w:val="24"/>
              </w:rPr>
              <w:t>国</w:t>
            </w:r>
            <w:r>
              <w:rPr>
                <w:rFonts w:ascii="宋体" w:hAnsi="宋体" w:eastAsia="宋体" w:cs="宋体"/>
                <w:sz w:val="24"/>
                <w:szCs w:val="24"/>
              </w:rPr>
              <w:t>土</w:t>
            </w:r>
            <w:r>
              <w:rPr>
                <w:rFonts w:ascii="宋体" w:hAnsi="宋体" w:eastAsia="宋体" w:cs="宋体"/>
                <w:spacing w:val="1"/>
                <w:sz w:val="24"/>
                <w:szCs w:val="24"/>
              </w:rPr>
              <w:t>面积的</w:t>
            </w:r>
            <w:r>
              <w:rPr>
                <w:rFonts w:ascii="Times New Roman" w:hAnsi="Times New Roman" w:eastAsia="Times New Roman" w:cs="Times New Roman"/>
                <w:spacing w:val="1"/>
                <w:sz w:val="24"/>
                <w:szCs w:val="24"/>
              </w:rPr>
              <w:t>19. 11%</w:t>
            </w:r>
            <w:r>
              <w:rPr>
                <w:rFonts w:ascii="宋体" w:hAnsi="宋体" w:eastAsia="宋体" w:cs="宋体"/>
                <w:spacing w:val="1"/>
                <w:sz w:val="24"/>
                <w:szCs w:val="24"/>
              </w:rPr>
              <w:t>，涵盖了水源涵养、生物多样性维护、水土保持功能极重要区以及</w:t>
            </w:r>
            <w:r>
              <w:rPr>
                <w:rFonts w:ascii="宋体" w:hAnsi="宋体" w:eastAsia="宋体" w:cs="宋体"/>
                <w:spacing w:val="15"/>
                <w:sz w:val="24"/>
                <w:szCs w:val="24"/>
              </w:rPr>
              <w:t>水</w:t>
            </w:r>
            <w:r>
              <w:rPr>
                <w:rFonts w:ascii="宋体" w:hAnsi="宋体" w:eastAsia="宋体" w:cs="宋体"/>
                <w:spacing w:val="8"/>
                <w:sz w:val="24"/>
                <w:szCs w:val="24"/>
              </w:rPr>
              <w:t>土流失、石漠化极敏感区，还包括黑竹沟国家级自然保护区、马边大风顶国家</w:t>
            </w:r>
            <w:r>
              <w:rPr>
                <w:rFonts w:ascii="宋体" w:hAnsi="宋体" w:eastAsia="宋体" w:cs="宋体"/>
                <w:spacing w:val="6"/>
                <w:sz w:val="24"/>
                <w:szCs w:val="24"/>
              </w:rPr>
              <w:t>级自然保护区、芹菜坪省级自然保护区、峨眉山</w:t>
            </w:r>
            <w:r>
              <w:rPr>
                <w:rFonts w:ascii="Times New Roman" w:hAnsi="Times New Roman" w:eastAsia="Times New Roman" w:cs="Times New Roman"/>
                <w:spacing w:val="6"/>
                <w:sz w:val="24"/>
                <w:szCs w:val="24"/>
              </w:rPr>
              <w:t>-</w:t>
            </w:r>
            <w:r>
              <w:rPr>
                <w:rFonts w:ascii="宋体" w:hAnsi="宋体" w:eastAsia="宋体" w:cs="宋体"/>
                <w:spacing w:val="6"/>
                <w:sz w:val="24"/>
                <w:szCs w:val="24"/>
              </w:rPr>
              <w:t>乐山大佛国家级风景名胜区、</w:t>
            </w:r>
            <w:r>
              <w:rPr>
                <w:rFonts w:ascii="宋体" w:hAnsi="宋体" w:eastAsia="宋体" w:cs="宋体"/>
                <w:spacing w:val="3"/>
                <w:sz w:val="24"/>
                <w:szCs w:val="24"/>
              </w:rPr>
              <w:t>黑</w:t>
            </w:r>
            <w:r>
              <w:rPr>
                <w:rFonts w:ascii="宋体" w:hAnsi="宋体" w:eastAsia="宋体" w:cs="宋体"/>
                <w:spacing w:val="2"/>
                <w:sz w:val="24"/>
                <w:szCs w:val="24"/>
              </w:rPr>
              <w:t>竹沟省级风景名胜区、大渡河</w:t>
            </w:r>
            <w:r>
              <w:rPr>
                <w:rFonts w:ascii="Times New Roman" w:hAnsi="Times New Roman" w:eastAsia="Times New Roman" w:cs="Times New Roman"/>
                <w:spacing w:val="2"/>
                <w:sz w:val="24"/>
                <w:szCs w:val="24"/>
              </w:rPr>
              <w:t>-</w:t>
            </w:r>
            <w:r>
              <w:rPr>
                <w:rFonts w:ascii="宋体" w:hAnsi="宋体" w:eastAsia="宋体" w:cs="宋体"/>
                <w:spacing w:val="2"/>
                <w:sz w:val="24"/>
                <w:szCs w:val="24"/>
              </w:rPr>
              <w:t>美女峰省级风景名胜区、大</w:t>
            </w:r>
            <w:r>
              <w:rPr>
                <w:rFonts w:ascii="宋体" w:hAnsi="宋体" w:eastAsia="宋体" w:cs="宋体"/>
                <w:spacing w:val="1"/>
                <w:sz w:val="24"/>
                <w:szCs w:val="24"/>
              </w:rPr>
              <w:t>渡河峡谷国家地质公园、</w:t>
            </w:r>
            <w:r>
              <w:rPr>
                <w:rFonts w:ascii="宋体" w:hAnsi="宋体" w:eastAsia="宋体" w:cs="宋体"/>
                <w:sz w:val="24"/>
                <w:szCs w:val="24"/>
              </w:rPr>
              <w:t xml:space="preserve"> </w:t>
            </w:r>
            <w:r>
              <w:rPr>
                <w:rFonts w:ascii="宋体" w:hAnsi="宋体" w:eastAsia="宋体" w:cs="宋体"/>
                <w:spacing w:val="6"/>
                <w:sz w:val="24"/>
                <w:szCs w:val="24"/>
              </w:rPr>
              <w:t>大瓦山国家湿地、峨眉山</w:t>
            </w:r>
            <w:r>
              <w:rPr>
                <w:rFonts w:ascii="Times New Roman" w:hAnsi="Times New Roman" w:eastAsia="Times New Roman" w:cs="Times New Roman"/>
                <w:spacing w:val="6"/>
                <w:sz w:val="24"/>
                <w:szCs w:val="24"/>
              </w:rPr>
              <w:t>-</w:t>
            </w:r>
            <w:r>
              <w:rPr>
                <w:rFonts w:ascii="宋体" w:hAnsi="宋体" w:eastAsia="宋体" w:cs="宋体"/>
                <w:spacing w:val="6"/>
                <w:sz w:val="24"/>
                <w:szCs w:val="24"/>
              </w:rPr>
              <w:t>乐山大佛世界自然与文化遗产、岷江长吻鮠国家级水</w:t>
            </w:r>
            <w:r>
              <w:rPr>
                <w:rFonts w:ascii="宋体" w:hAnsi="宋体" w:eastAsia="宋体" w:cs="宋体"/>
                <w:spacing w:val="3"/>
                <w:sz w:val="24"/>
                <w:szCs w:val="24"/>
              </w:rPr>
              <w:t>产</w:t>
            </w:r>
            <w:r>
              <w:rPr>
                <w:rFonts w:ascii="宋体" w:hAnsi="宋体" w:eastAsia="宋体" w:cs="宋体"/>
                <w:spacing w:val="15"/>
                <w:sz w:val="24"/>
                <w:szCs w:val="24"/>
              </w:rPr>
              <w:t>种</w:t>
            </w:r>
            <w:r>
              <w:rPr>
                <w:rFonts w:ascii="宋体" w:hAnsi="宋体" w:eastAsia="宋体" w:cs="宋体"/>
                <w:spacing w:val="8"/>
                <w:sz w:val="24"/>
                <w:szCs w:val="24"/>
              </w:rPr>
              <w:t>质资源保护区、乐山市第一水厂饮用水新水源保护区、乐山市青衣江陶渡集中</w:t>
            </w:r>
            <w:r>
              <w:rPr>
                <w:rFonts w:ascii="宋体" w:hAnsi="宋体" w:eastAsia="宋体" w:cs="宋体"/>
                <w:spacing w:val="15"/>
                <w:sz w:val="24"/>
                <w:szCs w:val="24"/>
              </w:rPr>
              <w:t>式</w:t>
            </w:r>
            <w:r>
              <w:rPr>
                <w:rFonts w:ascii="宋体" w:hAnsi="宋体" w:eastAsia="宋体" w:cs="宋体"/>
                <w:spacing w:val="8"/>
                <w:sz w:val="24"/>
                <w:szCs w:val="24"/>
              </w:rPr>
              <w:t>饮用水水源保护区等法定保护区域，以及极小种群物种分布栖息地、国家一级</w:t>
            </w:r>
            <w:r>
              <w:rPr>
                <w:rFonts w:ascii="宋体" w:hAnsi="宋体" w:eastAsia="宋体" w:cs="宋体"/>
                <w:spacing w:val="15"/>
                <w:sz w:val="24"/>
                <w:szCs w:val="24"/>
              </w:rPr>
              <w:t>公</w:t>
            </w:r>
            <w:r>
              <w:rPr>
                <w:rFonts w:ascii="宋体" w:hAnsi="宋体" w:eastAsia="宋体" w:cs="宋体"/>
                <w:spacing w:val="8"/>
                <w:sz w:val="24"/>
                <w:szCs w:val="24"/>
              </w:rPr>
              <w:t>益林、重要湿地等各类保护地。乐山市生态保护红线划定情况见下表，乐山市</w:t>
            </w:r>
            <w:r>
              <w:rPr>
                <w:rFonts w:ascii="宋体" w:hAnsi="宋体" w:eastAsia="宋体" w:cs="宋体"/>
                <w:spacing w:val="10"/>
                <w:sz w:val="24"/>
                <w:szCs w:val="24"/>
              </w:rPr>
              <w:t>生</w:t>
            </w:r>
            <w:r>
              <w:rPr>
                <w:rFonts w:ascii="宋体" w:hAnsi="宋体" w:eastAsia="宋体" w:cs="宋体"/>
                <w:spacing w:val="6"/>
                <w:sz w:val="24"/>
                <w:szCs w:val="24"/>
              </w:rPr>
              <w:t>态空间分布图见下图。</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446" w:firstLineChars="200"/>
              <w:jc w:val="center"/>
              <w:textAlignment w:val="auto"/>
              <w:rPr>
                <w:rFonts w:hint="default" w:ascii="Times New Roman" w:hAnsi="Times New Roman" w:eastAsia="宋体" w:cs="Times New Roman"/>
                <w:b/>
                <w:bCs/>
                <w:color w:val="auto"/>
                <w:spacing w:val="0"/>
                <w:sz w:val="21"/>
                <w:szCs w:val="21"/>
                <w:lang w:val="en-US" w:eastAsia="zh-CN"/>
              </w:rPr>
            </w:pPr>
            <w:r>
              <w:rPr>
                <w:rFonts w:hint="default" w:ascii="Times New Roman" w:hAnsi="Times New Roman" w:eastAsia="宋体" w:cs="Times New Roman"/>
                <w:b/>
                <w:bCs/>
                <w:spacing w:val="6"/>
                <w:sz w:val="21"/>
                <w:szCs w:val="21"/>
              </w:rPr>
              <w:t>表</w:t>
            </w:r>
            <w:r>
              <w:rPr>
                <w:rFonts w:hint="eastAsia" w:ascii="Times New Roman" w:hAnsi="Times New Roman" w:eastAsia="宋体" w:cs="Times New Roman"/>
                <w:b/>
                <w:bCs/>
                <w:spacing w:val="5"/>
                <w:sz w:val="21"/>
                <w:szCs w:val="21"/>
                <w:lang w:val="en-US" w:eastAsia="zh-CN"/>
              </w:rPr>
              <w:t xml:space="preserve">1-4 </w:t>
            </w:r>
            <w:r>
              <w:rPr>
                <w:rFonts w:hint="default" w:ascii="Times New Roman" w:hAnsi="Times New Roman" w:eastAsia="宋体" w:cs="Times New Roman"/>
                <w:b/>
                <w:bCs/>
                <w:spacing w:val="3"/>
                <w:sz w:val="21"/>
                <w:szCs w:val="21"/>
              </w:rPr>
              <w:t>乐山市生态保护红线划定范围</w:t>
            </w:r>
          </w:p>
          <w:tbl>
            <w:tblPr>
              <w:tblStyle w:val="252"/>
              <w:tblW w:w="9166" w:type="dxa"/>
              <w:tblInd w:w="0" w:type="dxa"/>
              <w:tblBorders>
                <w:top w:val="single" w:color="000000" w:sz="2" w:space="0"/>
                <w:left w:val="single" w:color="000000" w:sz="2" w:space="0"/>
                <w:bottom w:val="single" w:color="000000" w:sz="2" w:space="0"/>
                <w:right w:val="single" w:color="000000" w:sz="6" w:space="0"/>
                <w:insideH w:val="single" w:color="000000" w:sz="2" w:space="0"/>
                <w:insideV w:val="single" w:color="000000" w:sz="2" w:space="0"/>
              </w:tblBorders>
              <w:tblLayout w:type="autofit"/>
              <w:tblCellMar>
                <w:top w:w="0" w:type="dxa"/>
                <w:left w:w="0" w:type="dxa"/>
                <w:bottom w:w="0" w:type="dxa"/>
                <w:right w:w="0" w:type="dxa"/>
              </w:tblCellMar>
            </w:tblPr>
            <w:tblGrid>
              <w:gridCol w:w="904"/>
              <w:gridCol w:w="588"/>
              <w:gridCol w:w="2709"/>
              <w:gridCol w:w="4965"/>
            </w:tblGrid>
            <w:tr>
              <w:tblPrEx>
                <w:tblBorders>
                  <w:top w:val="single" w:color="000000" w:sz="2" w:space="0"/>
                  <w:left w:val="single" w:color="000000" w:sz="2" w:space="0"/>
                  <w:bottom w:val="single" w:color="000000" w:sz="2" w:space="0"/>
                  <w:right w:val="single" w:color="000000" w:sz="6"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90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21"/>
                      <w:szCs w:val="21"/>
                    </w:rPr>
                  </w:pPr>
                  <w:r>
                    <w:rPr>
                      <w:rFonts w:ascii="宋体" w:hAnsi="宋体" w:eastAsia="宋体" w:cs="宋体"/>
                      <w:spacing w:val="4"/>
                      <w:sz w:val="21"/>
                      <w:szCs w:val="21"/>
                    </w:rPr>
                    <w:t>生</w:t>
                  </w:r>
                  <w:r>
                    <w:rPr>
                      <w:rFonts w:ascii="宋体" w:hAnsi="宋体" w:eastAsia="宋体" w:cs="宋体"/>
                      <w:spacing w:val="3"/>
                      <w:sz w:val="21"/>
                      <w:szCs w:val="21"/>
                    </w:rPr>
                    <w:t>态</w:t>
                  </w: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21"/>
                      <w:szCs w:val="21"/>
                    </w:rPr>
                  </w:pPr>
                  <w:r>
                    <w:rPr>
                      <w:rFonts w:ascii="宋体" w:hAnsi="宋体" w:eastAsia="宋体" w:cs="宋体"/>
                      <w:spacing w:val="5"/>
                      <w:sz w:val="21"/>
                      <w:szCs w:val="21"/>
                    </w:rPr>
                    <w:t>评估</w:t>
                  </w: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21"/>
                      <w:szCs w:val="21"/>
                    </w:rPr>
                  </w:pPr>
                  <w:r>
                    <w:rPr>
                      <w:rFonts w:ascii="宋体" w:hAnsi="宋体" w:eastAsia="宋体" w:cs="宋体"/>
                      <w:sz w:val="21"/>
                      <w:szCs w:val="21"/>
                    </w:rPr>
                    <w:t>区</w:t>
                  </w:r>
                </w:p>
              </w:tc>
              <w:tc>
                <w:tcPr>
                  <w:tcW w:w="5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7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21"/>
                      <w:szCs w:val="21"/>
                    </w:rPr>
                  </w:pPr>
                  <w:r>
                    <w:rPr>
                      <w:rFonts w:ascii="宋体" w:hAnsi="宋体" w:eastAsia="宋体" w:cs="宋体"/>
                      <w:spacing w:val="15"/>
                      <w:sz w:val="21"/>
                      <w:szCs w:val="21"/>
                    </w:rPr>
                    <w:t>生</w:t>
                  </w:r>
                  <w:r>
                    <w:rPr>
                      <w:rFonts w:ascii="宋体" w:hAnsi="宋体" w:eastAsia="宋体" w:cs="宋体"/>
                      <w:spacing w:val="8"/>
                      <w:sz w:val="21"/>
                      <w:szCs w:val="21"/>
                    </w:rPr>
                    <w:t>态功能重要性评估区</w:t>
                  </w:r>
                </w:p>
              </w:tc>
              <w:tc>
                <w:tcPr>
                  <w:tcW w:w="49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21"/>
                      <w:szCs w:val="21"/>
                    </w:rPr>
                  </w:pPr>
                  <w:r>
                    <w:rPr>
                      <w:rFonts w:ascii="宋体" w:hAnsi="宋体" w:eastAsia="宋体" w:cs="宋体"/>
                      <w:spacing w:val="8"/>
                      <w:sz w:val="21"/>
                      <w:szCs w:val="21"/>
                    </w:rPr>
                    <w:t>水源涵</w:t>
                  </w:r>
                  <w:r>
                    <w:rPr>
                      <w:rFonts w:ascii="宋体" w:hAnsi="宋体" w:eastAsia="宋体" w:cs="宋体"/>
                      <w:spacing w:val="7"/>
                      <w:sz w:val="21"/>
                      <w:szCs w:val="21"/>
                    </w:rPr>
                    <w:t>养</w:t>
                  </w:r>
                  <w:r>
                    <w:rPr>
                      <w:rFonts w:ascii="宋体" w:hAnsi="宋体" w:eastAsia="宋体" w:cs="宋体"/>
                      <w:spacing w:val="4"/>
                      <w:sz w:val="21"/>
                      <w:szCs w:val="21"/>
                    </w:rPr>
                    <w:t>功</w:t>
                  </w:r>
                  <w:r>
                    <w:rPr>
                      <w:rFonts w:hint="eastAsia" w:ascii="宋体" w:hAnsi="宋体" w:eastAsia="宋体" w:cs="宋体"/>
                      <w:spacing w:val="4"/>
                      <w:sz w:val="21"/>
                      <w:szCs w:val="21"/>
                      <w:lang w:val="en-US" w:eastAsia="zh-CN"/>
                    </w:rPr>
                    <w:t>水源涵养功能区、</w:t>
                  </w:r>
                  <w:r>
                    <w:rPr>
                      <w:rFonts w:ascii="宋体" w:hAnsi="宋体" w:eastAsia="宋体" w:cs="宋体"/>
                      <w:spacing w:val="4"/>
                      <w:sz w:val="21"/>
                      <w:szCs w:val="21"/>
                    </w:rPr>
                    <w:t>水土保持功能、生物多样性维护</w:t>
                  </w:r>
                  <w:r>
                    <w:rPr>
                      <w:rFonts w:ascii="宋体" w:hAnsi="宋体" w:eastAsia="宋体" w:cs="宋体"/>
                      <w:sz w:val="21"/>
                      <w:szCs w:val="21"/>
                    </w:rPr>
                    <w:t xml:space="preserve"> </w:t>
                  </w:r>
                  <w:r>
                    <w:rPr>
                      <w:rFonts w:ascii="宋体" w:hAnsi="宋体" w:eastAsia="宋体" w:cs="宋体"/>
                      <w:spacing w:val="11"/>
                      <w:sz w:val="21"/>
                      <w:szCs w:val="21"/>
                    </w:rPr>
                    <w:t>功</w:t>
                  </w:r>
                  <w:r>
                    <w:rPr>
                      <w:rFonts w:ascii="宋体" w:hAnsi="宋体" w:eastAsia="宋体" w:cs="宋体"/>
                      <w:spacing w:val="7"/>
                      <w:sz w:val="21"/>
                      <w:szCs w:val="21"/>
                    </w:rPr>
                    <w:t>能极重要区</w:t>
                  </w:r>
                </w:p>
              </w:tc>
            </w:tr>
            <w:tr>
              <w:tblPrEx>
                <w:tblBorders>
                  <w:top w:val="single" w:color="000000" w:sz="2" w:space="0"/>
                  <w:left w:val="single" w:color="000000" w:sz="2" w:space="0"/>
                  <w:bottom w:val="single" w:color="000000" w:sz="2" w:space="0"/>
                  <w:right w:val="single" w:color="000000" w:sz="6"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0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sz w:val="21"/>
                      <w:szCs w:val="21"/>
                    </w:rPr>
                  </w:pPr>
                </w:p>
              </w:tc>
              <w:tc>
                <w:tcPr>
                  <w:tcW w:w="5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7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21"/>
                      <w:szCs w:val="21"/>
                    </w:rPr>
                  </w:pPr>
                  <w:r>
                    <w:rPr>
                      <w:rFonts w:ascii="宋体" w:hAnsi="宋体" w:eastAsia="宋体" w:cs="宋体"/>
                      <w:spacing w:val="15"/>
                      <w:sz w:val="21"/>
                      <w:szCs w:val="21"/>
                    </w:rPr>
                    <w:t>生</w:t>
                  </w:r>
                  <w:r>
                    <w:rPr>
                      <w:rFonts w:ascii="宋体" w:hAnsi="宋体" w:eastAsia="宋体" w:cs="宋体"/>
                      <w:spacing w:val="8"/>
                      <w:sz w:val="21"/>
                      <w:szCs w:val="21"/>
                    </w:rPr>
                    <w:t>态环境敏感性评估区</w:t>
                  </w:r>
                </w:p>
              </w:tc>
              <w:tc>
                <w:tcPr>
                  <w:tcW w:w="49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21"/>
                      <w:szCs w:val="21"/>
                    </w:rPr>
                  </w:pPr>
                  <w:r>
                    <w:rPr>
                      <w:rFonts w:ascii="宋体" w:hAnsi="宋体" w:eastAsia="宋体" w:cs="宋体"/>
                      <w:spacing w:val="9"/>
                      <w:sz w:val="21"/>
                      <w:szCs w:val="21"/>
                    </w:rPr>
                    <w:t>水土流失、石漠化极敏感</w:t>
                  </w:r>
                  <w:r>
                    <w:rPr>
                      <w:rFonts w:ascii="宋体" w:hAnsi="宋体" w:eastAsia="宋体" w:cs="宋体"/>
                      <w:spacing w:val="8"/>
                      <w:sz w:val="21"/>
                      <w:szCs w:val="21"/>
                    </w:rPr>
                    <w:t>区</w:t>
                  </w:r>
                </w:p>
              </w:tc>
            </w:tr>
            <w:tr>
              <w:tblPrEx>
                <w:tblBorders>
                  <w:top w:val="single" w:color="000000" w:sz="2" w:space="0"/>
                  <w:left w:val="single" w:color="000000" w:sz="2" w:space="0"/>
                  <w:bottom w:val="single" w:color="000000" w:sz="2" w:space="0"/>
                  <w:right w:val="single" w:color="000000" w:sz="6"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90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21"/>
                      <w:szCs w:val="21"/>
                    </w:rPr>
                  </w:pPr>
                  <w:r>
                    <w:rPr>
                      <w:rFonts w:ascii="宋体" w:hAnsi="宋体" w:eastAsia="宋体" w:cs="宋体"/>
                      <w:spacing w:val="-6"/>
                      <w:sz w:val="21"/>
                      <w:szCs w:val="21"/>
                    </w:rPr>
                    <w:t>国</w:t>
                  </w:r>
                  <w:r>
                    <w:rPr>
                      <w:rFonts w:ascii="宋体" w:hAnsi="宋体" w:eastAsia="宋体" w:cs="宋体"/>
                      <w:spacing w:val="-5"/>
                      <w:sz w:val="21"/>
                      <w:szCs w:val="21"/>
                    </w:rPr>
                    <w:t>家</w:t>
                  </w: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21"/>
                      <w:szCs w:val="21"/>
                    </w:rPr>
                  </w:pPr>
                  <w:r>
                    <w:rPr>
                      <w:rFonts w:ascii="宋体" w:hAnsi="宋体" w:eastAsia="宋体" w:cs="宋体"/>
                      <w:spacing w:val="5"/>
                      <w:sz w:val="21"/>
                      <w:szCs w:val="21"/>
                    </w:rPr>
                    <w:t>级、省</w:t>
                  </w: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21"/>
                      <w:szCs w:val="21"/>
                    </w:rPr>
                  </w:pPr>
                  <w:r>
                    <w:rPr>
                      <w:rFonts w:ascii="宋体" w:hAnsi="宋体" w:eastAsia="宋体" w:cs="宋体"/>
                      <w:spacing w:val="3"/>
                      <w:sz w:val="21"/>
                      <w:szCs w:val="21"/>
                    </w:rPr>
                    <w:t>级禁</w:t>
                  </w: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21"/>
                      <w:szCs w:val="21"/>
                    </w:rPr>
                  </w:pPr>
                  <w:r>
                    <w:rPr>
                      <w:rFonts w:ascii="宋体" w:hAnsi="宋体" w:eastAsia="宋体" w:cs="宋体"/>
                      <w:spacing w:val="4"/>
                      <w:sz w:val="21"/>
                      <w:szCs w:val="21"/>
                    </w:rPr>
                    <w:t>止开</w:t>
                  </w: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21"/>
                      <w:szCs w:val="21"/>
                    </w:rPr>
                  </w:pPr>
                  <w:r>
                    <w:rPr>
                      <w:rFonts w:ascii="宋体" w:hAnsi="宋体" w:eastAsia="宋体" w:cs="宋体"/>
                      <w:spacing w:val="3"/>
                      <w:sz w:val="21"/>
                      <w:szCs w:val="21"/>
                    </w:rPr>
                    <w:t>发区</w:t>
                  </w:r>
                </w:p>
              </w:tc>
              <w:tc>
                <w:tcPr>
                  <w:tcW w:w="5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7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21"/>
                      <w:szCs w:val="21"/>
                    </w:rPr>
                  </w:pPr>
                  <w:r>
                    <w:rPr>
                      <w:rFonts w:ascii="宋体" w:hAnsi="宋体" w:eastAsia="宋体" w:cs="宋体"/>
                      <w:spacing w:val="2"/>
                      <w:sz w:val="21"/>
                      <w:szCs w:val="21"/>
                    </w:rPr>
                    <w:t>自</w:t>
                  </w:r>
                  <w:r>
                    <w:rPr>
                      <w:rFonts w:ascii="宋体" w:hAnsi="宋体" w:eastAsia="宋体" w:cs="宋体"/>
                      <w:spacing w:val="1"/>
                      <w:sz w:val="21"/>
                      <w:szCs w:val="21"/>
                    </w:rPr>
                    <w:t>然保护区</w:t>
                  </w:r>
                </w:p>
              </w:tc>
              <w:tc>
                <w:tcPr>
                  <w:tcW w:w="49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21"/>
                      <w:szCs w:val="21"/>
                    </w:rPr>
                  </w:pPr>
                  <w:r>
                    <w:rPr>
                      <w:rFonts w:ascii="宋体" w:hAnsi="宋体" w:eastAsia="宋体" w:cs="宋体"/>
                      <w:spacing w:val="8"/>
                      <w:sz w:val="21"/>
                      <w:szCs w:val="21"/>
                    </w:rPr>
                    <w:t>黑竹沟</w:t>
                  </w:r>
                  <w:r>
                    <w:rPr>
                      <w:rFonts w:ascii="宋体" w:hAnsi="宋体" w:eastAsia="宋体" w:cs="宋体"/>
                      <w:spacing w:val="4"/>
                      <w:sz w:val="21"/>
                      <w:szCs w:val="21"/>
                    </w:rPr>
                    <w:t>国家级自然保护区、马边大风顶国家级自</w:t>
                  </w: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21"/>
                      <w:szCs w:val="21"/>
                    </w:rPr>
                  </w:pPr>
                  <w:r>
                    <w:rPr>
                      <w:rFonts w:ascii="宋体" w:hAnsi="宋体" w:eastAsia="宋体" w:cs="宋体"/>
                      <w:spacing w:val="5"/>
                      <w:sz w:val="21"/>
                      <w:szCs w:val="21"/>
                    </w:rPr>
                    <w:t>然保护区、芹菜坪省级自然保护区、乐山市金</w:t>
                  </w:r>
                  <w:r>
                    <w:rPr>
                      <w:rFonts w:ascii="宋体" w:hAnsi="宋体" w:eastAsia="宋体" w:cs="宋体"/>
                      <w:spacing w:val="1"/>
                      <w:sz w:val="21"/>
                      <w:szCs w:val="21"/>
                    </w:rPr>
                    <w:t>口</w:t>
                  </w: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21"/>
                      <w:szCs w:val="21"/>
                    </w:rPr>
                  </w:pPr>
                  <w:r>
                    <w:rPr>
                      <w:rFonts w:ascii="宋体" w:hAnsi="宋体" w:eastAsia="宋体" w:cs="宋体"/>
                      <w:spacing w:val="9"/>
                      <w:sz w:val="21"/>
                      <w:szCs w:val="21"/>
                    </w:rPr>
                    <w:t>河区八月林自然保护区</w:t>
                  </w:r>
                </w:p>
              </w:tc>
            </w:tr>
            <w:tr>
              <w:tblPrEx>
                <w:tblBorders>
                  <w:top w:val="single" w:color="000000" w:sz="2" w:space="0"/>
                  <w:left w:val="single" w:color="000000" w:sz="2" w:space="0"/>
                  <w:bottom w:val="single" w:color="000000" w:sz="2" w:space="0"/>
                  <w:right w:val="single" w:color="000000" w:sz="6"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90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sz w:val="21"/>
                      <w:szCs w:val="21"/>
                    </w:rPr>
                  </w:pPr>
                </w:p>
              </w:tc>
              <w:tc>
                <w:tcPr>
                  <w:tcW w:w="5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7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21"/>
                      <w:szCs w:val="21"/>
                    </w:rPr>
                  </w:pPr>
                  <w:r>
                    <w:rPr>
                      <w:rFonts w:ascii="宋体" w:hAnsi="宋体" w:eastAsia="宋体" w:cs="宋体"/>
                      <w:spacing w:val="9"/>
                      <w:sz w:val="21"/>
                      <w:szCs w:val="21"/>
                    </w:rPr>
                    <w:t>风景名胜区的核心景</w:t>
                  </w:r>
                  <w:r>
                    <w:rPr>
                      <w:rFonts w:ascii="宋体" w:hAnsi="宋体" w:eastAsia="宋体" w:cs="宋体"/>
                      <w:spacing w:val="7"/>
                      <w:sz w:val="21"/>
                      <w:szCs w:val="21"/>
                    </w:rPr>
                    <w:t>区</w:t>
                  </w:r>
                </w:p>
              </w:tc>
              <w:tc>
                <w:tcPr>
                  <w:tcW w:w="49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21"/>
                      <w:szCs w:val="21"/>
                    </w:rPr>
                  </w:pPr>
                  <w:r>
                    <w:rPr>
                      <w:rFonts w:ascii="宋体" w:hAnsi="宋体" w:eastAsia="宋体" w:cs="宋体"/>
                      <w:spacing w:val="9"/>
                      <w:sz w:val="21"/>
                      <w:szCs w:val="21"/>
                    </w:rPr>
                    <w:t>峨眉山</w:t>
                  </w:r>
                  <w:r>
                    <w:rPr>
                      <w:rFonts w:ascii="Times New Roman" w:hAnsi="Times New Roman" w:eastAsia="Times New Roman" w:cs="Times New Roman"/>
                      <w:spacing w:val="9"/>
                      <w:sz w:val="21"/>
                      <w:szCs w:val="21"/>
                    </w:rPr>
                    <w:t>-</w:t>
                  </w:r>
                  <w:r>
                    <w:rPr>
                      <w:rFonts w:ascii="宋体" w:hAnsi="宋体" w:eastAsia="宋体" w:cs="宋体"/>
                      <w:spacing w:val="9"/>
                      <w:sz w:val="21"/>
                      <w:szCs w:val="21"/>
                    </w:rPr>
                    <w:t>乐山大佛国家级风景名胜区、黑竹沟</w:t>
                  </w:r>
                  <w:r>
                    <w:rPr>
                      <w:rFonts w:ascii="宋体" w:hAnsi="宋体" w:eastAsia="宋体" w:cs="宋体"/>
                      <w:spacing w:val="6"/>
                      <w:sz w:val="21"/>
                      <w:szCs w:val="21"/>
                    </w:rPr>
                    <w:t>省</w:t>
                  </w:r>
                  <w:r>
                    <w:rPr>
                      <w:rFonts w:ascii="宋体" w:hAnsi="宋体" w:eastAsia="宋体" w:cs="宋体"/>
                      <w:sz w:val="21"/>
                      <w:szCs w:val="21"/>
                    </w:rPr>
                    <w:t xml:space="preserve"> </w:t>
                  </w:r>
                  <w:r>
                    <w:rPr>
                      <w:rFonts w:ascii="宋体" w:hAnsi="宋体" w:eastAsia="宋体" w:cs="宋体"/>
                      <w:spacing w:val="9"/>
                      <w:sz w:val="21"/>
                      <w:szCs w:val="21"/>
                    </w:rPr>
                    <w:t>级风景名胜区、大渡河</w:t>
                  </w:r>
                  <w:r>
                    <w:rPr>
                      <w:rFonts w:ascii="Times New Roman" w:hAnsi="Times New Roman" w:eastAsia="Times New Roman" w:cs="Times New Roman"/>
                      <w:spacing w:val="9"/>
                      <w:sz w:val="21"/>
                      <w:szCs w:val="21"/>
                    </w:rPr>
                    <w:t>-</w:t>
                  </w:r>
                  <w:r>
                    <w:rPr>
                      <w:rFonts w:ascii="宋体" w:hAnsi="宋体" w:eastAsia="宋体" w:cs="宋体"/>
                      <w:spacing w:val="9"/>
                      <w:sz w:val="21"/>
                      <w:szCs w:val="21"/>
                    </w:rPr>
                    <w:t>美女峰省级风景名胜区</w:t>
                  </w:r>
                </w:p>
              </w:tc>
            </w:tr>
            <w:tr>
              <w:tblPrEx>
                <w:tblBorders>
                  <w:top w:val="single" w:color="000000" w:sz="2" w:space="0"/>
                  <w:left w:val="single" w:color="000000" w:sz="2" w:space="0"/>
                  <w:bottom w:val="single" w:color="000000" w:sz="2" w:space="0"/>
                  <w:right w:val="single" w:color="000000" w:sz="6" w:space="0"/>
                  <w:insideH w:val="single" w:color="000000" w:sz="2" w:space="0"/>
                  <w:insideV w:val="single" w:color="000000" w:sz="2" w:space="0"/>
                </w:tblBorders>
              </w:tblPrEx>
              <w:trPr>
                <w:trHeight w:val="549" w:hRule="atLeast"/>
              </w:trPr>
              <w:tc>
                <w:tcPr>
                  <w:tcW w:w="90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sz w:val="21"/>
                      <w:szCs w:val="21"/>
                    </w:rPr>
                  </w:pPr>
                </w:p>
              </w:tc>
              <w:tc>
                <w:tcPr>
                  <w:tcW w:w="5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7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21"/>
                      <w:szCs w:val="21"/>
                    </w:rPr>
                  </w:pPr>
                  <w:r>
                    <w:rPr>
                      <w:rFonts w:ascii="宋体" w:hAnsi="宋体" w:eastAsia="宋体" w:cs="宋体"/>
                      <w:spacing w:val="10"/>
                      <w:sz w:val="21"/>
                      <w:szCs w:val="21"/>
                    </w:rPr>
                    <w:t>地</w:t>
                  </w:r>
                  <w:r>
                    <w:rPr>
                      <w:rFonts w:ascii="宋体" w:hAnsi="宋体" w:eastAsia="宋体" w:cs="宋体"/>
                      <w:spacing w:val="9"/>
                      <w:sz w:val="21"/>
                      <w:szCs w:val="21"/>
                    </w:rPr>
                    <w:t>质公园的地质遗迹保护</w:t>
                  </w:r>
                  <w:r>
                    <w:rPr>
                      <w:rFonts w:ascii="宋体" w:hAnsi="宋体" w:eastAsia="宋体" w:cs="宋体"/>
                      <w:sz w:val="21"/>
                      <w:szCs w:val="21"/>
                    </w:rPr>
                    <w:t>区</w:t>
                  </w:r>
                </w:p>
              </w:tc>
              <w:tc>
                <w:tcPr>
                  <w:tcW w:w="49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21"/>
                      <w:szCs w:val="21"/>
                    </w:rPr>
                  </w:pPr>
                  <w:r>
                    <w:rPr>
                      <w:rFonts w:ascii="宋体" w:hAnsi="宋体" w:eastAsia="宋体" w:cs="宋体"/>
                      <w:spacing w:val="9"/>
                      <w:sz w:val="21"/>
                      <w:szCs w:val="21"/>
                    </w:rPr>
                    <w:t>大渡河峡谷国家地质公</w:t>
                  </w:r>
                  <w:r>
                    <w:rPr>
                      <w:rFonts w:ascii="宋体" w:hAnsi="宋体" w:eastAsia="宋体" w:cs="宋体"/>
                      <w:spacing w:val="8"/>
                      <w:sz w:val="21"/>
                      <w:szCs w:val="21"/>
                    </w:rPr>
                    <w:t>园</w:t>
                  </w:r>
                </w:p>
              </w:tc>
            </w:tr>
            <w:tr>
              <w:tblPrEx>
                <w:tblBorders>
                  <w:top w:val="single" w:color="000000" w:sz="2" w:space="0"/>
                  <w:left w:val="single" w:color="000000" w:sz="2" w:space="0"/>
                  <w:bottom w:val="single" w:color="000000" w:sz="2" w:space="0"/>
                  <w:right w:val="single" w:color="000000" w:sz="6"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90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sz w:val="21"/>
                      <w:szCs w:val="21"/>
                    </w:rPr>
                  </w:pPr>
                </w:p>
              </w:tc>
              <w:tc>
                <w:tcPr>
                  <w:tcW w:w="5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w:t>
                  </w:r>
                </w:p>
              </w:tc>
              <w:tc>
                <w:tcPr>
                  <w:tcW w:w="27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21"/>
                      <w:szCs w:val="21"/>
                    </w:rPr>
                  </w:pPr>
                  <w:r>
                    <w:rPr>
                      <w:rFonts w:ascii="宋体" w:hAnsi="宋体" w:eastAsia="宋体" w:cs="宋体"/>
                      <w:spacing w:val="6"/>
                      <w:sz w:val="21"/>
                      <w:szCs w:val="21"/>
                    </w:rPr>
                    <w:t>湿地公园的湿地保育区、</w:t>
                  </w:r>
                  <w:r>
                    <w:rPr>
                      <w:rFonts w:ascii="宋体" w:hAnsi="宋体" w:eastAsia="宋体" w:cs="宋体"/>
                      <w:spacing w:val="5"/>
                      <w:sz w:val="21"/>
                      <w:szCs w:val="21"/>
                    </w:rPr>
                    <w:t>恢</w:t>
                  </w:r>
                  <w:r>
                    <w:rPr>
                      <w:rFonts w:ascii="宋体" w:hAnsi="宋体" w:eastAsia="宋体" w:cs="宋体"/>
                      <w:sz w:val="21"/>
                      <w:szCs w:val="21"/>
                    </w:rPr>
                    <w:t xml:space="preserve"> </w:t>
                  </w:r>
                  <w:r>
                    <w:rPr>
                      <w:rFonts w:ascii="宋体" w:hAnsi="宋体" w:eastAsia="宋体" w:cs="宋体"/>
                      <w:spacing w:val="6"/>
                      <w:sz w:val="21"/>
                      <w:szCs w:val="21"/>
                    </w:rPr>
                    <w:t>复重建</w:t>
                  </w:r>
                  <w:r>
                    <w:rPr>
                      <w:rFonts w:ascii="宋体" w:hAnsi="宋体" w:eastAsia="宋体" w:cs="宋体"/>
                      <w:spacing w:val="5"/>
                      <w:sz w:val="21"/>
                      <w:szCs w:val="21"/>
                    </w:rPr>
                    <w:t>区</w:t>
                  </w:r>
                </w:p>
              </w:tc>
              <w:tc>
                <w:tcPr>
                  <w:tcW w:w="49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21"/>
                      <w:szCs w:val="21"/>
                    </w:rPr>
                  </w:pPr>
                  <w:r>
                    <w:rPr>
                      <w:rFonts w:ascii="宋体" w:hAnsi="宋体" w:eastAsia="宋体" w:cs="宋体"/>
                      <w:spacing w:val="10"/>
                      <w:sz w:val="21"/>
                      <w:szCs w:val="21"/>
                    </w:rPr>
                    <w:t>大</w:t>
                  </w:r>
                  <w:r>
                    <w:rPr>
                      <w:rFonts w:ascii="宋体" w:hAnsi="宋体" w:eastAsia="宋体" w:cs="宋体"/>
                      <w:spacing w:val="8"/>
                      <w:sz w:val="21"/>
                      <w:szCs w:val="21"/>
                    </w:rPr>
                    <w:t>瓦山国家湿地</w:t>
                  </w:r>
                </w:p>
              </w:tc>
            </w:tr>
            <w:tr>
              <w:tblPrEx>
                <w:tblBorders>
                  <w:top w:val="single" w:color="000000" w:sz="2" w:space="0"/>
                  <w:left w:val="single" w:color="000000" w:sz="2" w:space="0"/>
                  <w:bottom w:val="single" w:color="000000" w:sz="2" w:space="0"/>
                  <w:right w:val="single" w:color="000000" w:sz="6" w:space="0"/>
                  <w:insideH w:val="single" w:color="000000" w:sz="2" w:space="0"/>
                  <w:insideV w:val="single" w:color="000000" w:sz="2" w:space="0"/>
                </w:tblBorders>
              </w:tblPrEx>
              <w:trPr>
                <w:trHeight w:val="277" w:hRule="atLeast"/>
              </w:trPr>
              <w:tc>
                <w:tcPr>
                  <w:tcW w:w="90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sz w:val="21"/>
                      <w:szCs w:val="21"/>
                    </w:rPr>
                  </w:pPr>
                </w:p>
              </w:tc>
              <w:tc>
                <w:tcPr>
                  <w:tcW w:w="5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7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21"/>
                      <w:szCs w:val="21"/>
                    </w:rPr>
                  </w:pPr>
                  <w:r>
                    <w:rPr>
                      <w:rFonts w:ascii="宋体" w:hAnsi="宋体" w:eastAsia="宋体" w:cs="宋体"/>
                      <w:spacing w:val="10"/>
                      <w:sz w:val="21"/>
                      <w:szCs w:val="21"/>
                    </w:rPr>
                    <w:t>世</w:t>
                  </w:r>
                  <w:r>
                    <w:rPr>
                      <w:rFonts w:ascii="宋体" w:hAnsi="宋体" w:eastAsia="宋体" w:cs="宋体"/>
                      <w:spacing w:val="9"/>
                      <w:sz w:val="21"/>
                      <w:szCs w:val="21"/>
                    </w:rPr>
                    <w:t>界自然遗产地的核心区</w:t>
                  </w:r>
                </w:p>
              </w:tc>
              <w:tc>
                <w:tcPr>
                  <w:tcW w:w="49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21"/>
                      <w:szCs w:val="21"/>
                    </w:rPr>
                  </w:pPr>
                  <w:r>
                    <w:rPr>
                      <w:rFonts w:ascii="宋体" w:hAnsi="宋体" w:eastAsia="宋体" w:cs="宋体"/>
                      <w:spacing w:val="16"/>
                      <w:sz w:val="21"/>
                      <w:szCs w:val="21"/>
                    </w:rPr>
                    <w:t>峨</w:t>
                  </w:r>
                  <w:r>
                    <w:rPr>
                      <w:rFonts w:ascii="宋体" w:hAnsi="宋体" w:eastAsia="宋体" w:cs="宋体"/>
                      <w:spacing w:val="10"/>
                      <w:sz w:val="21"/>
                      <w:szCs w:val="21"/>
                    </w:rPr>
                    <w:t>眉</w:t>
                  </w:r>
                  <w:r>
                    <w:rPr>
                      <w:rFonts w:ascii="宋体" w:hAnsi="宋体" w:eastAsia="宋体" w:cs="宋体"/>
                      <w:spacing w:val="8"/>
                      <w:sz w:val="21"/>
                      <w:szCs w:val="21"/>
                    </w:rPr>
                    <w:t>山</w:t>
                  </w:r>
                  <w:r>
                    <w:rPr>
                      <w:rFonts w:ascii="Times New Roman" w:hAnsi="Times New Roman" w:eastAsia="Times New Roman" w:cs="Times New Roman"/>
                      <w:spacing w:val="8"/>
                      <w:sz w:val="21"/>
                      <w:szCs w:val="21"/>
                    </w:rPr>
                    <w:t>-</w:t>
                  </w:r>
                  <w:r>
                    <w:rPr>
                      <w:rFonts w:ascii="宋体" w:hAnsi="宋体" w:eastAsia="宋体" w:cs="宋体"/>
                      <w:spacing w:val="8"/>
                      <w:sz w:val="21"/>
                      <w:szCs w:val="21"/>
                    </w:rPr>
                    <w:t>乐山大佛世界自然与文化遗产</w:t>
                  </w:r>
                </w:p>
              </w:tc>
            </w:tr>
            <w:tr>
              <w:tblPrEx>
                <w:tblBorders>
                  <w:top w:val="single" w:color="000000" w:sz="2" w:space="0"/>
                  <w:left w:val="single" w:color="000000" w:sz="2" w:space="0"/>
                  <w:bottom w:val="single" w:color="000000" w:sz="2" w:space="0"/>
                  <w:right w:val="single" w:color="000000" w:sz="6"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90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sz w:val="21"/>
                      <w:szCs w:val="21"/>
                    </w:rPr>
                  </w:pPr>
                </w:p>
              </w:tc>
              <w:tc>
                <w:tcPr>
                  <w:tcW w:w="5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27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21"/>
                      <w:szCs w:val="21"/>
                    </w:rPr>
                  </w:pPr>
                  <w:r>
                    <w:rPr>
                      <w:rFonts w:ascii="宋体" w:hAnsi="宋体" w:eastAsia="宋体" w:cs="宋体"/>
                      <w:spacing w:val="10"/>
                      <w:sz w:val="21"/>
                      <w:szCs w:val="21"/>
                    </w:rPr>
                    <w:t>饮</w:t>
                  </w:r>
                  <w:r>
                    <w:rPr>
                      <w:rFonts w:ascii="宋体" w:hAnsi="宋体" w:eastAsia="宋体" w:cs="宋体"/>
                      <w:spacing w:val="9"/>
                      <w:sz w:val="21"/>
                      <w:szCs w:val="21"/>
                    </w:rPr>
                    <w:t>用水水源保护区的一级</w:t>
                  </w:r>
                  <w:r>
                    <w:rPr>
                      <w:rFonts w:ascii="宋体" w:hAnsi="宋体" w:eastAsia="宋体" w:cs="宋体"/>
                      <w:sz w:val="21"/>
                      <w:szCs w:val="21"/>
                    </w:rPr>
                    <w:t xml:space="preserve"> </w:t>
                  </w:r>
                  <w:r>
                    <w:rPr>
                      <w:rFonts w:ascii="宋体" w:hAnsi="宋体" w:eastAsia="宋体" w:cs="宋体"/>
                      <w:spacing w:val="7"/>
                      <w:sz w:val="21"/>
                      <w:szCs w:val="21"/>
                    </w:rPr>
                    <w:t>保</w:t>
                  </w:r>
                  <w:r>
                    <w:rPr>
                      <w:rFonts w:ascii="宋体" w:hAnsi="宋体" w:eastAsia="宋体" w:cs="宋体"/>
                      <w:spacing w:val="6"/>
                      <w:sz w:val="21"/>
                      <w:szCs w:val="21"/>
                    </w:rPr>
                    <w:t>护区</w:t>
                  </w:r>
                </w:p>
              </w:tc>
              <w:tc>
                <w:tcPr>
                  <w:tcW w:w="49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21"/>
                      <w:szCs w:val="21"/>
                    </w:rPr>
                  </w:pPr>
                  <w:r>
                    <w:rPr>
                      <w:rFonts w:ascii="宋体" w:hAnsi="宋体" w:eastAsia="宋体" w:cs="宋体"/>
                      <w:spacing w:val="8"/>
                      <w:sz w:val="21"/>
                      <w:szCs w:val="21"/>
                    </w:rPr>
                    <w:t>乐山</w:t>
                  </w:r>
                  <w:r>
                    <w:rPr>
                      <w:rFonts w:ascii="宋体" w:hAnsi="宋体" w:eastAsia="宋体" w:cs="宋体"/>
                      <w:spacing w:val="5"/>
                      <w:sz w:val="21"/>
                      <w:szCs w:val="21"/>
                    </w:rPr>
                    <w:t>市</w:t>
                  </w:r>
                  <w:r>
                    <w:rPr>
                      <w:rFonts w:ascii="宋体" w:hAnsi="宋体" w:eastAsia="宋体" w:cs="宋体"/>
                      <w:spacing w:val="4"/>
                      <w:sz w:val="21"/>
                      <w:szCs w:val="21"/>
                    </w:rPr>
                    <w:t>第一水厂饮用水新水源保护区、乐山市青</w:t>
                  </w:r>
                  <w:r>
                    <w:rPr>
                      <w:rFonts w:ascii="宋体" w:hAnsi="宋体" w:eastAsia="宋体" w:cs="宋体"/>
                      <w:sz w:val="21"/>
                      <w:szCs w:val="21"/>
                    </w:rPr>
                    <w:t xml:space="preserve"> </w:t>
                  </w:r>
                  <w:r>
                    <w:rPr>
                      <w:rFonts w:ascii="宋体" w:hAnsi="宋体" w:eastAsia="宋体" w:cs="宋体"/>
                      <w:spacing w:val="14"/>
                      <w:sz w:val="21"/>
                      <w:szCs w:val="21"/>
                    </w:rPr>
                    <w:t>衣</w:t>
                  </w:r>
                  <w:r>
                    <w:rPr>
                      <w:rFonts w:ascii="宋体" w:hAnsi="宋体" w:eastAsia="宋体" w:cs="宋体"/>
                      <w:spacing w:val="9"/>
                      <w:sz w:val="21"/>
                      <w:szCs w:val="21"/>
                    </w:rPr>
                    <w:t>江陶渡集中式饮用水水源保护区</w:t>
                  </w:r>
                </w:p>
              </w:tc>
            </w:tr>
            <w:tr>
              <w:tblPrEx>
                <w:tblBorders>
                  <w:top w:val="single" w:color="000000" w:sz="2" w:space="0"/>
                  <w:left w:val="single" w:color="000000" w:sz="2" w:space="0"/>
                  <w:bottom w:val="single" w:color="000000" w:sz="2" w:space="0"/>
                  <w:right w:val="single" w:color="000000" w:sz="6"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90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sz w:val="21"/>
                      <w:szCs w:val="21"/>
                    </w:rPr>
                  </w:pPr>
                </w:p>
              </w:tc>
              <w:tc>
                <w:tcPr>
                  <w:tcW w:w="5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27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21"/>
                      <w:szCs w:val="21"/>
                    </w:rPr>
                  </w:pPr>
                  <w:r>
                    <w:rPr>
                      <w:rFonts w:ascii="宋体" w:hAnsi="宋体" w:eastAsia="宋体" w:cs="宋体"/>
                      <w:spacing w:val="9"/>
                      <w:sz w:val="21"/>
                      <w:szCs w:val="21"/>
                    </w:rPr>
                    <w:t>水产种质资源保护区的</w:t>
                  </w:r>
                  <w:r>
                    <w:rPr>
                      <w:rFonts w:ascii="宋体" w:hAnsi="宋体" w:eastAsia="宋体" w:cs="宋体"/>
                      <w:spacing w:val="8"/>
                      <w:sz w:val="21"/>
                      <w:szCs w:val="21"/>
                    </w:rPr>
                    <w:t>核</w:t>
                  </w:r>
                  <w:r>
                    <w:rPr>
                      <w:rFonts w:ascii="宋体" w:hAnsi="宋体" w:eastAsia="宋体" w:cs="宋体"/>
                      <w:sz w:val="21"/>
                      <w:szCs w:val="21"/>
                    </w:rPr>
                    <w:t xml:space="preserve"> </w:t>
                  </w:r>
                  <w:r>
                    <w:rPr>
                      <w:rFonts w:ascii="宋体" w:hAnsi="宋体" w:eastAsia="宋体" w:cs="宋体"/>
                      <w:spacing w:val="3"/>
                      <w:sz w:val="21"/>
                      <w:szCs w:val="21"/>
                    </w:rPr>
                    <w:t>心区</w:t>
                  </w:r>
                </w:p>
              </w:tc>
              <w:tc>
                <w:tcPr>
                  <w:tcW w:w="49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21"/>
                      <w:szCs w:val="21"/>
                    </w:rPr>
                  </w:pPr>
                  <w:r>
                    <w:rPr>
                      <w:rFonts w:ascii="宋体" w:hAnsi="宋体" w:eastAsia="宋体" w:cs="宋体"/>
                      <w:spacing w:val="9"/>
                      <w:sz w:val="21"/>
                      <w:szCs w:val="21"/>
                    </w:rPr>
                    <w:t>岷江长吻鮠国家级水产种质资源保护区</w:t>
                  </w:r>
                </w:p>
              </w:tc>
            </w:tr>
            <w:tr>
              <w:tblPrEx>
                <w:tblBorders>
                  <w:top w:val="single" w:color="000000" w:sz="2" w:space="0"/>
                  <w:left w:val="single" w:color="000000" w:sz="2" w:space="0"/>
                  <w:bottom w:val="single" w:color="000000" w:sz="2" w:space="0"/>
                  <w:right w:val="single" w:color="000000" w:sz="6" w:space="0"/>
                  <w:insideH w:val="single" w:color="000000" w:sz="2" w:space="0"/>
                  <w:insideV w:val="single" w:color="000000" w:sz="2" w:space="0"/>
                </w:tblBorders>
              </w:tblPrEx>
              <w:trPr>
                <w:trHeight w:val="550" w:hRule="atLeast"/>
              </w:trPr>
              <w:tc>
                <w:tcPr>
                  <w:tcW w:w="90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21"/>
                      <w:szCs w:val="21"/>
                    </w:rPr>
                  </w:pPr>
                  <w:r>
                    <w:rPr>
                      <w:rFonts w:ascii="宋体" w:hAnsi="宋体" w:eastAsia="宋体" w:cs="宋体"/>
                      <w:spacing w:val="4"/>
                      <w:sz w:val="21"/>
                      <w:szCs w:val="21"/>
                    </w:rPr>
                    <w:t>其他</w:t>
                  </w: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21"/>
                      <w:szCs w:val="21"/>
                    </w:rPr>
                  </w:pPr>
                  <w:r>
                    <w:rPr>
                      <w:rFonts w:ascii="宋体" w:hAnsi="宋体" w:eastAsia="宋体" w:cs="宋体"/>
                      <w:spacing w:val="4"/>
                      <w:sz w:val="21"/>
                      <w:szCs w:val="21"/>
                    </w:rPr>
                    <w:t>各</w:t>
                  </w:r>
                  <w:r>
                    <w:rPr>
                      <w:rFonts w:ascii="宋体" w:hAnsi="宋体" w:eastAsia="宋体" w:cs="宋体"/>
                      <w:spacing w:val="3"/>
                      <w:sz w:val="21"/>
                      <w:szCs w:val="21"/>
                    </w:rPr>
                    <w:t>类</w:t>
                  </w: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21"/>
                      <w:szCs w:val="21"/>
                    </w:rPr>
                  </w:pPr>
                  <w:r>
                    <w:rPr>
                      <w:rFonts w:ascii="宋体" w:hAnsi="宋体" w:eastAsia="宋体" w:cs="宋体"/>
                      <w:spacing w:val="4"/>
                      <w:sz w:val="21"/>
                      <w:szCs w:val="21"/>
                    </w:rPr>
                    <w:t>保护</w:t>
                  </w: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21"/>
                      <w:szCs w:val="21"/>
                    </w:rPr>
                  </w:pPr>
                  <w:r>
                    <w:rPr>
                      <w:rFonts w:ascii="宋体" w:hAnsi="宋体" w:eastAsia="宋体" w:cs="宋体"/>
                      <w:sz w:val="21"/>
                      <w:szCs w:val="21"/>
                    </w:rPr>
                    <w:t>地</w:t>
                  </w:r>
                </w:p>
              </w:tc>
              <w:tc>
                <w:tcPr>
                  <w:tcW w:w="5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7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21"/>
                      <w:szCs w:val="21"/>
                    </w:rPr>
                  </w:pPr>
                  <w:r>
                    <w:rPr>
                      <w:rFonts w:ascii="宋体" w:hAnsi="宋体" w:eastAsia="宋体" w:cs="宋体"/>
                      <w:spacing w:val="9"/>
                      <w:sz w:val="21"/>
                      <w:szCs w:val="21"/>
                    </w:rPr>
                    <w:t>极小种群物种分布的栖</w:t>
                  </w:r>
                  <w:r>
                    <w:rPr>
                      <w:rFonts w:ascii="宋体" w:hAnsi="宋体" w:eastAsia="宋体" w:cs="宋体"/>
                      <w:spacing w:val="8"/>
                      <w:sz w:val="21"/>
                      <w:szCs w:val="21"/>
                    </w:rPr>
                    <w:t>息</w:t>
                  </w:r>
                  <w:r>
                    <w:rPr>
                      <w:rFonts w:ascii="宋体" w:hAnsi="宋体" w:eastAsia="宋体" w:cs="宋体"/>
                      <w:sz w:val="21"/>
                      <w:szCs w:val="21"/>
                    </w:rPr>
                    <w:t xml:space="preserve"> 地</w:t>
                  </w:r>
                </w:p>
              </w:tc>
              <w:tc>
                <w:tcPr>
                  <w:tcW w:w="49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21"/>
                      <w:szCs w:val="21"/>
                    </w:rPr>
                  </w:pPr>
                  <w:r>
                    <w:rPr>
                      <w:rFonts w:ascii="宋体" w:hAnsi="宋体" w:eastAsia="宋体" w:cs="宋体"/>
                      <w:spacing w:val="10"/>
                      <w:sz w:val="21"/>
                      <w:szCs w:val="21"/>
                    </w:rPr>
                    <w:t>峨</w:t>
                  </w:r>
                  <w:r>
                    <w:rPr>
                      <w:rFonts w:ascii="宋体" w:hAnsi="宋体" w:eastAsia="宋体" w:cs="宋体"/>
                      <w:spacing w:val="9"/>
                      <w:sz w:val="21"/>
                      <w:szCs w:val="21"/>
                    </w:rPr>
                    <w:t>眉黄连、峨眉拟单性木兰的分布栖息地</w:t>
                  </w:r>
                </w:p>
              </w:tc>
            </w:tr>
            <w:tr>
              <w:tblPrEx>
                <w:tblBorders>
                  <w:top w:val="single" w:color="000000" w:sz="2" w:space="0"/>
                  <w:left w:val="single" w:color="000000" w:sz="2" w:space="0"/>
                  <w:bottom w:val="single" w:color="000000" w:sz="2" w:space="0"/>
                  <w:right w:val="single" w:color="000000" w:sz="6"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0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sz w:val="21"/>
                      <w:szCs w:val="21"/>
                    </w:rPr>
                  </w:pPr>
                </w:p>
              </w:tc>
              <w:tc>
                <w:tcPr>
                  <w:tcW w:w="5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7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21"/>
                      <w:szCs w:val="21"/>
                    </w:rPr>
                  </w:pPr>
                  <w:r>
                    <w:rPr>
                      <w:rFonts w:ascii="宋体" w:hAnsi="宋体" w:eastAsia="宋体" w:cs="宋体"/>
                      <w:spacing w:val="10"/>
                      <w:sz w:val="21"/>
                      <w:szCs w:val="21"/>
                    </w:rPr>
                    <w:t>国</w:t>
                  </w:r>
                  <w:r>
                    <w:rPr>
                      <w:rFonts w:ascii="宋体" w:hAnsi="宋体" w:eastAsia="宋体" w:cs="宋体"/>
                      <w:spacing w:val="5"/>
                      <w:sz w:val="21"/>
                      <w:szCs w:val="21"/>
                    </w:rPr>
                    <w:t>家一级公益林</w:t>
                  </w:r>
                </w:p>
              </w:tc>
              <w:tc>
                <w:tcPr>
                  <w:tcW w:w="49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21"/>
                      <w:szCs w:val="21"/>
                    </w:rPr>
                  </w:pPr>
                  <w:r>
                    <w:rPr>
                      <w:rFonts w:ascii="宋体" w:hAnsi="宋体" w:eastAsia="宋体" w:cs="宋体"/>
                      <w:spacing w:val="9"/>
                      <w:sz w:val="21"/>
                      <w:szCs w:val="21"/>
                    </w:rPr>
                    <w:t>峨眉山市、峨边县、马边县、沐川</w:t>
                  </w:r>
                  <w:r>
                    <w:rPr>
                      <w:rFonts w:ascii="宋体" w:hAnsi="宋体" w:eastAsia="宋体" w:cs="宋体"/>
                      <w:spacing w:val="8"/>
                      <w:sz w:val="21"/>
                      <w:szCs w:val="21"/>
                    </w:rPr>
                    <w:t>县</w:t>
                  </w:r>
                </w:p>
              </w:tc>
            </w:tr>
            <w:tr>
              <w:tblPrEx>
                <w:tblBorders>
                  <w:top w:val="single" w:color="000000" w:sz="2" w:space="0"/>
                  <w:left w:val="single" w:color="000000" w:sz="2" w:space="0"/>
                  <w:bottom w:val="single" w:color="000000" w:sz="2" w:space="0"/>
                  <w:right w:val="single" w:color="000000" w:sz="6" w:space="0"/>
                  <w:insideH w:val="single" w:color="000000" w:sz="2" w:space="0"/>
                  <w:insideV w:val="single" w:color="000000" w:sz="2" w:space="0"/>
                </w:tblBorders>
              </w:tblPrEx>
              <w:trPr>
                <w:trHeight w:val="286" w:hRule="atLeast"/>
              </w:trPr>
              <w:tc>
                <w:tcPr>
                  <w:tcW w:w="90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sz w:val="21"/>
                      <w:szCs w:val="21"/>
                    </w:rPr>
                  </w:pPr>
                </w:p>
              </w:tc>
              <w:tc>
                <w:tcPr>
                  <w:tcW w:w="5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7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21"/>
                      <w:szCs w:val="21"/>
                    </w:rPr>
                  </w:pPr>
                  <w:r>
                    <w:rPr>
                      <w:rFonts w:ascii="宋体" w:hAnsi="宋体" w:eastAsia="宋体" w:cs="宋体"/>
                      <w:spacing w:val="7"/>
                      <w:sz w:val="21"/>
                      <w:szCs w:val="21"/>
                    </w:rPr>
                    <w:t>重要湿地</w:t>
                  </w:r>
                </w:p>
              </w:tc>
              <w:tc>
                <w:tcPr>
                  <w:tcW w:w="49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21"/>
                      <w:szCs w:val="21"/>
                    </w:rPr>
                  </w:pPr>
                  <w:r>
                    <w:rPr>
                      <w:rFonts w:ascii="宋体" w:hAnsi="宋体" w:eastAsia="宋体" w:cs="宋体"/>
                      <w:spacing w:val="11"/>
                      <w:sz w:val="21"/>
                      <w:szCs w:val="21"/>
                    </w:rPr>
                    <w:t>沙</w:t>
                  </w:r>
                  <w:r>
                    <w:rPr>
                      <w:rFonts w:ascii="宋体" w:hAnsi="宋体" w:eastAsia="宋体" w:cs="宋体"/>
                      <w:spacing w:val="8"/>
                      <w:sz w:val="21"/>
                      <w:szCs w:val="21"/>
                    </w:rPr>
                    <w:t>湾区、犍为县</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pacing w:val="0"/>
                <w:sz w:val="24"/>
                <w:szCs w:val="24"/>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pacing w:val="0"/>
                <w:sz w:val="24"/>
                <w:szCs w:val="24"/>
                <w:lang w:val="en-US" w:eastAsia="zh-CN"/>
              </w:rPr>
            </w:pPr>
            <w:r>
              <w:rPr>
                <w:sz w:val="24"/>
              </w:rPr>
              <mc:AlternateContent>
                <mc:Choice Requires="wps">
                  <w:drawing>
                    <wp:anchor distT="0" distB="0" distL="114300" distR="114300" simplePos="0" relativeHeight="251663360" behindDoc="0" locked="0" layoutInCell="1" allowOverlap="1">
                      <wp:simplePos x="0" y="0"/>
                      <wp:positionH relativeFrom="column">
                        <wp:posOffset>2855595</wp:posOffset>
                      </wp:positionH>
                      <wp:positionV relativeFrom="paragraph">
                        <wp:posOffset>528320</wp:posOffset>
                      </wp:positionV>
                      <wp:extent cx="702310" cy="285750"/>
                      <wp:effectExtent l="18415" t="12700" r="22225" b="215900"/>
                      <wp:wrapNone/>
                      <wp:docPr id="207" name="矩形标注 207"/>
                      <wp:cNvGraphicFramePr/>
                      <a:graphic xmlns:a="http://schemas.openxmlformats.org/drawingml/2006/main">
                        <a:graphicData uri="http://schemas.microsoft.com/office/word/2010/wordprocessingShape">
                          <wps:wsp>
                            <wps:cNvSpPr/>
                            <wps:spPr>
                              <a:xfrm>
                                <a:off x="0" y="0"/>
                                <a:ext cx="702310" cy="285750"/>
                              </a:xfrm>
                              <a:prstGeom prst="wedgeRectCallout">
                                <a:avLst>
                                  <a:gd name="adj1" fmla="val -47319"/>
                                  <a:gd name="adj2" fmla="val 106444"/>
                                </a:avLst>
                              </a:prstGeom>
                              <a:noFill/>
                              <a:ln w="25400" cap="flat" cmpd="sng">
                                <a:solidFill>
                                  <a:srgbClr val="FF0000"/>
                                </a:solidFill>
                                <a:prstDash val="solid"/>
                                <a:miter/>
                                <a:headEnd type="none" w="med" len="med"/>
                                <a:tailEnd type="none" w="med" len="med"/>
                              </a:ln>
                            </wps:spPr>
                            <wps:txbx>
                              <w:txbxContent>
                                <w:p>
                                  <w:pPr>
                                    <w:rPr>
                                      <w:rFonts w:hint="eastAsia" w:eastAsia="宋体"/>
                                      <w:lang w:val="en-US" w:eastAsia="zh-CN"/>
                                    </w:rPr>
                                  </w:pPr>
                                  <w:r>
                                    <w:rPr>
                                      <w:rFonts w:hint="eastAsia"/>
                                      <w:lang w:val="en-US" w:eastAsia="zh-CN"/>
                                    </w:rPr>
                                    <w:t>本项目</w:t>
                                  </w:r>
                                </w:p>
                              </w:txbxContent>
                            </wps:txbx>
                            <wps:bodyPr upright="1"/>
                          </wps:wsp>
                        </a:graphicData>
                      </a:graphic>
                    </wp:anchor>
                  </w:drawing>
                </mc:Choice>
                <mc:Fallback>
                  <w:pict>
                    <v:shape id="_x0000_s1026" o:spid="_x0000_s1026" o:spt="61" type="#_x0000_t61" style="position:absolute;left:0pt;margin-left:224.85pt;margin-top:41.6pt;height:22.5pt;width:55.3pt;z-index:251663360;mso-width-relative:page;mso-height-relative:page;" filled="f" stroked="t" coordsize="21600,21600" o:gfxdata="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MUVy2QAAAAoBAAAPAAAAAAAAAAEAIAAAACIAAABkcnMvZG93&#10;bnJldi54bWxQSwECFAAUAAAACACHTuJAkRj/KDgCAABpBAAADgAAAAAAAAABACAAAAAoAQAAZHJz&#10;L2Uyb0RvYy54bWxQSwUGAAAAAAYABgBZAQAA0gUAAAAA&#10;" adj="579,33792">
                      <v:path/>
                      <v:fill on="f" focussize="0,0"/>
                      <v:stroke weight="2pt" color="#FF0000"/>
                      <v:imagedata o:title=""/>
                      <o:lock v:ext="edit" aspectratio="f"/>
                      <v:textbox>
                        <w:txbxContent>
                          <w:p>
                            <w:pPr>
                              <w:rPr>
                                <w:rFonts w:hint="eastAsia" w:eastAsia="宋体"/>
                                <w:lang w:val="en-US" w:eastAsia="zh-CN"/>
                              </w:rPr>
                            </w:pPr>
                            <w:r>
                              <w:rPr>
                                <w:rFonts w:hint="eastAsia"/>
                                <w:lang w:val="en-US" w:eastAsia="zh-CN"/>
                              </w:rPr>
                              <w:t>本项目</w:t>
                            </w:r>
                          </w:p>
                        </w:txbxContent>
                      </v:textbox>
                    </v:shape>
                  </w:pict>
                </mc:Fallback>
              </mc:AlternateContent>
            </w:r>
            <w:r>
              <w:drawing>
                <wp:inline distT="0" distB="0" distL="114300" distR="114300">
                  <wp:extent cx="4770755" cy="3545840"/>
                  <wp:effectExtent l="9525" t="9525" r="20320" b="26035"/>
                  <wp:docPr id="20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10"/>
                          <pic:cNvPicPr>
                            <a:picLocks noChangeAspect="1"/>
                          </pic:cNvPicPr>
                        </pic:nvPicPr>
                        <pic:blipFill>
                          <a:blip r:embed="rId32"/>
                          <a:stretch>
                            <a:fillRect/>
                          </a:stretch>
                        </pic:blipFill>
                        <pic:spPr>
                          <a:xfrm>
                            <a:off x="0" y="0"/>
                            <a:ext cx="4770755" cy="3545840"/>
                          </a:xfrm>
                          <a:prstGeom prst="rect">
                            <a:avLst/>
                          </a:prstGeom>
                          <a:noFill/>
                          <a:ln w="9525" cap="flat" cmpd="sng">
                            <a:solidFill>
                              <a:srgbClr val="000000"/>
                            </a:solidFill>
                            <a:prstDash val="solid"/>
                            <a:miter/>
                            <a:headEnd type="none" w="med" len="med"/>
                            <a:tailEnd type="none" w="med" len="med"/>
                          </a:ln>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418" w:firstLineChars="200"/>
              <w:jc w:val="center"/>
              <w:textAlignment w:val="auto"/>
              <w:rPr>
                <w:rFonts w:hint="default" w:ascii="Times New Roman" w:hAnsi="Times New Roman" w:eastAsia="宋体" w:cs="Times New Roman"/>
                <w:b/>
                <w:bCs/>
                <w:color w:val="auto"/>
                <w:spacing w:val="0"/>
                <w:sz w:val="21"/>
                <w:szCs w:val="21"/>
                <w:lang w:val="en-US" w:eastAsia="zh-CN"/>
              </w:rPr>
            </w:pPr>
            <w:r>
              <w:rPr>
                <w:rFonts w:hint="default" w:ascii="Times New Roman" w:hAnsi="Times New Roman" w:eastAsia="宋体" w:cs="Times New Roman"/>
                <w:b/>
                <w:bCs/>
                <w:spacing w:val="-1"/>
                <w:sz w:val="21"/>
                <w:szCs w:val="21"/>
              </w:rPr>
              <w:t>图1-1</w:t>
            </w:r>
            <w:r>
              <w:rPr>
                <w:rFonts w:hint="eastAsia" w:ascii="Times New Roman" w:hAnsi="Times New Roman" w:eastAsia="宋体" w:cs="Times New Roman"/>
                <w:b/>
                <w:bCs/>
                <w:spacing w:val="-1"/>
                <w:sz w:val="21"/>
                <w:szCs w:val="21"/>
                <w:lang w:val="en-US" w:eastAsia="zh-CN"/>
              </w:rPr>
              <w:t xml:space="preserve">  </w:t>
            </w:r>
            <w:r>
              <w:rPr>
                <w:rFonts w:hint="default" w:ascii="Times New Roman" w:hAnsi="Times New Roman" w:eastAsia="宋体" w:cs="Times New Roman"/>
                <w:b/>
                <w:bCs/>
                <w:sz w:val="21"/>
                <w:szCs w:val="21"/>
              </w:rPr>
              <w:t>乐山市生态红线图</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pacing w:val="0"/>
                <w:sz w:val="24"/>
                <w:szCs w:val="24"/>
                <w:lang w:val="en-US" w:eastAsia="zh-CN"/>
              </w:rPr>
            </w:pPr>
            <w:r>
              <w:rPr>
                <w:rFonts w:hint="default" w:ascii="Times New Roman" w:hAnsi="Times New Roman" w:eastAsia="宋体" w:cs="Times New Roman"/>
                <w:b w:val="0"/>
                <w:bCs w:val="0"/>
                <w:color w:val="auto"/>
                <w:spacing w:val="0"/>
                <w:sz w:val="24"/>
                <w:szCs w:val="24"/>
                <w:lang w:val="en-US" w:eastAsia="zh-CN"/>
              </w:rPr>
              <w:t>根据上图可知，本项目位于一般生态空间，不在生态红线区域范围之内，符 合四川省及乐山市生态保护红线相关要求。</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imes New Roman" w:hAnsi="Times New Roman" w:eastAsia="宋体" w:cs="Times New Roman"/>
                <w:b/>
                <w:bCs/>
                <w:color w:val="auto"/>
                <w:spacing w:val="0"/>
                <w:sz w:val="24"/>
                <w:szCs w:val="24"/>
                <w:lang w:val="en-US" w:eastAsia="zh-CN"/>
              </w:rPr>
            </w:pPr>
            <w:r>
              <w:rPr>
                <w:rFonts w:hint="default" w:ascii="Times New Roman" w:hAnsi="Times New Roman" w:eastAsia="宋体" w:cs="Times New Roman"/>
                <w:b/>
                <w:bCs/>
                <w:color w:val="auto"/>
                <w:spacing w:val="0"/>
                <w:sz w:val="24"/>
                <w:szCs w:val="24"/>
                <w:lang w:val="en-US" w:eastAsia="zh-CN"/>
              </w:rPr>
              <w:t>②与“环境质量底线”符合性分析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pacing w:val="0"/>
                <w:sz w:val="24"/>
                <w:szCs w:val="24"/>
                <w:lang w:val="en-US" w:eastAsia="zh-CN"/>
              </w:rPr>
            </w:pPr>
            <w:r>
              <w:rPr>
                <w:rFonts w:hint="default" w:ascii="Times New Roman" w:hAnsi="Times New Roman" w:eastAsia="宋体" w:cs="Times New Roman"/>
                <w:b w:val="0"/>
                <w:bCs w:val="0"/>
                <w:color w:val="auto"/>
                <w:spacing w:val="0"/>
                <w:sz w:val="24"/>
                <w:szCs w:val="24"/>
                <w:lang w:val="en-US" w:eastAsia="zh-CN"/>
              </w:rPr>
              <w:t>“环境质量底线”是国家和地方设置的大气、水和土壤环境质量目标，也是改 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pacing w:val="0"/>
                <w:sz w:val="24"/>
                <w:szCs w:val="24"/>
                <w:lang w:val="en-US" w:eastAsia="zh-CN"/>
              </w:rPr>
            </w:pPr>
            <w:r>
              <w:rPr>
                <w:rFonts w:hint="default" w:ascii="Times New Roman" w:hAnsi="Times New Roman" w:eastAsia="宋体" w:cs="Times New Roman"/>
                <w:b w:val="0"/>
                <w:bCs w:val="0"/>
                <w:color w:val="auto"/>
                <w:spacing w:val="0"/>
                <w:sz w:val="24"/>
                <w:szCs w:val="24"/>
                <w:lang w:val="en-US" w:eastAsia="zh-CN"/>
              </w:rPr>
              <w:t>本项目位于乐山市市中区范围内。根据《环境影响评价技术导则 大气环境》(HJ2.2-2018) 6.4. 1.2“根据国家或地方生态环境主管部门公开发布的城市环境空气质量达标情况，判断项目所在区域是否属于达标区。根据乐山市生态环境局发布的《2021年乐山市年度环境质量状况》结论，市中区为达标区。</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pacing w:val="0"/>
                <w:sz w:val="24"/>
                <w:szCs w:val="24"/>
                <w:lang w:val="en-US" w:eastAsia="zh-CN"/>
              </w:rPr>
            </w:pPr>
            <w:r>
              <w:rPr>
                <w:rFonts w:hint="default" w:ascii="Times New Roman" w:hAnsi="Times New Roman" w:eastAsia="宋体" w:cs="Times New Roman"/>
                <w:b w:val="0"/>
                <w:bCs w:val="0"/>
                <w:color w:val="auto"/>
                <w:spacing w:val="0"/>
                <w:sz w:val="24"/>
                <w:szCs w:val="24"/>
                <w:lang w:val="en-US" w:eastAsia="zh-CN"/>
              </w:rPr>
              <w:t>项目选址区域地表水体为</w:t>
            </w:r>
            <w:r>
              <w:rPr>
                <w:rFonts w:hint="eastAsia" w:ascii="Times New Roman" w:hAnsi="Times New Roman" w:eastAsia="宋体" w:cs="Times New Roman"/>
                <w:b w:val="0"/>
                <w:bCs w:val="0"/>
                <w:color w:val="auto"/>
                <w:spacing w:val="0"/>
                <w:sz w:val="24"/>
                <w:szCs w:val="24"/>
                <w:lang w:val="en-US" w:eastAsia="zh-CN"/>
              </w:rPr>
              <w:t>峨眉河</w:t>
            </w:r>
            <w:r>
              <w:rPr>
                <w:rFonts w:hint="default" w:ascii="Times New Roman" w:hAnsi="Times New Roman" w:eastAsia="宋体" w:cs="Times New Roman"/>
                <w:b w:val="0"/>
                <w:bCs w:val="0"/>
                <w:color w:val="auto"/>
                <w:spacing w:val="0"/>
                <w:sz w:val="24"/>
                <w:szCs w:val="24"/>
                <w:lang w:val="en-US" w:eastAsia="zh-CN"/>
              </w:rPr>
              <w:t>，根据《乐山市地表水水质质量月报2022年</w:t>
            </w:r>
            <w:r>
              <w:rPr>
                <w:rFonts w:hint="eastAsia" w:ascii="Times New Roman" w:hAnsi="Times New Roman" w:eastAsia="宋体" w:cs="Times New Roman"/>
                <w:b w:val="0"/>
                <w:bCs w:val="0"/>
                <w:color w:val="auto"/>
                <w:spacing w:val="0"/>
                <w:sz w:val="24"/>
                <w:szCs w:val="24"/>
                <w:lang w:val="en-US" w:eastAsia="zh-CN"/>
              </w:rPr>
              <w:t>8</w:t>
            </w:r>
            <w:r>
              <w:rPr>
                <w:rFonts w:hint="default" w:ascii="Times New Roman" w:hAnsi="Times New Roman" w:eastAsia="宋体" w:cs="Times New Roman"/>
                <w:b w:val="0"/>
                <w:bCs w:val="0"/>
                <w:color w:val="auto"/>
                <w:spacing w:val="0"/>
                <w:sz w:val="24"/>
                <w:szCs w:val="24"/>
                <w:lang w:val="en-US" w:eastAsia="zh-CN"/>
              </w:rPr>
              <w:t>月》，省考</w:t>
            </w:r>
            <w:r>
              <w:rPr>
                <w:rFonts w:hint="eastAsia" w:ascii="Times New Roman" w:hAnsi="Times New Roman" w:eastAsia="宋体" w:cs="Times New Roman"/>
                <w:b w:val="0"/>
                <w:bCs w:val="0"/>
                <w:color w:val="auto"/>
                <w:spacing w:val="0"/>
                <w:sz w:val="24"/>
                <w:szCs w:val="24"/>
                <w:lang w:val="en-US" w:eastAsia="zh-CN"/>
              </w:rPr>
              <w:t>峨眉河曾河坝</w:t>
            </w:r>
            <w:r>
              <w:rPr>
                <w:rFonts w:hint="default" w:ascii="Times New Roman" w:hAnsi="Times New Roman" w:eastAsia="宋体" w:cs="Times New Roman"/>
                <w:b w:val="0"/>
                <w:bCs w:val="0"/>
                <w:color w:val="auto"/>
                <w:spacing w:val="0"/>
                <w:sz w:val="24"/>
                <w:szCs w:val="24"/>
                <w:lang w:val="en-US" w:eastAsia="zh-CN"/>
              </w:rPr>
              <w:t>断面地表水质为Ⅱ类。</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pacing w:val="0"/>
                <w:sz w:val="24"/>
                <w:szCs w:val="24"/>
                <w:lang w:val="en-US" w:eastAsia="zh-CN"/>
              </w:rPr>
            </w:pPr>
            <w:r>
              <w:rPr>
                <w:rFonts w:hint="default" w:ascii="Times New Roman" w:hAnsi="Times New Roman" w:eastAsia="宋体" w:cs="Times New Roman"/>
                <w:b w:val="0"/>
                <w:bCs w:val="0"/>
                <w:color w:val="auto"/>
                <w:spacing w:val="0"/>
                <w:sz w:val="24"/>
                <w:szCs w:val="24"/>
                <w:lang w:val="en-US" w:eastAsia="zh-CN"/>
              </w:rPr>
              <w:t>项目所在区域为2类声环境功能区，根据环境噪声现状监测结果，项目区域各点位噪声满足《声环境质量标准》 (GB3096-2008) 中2类标准，表明项目所在地声环境质量良好。本项目营运期无噪声排放，不会改变项目所在区域的声环境功能。</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pacing w:val="0"/>
                <w:sz w:val="24"/>
                <w:szCs w:val="24"/>
                <w:lang w:val="en-US" w:eastAsia="zh-CN"/>
              </w:rPr>
            </w:pPr>
            <w:r>
              <w:rPr>
                <w:rFonts w:hint="default" w:ascii="Times New Roman" w:hAnsi="Times New Roman" w:eastAsia="宋体" w:cs="Times New Roman"/>
                <w:b w:val="0"/>
                <w:bCs w:val="0"/>
                <w:color w:val="auto"/>
                <w:spacing w:val="0"/>
                <w:sz w:val="24"/>
                <w:szCs w:val="24"/>
                <w:lang w:val="en-US" w:eastAsia="zh-CN"/>
              </w:rPr>
              <w:t>综上，本项目建设符合环境质量底线要求。</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eastAsia" w:ascii="Times New Roman" w:hAnsi="Times New Roman" w:eastAsia="宋体" w:cs="Times New Roman"/>
                <w:b/>
                <w:bCs/>
                <w:color w:val="auto"/>
                <w:spacing w:val="0"/>
                <w:sz w:val="24"/>
                <w:szCs w:val="24"/>
                <w:lang w:val="en-US" w:eastAsia="zh-CN"/>
              </w:rPr>
            </w:pPr>
            <w:r>
              <w:rPr>
                <w:rFonts w:hint="eastAsia" w:ascii="Times New Roman" w:hAnsi="Times New Roman" w:eastAsia="宋体" w:cs="Times New Roman"/>
                <w:b/>
                <w:bCs/>
                <w:color w:val="auto"/>
                <w:spacing w:val="0"/>
                <w:sz w:val="24"/>
                <w:szCs w:val="24"/>
                <w:lang w:val="en-US" w:eastAsia="zh-CN"/>
              </w:rPr>
              <w:t>③与</w:t>
            </w:r>
            <w:r>
              <w:rPr>
                <w:rFonts w:hint="default" w:ascii="Times New Roman" w:hAnsi="Times New Roman" w:eastAsia="宋体" w:cs="Times New Roman"/>
                <w:b/>
                <w:bCs/>
                <w:color w:val="auto"/>
                <w:spacing w:val="0"/>
                <w:sz w:val="24"/>
                <w:szCs w:val="24"/>
                <w:lang w:val="en-US" w:eastAsia="zh-CN"/>
              </w:rPr>
              <w:t>“</w:t>
            </w:r>
            <w:r>
              <w:rPr>
                <w:rFonts w:hint="eastAsia" w:ascii="Times New Roman" w:hAnsi="Times New Roman" w:eastAsia="宋体" w:cs="Times New Roman"/>
                <w:b/>
                <w:bCs/>
                <w:color w:val="auto"/>
                <w:spacing w:val="0"/>
                <w:sz w:val="24"/>
                <w:szCs w:val="24"/>
                <w:lang w:val="en-US" w:eastAsia="zh-CN"/>
              </w:rPr>
              <w:t>资源利用上线</w:t>
            </w:r>
            <w:r>
              <w:rPr>
                <w:rFonts w:hint="default" w:ascii="Times New Roman" w:hAnsi="Times New Roman" w:eastAsia="宋体" w:cs="Times New Roman"/>
                <w:b/>
                <w:bCs/>
                <w:color w:val="auto"/>
                <w:spacing w:val="0"/>
                <w:sz w:val="24"/>
                <w:szCs w:val="24"/>
                <w:lang w:val="en-US" w:eastAsia="zh-CN"/>
              </w:rPr>
              <w:t>”</w:t>
            </w:r>
            <w:r>
              <w:rPr>
                <w:rFonts w:hint="eastAsia" w:ascii="Times New Roman" w:hAnsi="Times New Roman" w:eastAsia="宋体" w:cs="Times New Roman"/>
                <w:b/>
                <w:bCs/>
                <w:color w:val="auto"/>
                <w:spacing w:val="0"/>
                <w:sz w:val="24"/>
                <w:szCs w:val="24"/>
                <w:lang w:val="en-US" w:eastAsia="zh-CN"/>
              </w:rPr>
              <w:t>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000000"/>
                <w:spacing w:val="0"/>
                <w:sz w:val="24"/>
                <w:szCs w:val="24"/>
                <w:lang w:val="en-US" w:eastAsia="zh-CN"/>
              </w:rPr>
            </w:pPr>
            <w:r>
              <w:rPr>
                <w:rFonts w:hint="eastAsia" w:ascii="Times New Roman" w:hAnsi="Times New Roman" w:eastAsia="宋体" w:cs="Times New Roman"/>
                <w:b w:val="0"/>
                <w:bCs w:val="0"/>
                <w:color w:val="auto"/>
                <w:spacing w:val="0"/>
                <w:sz w:val="24"/>
                <w:szCs w:val="24"/>
                <w:lang w:val="en-US" w:eastAsia="zh-CN"/>
              </w:rPr>
              <w:t>本项目电源直接由当地电网接入，</w:t>
            </w:r>
            <w:r>
              <w:rPr>
                <w:rFonts w:hint="eastAsia" w:ascii="Times New Roman" w:hAnsi="Times New Roman" w:eastAsia="宋体" w:cs="Times New Roman"/>
                <w:b w:val="0"/>
                <w:bCs w:val="0"/>
                <w:color w:val="000000"/>
                <w:spacing w:val="0"/>
                <w:sz w:val="24"/>
                <w:szCs w:val="24"/>
                <w:lang w:val="en-US" w:eastAsia="zh-CN"/>
              </w:rPr>
              <w:t>电量充沛，能满足用电需要；项目地区水资源充沛，项目用水对当地水资源利用影响不明显，没有触及当地水资源利用上线。本项目用地在原有大坝红线范围内重建，符合用地要求，未触及土地资源利用上线。</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color w:val="000000"/>
                <w:sz w:val="23"/>
                <w:szCs w:val="23"/>
              </w:rPr>
            </w:pPr>
            <w:r>
              <w:rPr>
                <w:rFonts w:hint="eastAsia" w:ascii="Times New Roman" w:hAnsi="Times New Roman" w:eastAsia="宋体" w:cs="Times New Roman"/>
                <w:b w:val="0"/>
                <w:bCs w:val="0"/>
                <w:color w:val="000000"/>
                <w:spacing w:val="0"/>
                <w:sz w:val="24"/>
                <w:szCs w:val="24"/>
                <w:lang w:val="en-US" w:eastAsia="zh-CN"/>
              </w:rPr>
              <w:t>因此，本项目的建设未触及当地的资源利用上线，符合相关要求。</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eastAsia" w:ascii="Times New Roman" w:hAnsi="Times New Roman" w:eastAsia="宋体" w:cs="Times New Roman"/>
                <w:b/>
                <w:bCs/>
                <w:color w:val="auto"/>
                <w:spacing w:val="0"/>
                <w:sz w:val="24"/>
                <w:szCs w:val="24"/>
                <w:lang w:val="en-US" w:eastAsia="zh-CN"/>
              </w:rPr>
            </w:pPr>
            <w:r>
              <w:rPr>
                <w:rFonts w:hint="eastAsia" w:ascii="Times New Roman" w:hAnsi="Times New Roman" w:eastAsia="宋体" w:cs="Times New Roman"/>
                <w:b/>
                <w:bCs/>
                <w:color w:val="auto"/>
                <w:spacing w:val="0"/>
                <w:sz w:val="24"/>
                <w:szCs w:val="24"/>
                <w:lang w:val="en-US" w:eastAsia="zh-CN"/>
              </w:rPr>
              <w:t>④环境准入负面清单</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pacing w:val="0"/>
                <w:sz w:val="24"/>
                <w:szCs w:val="24"/>
                <w:lang w:val="en-US" w:eastAsia="zh-CN"/>
              </w:rPr>
            </w:pPr>
            <w:r>
              <w:rPr>
                <w:rFonts w:hint="eastAsia" w:ascii="Times New Roman" w:hAnsi="Times New Roman" w:eastAsia="宋体" w:cs="Times New Roman"/>
                <w:b w:val="0"/>
                <w:bCs w:val="0"/>
                <w:color w:val="auto"/>
                <w:spacing w:val="0"/>
                <w:sz w:val="24"/>
                <w:szCs w:val="24"/>
                <w:lang w:val="en-US" w:eastAsia="zh-CN"/>
              </w:rPr>
              <w:t>根据《乐山市人民政府关于落实生态保护红线、环境质量底线、资源利用上限制定生态环境准入清单实施生态环境分区管控的通知》(乐府发〔2021〕7 号) 中乐山市环境管控单元图，本项目位于乐山市市中区环境综合管控单元城镇重点管控单元 (管控单元名称：市中区中心城区，管控单元编号：ZH51110220001)，其符合性分析如下表：</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454" w:firstLineChars="200"/>
              <w:jc w:val="center"/>
              <w:textAlignment w:val="auto"/>
              <w:rPr>
                <w:rFonts w:hint="default" w:ascii="Times New Roman" w:hAnsi="Times New Roman" w:eastAsia="宋体" w:cs="Times New Roman"/>
                <w:b/>
                <w:bCs/>
                <w:spacing w:val="8"/>
                <w:sz w:val="21"/>
                <w:szCs w:val="21"/>
              </w:rPr>
            </w:pP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454" w:firstLineChars="200"/>
              <w:jc w:val="center"/>
              <w:textAlignment w:val="auto"/>
              <w:rPr>
                <w:rFonts w:hint="default" w:ascii="Times New Roman" w:hAnsi="Times New Roman" w:eastAsia="宋体" w:cs="Times New Roman"/>
                <w:b/>
                <w:bCs/>
                <w:spacing w:val="8"/>
                <w:sz w:val="21"/>
                <w:szCs w:val="21"/>
              </w:rPr>
            </w:pP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454" w:firstLineChars="200"/>
              <w:jc w:val="center"/>
              <w:textAlignment w:val="auto"/>
              <w:rPr>
                <w:rFonts w:hint="default" w:ascii="Times New Roman" w:hAnsi="Times New Roman" w:eastAsia="宋体" w:cs="Times New Roman"/>
                <w:b/>
                <w:bCs/>
                <w:spacing w:val="8"/>
                <w:sz w:val="21"/>
                <w:szCs w:val="21"/>
              </w:rPr>
            </w:pP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454" w:firstLineChars="200"/>
              <w:jc w:val="center"/>
              <w:textAlignment w:val="auto"/>
              <w:rPr>
                <w:rFonts w:hint="default" w:ascii="Times New Roman" w:hAnsi="Times New Roman" w:eastAsia="宋体" w:cs="Times New Roman"/>
                <w:b/>
                <w:bCs/>
                <w:spacing w:val="8"/>
                <w:sz w:val="21"/>
                <w:szCs w:val="21"/>
              </w:rPr>
            </w:pP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454" w:firstLineChars="200"/>
              <w:jc w:val="center"/>
              <w:textAlignment w:val="auto"/>
              <w:rPr>
                <w:rFonts w:hint="default" w:ascii="Times New Roman" w:hAnsi="Times New Roman" w:eastAsia="宋体" w:cs="Times New Roman"/>
                <w:b/>
                <w:bCs/>
                <w:spacing w:val="8"/>
                <w:sz w:val="21"/>
                <w:szCs w:val="21"/>
              </w:rPr>
            </w:pP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454" w:firstLineChars="200"/>
              <w:jc w:val="center"/>
              <w:textAlignment w:val="auto"/>
              <w:rPr>
                <w:rFonts w:hint="default" w:ascii="Times New Roman" w:hAnsi="Times New Roman" w:eastAsia="宋体" w:cs="Times New Roman"/>
                <w:b/>
                <w:bCs/>
                <w:spacing w:val="8"/>
                <w:sz w:val="21"/>
                <w:szCs w:val="21"/>
              </w:rPr>
            </w:pP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454" w:firstLineChars="200"/>
              <w:jc w:val="center"/>
              <w:textAlignment w:val="auto"/>
              <w:rPr>
                <w:rFonts w:hint="default" w:ascii="Times New Roman" w:hAnsi="Times New Roman" w:eastAsia="宋体" w:cs="Times New Roman"/>
                <w:b/>
                <w:bCs/>
                <w:spacing w:val="8"/>
                <w:sz w:val="21"/>
                <w:szCs w:val="21"/>
              </w:rPr>
            </w:pP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454" w:firstLineChars="200"/>
              <w:jc w:val="center"/>
              <w:textAlignment w:val="auto"/>
              <w:rPr>
                <w:rFonts w:hint="default" w:ascii="Times New Roman" w:hAnsi="Times New Roman" w:eastAsia="宋体" w:cs="Times New Roman"/>
                <w:b/>
                <w:bCs/>
                <w:spacing w:val="8"/>
                <w:sz w:val="21"/>
                <w:szCs w:val="21"/>
              </w:rPr>
            </w:pP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454" w:firstLineChars="200"/>
              <w:jc w:val="center"/>
              <w:textAlignment w:val="auto"/>
              <w:rPr>
                <w:rFonts w:hint="default" w:ascii="Times New Roman" w:hAnsi="Times New Roman" w:eastAsia="宋体" w:cs="Times New Roman"/>
                <w:b/>
                <w:bCs/>
                <w:spacing w:val="8"/>
                <w:sz w:val="21"/>
                <w:szCs w:val="21"/>
              </w:rPr>
            </w:pP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454" w:firstLineChars="200"/>
              <w:jc w:val="center"/>
              <w:textAlignment w:val="auto"/>
              <w:rPr>
                <w:rFonts w:hint="default" w:ascii="Times New Roman" w:hAnsi="Times New Roman" w:eastAsia="宋体" w:cs="Times New Roman"/>
                <w:b/>
                <w:bCs/>
                <w:spacing w:val="8"/>
                <w:sz w:val="21"/>
                <w:szCs w:val="21"/>
              </w:rPr>
            </w:pP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454" w:firstLineChars="200"/>
              <w:jc w:val="center"/>
              <w:textAlignment w:val="auto"/>
              <w:rPr>
                <w:rFonts w:hint="default" w:ascii="Times New Roman" w:hAnsi="Times New Roman" w:eastAsia="宋体" w:cs="Times New Roman"/>
                <w:b/>
                <w:bCs/>
                <w:spacing w:val="8"/>
                <w:sz w:val="21"/>
                <w:szCs w:val="21"/>
              </w:rPr>
            </w:pP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454" w:firstLineChars="200"/>
              <w:jc w:val="center"/>
              <w:textAlignment w:val="auto"/>
              <w:rPr>
                <w:rFonts w:hint="default" w:ascii="Times New Roman" w:hAnsi="Times New Roman" w:eastAsia="宋体" w:cs="Times New Roman"/>
                <w:b/>
                <w:bCs/>
                <w:spacing w:val="8"/>
                <w:sz w:val="21"/>
                <w:szCs w:val="21"/>
              </w:rPr>
            </w:pP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454" w:firstLineChars="200"/>
              <w:jc w:val="center"/>
              <w:textAlignment w:val="auto"/>
              <w:rPr>
                <w:rFonts w:hint="default" w:ascii="Times New Roman" w:hAnsi="Times New Roman" w:eastAsia="宋体" w:cs="Times New Roman"/>
                <w:b/>
                <w:bCs/>
                <w:spacing w:val="8"/>
                <w:sz w:val="21"/>
                <w:szCs w:val="21"/>
              </w:rPr>
            </w:pP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454" w:firstLineChars="200"/>
              <w:jc w:val="center"/>
              <w:textAlignment w:val="auto"/>
              <w:rPr>
                <w:rFonts w:hint="default" w:ascii="Times New Roman" w:hAnsi="Times New Roman" w:eastAsia="宋体" w:cs="Times New Roman"/>
                <w:b/>
                <w:bCs/>
                <w:color w:val="auto"/>
                <w:spacing w:val="0"/>
                <w:sz w:val="21"/>
                <w:szCs w:val="21"/>
                <w:lang w:val="en-US" w:eastAsia="zh-CN"/>
              </w:rPr>
            </w:pPr>
            <w:r>
              <w:rPr>
                <w:rFonts w:hint="default" w:ascii="Times New Roman" w:hAnsi="Times New Roman" w:eastAsia="宋体" w:cs="Times New Roman"/>
                <w:b/>
                <w:bCs/>
                <w:spacing w:val="8"/>
                <w:sz w:val="21"/>
                <w:szCs w:val="21"/>
              </w:rPr>
              <w:t>表</w:t>
            </w:r>
            <w:r>
              <w:rPr>
                <w:rFonts w:hint="default" w:ascii="Times New Roman" w:hAnsi="Times New Roman" w:eastAsia="Times New Roman" w:cs="Times New Roman"/>
                <w:b/>
                <w:bCs/>
                <w:spacing w:val="8"/>
                <w:sz w:val="21"/>
                <w:szCs w:val="21"/>
              </w:rPr>
              <w:t>1</w:t>
            </w:r>
            <w:r>
              <w:rPr>
                <w:rFonts w:hint="default" w:ascii="Times New Roman" w:hAnsi="Times New Roman" w:eastAsia="Times New Roman" w:cs="Times New Roman"/>
                <w:b/>
                <w:bCs/>
                <w:spacing w:val="6"/>
                <w:sz w:val="21"/>
                <w:szCs w:val="21"/>
              </w:rPr>
              <w:t>-</w:t>
            </w:r>
            <w:r>
              <w:rPr>
                <w:rFonts w:hint="eastAsia" w:ascii="Times New Roman" w:hAnsi="Times New Roman" w:eastAsia="宋体" w:cs="Times New Roman"/>
                <w:b/>
                <w:bCs/>
                <w:spacing w:val="4"/>
                <w:sz w:val="21"/>
                <w:szCs w:val="21"/>
                <w:lang w:val="en-US" w:eastAsia="zh-CN"/>
              </w:rPr>
              <w:t xml:space="preserve">5  </w:t>
            </w:r>
            <w:r>
              <w:rPr>
                <w:rFonts w:hint="default" w:ascii="Times New Roman" w:hAnsi="Times New Roman" w:eastAsia="宋体" w:cs="Times New Roman"/>
                <w:b/>
                <w:bCs/>
                <w:spacing w:val="4"/>
                <w:sz w:val="21"/>
                <w:szCs w:val="21"/>
              </w:rPr>
              <w:t>本项目与生态环境管控单元符合性分析</w:t>
            </w:r>
          </w:p>
          <w:tbl>
            <w:tblPr>
              <w:tblStyle w:val="252"/>
              <w:tblW w:w="916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48"/>
              <w:gridCol w:w="776"/>
              <w:gridCol w:w="4262"/>
              <w:gridCol w:w="2259"/>
              <w:gridCol w:w="8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2" w:hRule="atLeast"/>
              </w:trPr>
              <w:tc>
                <w:tcPr>
                  <w:tcW w:w="1824" w:type="dxa"/>
                  <w:gridSpan w:val="2"/>
                  <w:noWrap w:val="0"/>
                  <w:vAlign w:val="top"/>
                </w:tcPr>
                <w:p>
                  <w:pPr>
                    <w:spacing w:line="246" w:lineRule="auto"/>
                    <w:rPr>
                      <w:rFonts w:ascii="Arial"/>
                      <w:sz w:val="21"/>
                    </w:rPr>
                  </w:pPr>
                </w:p>
                <w:p>
                  <w:pPr>
                    <w:spacing w:before="65" w:line="230" w:lineRule="auto"/>
                    <w:ind w:left="637"/>
                    <w:rPr>
                      <w:rFonts w:ascii="宋体" w:hAnsi="宋体" w:eastAsia="宋体" w:cs="宋体"/>
                      <w:sz w:val="20"/>
                      <w:szCs w:val="20"/>
                    </w:rPr>
                  </w:pPr>
                  <w:r>
                    <w:rPr>
                      <w:rFonts w:ascii="宋体" w:hAnsi="宋体" w:eastAsia="宋体" w:cs="宋体"/>
                      <w:spacing w:val="5"/>
                      <w:sz w:val="20"/>
                      <w:szCs w:val="20"/>
                    </w:rPr>
                    <w:t>序号</w:t>
                  </w:r>
                </w:p>
              </w:tc>
              <w:tc>
                <w:tcPr>
                  <w:tcW w:w="4262" w:type="dxa"/>
                  <w:noWrap w:val="0"/>
                  <w:vAlign w:val="top"/>
                </w:tcPr>
                <w:p>
                  <w:pPr>
                    <w:spacing w:line="246" w:lineRule="auto"/>
                    <w:rPr>
                      <w:rFonts w:ascii="Arial"/>
                      <w:sz w:val="21"/>
                    </w:rPr>
                  </w:pPr>
                </w:p>
                <w:p>
                  <w:pPr>
                    <w:spacing w:before="65" w:line="230" w:lineRule="auto"/>
                    <w:ind w:left="1703"/>
                    <w:rPr>
                      <w:rFonts w:ascii="宋体" w:hAnsi="宋体" w:eastAsia="宋体" w:cs="宋体"/>
                      <w:sz w:val="20"/>
                      <w:szCs w:val="20"/>
                    </w:rPr>
                  </w:pPr>
                  <w:r>
                    <w:rPr>
                      <w:rFonts w:ascii="宋体" w:hAnsi="宋体" w:eastAsia="宋体" w:cs="宋体"/>
                      <w:spacing w:val="4"/>
                      <w:sz w:val="20"/>
                      <w:szCs w:val="20"/>
                    </w:rPr>
                    <w:t>要求</w:t>
                  </w:r>
                </w:p>
              </w:tc>
              <w:tc>
                <w:tcPr>
                  <w:tcW w:w="2259" w:type="dxa"/>
                  <w:noWrap w:val="0"/>
                  <w:vAlign w:val="top"/>
                </w:tcPr>
                <w:p>
                  <w:pPr>
                    <w:spacing w:line="246" w:lineRule="auto"/>
                    <w:rPr>
                      <w:rFonts w:ascii="Arial"/>
                      <w:sz w:val="21"/>
                    </w:rPr>
                  </w:pPr>
                </w:p>
                <w:p>
                  <w:pPr>
                    <w:spacing w:before="65" w:line="228" w:lineRule="auto"/>
                    <w:ind w:left="792"/>
                    <w:rPr>
                      <w:rFonts w:ascii="宋体" w:hAnsi="宋体" w:eastAsia="宋体" w:cs="宋体"/>
                      <w:sz w:val="20"/>
                      <w:szCs w:val="20"/>
                    </w:rPr>
                  </w:pPr>
                  <w:r>
                    <w:rPr>
                      <w:rFonts w:ascii="宋体" w:hAnsi="宋体" w:eastAsia="宋体" w:cs="宋体"/>
                      <w:spacing w:val="7"/>
                      <w:sz w:val="20"/>
                      <w:szCs w:val="20"/>
                    </w:rPr>
                    <w:t>本</w:t>
                  </w:r>
                  <w:r>
                    <w:rPr>
                      <w:rFonts w:ascii="宋体" w:hAnsi="宋体" w:eastAsia="宋体" w:cs="宋体"/>
                      <w:spacing w:val="6"/>
                      <w:sz w:val="20"/>
                      <w:szCs w:val="20"/>
                    </w:rPr>
                    <w:t>项目</w:t>
                  </w:r>
                </w:p>
              </w:tc>
              <w:tc>
                <w:tcPr>
                  <w:tcW w:w="821" w:type="dxa"/>
                  <w:tcBorders>
                    <w:right w:val="single" w:color="000000" w:sz="6" w:space="0"/>
                  </w:tcBorders>
                  <w:noWrap w:val="0"/>
                  <w:vAlign w:val="top"/>
                </w:tcPr>
                <w:p>
                  <w:pPr>
                    <w:spacing w:before="42" w:line="271" w:lineRule="exact"/>
                    <w:ind w:left="169"/>
                    <w:rPr>
                      <w:rFonts w:ascii="宋体" w:hAnsi="宋体" w:eastAsia="宋体" w:cs="宋体"/>
                      <w:sz w:val="20"/>
                      <w:szCs w:val="20"/>
                    </w:rPr>
                  </w:pPr>
                  <w:r>
                    <w:rPr>
                      <w:rFonts w:ascii="宋体" w:hAnsi="宋体" w:eastAsia="宋体" w:cs="宋体"/>
                      <w:spacing w:val="3"/>
                      <w:position w:val="4"/>
                      <w:sz w:val="20"/>
                      <w:szCs w:val="20"/>
                    </w:rPr>
                    <w:t>是否</w:t>
                  </w:r>
                </w:p>
                <w:p>
                  <w:pPr>
                    <w:spacing w:line="228" w:lineRule="auto"/>
                    <w:ind w:left="167"/>
                    <w:rPr>
                      <w:rFonts w:ascii="宋体" w:hAnsi="宋体" w:eastAsia="宋体" w:cs="宋体"/>
                      <w:sz w:val="20"/>
                      <w:szCs w:val="20"/>
                    </w:rPr>
                  </w:pPr>
                  <w:r>
                    <w:rPr>
                      <w:rFonts w:ascii="宋体" w:hAnsi="宋体" w:eastAsia="宋体" w:cs="宋体"/>
                      <w:spacing w:val="4"/>
                      <w:sz w:val="20"/>
                      <w:szCs w:val="20"/>
                    </w:rPr>
                    <w:t>符</w:t>
                  </w:r>
                  <w:r>
                    <w:rPr>
                      <w:rFonts w:ascii="宋体" w:hAnsi="宋体" w:eastAsia="宋体" w:cs="宋体"/>
                      <w:spacing w:val="3"/>
                      <w:sz w:val="20"/>
                      <w:szCs w:val="20"/>
                    </w:rPr>
                    <w:t>合</w:t>
                  </w:r>
                </w:p>
                <w:p>
                  <w:pPr>
                    <w:spacing w:before="26" w:line="226" w:lineRule="auto"/>
                    <w:ind w:left="166"/>
                    <w:rPr>
                      <w:rFonts w:ascii="宋体" w:hAnsi="宋体" w:eastAsia="宋体" w:cs="宋体"/>
                      <w:sz w:val="20"/>
                      <w:szCs w:val="20"/>
                    </w:rPr>
                  </w:pPr>
                  <w:r>
                    <w:rPr>
                      <w:rFonts w:ascii="宋体" w:hAnsi="宋体" w:eastAsia="宋体" w:cs="宋体"/>
                      <w:spacing w:val="4"/>
                      <w:sz w:val="20"/>
                      <w:szCs w:val="20"/>
                    </w:rPr>
                    <w:t>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4" w:hRule="atLeast"/>
              </w:trPr>
              <w:tc>
                <w:tcPr>
                  <w:tcW w:w="1048" w:type="dxa"/>
                  <w:noWrap w:val="0"/>
                  <w:vAlign w:val="top"/>
                </w:tcPr>
                <w:p>
                  <w:pPr>
                    <w:spacing w:line="374" w:lineRule="auto"/>
                    <w:rPr>
                      <w:rFonts w:ascii="Arial"/>
                      <w:sz w:val="21"/>
                    </w:rPr>
                  </w:pPr>
                </w:p>
                <w:p>
                  <w:pPr>
                    <w:spacing w:before="65" w:line="228" w:lineRule="auto"/>
                    <w:ind w:left="181"/>
                    <w:rPr>
                      <w:rFonts w:ascii="宋体" w:hAnsi="宋体" w:eastAsia="宋体" w:cs="宋体"/>
                      <w:sz w:val="20"/>
                      <w:szCs w:val="20"/>
                    </w:rPr>
                  </w:pPr>
                  <w:r>
                    <w:rPr>
                      <w:rFonts w:ascii="宋体" w:hAnsi="宋体" w:eastAsia="宋体" w:cs="宋体"/>
                      <w:spacing w:val="6"/>
                      <w:sz w:val="20"/>
                      <w:szCs w:val="20"/>
                    </w:rPr>
                    <w:t>乐</w:t>
                  </w:r>
                  <w:r>
                    <w:rPr>
                      <w:rFonts w:ascii="宋体" w:hAnsi="宋体" w:eastAsia="宋体" w:cs="宋体"/>
                      <w:spacing w:val="4"/>
                      <w:sz w:val="20"/>
                      <w:szCs w:val="20"/>
                    </w:rPr>
                    <w:t>山市</w:t>
                  </w:r>
                </w:p>
                <w:p>
                  <w:pPr>
                    <w:spacing w:before="24" w:line="228" w:lineRule="auto"/>
                    <w:ind w:left="174"/>
                    <w:rPr>
                      <w:rFonts w:ascii="宋体" w:hAnsi="宋体" w:eastAsia="宋体" w:cs="宋体"/>
                      <w:sz w:val="20"/>
                      <w:szCs w:val="20"/>
                    </w:rPr>
                  </w:pPr>
                  <w:r>
                    <w:rPr>
                      <w:rFonts w:ascii="宋体" w:hAnsi="宋体" w:eastAsia="宋体" w:cs="宋体"/>
                      <w:spacing w:val="7"/>
                      <w:sz w:val="20"/>
                      <w:szCs w:val="20"/>
                    </w:rPr>
                    <w:t>环境</w:t>
                  </w:r>
                  <w:r>
                    <w:rPr>
                      <w:rFonts w:ascii="宋体" w:hAnsi="宋体" w:eastAsia="宋体" w:cs="宋体"/>
                      <w:spacing w:val="6"/>
                      <w:sz w:val="20"/>
                      <w:szCs w:val="20"/>
                    </w:rPr>
                    <w:t>管</w:t>
                  </w:r>
                </w:p>
                <w:p>
                  <w:pPr>
                    <w:spacing w:before="23" w:line="229" w:lineRule="auto"/>
                    <w:ind w:left="174"/>
                    <w:rPr>
                      <w:rFonts w:ascii="宋体" w:hAnsi="宋体" w:eastAsia="宋体" w:cs="宋体"/>
                      <w:sz w:val="20"/>
                      <w:szCs w:val="20"/>
                    </w:rPr>
                  </w:pPr>
                  <w:r>
                    <w:rPr>
                      <w:rFonts w:ascii="宋体" w:hAnsi="宋体" w:eastAsia="宋体" w:cs="宋体"/>
                      <w:spacing w:val="7"/>
                      <w:sz w:val="20"/>
                      <w:szCs w:val="20"/>
                    </w:rPr>
                    <w:t>控单元</w:t>
                  </w:r>
                </w:p>
                <w:p>
                  <w:pPr>
                    <w:spacing w:before="24" w:line="231" w:lineRule="auto"/>
                    <w:ind w:left="176"/>
                    <w:rPr>
                      <w:rFonts w:ascii="宋体" w:hAnsi="宋体" w:eastAsia="宋体" w:cs="宋体"/>
                      <w:sz w:val="20"/>
                      <w:szCs w:val="20"/>
                    </w:rPr>
                  </w:pPr>
                  <w:r>
                    <w:rPr>
                      <w:rFonts w:ascii="宋体" w:hAnsi="宋体" w:eastAsia="宋体" w:cs="宋体"/>
                      <w:spacing w:val="7"/>
                      <w:sz w:val="20"/>
                      <w:szCs w:val="20"/>
                    </w:rPr>
                    <w:t>生</w:t>
                  </w:r>
                  <w:r>
                    <w:rPr>
                      <w:rFonts w:ascii="宋体" w:hAnsi="宋体" w:eastAsia="宋体" w:cs="宋体"/>
                      <w:spacing w:val="6"/>
                      <w:sz w:val="20"/>
                      <w:szCs w:val="20"/>
                    </w:rPr>
                    <w:t>态环</w:t>
                  </w:r>
                </w:p>
                <w:p>
                  <w:pPr>
                    <w:spacing w:before="22" w:line="228" w:lineRule="auto"/>
                    <w:ind w:left="175"/>
                    <w:rPr>
                      <w:rFonts w:ascii="宋体" w:hAnsi="宋体" w:eastAsia="宋体" w:cs="宋体"/>
                      <w:sz w:val="20"/>
                      <w:szCs w:val="20"/>
                    </w:rPr>
                  </w:pPr>
                  <w:r>
                    <w:rPr>
                      <w:rFonts w:ascii="宋体" w:hAnsi="宋体" w:eastAsia="宋体" w:cs="宋体"/>
                      <w:spacing w:val="7"/>
                      <w:sz w:val="20"/>
                      <w:szCs w:val="20"/>
                    </w:rPr>
                    <w:t>境</w:t>
                  </w:r>
                  <w:r>
                    <w:rPr>
                      <w:rFonts w:ascii="宋体" w:hAnsi="宋体" w:eastAsia="宋体" w:cs="宋体"/>
                      <w:spacing w:val="6"/>
                      <w:sz w:val="20"/>
                      <w:szCs w:val="20"/>
                    </w:rPr>
                    <w:t>管控</w:t>
                  </w:r>
                </w:p>
                <w:p>
                  <w:pPr>
                    <w:spacing w:before="26" w:line="230" w:lineRule="auto"/>
                    <w:ind w:left="281"/>
                    <w:rPr>
                      <w:rFonts w:ascii="宋体" w:hAnsi="宋体" w:eastAsia="宋体" w:cs="宋体"/>
                      <w:sz w:val="20"/>
                      <w:szCs w:val="20"/>
                    </w:rPr>
                  </w:pPr>
                  <w:r>
                    <w:rPr>
                      <w:rFonts w:ascii="宋体" w:hAnsi="宋体" w:eastAsia="宋体" w:cs="宋体"/>
                      <w:spacing w:val="4"/>
                      <w:sz w:val="20"/>
                      <w:szCs w:val="20"/>
                    </w:rPr>
                    <w:t>要求</w:t>
                  </w:r>
                </w:p>
              </w:tc>
              <w:tc>
                <w:tcPr>
                  <w:tcW w:w="776" w:type="dxa"/>
                  <w:noWrap w:val="0"/>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before="65" w:line="271" w:lineRule="exact"/>
                    <w:ind w:left="150"/>
                    <w:rPr>
                      <w:rFonts w:ascii="宋体" w:hAnsi="宋体" w:eastAsia="宋体" w:cs="宋体"/>
                      <w:sz w:val="20"/>
                      <w:szCs w:val="20"/>
                    </w:rPr>
                  </w:pPr>
                  <w:r>
                    <w:rPr>
                      <w:rFonts w:ascii="宋体" w:hAnsi="宋体" w:eastAsia="宋体" w:cs="宋体"/>
                      <w:spacing w:val="4"/>
                      <w:position w:val="4"/>
                      <w:sz w:val="20"/>
                      <w:szCs w:val="20"/>
                    </w:rPr>
                    <w:t>重点</w:t>
                  </w:r>
                </w:p>
                <w:p>
                  <w:pPr>
                    <w:spacing w:line="228" w:lineRule="auto"/>
                    <w:ind w:left="153"/>
                    <w:rPr>
                      <w:rFonts w:ascii="宋体" w:hAnsi="宋体" w:eastAsia="宋体" w:cs="宋体"/>
                      <w:sz w:val="20"/>
                      <w:szCs w:val="20"/>
                    </w:rPr>
                  </w:pPr>
                  <w:r>
                    <w:rPr>
                      <w:rFonts w:ascii="宋体" w:hAnsi="宋体" w:eastAsia="宋体" w:cs="宋体"/>
                      <w:spacing w:val="3"/>
                      <w:sz w:val="20"/>
                      <w:szCs w:val="20"/>
                    </w:rPr>
                    <w:t>管</w:t>
                  </w:r>
                  <w:r>
                    <w:rPr>
                      <w:rFonts w:ascii="宋体" w:hAnsi="宋体" w:eastAsia="宋体" w:cs="宋体"/>
                      <w:spacing w:val="2"/>
                      <w:sz w:val="20"/>
                      <w:szCs w:val="20"/>
                    </w:rPr>
                    <w:t>控</w:t>
                  </w:r>
                </w:p>
                <w:p>
                  <w:pPr>
                    <w:spacing w:before="23" w:line="230" w:lineRule="auto"/>
                    <w:ind w:left="150"/>
                    <w:rPr>
                      <w:rFonts w:ascii="宋体" w:hAnsi="宋体" w:eastAsia="宋体" w:cs="宋体"/>
                      <w:sz w:val="20"/>
                      <w:szCs w:val="20"/>
                    </w:rPr>
                  </w:pPr>
                  <w:r>
                    <w:rPr>
                      <w:rFonts w:ascii="宋体" w:hAnsi="宋体" w:eastAsia="宋体" w:cs="宋体"/>
                      <w:spacing w:val="4"/>
                      <w:sz w:val="20"/>
                      <w:szCs w:val="20"/>
                    </w:rPr>
                    <w:t>要求</w:t>
                  </w:r>
                </w:p>
              </w:tc>
              <w:tc>
                <w:tcPr>
                  <w:tcW w:w="4262" w:type="dxa"/>
                  <w:noWrap w:val="0"/>
                  <w:vAlign w:val="top"/>
                </w:tcPr>
                <w:p>
                  <w:pPr>
                    <w:rPr>
                      <w:rFonts w:ascii="Arial"/>
                      <w:sz w:val="21"/>
                    </w:rPr>
                  </w:pPr>
                </w:p>
                <w:p>
                  <w:pPr>
                    <w:spacing w:before="65" w:line="251" w:lineRule="auto"/>
                    <w:ind w:left="125" w:right="32" w:firstLine="1"/>
                    <w:rPr>
                      <w:rFonts w:ascii="宋体" w:hAnsi="宋体" w:eastAsia="宋体" w:cs="宋体"/>
                      <w:sz w:val="20"/>
                      <w:szCs w:val="20"/>
                    </w:rPr>
                  </w:pPr>
                  <w:r>
                    <w:rPr>
                      <w:rFonts w:ascii="宋体" w:hAnsi="宋体" w:eastAsia="宋体" w:cs="宋体"/>
                      <w:spacing w:val="15"/>
                      <w:sz w:val="20"/>
                      <w:szCs w:val="20"/>
                    </w:rPr>
                    <w:t>重</w:t>
                  </w:r>
                  <w:r>
                    <w:rPr>
                      <w:rFonts w:ascii="宋体" w:hAnsi="宋体" w:eastAsia="宋体" w:cs="宋体"/>
                      <w:spacing w:val="9"/>
                      <w:sz w:val="20"/>
                      <w:szCs w:val="20"/>
                    </w:rPr>
                    <w:t>点管控单元中，应针对性地加强污染</w:t>
                  </w:r>
                  <w:r>
                    <w:rPr>
                      <w:rFonts w:ascii="宋体" w:hAnsi="宋体" w:eastAsia="宋体" w:cs="宋体"/>
                      <w:sz w:val="20"/>
                      <w:szCs w:val="20"/>
                    </w:rPr>
                    <w:t xml:space="preserve"> </w:t>
                  </w:r>
                  <w:r>
                    <w:rPr>
                      <w:rFonts w:ascii="宋体" w:hAnsi="宋体" w:eastAsia="宋体" w:cs="宋体"/>
                      <w:spacing w:val="17"/>
                      <w:sz w:val="20"/>
                      <w:szCs w:val="20"/>
                    </w:rPr>
                    <w:t>物</w:t>
                  </w:r>
                  <w:r>
                    <w:rPr>
                      <w:rFonts w:ascii="宋体" w:hAnsi="宋体" w:eastAsia="宋体" w:cs="宋体"/>
                      <w:spacing w:val="9"/>
                      <w:sz w:val="20"/>
                      <w:szCs w:val="20"/>
                    </w:rPr>
                    <w:t>排放控制和环境风险防控，解决生态</w:t>
                  </w:r>
                  <w:r>
                    <w:rPr>
                      <w:rFonts w:ascii="宋体" w:hAnsi="宋体" w:eastAsia="宋体" w:cs="宋体"/>
                      <w:sz w:val="20"/>
                      <w:szCs w:val="20"/>
                    </w:rPr>
                    <w:t xml:space="preserve"> </w:t>
                  </w:r>
                  <w:r>
                    <w:rPr>
                      <w:rFonts w:ascii="宋体" w:hAnsi="宋体" w:eastAsia="宋体" w:cs="宋体"/>
                      <w:spacing w:val="17"/>
                      <w:sz w:val="20"/>
                      <w:szCs w:val="20"/>
                    </w:rPr>
                    <w:t>环</w:t>
                  </w:r>
                  <w:r>
                    <w:rPr>
                      <w:rFonts w:ascii="宋体" w:hAnsi="宋体" w:eastAsia="宋体" w:cs="宋体"/>
                      <w:spacing w:val="9"/>
                      <w:sz w:val="20"/>
                      <w:szCs w:val="20"/>
                    </w:rPr>
                    <w:t>境质量不达标、生态环境风险突出等</w:t>
                  </w:r>
                  <w:r>
                    <w:rPr>
                      <w:rFonts w:ascii="宋体" w:hAnsi="宋体" w:eastAsia="宋体" w:cs="宋体"/>
                      <w:sz w:val="20"/>
                      <w:szCs w:val="20"/>
                    </w:rPr>
                    <w:t xml:space="preserve"> </w:t>
                  </w:r>
                  <w:r>
                    <w:rPr>
                      <w:rFonts w:ascii="宋体" w:hAnsi="宋体" w:eastAsia="宋体" w:cs="宋体"/>
                      <w:spacing w:val="3"/>
                      <w:sz w:val="20"/>
                      <w:szCs w:val="20"/>
                    </w:rPr>
                    <w:t>问题，制定差别化的生态环境准入要求</w:t>
                  </w:r>
                  <w:r>
                    <w:rPr>
                      <w:rFonts w:ascii="宋体" w:hAnsi="宋体" w:eastAsia="宋体" w:cs="宋体"/>
                      <w:spacing w:val="1"/>
                      <w:sz w:val="20"/>
                      <w:szCs w:val="20"/>
                    </w:rPr>
                    <w:t>。</w:t>
                  </w:r>
                  <w:r>
                    <w:rPr>
                      <w:rFonts w:ascii="宋体" w:hAnsi="宋体" w:eastAsia="宋体" w:cs="宋体"/>
                      <w:sz w:val="20"/>
                      <w:szCs w:val="20"/>
                    </w:rPr>
                    <w:t xml:space="preserve"> </w:t>
                  </w:r>
                  <w:r>
                    <w:rPr>
                      <w:rFonts w:ascii="宋体" w:hAnsi="宋体" w:eastAsia="宋体" w:cs="宋体"/>
                      <w:spacing w:val="17"/>
                      <w:sz w:val="20"/>
                      <w:szCs w:val="20"/>
                    </w:rPr>
                    <w:t>对</w:t>
                  </w:r>
                  <w:r>
                    <w:rPr>
                      <w:rFonts w:ascii="宋体" w:hAnsi="宋体" w:eastAsia="宋体" w:cs="宋体"/>
                      <w:spacing w:val="9"/>
                      <w:sz w:val="20"/>
                      <w:szCs w:val="20"/>
                    </w:rPr>
                    <w:t>环境质量不达标区域，提出污染物削</w:t>
                  </w:r>
                  <w:r>
                    <w:rPr>
                      <w:rFonts w:ascii="宋体" w:hAnsi="宋体" w:eastAsia="宋体" w:cs="宋体"/>
                      <w:sz w:val="20"/>
                      <w:szCs w:val="20"/>
                    </w:rPr>
                    <w:t xml:space="preserve"> </w:t>
                  </w:r>
                  <w:r>
                    <w:rPr>
                      <w:rFonts w:ascii="宋体" w:hAnsi="宋体" w:eastAsia="宋体" w:cs="宋体"/>
                      <w:spacing w:val="17"/>
                      <w:sz w:val="20"/>
                      <w:szCs w:val="20"/>
                    </w:rPr>
                    <w:t>减</w:t>
                  </w:r>
                  <w:r>
                    <w:rPr>
                      <w:rFonts w:ascii="宋体" w:hAnsi="宋体" w:eastAsia="宋体" w:cs="宋体"/>
                      <w:spacing w:val="9"/>
                      <w:sz w:val="20"/>
                      <w:szCs w:val="20"/>
                    </w:rPr>
                    <w:t>比例要求；对环境质量达标区域，提</w:t>
                  </w:r>
                </w:p>
                <w:p>
                  <w:pPr>
                    <w:spacing w:line="228" w:lineRule="auto"/>
                    <w:ind w:left="775"/>
                    <w:rPr>
                      <w:rFonts w:ascii="宋体" w:hAnsi="宋体" w:eastAsia="宋体" w:cs="宋体"/>
                      <w:sz w:val="20"/>
                      <w:szCs w:val="20"/>
                    </w:rPr>
                  </w:pPr>
                  <w:r>
                    <w:rPr>
                      <w:rFonts w:ascii="宋体" w:hAnsi="宋体" w:eastAsia="宋体" w:cs="宋体"/>
                      <w:spacing w:val="11"/>
                      <w:sz w:val="20"/>
                      <w:szCs w:val="20"/>
                    </w:rPr>
                    <w:t>出</w:t>
                  </w:r>
                  <w:r>
                    <w:rPr>
                      <w:rFonts w:ascii="宋体" w:hAnsi="宋体" w:eastAsia="宋体" w:cs="宋体"/>
                      <w:spacing w:val="6"/>
                      <w:sz w:val="20"/>
                      <w:szCs w:val="20"/>
                    </w:rPr>
                    <w:t>允许排放量建议指标。</w:t>
                  </w:r>
                </w:p>
              </w:tc>
              <w:tc>
                <w:tcPr>
                  <w:tcW w:w="2259" w:type="dxa"/>
                  <w:noWrap w:val="0"/>
                  <w:vAlign w:val="top"/>
                </w:tcPr>
                <w:p>
                  <w:pPr>
                    <w:spacing w:before="34" w:line="251" w:lineRule="auto"/>
                    <w:ind w:left="154" w:right="8" w:firstLine="12"/>
                    <w:rPr>
                      <w:rFonts w:ascii="宋体" w:hAnsi="宋体" w:eastAsia="宋体" w:cs="宋体"/>
                      <w:sz w:val="20"/>
                      <w:szCs w:val="20"/>
                    </w:rPr>
                  </w:pPr>
                  <w:r>
                    <w:rPr>
                      <w:rFonts w:ascii="宋体" w:hAnsi="宋体" w:eastAsia="宋体" w:cs="宋体"/>
                      <w:spacing w:val="10"/>
                      <w:sz w:val="20"/>
                      <w:szCs w:val="20"/>
                    </w:rPr>
                    <w:t>乐</w:t>
                  </w:r>
                  <w:r>
                    <w:rPr>
                      <w:rFonts w:ascii="宋体" w:hAnsi="宋体" w:eastAsia="宋体" w:cs="宋体"/>
                      <w:spacing w:val="8"/>
                      <w:sz w:val="20"/>
                      <w:szCs w:val="20"/>
                    </w:rPr>
                    <w:t>山市市中区为达标</w:t>
                  </w:r>
                  <w:r>
                    <w:rPr>
                      <w:rFonts w:ascii="宋体" w:hAnsi="宋体" w:eastAsia="宋体" w:cs="宋体"/>
                      <w:sz w:val="20"/>
                      <w:szCs w:val="20"/>
                    </w:rPr>
                    <w:t xml:space="preserve"> </w:t>
                  </w:r>
                  <w:r>
                    <w:rPr>
                      <w:rFonts w:ascii="宋体" w:hAnsi="宋体" w:eastAsia="宋体" w:cs="宋体"/>
                      <w:spacing w:val="14"/>
                      <w:sz w:val="20"/>
                      <w:szCs w:val="20"/>
                    </w:rPr>
                    <w:t>区</w:t>
                  </w:r>
                  <w:r>
                    <w:rPr>
                      <w:rFonts w:ascii="宋体" w:hAnsi="宋体" w:eastAsia="宋体" w:cs="宋体"/>
                      <w:spacing w:val="9"/>
                      <w:sz w:val="20"/>
                      <w:szCs w:val="20"/>
                    </w:rPr>
                    <w:t>，根据工程分析本</w:t>
                  </w:r>
                  <w:r>
                    <w:rPr>
                      <w:rFonts w:ascii="宋体" w:hAnsi="宋体" w:eastAsia="宋体" w:cs="宋体"/>
                      <w:spacing w:val="14"/>
                      <w:sz w:val="20"/>
                      <w:szCs w:val="20"/>
                    </w:rPr>
                    <w:t>项</w:t>
                  </w:r>
                  <w:r>
                    <w:rPr>
                      <w:rFonts w:ascii="宋体" w:hAnsi="宋体" w:eastAsia="宋体" w:cs="宋体"/>
                      <w:spacing w:val="9"/>
                      <w:sz w:val="20"/>
                      <w:szCs w:val="20"/>
                    </w:rPr>
                    <w:t>目各项污染均能达</w:t>
                  </w:r>
                  <w:r>
                    <w:rPr>
                      <w:rFonts w:ascii="宋体" w:hAnsi="宋体" w:eastAsia="宋体" w:cs="宋体"/>
                      <w:spacing w:val="14"/>
                      <w:sz w:val="20"/>
                      <w:szCs w:val="20"/>
                    </w:rPr>
                    <w:t>标</w:t>
                  </w:r>
                  <w:r>
                    <w:rPr>
                      <w:rFonts w:ascii="宋体" w:hAnsi="宋体" w:eastAsia="宋体" w:cs="宋体"/>
                      <w:spacing w:val="9"/>
                      <w:sz w:val="20"/>
                      <w:szCs w:val="20"/>
                    </w:rPr>
                    <w:t>排放对周围环境影</w:t>
                  </w:r>
                  <w:r>
                    <w:rPr>
                      <w:rFonts w:ascii="宋体" w:hAnsi="宋体" w:eastAsia="宋体" w:cs="宋体"/>
                      <w:spacing w:val="14"/>
                      <w:sz w:val="20"/>
                      <w:szCs w:val="20"/>
                    </w:rPr>
                    <w:t>响</w:t>
                  </w:r>
                  <w:r>
                    <w:rPr>
                      <w:rFonts w:ascii="宋体" w:hAnsi="宋体" w:eastAsia="宋体" w:cs="宋体"/>
                      <w:spacing w:val="9"/>
                      <w:sz w:val="20"/>
                      <w:szCs w:val="20"/>
                    </w:rPr>
                    <w:t>小；同时本项目为</w:t>
                  </w:r>
                  <w:r>
                    <w:rPr>
                      <w:rFonts w:ascii="宋体" w:hAnsi="宋体" w:eastAsia="宋体" w:cs="宋体"/>
                      <w:sz w:val="20"/>
                      <w:szCs w:val="20"/>
                    </w:rPr>
                    <w:t xml:space="preserve"> </w:t>
                  </w:r>
                  <w:r>
                    <w:rPr>
                      <w:rFonts w:ascii="宋体" w:hAnsi="宋体" w:eastAsia="宋体" w:cs="宋体"/>
                      <w:spacing w:val="14"/>
                      <w:sz w:val="20"/>
                      <w:szCs w:val="20"/>
                    </w:rPr>
                    <w:t>《</w:t>
                  </w:r>
                  <w:r>
                    <w:rPr>
                      <w:rFonts w:ascii="宋体" w:hAnsi="宋体" w:eastAsia="宋体" w:cs="宋体"/>
                      <w:spacing w:val="9"/>
                      <w:sz w:val="20"/>
                      <w:szCs w:val="20"/>
                    </w:rPr>
                    <w:t>产业结构调整指导</w:t>
                  </w:r>
                  <w:r>
                    <w:rPr>
                      <w:rFonts w:ascii="宋体" w:hAnsi="宋体" w:eastAsia="宋体" w:cs="宋体"/>
                      <w:sz w:val="20"/>
                      <w:szCs w:val="20"/>
                    </w:rPr>
                    <w:t xml:space="preserve"> </w:t>
                  </w:r>
                  <w:r>
                    <w:rPr>
                      <w:rFonts w:ascii="宋体" w:hAnsi="宋体" w:eastAsia="宋体" w:cs="宋体"/>
                      <w:spacing w:val="-2"/>
                      <w:sz w:val="20"/>
                      <w:szCs w:val="20"/>
                    </w:rPr>
                    <w:t>目录 (</w:t>
                  </w:r>
                  <w:r>
                    <w:rPr>
                      <w:rFonts w:ascii="Times New Roman" w:hAnsi="Times New Roman" w:eastAsia="Times New Roman" w:cs="Times New Roman"/>
                      <w:spacing w:val="-2"/>
                      <w:sz w:val="20"/>
                      <w:szCs w:val="20"/>
                    </w:rPr>
                    <w:t xml:space="preserve">2021 </w:t>
                  </w:r>
                  <w:r>
                    <w:rPr>
                      <w:rFonts w:ascii="宋体" w:hAnsi="宋体" w:eastAsia="宋体" w:cs="宋体"/>
                      <w:spacing w:val="-2"/>
                      <w:sz w:val="20"/>
                      <w:szCs w:val="20"/>
                    </w:rPr>
                    <w:t>年</w:t>
                  </w:r>
                  <w:r>
                    <w:rPr>
                      <w:rFonts w:ascii="宋体" w:hAnsi="宋体" w:eastAsia="宋体" w:cs="宋体"/>
                      <w:spacing w:val="-1"/>
                      <w:sz w:val="20"/>
                      <w:szCs w:val="20"/>
                    </w:rPr>
                    <w:t>修订) 》</w:t>
                  </w:r>
                  <w:r>
                    <w:rPr>
                      <w:rFonts w:ascii="宋体" w:hAnsi="宋体" w:eastAsia="宋体" w:cs="宋体"/>
                      <w:sz w:val="20"/>
                      <w:szCs w:val="20"/>
                    </w:rPr>
                    <w:t xml:space="preserve"> </w:t>
                  </w:r>
                  <w:r>
                    <w:rPr>
                      <w:rFonts w:ascii="宋体" w:hAnsi="宋体" w:eastAsia="宋体" w:cs="宋体"/>
                      <w:spacing w:val="14"/>
                      <w:sz w:val="20"/>
                      <w:szCs w:val="20"/>
                    </w:rPr>
                    <w:t>鼓</w:t>
                  </w:r>
                  <w:r>
                    <w:rPr>
                      <w:rFonts w:ascii="宋体" w:hAnsi="宋体" w:eastAsia="宋体" w:cs="宋体"/>
                      <w:spacing w:val="9"/>
                      <w:sz w:val="20"/>
                      <w:szCs w:val="20"/>
                    </w:rPr>
                    <w:t>励类项目，符合国家</w:t>
                  </w:r>
                  <w:r>
                    <w:rPr>
                      <w:rFonts w:ascii="宋体" w:hAnsi="宋体" w:eastAsia="宋体" w:cs="宋体"/>
                      <w:spacing w:val="6"/>
                      <w:sz w:val="20"/>
                      <w:szCs w:val="20"/>
                    </w:rPr>
                    <w:t>产业政策。</w:t>
                  </w:r>
                </w:p>
              </w:tc>
              <w:tc>
                <w:tcPr>
                  <w:tcW w:w="821" w:type="dxa"/>
                  <w:tcBorders>
                    <w:right w:val="single" w:color="000000" w:sz="6" w:space="0"/>
                  </w:tcBorders>
                  <w:noWrap w:val="0"/>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before="65" w:line="228" w:lineRule="auto"/>
                    <w:ind w:left="167"/>
                    <w:rPr>
                      <w:rFonts w:ascii="宋体" w:hAnsi="宋体" w:eastAsia="宋体" w:cs="宋体"/>
                      <w:sz w:val="20"/>
                      <w:szCs w:val="20"/>
                    </w:rPr>
                  </w:pPr>
                  <w:r>
                    <w:rPr>
                      <w:rFonts w:ascii="宋体" w:hAnsi="宋体" w:eastAsia="宋体" w:cs="宋体"/>
                      <w:spacing w:val="4"/>
                      <w:sz w:val="20"/>
                      <w:szCs w:val="20"/>
                    </w:rPr>
                    <w:t>符</w:t>
                  </w:r>
                  <w:r>
                    <w:rPr>
                      <w:rFonts w:ascii="宋体" w:hAnsi="宋体" w:eastAsia="宋体" w:cs="宋体"/>
                      <w:spacing w:val="3"/>
                      <w:sz w:val="20"/>
                      <w:szCs w:val="20"/>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8" w:hRule="atLeast"/>
              </w:trPr>
              <w:tc>
                <w:tcPr>
                  <w:tcW w:w="1048" w:type="dxa"/>
                  <w:noWrap w:val="0"/>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65" w:line="228" w:lineRule="auto"/>
                    <w:ind w:left="181"/>
                    <w:rPr>
                      <w:rFonts w:ascii="宋体" w:hAnsi="宋体" w:eastAsia="宋体" w:cs="宋体"/>
                      <w:sz w:val="20"/>
                      <w:szCs w:val="20"/>
                    </w:rPr>
                  </w:pPr>
                  <w:r>
                    <w:rPr>
                      <w:rFonts w:ascii="宋体" w:hAnsi="宋体" w:eastAsia="宋体" w:cs="宋体"/>
                      <w:spacing w:val="6"/>
                      <w:sz w:val="20"/>
                      <w:szCs w:val="20"/>
                    </w:rPr>
                    <w:t>乐</w:t>
                  </w:r>
                  <w:r>
                    <w:rPr>
                      <w:rFonts w:ascii="宋体" w:hAnsi="宋体" w:eastAsia="宋体" w:cs="宋体"/>
                      <w:spacing w:val="4"/>
                      <w:sz w:val="20"/>
                      <w:szCs w:val="20"/>
                    </w:rPr>
                    <w:t>山市</w:t>
                  </w:r>
                </w:p>
                <w:p>
                  <w:pPr>
                    <w:spacing w:before="24" w:line="228" w:lineRule="auto"/>
                    <w:ind w:left="174"/>
                    <w:rPr>
                      <w:rFonts w:ascii="宋体" w:hAnsi="宋体" w:eastAsia="宋体" w:cs="宋体"/>
                      <w:sz w:val="20"/>
                      <w:szCs w:val="20"/>
                    </w:rPr>
                  </w:pPr>
                  <w:r>
                    <w:rPr>
                      <w:rFonts w:ascii="宋体" w:hAnsi="宋体" w:eastAsia="宋体" w:cs="宋体"/>
                      <w:spacing w:val="7"/>
                      <w:sz w:val="20"/>
                      <w:szCs w:val="20"/>
                    </w:rPr>
                    <w:t>全市</w:t>
                  </w:r>
                  <w:r>
                    <w:rPr>
                      <w:rFonts w:ascii="宋体" w:hAnsi="宋体" w:eastAsia="宋体" w:cs="宋体"/>
                      <w:spacing w:val="6"/>
                      <w:sz w:val="20"/>
                      <w:szCs w:val="20"/>
                    </w:rPr>
                    <w:t>及</w:t>
                  </w:r>
                </w:p>
                <w:p>
                  <w:pPr>
                    <w:spacing w:before="26" w:line="229" w:lineRule="auto"/>
                    <w:ind w:left="283"/>
                    <w:rPr>
                      <w:rFonts w:ascii="宋体" w:hAnsi="宋体" w:eastAsia="宋体" w:cs="宋体"/>
                      <w:sz w:val="20"/>
                      <w:szCs w:val="20"/>
                    </w:rPr>
                  </w:pPr>
                  <w:r>
                    <w:rPr>
                      <w:rFonts w:ascii="宋体" w:hAnsi="宋体" w:eastAsia="宋体" w:cs="宋体"/>
                      <w:spacing w:val="4"/>
                      <w:sz w:val="20"/>
                      <w:szCs w:val="20"/>
                    </w:rPr>
                    <w:t>各</w:t>
                  </w:r>
                  <w:r>
                    <w:rPr>
                      <w:rFonts w:ascii="宋体" w:hAnsi="宋体" w:eastAsia="宋体" w:cs="宋体"/>
                      <w:spacing w:val="3"/>
                      <w:sz w:val="20"/>
                      <w:szCs w:val="20"/>
                    </w:rPr>
                    <w:t>县</w:t>
                  </w:r>
                </w:p>
                <w:p>
                  <w:pPr>
                    <w:spacing w:before="23" w:line="228" w:lineRule="auto"/>
                    <w:ind w:left="185"/>
                    <w:rPr>
                      <w:rFonts w:ascii="宋体" w:hAnsi="宋体" w:eastAsia="宋体" w:cs="宋体"/>
                      <w:sz w:val="20"/>
                      <w:szCs w:val="20"/>
                    </w:rPr>
                  </w:pPr>
                  <w:r>
                    <w:rPr>
                      <w:rFonts w:ascii="宋体" w:hAnsi="宋体" w:eastAsia="宋体" w:cs="宋体"/>
                      <w:spacing w:val="33"/>
                      <w:sz w:val="20"/>
                      <w:szCs w:val="20"/>
                    </w:rPr>
                    <w:t>(市、</w:t>
                  </w:r>
                </w:p>
                <w:p>
                  <w:pPr>
                    <w:spacing w:before="25" w:line="230" w:lineRule="auto"/>
                    <w:ind w:left="140"/>
                    <w:rPr>
                      <w:rFonts w:ascii="宋体" w:hAnsi="宋体" w:eastAsia="宋体" w:cs="宋体"/>
                      <w:sz w:val="20"/>
                      <w:szCs w:val="20"/>
                    </w:rPr>
                  </w:pPr>
                  <w:r>
                    <w:rPr>
                      <w:rFonts w:ascii="宋体" w:hAnsi="宋体" w:eastAsia="宋体" w:cs="宋体"/>
                      <w:spacing w:val="2"/>
                      <w:sz w:val="20"/>
                      <w:szCs w:val="20"/>
                    </w:rPr>
                    <w:t>区)总体</w:t>
                  </w:r>
                </w:p>
                <w:p>
                  <w:pPr>
                    <w:spacing w:before="22" w:line="231" w:lineRule="auto"/>
                    <w:ind w:left="176"/>
                    <w:rPr>
                      <w:rFonts w:ascii="宋体" w:hAnsi="宋体" w:eastAsia="宋体" w:cs="宋体"/>
                      <w:sz w:val="20"/>
                      <w:szCs w:val="20"/>
                    </w:rPr>
                  </w:pPr>
                  <w:r>
                    <w:rPr>
                      <w:rFonts w:ascii="宋体" w:hAnsi="宋体" w:eastAsia="宋体" w:cs="宋体"/>
                      <w:spacing w:val="7"/>
                      <w:sz w:val="20"/>
                      <w:szCs w:val="20"/>
                    </w:rPr>
                    <w:t>生</w:t>
                  </w:r>
                  <w:r>
                    <w:rPr>
                      <w:rFonts w:ascii="宋体" w:hAnsi="宋体" w:eastAsia="宋体" w:cs="宋体"/>
                      <w:spacing w:val="6"/>
                      <w:sz w:val="20"/>
                      <w:szCs w:val="20"/>
                    </w:rPr>
                    <w:t>态环</w:t>
                  </w:r>
                </w:p>
                <w:p>
                  <w:pPr>
                    <w:spacing w:before="24" w:line="228" w:lineRule="auto"/>
                    <w:ind w:left="175"/>
                    <w:rPr>
                      <w:rFonts w:ascii="宋体" w:hAnsi="宋体" w:eastAsia="宋体" w:cs="宋体"/>
                      <w:sz w:val="20"/>
                      <w:szCs w:val="20"/>
                    </w:rPr>
                  </w:pPr>
                  <w:r>
                    <w:rPr>
                      <w:rFonts w:ascii="宋体" w:hAnsi="宋体" w:eastAsia="宋体" w:cs="宋体"/>
                      <w:spacing w:val="7"/>
                      <w:sz w:val="20"/>
                      <w:szCs w:val="20"/>
                    </w:rPr>
                    <w:t>境</w:t>
                  </w:r>
                  <w:r>
                    <w:rPr>
                      <w:rFonts w:ascii="宋体" w:hAnsi="宋体" w:eastAsia="宋体" w:cs="宋体"/>
                      <w:spacing w:val="6"/>
                      <w:sz w:val="20"/>
                      <w:szCs w:val="20"/>
                    </w:rPr>
                    <w:t>管控</w:t>
                  </w:r>
                </w:p>
                <w:p>
                  <w:pPr>
                    <w:spacing w:before="24" w:line="230" w:lineRule="auto"/>
                    <w:ind w:left="281"/>
                    <w:rPr>
                      <w:rFonts w:ascii="宋体" w:hAnsi="宋体" w:eastAsia="宋体" w:cs="宋体"/>
                      <w:sz w:val="20"/>
                      <w:szCs w:val="20"/>
                    </w:rPr>
                  </w:pPr>
                  <w:r>
                    <w:rPr>
                      <w:rFonts w:ascii="宋体" w:hAnsi="宋体" w:eastAsia="宋体" w:cs="宋体"/>
                      <w:spacing w:val="4"/>
                      <w:sz w:val="20"/>
                      <w:szCs w:val="20"/>
                    </w:rPr>
                    <w:t>要求</w:t>
                  </w:r>
                </w:p>
              </w:tc>
              <w:tc>
                <w:tcPr>
                  <w:tcW w:w="776" w:type="dxa"/>
                  <w:noWrap w:val="0"/>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before="65" w:line="274" w:lineRule="exact"/>
                    <w:ind w:left="155"/>
                    <w:rPr>
                      <w:rFonts w:ascii="宋体" w:hAnsi="宋体" w:eastAsia="宋体" w:cs="宋体"/>
                      <w:sz w:val="20"/>
                      <w:szCs w:val="20"/>
                    </w:rPr>
                  </w:pPr>
                  <w:r>
                    <w:rPr>
                      <w:rFonts w:ascii="宋体" w:hAnsi="宋体" w:eastAsia="宋体" w:cs="宋体"/>
                      <w:spacing w:val="2"/>
                      <w:position w:val="4"/>
                      <w:sz w:val="20"/>
                      <w:szCs w:val="20"/>
                    </w:rPr>
                    <w:t>市中</w:t>
                  </w:r>
                </w:p>
                <w:p>
                  <w:pPr>
                    <w:spacing w:line="233" w:lineRule="auto"/>
                    <w:ind w:left="268"/>
                    <w:rPr>
                      <w:rFonts w:ascii="宋体" w:hAnsi="宋体" w:eastAsia="宋体" w:cs="宋体"/>
                      <w:sz w:val="20"/>
                      <w:szCs w:val="20"/>
                    </w:rPr>
                  </w:pPr>
                  <w:r>
                    <w:rPr>
                      <w:rFonts w:ascii="宋体" w:hAnsi="宋体" w:eastAsia="宋体" w:cs="宋体"/>
                      <w:sz w:val="20"/>
                      <w:szCs w:val="20"/>
                    </w:rPr>
                    <w:t>区</w:t>
                  </w:r>
                </w:p>
              </w:tc>
              <w:tc>
                <w:tcPr>
                  <w:tcW w:w="4262" w:type="dxa"/>
                  <w:noWrap w:val="0"/>
                  <w:vAlign w:val="top"/>
                </w:tcPr>
                <w:p>
                  <w:pPr>
                    <w:spacing w:before="34" w:line="228" w:lineRule="auto"/>
                    <w:ind w:left="168"/>
                    <w:rPr>
                      <w:rFonts w:ascii="宋体" w:hAnsi="宋体" w:eastAsia="宋体" w:cs="宋体"/>
                      <w:sz w:val="20"/>
                      <w:szCs w:val="20"/>
                    </w:rPr>
                  </w:pPr>
                  <w:r>
                    <w:rPr>
                      <w:rFonts w:ascii="Times New Roman" w:hAnsi="Times New Roman" w:eastAsia="Times New Roman" w:cs="Times New Roman"/>
                      <w:spacing w:val="8"/>
                      <w:sz w:val="20"/>
                      <w:szCs w:val="20"/>
                    </w:rPr>
                    <w:t>1.</w:t>
                  </w:r>
                  <w:r>
                    <w:rPr>
                      <w:rFonts w:ascii="宋体" w:hAnsi="宋体" w:eastAsia="宋体" w:cs="宋体"/>
                      <w:spacing w:val="8"/>
                      <w:sz w:val="20"/>
                      <w:szCs w:val="20"/>
                    </w:rPr>
                    <w:t>优化调整产业结构，严格生态环境</w:t>
                  </w:r>
                  <w:r>
                    <w:rPr>
                      <w:rFonts w:ascii="宋体" w:hAnsi="宋体" w:eastAsia="宋体" w:cs="宋体"/>
                      <w:spacing w:val="5"/>
                      <w:sz w:val="20"/>
                      <w:szCs w:val="20"/>
                    </w:rPr>
                    <w:t>准</w:t>
                  </w:r>
                </w:p>
                <w:p>
                  <w:pPr>
                    <w:spacing w:before="24" w:line="228" w:lineRule="auto"/>
                    <w:ind w:left="151"/>
                    <w:rPr>
                      <w:rFonts w:ascii="宋体" w:hAnsi="宋体" w:eastAsia="宋体" w:cs="宋体"/>
                      <w:sz w:val="20"/>
                      <w:szCs w:val="20"/>
                    </w:rPr>
                  </w:pPr>
                  <w:r>
                    <w:rPr>
                      <w:rFonts w:ascii="宋体" w:hAnsi="宋体" w:eastAsia="宋体" w:cs="宋体"/>
                      <w:spacing w:val="9"/>
                      <w:sz w:val="20"/>
                      <w:szCs w:val="20"/>
                    </w:rPr>
                    <w:t>入要求；</w:t>
                  </w:r>
                  <w:r>
                    <w:rPr>
                      <w:rFonts w:ascii="Times New Roman" w:hAnsi="Times New Roman" w:eastAsia="Times New Roman" w:cs="Times New Roman"/>
                      <w:spacing w:val="9"/>
                      <w:sz w:val="20"/>
                      <w:szCs w:val="20"/>
                    </w:rPr>
                    <w:t>2.</w:t>
                  </w:r>
                  <w:r>
                    <w:rPr>
                      <w:rFonts w:ascii="宋体" w:hAnsi="宋体" w:eastAsia="宋体" w:cs="宋体"/>
                      <w:spacing w:val="9"/>
                      <w:sz w:val="20"/>
                      <w:szCs w:val="20"/>
                    </w:rPr>
                    <w:t>推动城市建成区内企业“</w:t>
                  </w:r>
                  <w:r>
                    <w:rPr>
                      <w:rFonts w:ascii="宋体" w:hAnsi="宋体" w:eastAsia="宋体" w:cs="宋体"/>
                      <w:spacing w:val="5"/>
                      <w:sz w:val="20"/>
                      <w:szCs w:val="20"/>
                    </w:rPr>
                    <w:t>退</w:t>
                  </w:r>
                </w:p>
                <w:p>
                  <w:pPr>
                    <w:spacing w:before="26" w:line="228" w:lineRule="auto"/>
                    <w:ind w:left="442"/>
                    <w:rPr>
                      <w:rFonts w:ascii="宋体" w:hAnsi="宋体" w:eastAsia="宋体" w:cs="宋体"/>
                      <w:sz w:val="20"/>
                      <w:szCs w:val="20"/>
                    </w:rPr>
                  </w:pPr>
                  <w:r>
                    <w:rPr>
                      <w:rFonts w:ascii="宋体" w:hAnsi="宋体" w:eastAsia="宋体" w:cs="宋体"/>
                      <w:spacing w:val="2"/>
                      <w:sz w:val="20"/>
                      <w:szCs w:val="20"/>
                    </w:rPr>
                    <w:t>城入园” ，严格控制园外企业</w:t>
                  </w:r>
                  <w:r>
                    <w:rPr>
                      <w:rFonts w:ascii="宋体" w:hAnsi="宋体" w:eastAsia="宋体" w:cs="宋体"/>
                      <w:spacing w:val="1"/>
                      <w:sz w:val="20"/>
                      <w:szCs w:val="20"/>
                    </w:rPr>
                    <w:t>无</w:t>
                  </w:r>
                </w:p>
                <w:p>
                  <w:pPr>
                    <w:spacing w:before="23" w:line="229" w:lineRule="auto"/>
                    <w:ind w:left="151"/>
                    <w:rPr>
                      <w:rFonts w:ascii="宋体" w:hAnsi="宋体" w:eastAsia="宋体" w:cs="宋体"/>
                      <w:sz w:val="20"/>
                      <w:szCs w:val="20"/>
                    </w:rPr>
                  </w:pPr>
                  <w:r>
                    <w:rPr>
                      <w:rFonts w:ascii="宋体" w:hAnsi="宋体" w:eastAsia="宋体" w:cs="宋体"/>
                      <w:spacing w:val="9"/>
                      <w:sz w:val="20"/>
                      <w:szCs w:val="20"/>
                    </w:rPr>
                    <w:t>序扩张；</w:t>
                  </w:r>
                  <w:r>
                    <w:rPr>
                      <w:rFonts w:ascii="Times New Roman" w:hAnsi="Times New Roman" w:eastAsia="Times New Roman" w:cs="Times New Roman"/>
                      <w:spacing w:val="9"/>
                      <w:sz w:val="20"/>
                      <w:szCs w:val="20"/>
                    </w:rPr>
                    <w:t>3.</w:t>
                  </w:r>
                  <w:r>
                    <w:rPr>
                      <w:rFonts w:ascii="宋体" w:hAnsi="宋体" w:eastAsia="宋体" w:cs="宋体"/>
                      <w:spacing w:val="9"/>
                      <w:sz w:val="20"/>
                      <w:szCs w:val="20"/>
                    </w:rPr>
                    <w:t>加强泥溪河、茫溪河等小</w:t>
                  </w:r>
                  <w:r>
                    <w:rPr>
                      <w:rFonts w:ascii="宋体" w:hAnsi="宋体" w:eastAsia="宋体" w:cs="宋体"/>
                      <w:spacing w:val="5"/>
                      <w:sz w:val="20"/>
                      <w:szCs w:val="20"/>
                    </w:rPr>
                    <w:t>流</w:t>
                  </w:r>
                </w:p>
                <w:p>
                  <w:pPr>
                    <w:spacing w:before="25" w:line="229" w:lineRule="auto"/>
                    <w:ind w:left="126"/>
                    <w:rPr>
                      <w:rFonts w:ascii="宋体" w:hAnsi="宋体" w:eastAsia="宋体" w:cs="宋体"/>
                      <w:sz w:val="20"/>
                      <w:szCs w:val="20"/>
                    </w:rPr>
                  </w:pPr>
                  <w:r>
                    <w:rPr>
                      <w:rFonts w:ascii="宋体" w:hAnsi="宋体" w:eastAsia="宋体" w:cs="宋体"/>
                      <w:spacing w:val="15"/>
                      <w:sz w:val="20"/>
                      <w:szCs w:val="20"/>
                    </w:rPr>
                    <w:t>域</w:t>
                  </w:r>
                  <w:r>
                    <w:rPr>
                      <w:rFonts w:ascii="宋体" w:hAnsi="宋体" w:eastAsia="宋体" w:cs="宋体"/>
                      <w:spacing w:val="9"/>
                      <w:sz w:val="20"/>
                      <w:szCs w:val="20"/>
                    </w:rPr>
                    <w:t>污染治理，严控泥溪河、茫溪河流域</w:t>
                  </w:r>
                </w:p>
                <w:p>
                  <w:pPr>
                    <w:spacing w:before="24" w:line="228" w:lineRule="auto"/>
                    <w:ind w:left="127"/>
                    <w:rPr>
                      <w:rFonts w:ascii="宋体" w:hAnsi="宋体" w:eastAsia="宋体" w:cs="宋体"/>
                      <w:sz w:val="20"/>
                      <w:szCs w:val="20"/>
                    </w:rPr>
                  </w:pPr>
                  <w:r>
                    <w:rPr>
                      <w:rFonts w:ascii="宋体" w:hAnsi="宋体" w:eastAsia="宋体" w:cs="宋体"/>
                      <w:spacing w:val="15"/>
                      <w:sz w:val="20"/>
                      <w:szCs w:val="20"/>
                    </w:rPr>
                    <w:t>涉</w:t>
                  </w:r>
                  <w:r>
                    <w:rPr>
                      <w:rFonts w:ascii="宋体" w:hAnsi="宋体" w:eastAsia="宋体" w:cs="宋体"/>
                      <w:spacing w:val="9"/>
                      <w:sz w:val="20"/>
                      <w:szCs w:val="20"/>
                    </w:rPr>
                    <w:t>水排放项目及水产养殖规模；加强农</w:t>
                  </w:r>
                </w:p>
                <w:p>
                  <w:pPr>
                    <w:spacing w:before="26" w:line="229" w:lineRule="auto"/>
                    <w:ind w:left="125"/>
                    <w:rPr>
                      <w:rFonts w:ascii="宋体" w:hAnsi="宋体" w:eastAsia="宋体" w:cs="宋体"/>
                      <w:sz w:val="20"/>
                      <w:szCs w:val="20"/>
                    </w:rPr>
                  </w:pPr>
                  <w:r>
                    <w:rPr>
                      <w:rFonts w:ascii="宋体" w:hAnsi="宋体" w:eastAsia="宋体" w:cs="宋体"/>
                      <w:spacing w:val="17"/>
                      <w:sz w:val="20"/>
                      <w:szCs w:val="20"/>
                    </w:rPr>
                    <w:t>业</w:t>
                  </w:r>
                  <w:r>
                    <w:rPr>
                      <w:rFonts w:ascii="宋体" w:hAnsi="宋体" w:eastAsia="宋体" w:cs="宋体"/>
                      <w:spacing w:val="9"/>
                      <w:sz w:val="20"/>
                      <w:szCs w:val="20"/>
                    </w:rPr>
                    <w:t>面源污染治理，严格控制化肥农药使</w:t>
                  </w:r>
                </w:p>
                <w:p>
                  <w:pPr>
                    <w:spacing w:before="23" w:line="230" w:lineRule="auto"/>
                    <w:ind w:left="127"/>
                    <w:rPr>
                      <w:rFonts w:ascii="宋体" w:hAnsi="宋体" w:eastAsia="宋体" w:cs="宋体"/>
                      <w:sz w:val="20"/>
                      <w:szCs w:val="20"/>
                    </w:rPr>
                  </w:pPr>
                  <w:r>
                    <w:rPr>
                      <w:rFonts w:ascii="宋体" w:hAnsi="宋体" w:eastAsia="宋体" w:cs="宋体"/>
                      <w:spacing w:val="15"/>
                      <w:sz w:val="20"/>
                      <w:szCs w:val="20"/>
                    </w:rPr>
                    <w:t>用</w:t>
                  </w:r>
                  <w:r>
                    <w:rPr>
                      <w:rFonts w:ascii="宋体" w:hAnsi="宋体" w:eastAsia="宋体" w:cs="宋体"/>
                      <w:spacing w:val="9"/>
                      <w:sz w:val="20"/>
                      <w:szCs w:val="20"/>
                    </w:rPr>
                    <w:t>量，积极推广畜禽清洁养殖和畜禽粪</w:t>
                  </w:r>
                </w:p>
                <w:p>
                  <w:pPr>
                    <w:spacing w:before="25" w:line="229" w:lineRule="auto"/>
                    <w:ind w:left="154"/>
                    <w:rPr>
                      <w:rFonts w:ascii="宋体" w:hAnsi="宋体" w:eastAsia="宋体" w:cs="宋体"/>
                      <w:sz w:val="20"/>
                      <w:szCs w:val="20"/>
                    </w:rPr>
                  </w:pPr>
                  <w:r>
                    <w:rPr>
                      <w:rFonts w:ascii="宋体" w:hAnsi="宋体" w:eastAsia="宋体" w:cs="宋体"/>
                      <w:spacing w:val="16"/>
                      <w:sz w:val="20"/>
                      <w:szCs w:val="20"/>
                    </w:rPr>
                    <w:t>污</w:t>
                  </w:r>
                  <w:r>
                    <w:rPr>
                      <w:rFonts w:ascii="宋体" w:hAnsi="宋体" w:eastAsia="宋体" w:cs="宋体"/>
                      <w:spacing w:val="12"/>
                      <w:sz w:val="20"/>
                      <w:szCs w:val="20"/>
                    </w:rPr>
                    <w:t>无</w:t>
                  </w:r>
                  <w:r>
                    <w:rPr>
                      <w:rFonts w:ascii="宋体" w:hAnsi="宋体" w:eastAsia="宋体" w:cs="宋体"/>
                      <w:spacing w:val="8"/>
                      <w:sz w:val="20"/>
                      <w:szCs w:val="20"/>
                    </w:rPr>
                    <w:t>害化、资源化利用技术；</w:t>
                  </w:r>
                  <w:r>
                    <w:rPr>
                      <w:rFonts w:ascii="Times New Roman" w:hAnsi="Times New Roman" w:eastAsia="Times New Roman" w:cs="Times New Roman"/>
                      <w:spacing w:val="8"/>
                      <w:sz w:val="20"/>
                      <w:szCs w:val="20"/>
                    </w:rPr>
                    <w:t>4.</w:t>
                  </w:r>
                  <w:r>
                    <w:rPr>
                      <w:rFonts w:ascii="宋体" w:hAnsi="宋体" w:eastAsia="宋体" w:cs="宋体"/>
                      <w:spacing w:val="8"/>
                      <w:sz w:val="20"/>
                      <w:szCs w:val="20"/>
                    </w:rPr>
                    <w:t>加强区</w:t>
                  </w:r>
                </w:p>
                <w:p>
                  <w:pPr>
                    <w:spacing w:before="23" w:line="229" w:lineRule="auto"/>
                    <w:ind w:left="126"/>
                    <w:rPr>
                      <w:rFonts w:ascii="宋体" w:hAnsi="宋体" w:eastAsia="宋体" w:cs="宋体"/>
                      <w:sz w:val="20"/>
                      <w:szCs w:val="20"/>
                    </w:rPr>
                  </w:pPr>
                  <w:r>
                    <w:rPr>
                      <w:rFonts w:ascii="宋体" w:hAnsi="宋体" w:eastAsia="宋体" w:cs="宋体"/>
                      <w:spacing w:val="15"/>
                      <w:sz w:val="20"/>
                      <w:szCs w:val="20"/>
                    </w:rPr>
                    <w:t>域</w:t>
                  </w:r>
                  <w:r>
                    <w:rPr>
                      <w:rFonts w:ascii="宋体" w:hAnsi="宋体" w:eastAsia="宋体" w:cs="宋体"/>
                      <w:spacing w:val="9"/>
                      <w:sz w:val="20"/>
                      <w:szCs w:val="20"/>
                    </w:rPr>
                    <w:t>大气污染治理，推进涉挥发性有机物</w:t>
                  </w:r>
                </w:p>
                <w:p>
                  <w:pPr>
                    <w:spacing w:before="25" w:line="229" w:lineRule="auto"/>
                    <w:ind w:left="125"/>
                    <w:rPr>
                      <w:rFonts w:ascii="宋体" w:hAnsi="宋体" w:eastAsia="宋体" w:cs="宋体"/>
                      <w:sz w:val="20"/>
                      <w:szCs w:val="20"/>
                    </w:rPr>
                  </w:pPr>
                  <w:r>
                    <w:rPr>
                      <w:rFonts w:ascii="宋体" w:hAnsi="宋体" w:eastAsia="宋体" w:cs="宋体"/>
                      <w:spacing w:val="16"/>
                      <w:sz w:val="20"/>
                      <w:szCs w:val="20"/>
                    </w:rPr>
                    <w:t>排</w:t>
                  </w:r>
                  <w:r>
                    <w:rPr>
                      <w:rFonts w:ascii="宋体" w:hAnsi="宋体" w:eastAsia="宋体" w:cs="宋体"/>
                      <w:spacing w:val="9"/>
                      <w:sz w:val="20"/>
                      <w:szCs w:val="20"/>
                    </w:rPr>
                    <w:t>放项目、砖瓦企业深度治理改造；执</w:t>
                  </w:r>
                </w:p>
                <w:p>
                  <w:pPr>
                    <w:spacing w:before="24" w:line="228" w:lineRule="auto"/>
                    <w:ind w:left="155"/>
                    <w:rPr>
                      <w:rFonts w:ascii="宋体" w:hAnsi="宋体" w:eastAsia="宋体" w:cs="宋体"/>
                      <w:sz w:val="20"/>
                      <w:szCs w:val="20"/>
                    </w:rPr>
                  </w:pPr>
                  <w:r>
                    <w:rPr>
                      <w:rFonts w:ascii="宋体" w:hAnsi="宋体" w:eastAsia="宋体" w:cs="宋体"/>
                      <w:spacing w:val="16"/>
                      <w:sz w:val="20"/>
                      <w:szCs w:val="20"/>
                    </w:rPr>
                    <w:t>行</w:t>
                  </w:r>
                  <w:r>
                    <w:rPr>
                      <w:rFonts w:ascii="宋体" w:hAnsi="宋体" w:eastAsia="宋体" w:cs="宋体"/>
                      <w:spacing w:val="10"/>
                      <w:sz w:val="20"/>
                      <w:szCs w:val="20"/>
                    </w:rPr>
                    <w:t>大</w:t>
                  </w:r>
                  <w:r>
                    <w:rPr>
                      <w:rFonts w:ascii="宋体" w:hAnsi="宋体" w:eastAsia="宋体" w:cs="宋体"/>
                      <w:spacing w:val="8"/>
                      <w:sz w:val="20"/>
                      <w:szCs w:val="20"/>
                    </w:rPr>
                    <w:t>气污染物特别排放限值；</w:t>
                  </w:r>
                  <w:r>
                    <w:rPr>
                      <w:rFonts w:ascii="Times New Roman" w:hAnsi="Times New Roman" w:eastAsia="Times New Roman" w:cs="Times New Roman"/>
                      <w:spacing w:val="8"/>
                      <w:sz w:val="20"/>
                      <w:szCs w:val="20"/>
                    </w:rPr>
                    <w:t>5.</w:t>
                  </w:r>
                  <w:r>
                    <w:rPr>
                      <w:rFonts w:ascii="宋体" w:hAnsi="宋体" w:eastAsia="宋体" w:cs="宋体"/>
                      <w:spacing w:val="8"/>
                      <w:sz w:val="20"/>
                      <w:szCs w:val="20"/>
                    </w:rPr>
                    <w:t>加强涉</w:t>
                  </w:r>
                </w:p>
                <w:p>
                  <w:pPr>
                    <w:spacing w:before="26" w:line="265" w:lineRule="auto"/>
                    <w:ind w:left="235" w:right="149" w:hanging="81"/>
                    <w:rPr>
                      <w:rFonts w:ascii="宋体" w:hAnsi="宋体" w:eastAsia="宋体" w:cs="宋体"/>
                      <w:sz w:val="20"/>
                      <w:szCs w:val="20"/>
                    </w:rPr>
                  </w:pPr>
                  <w:r>
                    <w:rPr>
                      <w:rFonts w:ascii="宋体" w:hAnsi="宋体" w:eastAsia="宋体" w:cs="宋体"/>
                      <w:spacing w:val="16"/>
                      <w:sz w:val="20"/>
                      <w:szCs w:val="20"/>
                    </w:rPr>
                    <w:t>危</w:t>
                  </w:r>
                  <w:r>
                    <w:rPr>
                      <w:rFonts w:ascii="宋体" w:hAnsi="宋体" w:eastAsia="宋体" w:cs="宋体"/>
                      <w:spacing w:val="11"/>
                      <w:sz w:val="20"/>
                      <w:szCs w:val="20"/>
                    </w:rPr>
                    <w:t>涉</w:t>
                  </w:r>
                  <w:r>
                    <w:rPr>
                      <w:rFonts w:ascii="宋体" w:hAnsi="宋体" w:eastAsia="宋体" w:cs="宋体"/>
                      <w:spacing w:val="8"/>
                      <w:sz w:val="20"/>
                      <w:szCs w:val="20"/>
                    </w:rPr>
                    <w:t>化企业管控，严控环境风险；</w:t>
                  </w:r>
                  <w:r>
                    <w:rPr>
                      <w:rFonts w:ascii="Times New Roman" w:hAnsi="Times New Roman" w:eastAsia="Times New Roman" w:cs="Times New Roman"/>
                      <w:spacing w:val="8"/>
                      <w:sz w:val="20"/>
                      <w:szCs w:val="20"/>
                    </w:rPr>
                    <w:t>6.</w:t>
                  </w:r>
                  <w:r>
                    <w:rPr>
                      <w:rFonts w:ascii="宋体" w:hAnsi="宋体" w:eastAsia="宋体" w:cs="宋体"/>
                      <w:spacing w:val="8"/>
                      <w:sz w:val="20"/>
                      <w:szCs w:val="20"/>
                    </w:rPr>
                    <w:t>加</w:t>
                  </w:r>
                  <w:r>
                    <w:rPr>
                      <w:rFonts w:ascii="宋体" w:hAnsi="宋体" w:eastAsia="宋体" w:cs="宋体"/>
                      <w:spacing w:val="15"/>
                      <w:sz w:val="20"/>
                      <w:szCs w:val="20"/>
                    </w:rPr>
                    <w:t>强</w:t>
                  </w:r>
                  <w:r>
                    <w:rPr>
                      <w:rFonts w:ascii="宋体" w:hAnsi="宋体" w:eastAsia="宋体" w:cs="宋体"/>
                      <w:spacing w:val="8"/>
                      <w:sz w:val="20"/>
                      <w:szCs w:val="20"/>
                    </w:rPr>
                    <w:t>城乡生态环境保护基础设施建设。</w:t>
                  </w:r>
                </w:p>
              </w:tc>
              <w:tc>
                <w:tcPr>
                  <w:tcW w:w="2259" w:type="dxa"/>
                  <w:noWrap w:val="0"/>
                  <w:vAlign w:val="top"/>
                </w:tcPr>
                <w:p>
                  <w:pPr>
                    <w:spacing w:line="320" w:lineRule="auto"/>
                    <w:rPr>
                      <w:rFonts w:ascii="Arial"/>
                      <w:sz w:val="21"/>
                    </w:rPr>
                  </w:pPr>
                </w:p>
                <w:p>
                  <w:pPr>
                    <w:spacing w:line="321" w:lineRule="auto"/>
                    <w:rPr>
                      <w:rFonts w:ascii="Arial"/>
                      <w:sz w:val="21"/>
                    </w:rPr>
                  </w:pPr>
                </w:p>
                <w:p>
                  <w:pPr>
                    <w:spacing w:before="65" w:line="252" w:lineRule="auto"/>
                    <w:ind w:left="161" w:right="146"/>
                    <w:rPr>
                      <w:rFonts w:ascii="宋体" w:hAnsi="宋体" w:eastAsia="宋体" w:cs="宋体"/>
                      <w:sz w:val="20"/>
                      <w:szCs w:val="20"/>
                    </w:rPr>
                  </w:pPr>
                  <w:r>
                    <w:rPr>
                      <w:rFonts w:ascii="宋体" w:hAnsi="宋体" w:eastAsia="宋体" w:cs="宋体"/>
                      <w:spacing w:val="9"/>
                      <w:sz w:val="20"/>
                      <w:szCs w:val="20"/>
                    </w:rPr>
                    <w:t>本项目为河道</w:t>
                  </w:r>
                  <w:r>
                    <w:rPr>
                      <w:rFonts w:hint="eastAsia" w:ascii="宋体" w:hAnsi="宋体" w:eastAsia="宋体" w:cs="宋体"/>
                      <w:spacing w:val="9"/>
                      <w:sz w:val="20"/>
                      <w:szCs w:val="20"/>
                      <w:lang w:val="en-US" w:eastAsia="zh-CN"/>
                    </w:rPr>
                    <w:t>综合</w:t>
                  </w:r>
                  <w:r>
                    <w:rPr>
                      <w:rFonts w:ascii="宋体" w:hAnsi="宋体" w:eastAsia="宋体" w:cs="宋体"/>
                      <w:spacing w:val="9"/>
                      <w:sz w:val="20"/>
                      <w:szCs w:val="20"/>
                    </w:rPr>
                    <w:t>整治建设项目</w:t>
                  </w:r>
                  <w:r>
                    <w:rPr>
                      <w:rFonts w:ascii="宋体" w:hAnsi="宋体" w:eastAsia="宋体" w:cs="宋体"/>
                      <w:spacing w:val="7"/>
                      <w:sz w:val="20"/>
                      <w:szCs w:val="20"/>
                    </w:rPr>
                    <w:t>，</w:t>
                  </w:r>
                  <w:r>
                    <w:rPr>
                      <w:rFonts w:ascii="宋体" w:hAnsi="宋体" w:eastAsia="宋体" w:cs="宋体"/>
                      <w:spacing w:val="9"/>
                      <w:sz w:val="20"/>
                      <w:szCs w:val="20"/>
                    </w:rPr>
                    <w:t>项目建成后有利于</w:t>
                  </w:r>
                  <w:r>
                    <w:rPr>
                      <w:rFonts w:ascii="宋体" w:hAnsi="宋体" w:eastAsia="宋体" w:cs="宋体"/>
                      <w:spacing w:val="7"/>
                      <w:sz w:val="20"/>
                      <w:szCs w:val="20"/>
                    </w:rPr>
                    <w:t>行</w:t>
                  </w:r>
                  <w:r>
                    <w:rPr>
                      <w:rFonts w:ascii="宋体" w:hAnsi="宋体" w:eastAsia="宋体" w:cs="宋体"/>
                      <w:spacing w:val="12"/>
                      <w:sz w:val="20"/>
                      <w:szCs w:val="20"/>
                    </w:rPr>
                    <w:t>洪</w:t>
                  </w:r>
                  <w:r>
                    <w:rPr>
                      <w:rFonts w:ascii="宋体" w:hAnsi="宋体" w:eastAsia="宋体" w:cs="宋体"/>
                      <w:spacing w:val="7"/>
                      <w:sz w:val="20"/>
                      <w:szCs w:val="20"/>
                    </w:rPr>
                    <w:t>及城市景观改善，</w:t>
                  </w:r>
                  <w:r>
                    <w:rPr>
                      <w:rFonts w:ascii="宋体" w:hAnsi="宋体" w:eastAsia="宋体" w:cs="宋体"/>
                      <w:spacing w:val="9"/>
                      <w:sz w:val="20"/>
                      <w:szCs w:val="20"/>
                    </w:rPr>
                    <w:t>对当地环境有正</w:t>
                  </w:r>
                  <w:r>
                    <w:rPr>
                      <w:rFonts w:ascii="宋体" w:hAnsi="宋体" w:eastAsia="宋体" w:cs="宋体"/>
                      <w:spacing w:val="7"/>
                      <w:sz w:val="20"/>
                      <w:szCs w:val="20"/>
                    </w:rPr>
                    <w:t>效</w:t>
                  </w:r>
                  <w:r>
                    <w:rPr>
                      <w:rFonts w:ascii="宋体" w:hAnsi="宋体" w:eastAsia="宋体" w:cs="宋体"/>
                      <w:spacing w:val="-1"/>
                      <w:sz w:val="20"/>
                      <w:szCs w:val="20"/>
                    </w:rPr>
                    <w:t>益</w:t>
                  </w:r>
                  <w:r>
                    <w:rPr>
                      <w:rFonts w:ascii="宋体" w:hAnsi="宋体" w:eastAsia="宋体" w:cs="宋体"/>
                      <w:sz w:val="20"/>
                      <w:szCs w:val="20"/>
                    </w:rPr>
                    <w:t>。</w:t>
                  </w:r>
                </w:p>
              </w:tc>
              <w:tc>
                <w:tcPr>
                  <w:tcW w:w="821" w:type="dxa"/>
                  <w:tcBorders>
                    <w:right w:val="single" w:color="000000" w:sz="6" w:space="0"/>
                  </w:tcBorders>
                  <w:noWrap w:val="0"/>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65" w:line="228" w:lineRule="auto"/>
                    <w:ind w:left="167"/>
                    <w:rPr>
                      <w:rFonts w:ascii="宋体" w:hAnsi="宋体" w:eastAsia="宋体" w:cs="宋体"/>
                      <w:sz w:val="20"/>
                      <w:szCs w:val="20"/>
                    </w:rPr>
                  </w:pPr>
                  <w:r>
                    <w:rPr>
                      <w:rFonts w:ascii="宋体" w:hAnsi="宋体" w:eastAsia="宋体" w:cs="宋体"/>
                      <w:spacing w:val="4"/>
                      <w:sz w:val="20"/>
                      <w:szCs w:val="20"/>
                    </w:rPr>
                    <w:t>符</w:t>
                  </w:r>
                  <w:r>
                    <w:rPr>
                      <w:rFonts w:ascii="宋体" w:hAnsi="宋体" w:eastAsia="宋体" w:cs="宋体"/>
                      <w:spacing w:val="3"/>
                      <w:sz w:val="20"/>
                      <w:szCs w:val="20"/>
                    </w:rPr>
                    <w:t>合</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pacing w:val="0"/>
                <w:sz w:val="24"/>
                <w:szCs w:val="24"/>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b w:val="0"/>
                <w:bCs w:val="0"/>
                <w:color w:val="auto"/>
                <w:spacing w:val="0"/>
                <w:sz w:val="24"/>
                <w:szCs w:val="24"/>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default" w:ascii="Times New Roman" w:hAnsi="Times New Roman" w:cs="Times New Roman"/>
                <w:b w:val="0"/>
                <w:bCs w:val="0"/>
                <w:color w:val="auto"/>
                <w:spacing w:val="0"/>
                <w:sz w:val="24"/>
                <w:szCs w:val="24"/>
                <w:lang w:val="en-US" w:eastAsia="zh-CN"/>
              </w:rPr>
            </w:pPr>
            <w:r>
              <w:rPr>
                <w:sz w:val="21"/>
              </w:rPr>
              <mc:AlternateContent>
                <mc:Choice Requires="wps">
                  <w:drawing>
                    <wp:anchor distT="0" distB="0" distL="114300" distR="114300" simplePos="0" relativeHeight="251664384" behindDoc="0" locked="0" layoutInCell="1" allowOverlap="1">
                      <wp:simplePos x="0" y="0"/>
                      <wp:positionH relativeFrom="column">
                        <wp:posOffset>2124075</wp:posOffset>
                      </wp:positionH>
                      <wp:positionV relativeFrom="paragraph">
                        <wp:posOffset>379730</wp:posOffset>
                      </wp:positionV>
                      <wp:extent cx="718185" cy="366395"/>
                      <wp:effectExtent l="5080" t="5080" r="19685" b="409575"/>
                      <wp:wrapNone/>
                      <wp:docPr id="206" name="矩形标注 206"/>
                      <wp:cNvGraphicFramePr/>
                      <a:graphic xmlns:a="http://schemas.openxmlformats.org/drawingml/2006/main">
                        <a:graphicData uri="http://schemas.microsoft.com/office/word/2010/wordprocessingShape">
                          <wps:wsp>
                            <wps:cNvSpPr/>
                            <wps:spPr>
                              <a:xfrm>
                                <a:off x="0" y="0"/>
                                <a:ext cx="718185" cy="366395"/>
                              </a:xfrm>
                              <a:prstGeom prst="wedgeRectCallout">
                                <a:avLst>
                                  <a:gd name="adj1" fmla="val 28778"/>
                                  <a:gd name="adj2" fmla="val 155894"/>
                                </a:avLst>
                              </a:prstGeom>
                              <a:noFill/>
                              <a:ln w="9525" cap="flat" cmpd="sng">
                                <a:solidFill>
                                  <a:srgbClr val="000000"/>
                                </a:solidFill>
                                <a:prstDash val="solid"/>
                                <a:miter/>
                                <a:headEnd type="none" w="med" len="med"/>
                                <a:tailEnd type="none" w="med" len="med"/>
                              </a:ln>
                            </wps:spPr>
                            <wps:txbx>
                              <w:txbxContent>
                                <w:p>
                                  <w:pPr>
                                    <w:rPr>
                                      <w:rFonts w:hint="eastAsia" w:eastAsia="宋体"/>
                                      <w:b/>
                                      <w:bCs/>
                                      <w:color w:val="000000"/>
                                      <w:lang w:val="en-US" w:eastAsia="zh-CN"/>
                                    </w:rPr>
                                  </w:pPr>
                                  <w:r>
                                    <w:rPr>
                                      <w:rFonts w:hint="eastAsia"/>
                                      <w:b/>
                                      <w:bCs/>
                                      <w:color w:val="000000"/>
                                      <w:lang w:val="en-US" w:eastAsia="zh-CN"/>
                                    </w:rPr>
                                    <w:t>本项目</w:t>
                                  </w:r>
                                </w:p>
                              </w:txbxContent>
                            </wps:txbx>
                            <wps:bodyPr upright="1"/>
                          </wps:wsp>
                        </a:graphicData>
                      </a:graphic>
                    </wp:anchor>
                  </w:drawing>
                </mc:Choice>
                <mc:Fallback>
                  <w:pict>
                    <v:shape id="_x0000_s1026" o:spid="_x0000_s1026" o:spt="61" type="#_x0000_t61" style="position:absolute;left:0pt;margin-left:167.25pt;margin-top:29.9pt;height:28.85pt;width:56.55pt;z-index:251664384;mso-width-relative:page;mso-height-relative:page;" filled="f" stroked="t" coordsize="21600,21600" o:gfxdata="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OCa9oAAAAKAQAADwAAAAAAAAABACAAAAAiAAAAZHJzL2Rvd25y&#10;ZXYueG1sUEsBAhQAFAAAAAgAh07iQMwfx0Q1AgAAZwQAAA4AAAAAAAAAAQAgAAAAKQEAAGRycy9l&#10;Mm9Eb2MueG1sUEsFBgAAAAAGAAYAWQEAANAFAAAAAA==&#10;" adj="17016,44473">
                      <v:path/>
                      <v:fill on="f" focussize="0,0"/>
                      <v:stroke/>
                      <v:imagedata o:title=""/>
                      <o:lock v:ext="edit" aspectratio="f"/>
                      <v:textbox>
                        <w:txbxContent>
                          <w:p>
                            <w:pPr>
                              <w:rPr>
                                <w:rFonts w:hint="eastAsia" w:eastAsia="宋体"/>
                                <w:b/>
                                <w:bCs/>
                                <w:color w:val="000000"/>
                                <w:lang w:val="en-US" w:eastAsia="zh-CN"/>
                              </w:rPr>
                            </w:pPr>
                            <w:r>
                              <w:rPr>
                                <w:rFonts w:hint="eastAsia"/>
                                <w:b/>
                                <w:bCs/>
                                <w:color w:val="000000"/>
                                <w:lang w:val="en-US" w:eastAsia="zh-CN"/>
                              </w:rPr>
                              <w:t>本项目</w:t>
                            </w:r>
                          </w:p>
                        </w:txbxContent>
                      </v:textbox>
                    </v:shape>
                  </w:pict>
                </mc:Fallback>
              </mc:AlternateContent>
            </w:r>
            <w:r>
              <w:drawing>
                <wp:inline distT="0" distB="0" distL="114300" distR="114300">
                  <wp:extent cx="5542280" cy="3914775"/>
                  <wp:effectExtent l="0" t="0" r="1270" b="9525"/>
                  <wp:docPr id="20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11"/>
                          <pic:cNvPicPr>
                            <a:picLocks noChangeAspect="1"/>
                          </pic:cNvPicPr>
                        </pic:nvPicPr>
                        <pic:blipFill>
                          <a:blip r:embed="rId33"/>
                          <a:stretch>
                            <a:fillRect/>
                          </a:stretch>
                        </pic:blipFill>
                        <pic:spPr>
                          <a:xfrm>
                            <a:off x="0" y="0"/>
                            <a:ext cx="5542280" cy="39147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422" w:firstLineChars="200"/>
              <w:jc w:val="center"/>
              <w:textAlignment w:val="auto"/>
              <w:rPr>
                <w:rFonts w:hint="default" w:ascii="Times New Roman" w:hAnsi="Times New Roman" w:cs="Times New Roman"/>
                <w:b/>
                <w:bCs/>
                <w:color w:val="auto"/>
                <w:spacing w:val="0"/>
                <w:sz w:val="21"/>
                <w:szCs w:val="21"/>
                <w:lang w:val="en-US" w:eastAsia="zh-CN"/>
              </w:rPr>
            </w:pPr>
            <w:r>
              <w:rPr>
                <w:rFonts w:hint="eastAsia" w:ascii="Times New Roman" w:hAnsi="Times New Roman" w:cs="Times New Roman"/>
                <w:b/>
                <w:bCs/>
                <w:color w:val="auto"/>
                <w:spacing w:val="0"/>
                <w:sz w:val="21"/>
                <w:szCs w:val="21"/>
                <w:lang w:val="en-US" w:eastAsia="zh-CN"/>
              </w:rPr>
              <w:t>图1-2 乐山市环境管控单元图</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92" w:firstLineChars="200"/>
              <w:textAlignment w:val="auto"/>
              <w:rPr>
                <w:rFonts w:hint="default" w:ascii="Times New Roman" w:hAnsi="Times New Roman" w:cs="Times New Roman"/>
                <w:b w:val="0"/>
                <w:bCs w:val="0"/>
                <w:color w:val="auto"/>
                <w:spacing w:val="0"/>
                <w:sz w:val="24"/>
                <w:szCs w:val="24"/>
                <w:lang w:val="en-US" w:eastAsia="zh-CN"/>
              </w:rPr>
            </w:pPr>
            <w:r>
              <w:rPr>
                <w:rFonts w:ascii="宋体" w:hAnsi="宋体" w:eastAsia="宋体" w:cs="宋体"/>
                <w:spacing w:val="8"/>
                <w:position w:val="1"/>
                <w:sz w:val="23"/>
                <w:szCs w:val="23"/>
              </w:rPr>
              <w:t>项目与管控</w:t>
            </w:r>
            <w:r>
              <w:rPr>
                <w:rFonts w:ascii="宋体" w:hAnsi="宋体" w:eastAsia="宋体" w:cs="宋体"/>
                <w:spacing w:val="5"/>
                <w:position w:val="1"/>
                <w:sz w:val="23"/>
                <w:szCs w:val="23"/>
              </w:rPr>
              <w:t>单</w:t>
            </w:r>
            <w:r>
              <w:rPr>
                <w:rFonts w:ascii="宋体" w:hAnsi="宋体" w:eastAsia="宋体" w:cs="宋体"/>
                <w:spacing w:val="4"/>
                <w:position w:val="1"/>
                <w:sz w:val="23"/>
                <w:szCs w:val="23"/>
              </w:rPr>
              <w:t>元相对位置如下图所示：(图中</w:t>
            </w:r>
            <w:r>
              <w:rPr>
                <w:rFonts w:ascii="Times New Roman" w:hAnsi="Times New Roman" w:eastAsia="Times New Roman" w:cs="Times New Roman"/>
                <w:color w:val="00B0F0"/>
                <w:spacing w:val="4"/>
                <w:position w:val="1"/>
                <w:sz w:val="23"/>
                <w:szCs w:val="23"/>
              </w:rPr>
              <w:t>▼</w:t>
            </w:r>
            <w:r>
              <w:rPr>
                <w:rFonts w:ascii="宋体" w:hAnsi="宋体" w:eastAsia="宋体" w:cs="宋体"/>
                <w:spacing w:val="4"/>
                <w:position w:val="1"/>
                <w:sz w:val="23"/>
                <w:szCs w:val="23"/>
              </w:rPr>
              <w:t>表示项目位置)</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textAlignment w:val="auto"/>
              <w:rPr>
                <w:rFonts w:hint="default" w:ascii="Times New Roman" w:hAnsi="Times New Roman" w:cs="Times New Roman"/>
                <w:b w:val="0"/>
                <w:bCs w:val="0"/>
                <w:color w:val="auto"/>
                <w:spacing w:val="0"/>
                <w:sz w:val="24"/>
                <w:szCs w:val="24"/>
                <w:lang w:val="en-US" w:eastAsia="zh-CN"/>
              </w:rPr>
            </w:pPr>
            <w:r>
              <w:rPr>
                <w:rFonts w:hint="default" w:ascii="Helvetica" w:hAnsi="Helvetica" w:eastAsia="Helvetica"/>
                <w:sz w:val="28"/>
                <w:szCs w:val="24"/>
              </w:rPr>
              <w:drawing>
                <wp:inline distT="0" distB="0" distL="114300" distR="114300">
                  <wp:extent cx="5325745" cy="3195955"/>
                  <wp:effectExtent l="9525" t="9525" r="17780" b="13970"/>
                  <wp:docPr id="20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12"/>
                          <pic:cNvPicPr>
                            <a:picLocks noChangeAspect="1"/>
                          </pic:cNvPicPr>
                        </pic:nvPicPr>
                        <pic:blipFill>
                          <a:blip r:embed="rId34"/>
                          <a:stretch>
                            <a:fillRect/>
                          </a:stretch>
                        </pic:blipFill>
                        <pic:spPr>
                          <a:xfrm>
                            <a:off x="0" y="0"/>
                            <a:ext cx="5325745" cy="3195955"/>
                          </a:xfrm>
                          <a:prstGeom prst="rect">
                            <a:avLst/>
                          </a:prstGeom>
                          <a:noFill/>
                          <a:ln w="9525" cap="flat" cmpd="sng">
                            <a:solidFill>
                              <a:srgbClr val="000000"/>
                            </a:solidFill>
                            <a:prstDash val="solid"/>
                            <a:miter/>
                            <a:headEnd type="none" w="med" len="med"/>
                            <a:tailEnd type="none" w="med" len="med"/>
                          </a:ln>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422" w:firstLineChars="200"/>
              <w:jc w:val="center"/>
              <w:textAlignment w:val="auto"/>
              <w:rPr>
                <w:rFonts w:hint="default" w:ascii="Times New Roman" w:hAnsi="Times New Roman" w:cs="Times New Roman"/>
                <w:b/>
                <w:bCs/>
                <w:color w:val="auto"/>
                <w:spacing w:val="0"/>
                <w:sz w:val="21"/>
                <w:szCs w:val="21"/>
                <w:lang w:val="en-US" w:eastAsia="zh-CN"/>
              </w:rPr>
            </w:pPr>
            <w:r>
              <w:rPr>
                <w:rFonts w:hint="eastAsia" w:ascii="Times New Roman" w:hAnsi="Times New Roman" w:cs="Times New Roman"/>
                <w:b/>
                <w:bCs/>
                <w:color w:val="auto"/>
                <w:spacing w:val="0"/>
                <w:sz w:val="21"/>
                <w:szCs w:val="21"/>
                <w:lang w:val="en-US" w:eastAsia="zh-CN"/>
              </w:rPr>
              <w:t>图1-3 项目与管控单元相对位置图</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pacing w:val="0"/>
                <w:sz w:val="24"/>
                <w:szCs w:val="24"/>
                <w:lang w:val="en-US" w:eastAsia="zh-CN"/>
              </w:rPr>
            </w:pPr>
            <w:r>
              <w:rPr>
                <w:rFonts w:hint="default" w:ascii="Times New Roman" w:hAnsi="Times New Roman" w:eastAsia="宋体" w:cs="Times New Roman"/>
                <w:b w:val="0"/>
                <w:bCs w:val="0"/>
                <w:color w:val="auto"/>
                <w:spacing w:val="0"/>
                <w:sz w:val="24"/>
                <w:szCs w:val="24"/>
                <w:lang w:val="en-US" w:eastAsia="zh-CN"/>
              </w:rPr>
              <w:t>本项目符合国家产业政策，符合当地规划。因此本项目不属于环境准入负面清单之列。</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pacing w:val="0"/>
                <w:sz w:val="24"/>
                <w:szCs w:val="24"/>
                <w:lang w:val="en-US" w:eastAsia="zh-CN"/>
              </w:rPr>
            </w:pPr>
            <w:r>
              <w:rPr>
                <w:rFonts w:hint="default" w:ascii="Times New Roman" w:hAnsi="Times New Roman" w:eastAsia="宋体" w:cs="Times New Roman"/>
                <w:b w:val="0"/>
                <w:bCs w:val="0"/>
                <w:color w:val="auto"/>
                <w:spacing w:val="0"/>
                <w:sz w:val="24"/>
                <w:szCs w:val="24"/>
                <w:lang w:val="en-US" w:eastAsia="zh-CN"/>
              </w:rPr>
              <w:t>综上所述，本项目符合“乐府发〔2021〕7 号”，生态环境准入总体要求。</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b w:val="0"/>
                <w:bCs w:val="0"/>
                <w:color w:val="auto"/>
                <w:spacing w:val="0"/>
                <w:sz w:val="24"/>
                <w:szCs w:val="24"/>
                <w:lang w:val="en-US" w:eastAsia="zh-CN"/>
              </w:rPr>
            </w:pPr>
            <w:r>
              <w:rPr>
                <w:rFonts w:hint="default" w:ascii="Times New Roman" w:hAnsi="Times New Roman" w:cs="Times New Roman"/>
                <w:b w:val="0"/>
                <w:bCs w:val="0"/>
                <w:color w:val="auto"/>
                <w:spacing w:val="0"/>
                <w:sz w:val="24"/>
                <w:szCs w:val="24"/>
                <w:lang w:val="en-US" w:eastAsia="zh-CN"/>
              </w:rPr>
              <w:t>为深入贯彻习近平生态文明思想，落实《中共中央国务院关于全面加强生态环境保护坚决打好污染防治攻坚战的意见》《中共中央国务院关于新时代推进西部大开发形成新格局的指导意见》《中共四川省委关于全面推动高质量发展的决定》等文件精神，四川省人民政府就落实生态保护红线、环境质量底线、资源利用上线，制定生态环境准入清单（简称“三线一单”），建立生态环境分区管控体系并监督实施，乐山市人民政府发布了《关于落实生态保护红线、环境质量底线、资源利用上线，制定生态环境准入清单实施生态环境分区管控的通知》。结合四川省生态环境厅办公室关于印发《产业园区规划环评“三线一单”符合性分析技术要点（试行</w:t>
            </w:r>
            <w:r>
              <w:rPr>
                <w:rFonts w:hint="eastAsia" w:ascii="Times New Roman" w:hAnsi="Times New Roman" w:cs="Times New Roman"/>
                <w:b w:val="0"/>
                <w:bCs w:val="0"/>
                <w:color w:val="auto"/>
                <w:spacing w:val="0"/>
                <w:sz w:val="24"/>
                <w:szCs w:val="24"/>
                <w:lang w:val="en-US" w:eastAsia="zh-CN"/>
              </w:rPr>
              <w:t>）</w:t>
            </w:r>
            <w:r>
              <w:rPr>
                <w:rFonts w:hint="default" w:ascii="Times New Roman" w:hAnsi="Times New Roman" w:cs="Times New Roman"/>
                <w:b w:val="0"/>
                <w:bCs w:val="0"/>
                <w:color w:val="auto"/>
                <w:spacing w:val="0"/>
                <w:sz w:val="24"/>
                <w:szCs w:val="24"/>
                <w:lang w:val="en-US" w:eastAsia="zh-CN"/>
              </w:rPr>
              <w:t>》和《项目环评“三线一单”符合性分析技术要点</w:t>
            </w:r>
            <w:r>
              <w:rPr>
                <w:rFonts w:hint="eastAsia" w:ascii="Times New Roman" w:hAnsi="Times New Roman" w:cs="Times New Roman"/>
                <w:b w:val="0"/>
                <w:bCs w:val="0"/>
                <w:color w:val="auto"/>
                <w:spacing w:val="0"/>
                <w:sz w:val="24"/>
                <w:szCs w:val="24"/>
                <w:lang w:val="en-US" w:eastAsia="zh-CN"/>
              </w:rPr>
              <w:t>（</w:t>
            </w:r>
            <w:r>
              <w:rPr>
                <w:rFonts w:hint="default" w:ascii="Times New Roman" w:hAnsi="Times New Roman" w:cs="Times New Roman"/>
                <w:b w:val="0"/>
                <w:bCs w:val="0"/>
                <w:color w:val="auto"/>
                <w:spacing w:val="0"/>
                <w:sz w:val="24"/>
                <w:szCs w:val="24"/>
                <w:lang w:val="en-US" w:eastAsia="zh-CN"/>
              </w:rPr>
              <w:t>试行</w:t>
            </w:r>
            <w:r>
              <w:rPr>
                <w:rFonts w:hint="eastAsia" w:ascii="Times New Roman" w:hAnsi="Times New Roman" w:cs="Times New Roman"/>
                <w:b w:val="0"/>
                <w:bCs w:val="0"/>
                <w:color w:val="auto"/>
                <w:spacing w:val="0"/>
                <w:sz w:val="24"/>
                <w:szCs w:val="24"/>
                <w:lang w:val="en-US" w:eastAsia="zh-CN"/>
              </w:rPr>
              <w:t>）</w:t>
            </w:r>
            <w:r>
              <w:rPr>
                <w:rFonts w:hint="default" w:ascii="Times New Roman" w:hAnsi="Times New Roman" w:cs="Times New Roman"/>
                <w:b w:val="0"/>
                <w:bCs w:val="0"/>
                <w:color w:val="auto"/>
                <w:spacing w:val="0"/>
                <w:sz w:val="24"/>
                <w:szCs w:val="24"/>
                <w:lang w:val="en-US" w:eastAsia="zh-CN"/>
              </w:rPr>
              <w:t>》的通知》（川环办函〔2021〕469号）文件中要求，本项目与“三线一单”符合性详述如下：</w:t>
            </w:r>
          </w:p>
          <w:p>
            <w:pPr>
              <w:keepNext w:val="0"/>
              <w:keepLines w:val="0"/>
              <w:pageBreakBefore w:val="0"/>
              <w:widowControl w:val="0"/>
              <w:kinsoku/>
              <w:wordWrap/>
              <w:overflowPunct/>
              <w:topLinePunct w:val="0"/>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spacing w:val="0"/>
                <w:sz w:val="24"/>
                <w:szCs w:val="24"/>
                <w:lang w:val="en-US" w:eastAsia="zh-CN"/>
              </w:rPr>
            </w:pPr>
            <w:r>
              <w:rPr>
                <w:rFonts w:hint="default" w:ascii="Times New Roman" w:hAnsi="Times New Roman" w:eastAsia="宋体" w:cs="Times New Roman"/>
                <w:b w:val="0"/>
                <w:bCs w:val="0"/>
                <w:color w:val="auto"/>
                <w:spacing w:val="0"/>
                <w:sz w:val="24"/>
                <w:szCs w:val="24"/>
                <w:lang w:val="en-US" w:eastAsia="zh-CN"/>
              </w:rPr>
              <w:t>项目起点涉及到环境管控单元5个，涉及到管控单元见下表。</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422" w:firstLineChars="200"/>
              <w:jc w:val="center"/>
              <w:textAlignment w:val="auto"/>
              <w:rPr>
                <w:rFonts w:hint="default" w:ascii="Times New Roman" w:hAnsi="Times New Roman" w:eastAsia="宋体" w:cs="Times New Roman"/>
                <w:b/>
                <w:bCs/>
                <w:color w:val="auto"/>
                <w:spacing w:val="0"/>
                <w:sz w:val="21"/>
                <w:szCs w:val="21"/>
                <w:lang w:val="en-US" w:eastAsia="zh-CN"/>
              </w:rPr>
            </w:pPr>
            <w:r>
              <w:rPr>
                <w:rFonts w:hint="eastAsia" w:ascii="Times New Roman" w:hAnsi="Times New Roman" w:eastAsia="宋体" w:cs="Times New Roman"/>
                <w:b/>
                <w:bCs/>
                <w:color w:val="auto"/>
                <w:spacing w:val="0"/>
                <w:sz w:val="21"/>
                <w:szCs w:val="21"/>
                <w:lang w:val="en-US" w:eastAsia="zh-CN"/>
              </w:rPr>
              <w:t>表1-6 项目涉及环境管控单元一览表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7"/>
              <w:gridCol w:w="2289"/>
              <w:gridCol w:w="1161"/>
              <w:gridCol w:w="739"/>
              <w:gridCol w:w="1150"/>
              <w:gridCol w:w="1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100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lang w:val="en-US" w:eastAsia="zh-CN" w:bidi="ar"/>
                    </w:rPr>
                    <w:t>环境管控单元编码</w:t>
                  </w:r>
                </w:p>
              </w:tc>
              <w:tc>
                <w:tcPr>
                  <w:tcW w:w="124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lang w:val="en-US" w:eastAsia="zh-CN" w:bidi="ar"/>
                    </w:rPr>
                    <w:t>环境管控单元名称</w:t>
                  </w:r>
                </w:p>
              </w:tc>
              <w:tc>
                <w:tcPr>
                  <w:tcW w:w="633"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lang w:val="en-US" w:eastAsia="zh-CN" w:bidi="ar"/>
                    </w:rPr>
                    <w:t>所属市（州）</w:t>
                  </w:r>
                </w:p>
              </w:tc>
              <w:tc>
                <w:tcPr>
                  <w:tcW w:w="403"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lang w:val="en-US" w:eastAsia="zh-CN" w:bidi="ar"/>
                    </w:rPr>
                    <w:t>所属区县</w:t>
                  </w:r>
                </w:p>
              </w:tc>
              <w:tc>
                <w:tcPr>
                  <w:tcW w:w="62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lang w:val="en-US" w:eastAsia="zh-CN" w:bidi="ar"/>
                    </w:rPr>
                    <w:t>准入清单类型</w:t>
                  </w:r>
                </w:p>
              </w:tc>
              <w:tc>
                <w:tcPr>
                  <w:tcW w:w="107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color w:val="000000"/>
                      <w:kern w:val="0"/>
                      <w:sz w:val="21"/>
                      <w:szCs w:val="21"/>
                      <w:lang w:val="en-US" w:eastAsia="zh-CN" w:bidi="ar"/>
                    </w:rPr>
                    <w:t>管控类型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1007" w:type="pct"/>
                  <w:tcBorders>
                    <w:top w:val="single" w:color="auto" w:sz="4" w:space="0"/>
                    <w:left w:val="single" w:color="auto" w:sz="4" w:space="0"/>
                    <w:bottom w:val="single" w:color="auto" w:sz="4" w:space="0"/>
                    <w:right w:val="single" w:color="auto" w:sz="4" w:space="0"/>
                  </w:tcBorders>
                  <w:noWrap w:val="0"/>
                  <w:vAlign w:val="center"/>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2"/>
                      <w:sz w:val="21"/>
                      <w:szCs w:val="21"/>
                    </w:rPr>
                  </w:pPr>
                  <w:r>
                    <w:rPr>
                      <w:rStyle w:val="253"/>
                      <w:rFonts w:hint="default" w:ascii="Times New Roman" w:hAnsi="Times New Roman" w:eastAsia="宋体" w:cs="Times New Roman"/>
                      <w:kern w:val="2"/>
                      <w:sz w:val="21"/>
                      <w:szCs w:val="21"/>
                      <w:lang w:val="en-US" w:eastAsia="zh-CN" w:bidi="ar"/>
                    </w:rPr>
                    <w:t>ZH51110220001</w:t>
                  </w:r>
                </w:p>
              </w:tc>
              <w:tc>
                <w:tcPr>
                  <w:tcW w:w="1248" w:type="pct"/>
                  <w:tcBorders>
                    <w:top w:val="single" w:color="auto" w:sz="4" w:space="0"/>
                    <w:left w:val="single" w:color="auto" w:sz="4" w:space="0"/>
                    <w:bottom w:val="single" w:color="auto" w:sz="4" w:space="0"/>
                    <w:right w:val="single" w:color="auto" w:sz="4" w:space="0"/>
                  </w:tcBorders>
                  <w:noWrap w:val="0"/>
                  <w:vAlign w:val="center"/>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2"/>
                      <w:sz w:val="21"/>
                      <w:szCs w:val="21"/>
                    </w:rPr>
                  </w:pPr>
                  <w:r>
                    <w:rPr>
                      <w:rStyle w:val="253"/>
                      <w:rFonts w:hint="default" w:ascii="Times New Roman" w:hAnsi="Times New Roman" w:eastAsia="宋体" w:cs="Times New Roman"/>
                      <w:kern w:val="2"/>
                      <w:sz w:val="21"/>
                      <w:szCs w:val="21"/>
                      <w:lang w:val="en-US" w:eastAsia="zh-CN" w:bidi="ar"/>
                    </w:rPr>
                    <w:t>市中区中心城区</w:t>
                  </w:r>
                </w:p>
              </w:tc>
              <w:tc>
                <w:tcPr>
                  <w:tcW w:w="633" w:type="pct"/>
                  <w:tcBorders>
                    <w:top w:val="single" w:color="auto" w:sz="4" w:space="0"/>
                    <w:left w:val="single" w:color="auto" w:sz="4" w:space="0"/>
                    <w:bottom w:val="single" w:color="auto" w:sz="4" w:space="0"/>
                    <w:right w:val="single" w:color="auto" w:sz="4" w:space="0"/>
                  </w:tcBorders>
                  <w:noWrap w:val="0"/>
                  <w:vAlign w:val="top"/>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2"/>
                      <w:sz w:val="21"/>
                      <w:szCs w:val="21"/>
                    </w:rPr>
                  </w:pPr>
                  <w:r>
                    <w:rPr>
                      <w:rStyle w:val="253"/>
                      <w:rFonts w:hint="default" w:ascii="Times New Roman" w:hAnsi="Times New Roman" w:eastAsia="宋体" w:cs="Times New Roman"/>
                      <w:kern w:val="2"/>
                      <w:sz w:val="21"/>
                      <w:szCs w:val="21"/>
                      <w:lang w:val="en-US" w:eastAsia="zh-CN" w:bidi="ar"/>
                    </w:rPr>
                    <w:t>乐山市</w:t>
                  </w:r>
                </w:p>
              </w:tc>
              <w:tc>
                <w:tcPr>
                  <w:tcW w:w="403" w:type="pct"/>
                  <w:tcBorders>
                    <w:top w:val="single" w:color="auto" w:sz="4" w:space="0"/>
                    <w:left w:val="single" w:color="auto" w:sz="4" w:space="0"/>
                    <w:bottom w:val="single" w:color="auto" w:sz="4" w:space="0"/>
                    <w:right w:val="single" w:color="auto" w:sz="4" w:space="0"/>
                  </w:tcBorders>
                  <w:noWrap w:val="0"/>
                  <w:vAlign w:val="top"/>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2"/>
                      <w:sz w:val="21"/>
                      <w:szCs w:val="21"/>
                    </w:rPr>
                  </w:pPr>
                  <w:r>
                    <w:rPr>
                      <w:rStyle w:val="253"/>
                      <w:rFonts w:hint="default" w:ascii="Times New Roman" w:hAnsi="Times New Roman" w:eastAsia="宋体" w:cs="Times New Roman"/>
                      <w:kern w:val="2"/>
                      <w:sz w:val="21"/>
                      <w:szCs w:val="21"/>
                      <w:lang w:val="en-US" w:eastAsia="zh-CN" w:bidi="ar"/>
                    </w:rPr>
                    <w:t>市中区</w:t>
                  </w:r>
                </w:p>
              </w:tc>
              <w:tc>
                <w:tcPr>
                  <w:tcW w:w="627" w:type="pct"/>
                  <w:tcBorders>
                    <w:top w:val="single" w:color="auto" w:sz="4" w:space="0"/>
                    <w:left w:val="single" w:color="auto" w:sz="4" w:space="0"/>
                    <w:bottom w:val="single" w:color="auto" w:sz="4" w:space="0"/>
                    <w:right w:val="single" w:color="auto" w:sz="4" w:space="0"/>
                  </w:tcBorders>
                  <w:noWrap w:val="0"/>
                  <w:vAlign w:val="center"/>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2"/>
                      <w:sz w:val="21"/>
                      <w:szCs w:val="21"/>
                    </w:rPr>
                  </w:pPr>
                  <w:r>
                    <w:rPr>
                      <w:rStyle w:val="253"/>
                      <w:rFonts w:hint="default" w:ascii="Times New Roman" w:hAnsi="Times New Roman" w:eastAsia="宋体" w:cs="Times New Roman"/>
                      <w:kern w:val="2"/>
                      <w:sz w:val="21"/>
                      <w:szCs w:val="21"/>
                      <w:lang w:val="en-US" w:eastAsia="zh-CN" w:bidi="ar"/>
                    </w:rPr>
                    <w:t>环境管控单元</w:t>
                  </w:r>
                </w:p>
              </w:tc>
              <w:tc>
                <w:tcPr>
                  <w:tcW w:w="1079" w:type="pct"/>
                  <w:tcBorders>
                    <w:top w:val="single" w:color="auto" w:sz="4" w:space="0"/>
                    <w:left w:val="single" w:color="auto" w:sz="4" w:space="0"/>
                    <w:bottom w:val="single" w:color="auto" w:sz="4" w:space="0"/>
                    <w:right w:val="single" w:color="auto" w:sz="4" w:space="0"/>
                  </w:tcBorders>
                  <w:noWrap w:val="0"/>
                  <w:vAlign w:val="center"/>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2"/>
                      <w:sz w:val="21"/>
                      <w:szCs w:val="21"/>
                    </w:rPr>
                  </w:pPr>
                  <w:r>
                    <w:rPr>
                      <w:rStyle w:val="253"/>
                      <w:rFonts w:hint="default" w:ascii="Times New Roman" w:hAnsi="Times New Roman" w:eastAsia="宋体" w:cs="Times New Roman"/>
                      <w:kern w:val="2"/>
                      <w:sz w:val="21"/>
                      <w:szCs w:val="21"/>
                      <w:lang w:val="en-US" w:eastAsia="zh-CN" w:bidi="ar"/>
                    </w:rPr>
                    <w:t>环境综合管控单元城镇重点管控单元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1007" w:type="pct"/>
                  <w:tcBorders>
                    <w:top w:val="single" w:color="auto" w:sz="4" w:space="0"/>
                    <w:left w:val="single" w:color="auto" w:sz="4" w:space="0"/>
                    <w:bottom w:val="single" w:color="auto" w:sz="4" w:space="0"/>
                    <w:right w:val="single" w:color="auto" w:sz="4" w:space="0"/>
                  </w:tcBorders>
                  <w:noWrap w:val="0"/>
                  <w:vAlign w:val="center"/>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2"/>
                      <w:sz w:val="21"/>
                      <w:szCs w:val="21"/>
                    </w:rPr>
                  </w:pPr>
                  <w:r>
                    <w:rPr>
                      <w:rStyle w:val="253"/>
                      <w:rFonts w:hint="default" w:ascii="Times New Roman" w:hAnsi="Times New Roman" w:eastAsia="宋体" w:cs="Times New Roman"/>
                      <w:kern w:val="2"/>
                      <w:sz w:val="21"/>
                      <w:szCs w:val="21"/>
                      <w:lang w:val="en-US" w:eastAsia="zh-CN" w:bidi="ar"/>
                    </w:rPr>
                    <w:t>YS5111022220012</w:t>
                  </w:r>
                </w:p>
              </w:tc>
              <w:tc>
                <w:tcPr>
                  <w:tcW w:w="1248" w:type="pct"/>
                  <w:tcBorders>
                    <w:top w:val="single" w:color="auto" w:sz="4" w:space="0"/>
                    <w:left w:val="single" w:color="auto" w:sz="4" w:space="0"/>
                    <w:bottom w:val="single" w:color="auto" w:sz="4" w:space="0"/>
                    <w:right w:val="single" w:color="auto" w:sz="4" w:space="0"/>
                  </w:tcBorders>
                  <w:noWrap w:val="0"/>
                  <w:vAlign w:val="center"/>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2"/>
                      <w:sz w:val="21"/>
                      <w:szCs w:val="21"/>
                    </w:rPr>
                  </w:pPr>
                  <w:r>
                    <w:rPr>
                      <w:rStyle w:val="253"/>
                      <w:rFonts w:hint="default" w:ascii="Times New Roman" w:hAnsi="Times New Roman" w:eastAsia="宋体" w:cs="Times New Roman"/>
                      <w:kern w:val="2"/>
                      <w:sz w:val="21"/>
                      <w:szCs w:val="21"/>
                      <w:lang w:val="en-US" w:eastAsia="zh-CN" w:bidi="ar"/>
                    </w:rPr>
                    <w:t>大渡河市中区李码头控制单元</w:t>
                  </w:r>
                </w:p>
              </w:tc>
              <w:tc>
                <w:tcPr>
                  <w:tcW w:w="633" w:type="pct"/>
                  <w:tcBorders>
                    <w:top w:val="single" w:color="auto" w:sz="4" w:space="0"/>
                    <w:left w:val="single" w:color="auto" w:sz="4" w:space="0"/>
                    <w:bottom w:val="single" w:color="auto" w:sz="4" w:space="0"/>
                    <w:right w:val="single" w:color="auto" w:sz="4" w:space="0"/>
                  </w:tcBorders>
                  <w:noWrap w:val="0"/>
                  <w:vAlign w:val="top"/>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2"/>
                      <w:sz w:val="21"/>
                      <w:szCs w:val="21"/>
                    </w:rPr>
                  </w:pPr>
                  <w:r>
                    <w:rPr>
                      <w:rStyle w:val="253"/>
                      <w:rFonts w:hint="default" w:ascii="Times New Roman" w:hAnsi="Times New Roman" w:eastAsia="宋体" w:cs="Times New Roman"/>
                      <w:kern w:val="2"/>
                      <w:sz w:val="21"/>
                      <w:szCs w:val="21"/>
                      <w:lang w:val="en-US" w:eastAsia="zh-CN" w:bidi="ar"/>
                    </w:rPr>
                    <w:t>乐山市</w:t>
                  </w:r>
                </w:p>
              </w:tc>
              <w:tc>
                <w:tcPr>
                  <w:tcW w:w="403" w:type="pct"/>
                  <w:tcBorders>
                    <w:top w:val="single" w:color="auto" w:sz="4" w:space="0"/>
                    <w:left w:val="single" w:color="auto" w:sz="4" w:space="0"/>
                    <w:bottom w:val="single" w:color="auto" w:sz="4" w:space="0"/>
                    <w:right w:val="single" w:color="auto" w:sz="4" w:space="0"/>
                  </w:tcBorders>
                  <w:noWrap w:val="0"/>
                  <w:vAlign w:val="top"/>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2"/>
                      <w:sz w:val="21"/>
                      <w:szCs w:val="21"/>
                    </w:rPr>
                  </w:pPr>
                  <w:r>
                    <w:rPr>
                      <w:rStyle w:val="253"/>
                      <w:rFonts w:hint="default" w:ascii="Times New Roman" w:hAnsi="Times New Roman" w:eastAsia="宋体" w:cs="Times New Roman"/>
                      <w:kern w:val="2"/>
                      <w:sz w:val="21"/>
                      <w:szCs w:val="21"/>
                      <w:lang w:val="en-US" w:eastAsia="zh-CN" w:bidi="ar"/>
                    </w:rPr>
                    <w:t>市中区</w:t>
                  </w:r>
                </w:p>
              </w:tc>
              <w:tc>
                <w:tcPr>
                  <w:tcW w:w="627" w:type="pct"/>
                  <w:tcBorders>
                    <w:top w:val="single" w:color="auto" w:sz="4" w:space="0"/>
                    <w:left w:val="single" w:color="auto" w:sz="4" w:space="0"/>
                    <w:bottom w:val="single" w:color="auto" w:sz="4" w:space="0"/>
                    <w:right w:val="single" w:color="auto" w:sz="4" w:space="0"/>
                  </w:tcBorders>
                  <w:noWrap w:val="0"/>
                  <w:vAlign w:val="center"/>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2"/>
                      <w:sz w:val="21"/>
                      <w:szCs w:val="21"/>
                    </w:rPr>
                  </w:pPr>
                  <w:r>
                    <w:rPr>
                      <w:rStyle w:val="253"/>
                      <w:rFonts w:hint="default" w:ascii="Times New Roman" w:hAnsi="Times New Roman" w:eastAsia="宋体" w:cs="Times New Roman"/>
                      <w:kern w:val="2"/>
                      <w:sz w:val="21"/>
                      <w:szCs w:val="21"/>
                      <w:lang w:val="en-US" w:eastAsia="zh-CN" w:bidi="ar"/>
                    </w:rPr>
                    <w:t>水环境管控分区</w:t>
                  </w:r>
                </w:p>
              </w:tc>
              <w:tc>
                <w:tcPr>
                  <w:tcW w:w="1079" w:type="pct"/>
                  <w:tcBorders>
                    <w:top w:val="single" w:color="auto" w:sz="4" w:space="0"/>
                    <w:left w:val="single" w:color="auto" w:sz="4" w:space="0"/>
                    <w:bottom w:val="single" w:color="auto" w:sz="4" w:space="0"/>
                    <w:right w:val="single" w:color="auto" w:sz="4" w:space="0"/>
                  </w:tcBorders>
                  <w:noWrap w:val="0"/>
                  <w:vAlign w:val="center"/>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2"/>
                      <w:sz w:val="21"/>
                      <w:szCs w:val="21"/>
                    </w:rPr>
                  </w:pPr>
                  <w:r>
                    <w:rPr>
                      <w:rStyle w:val="253"/>
                      <w:rFonts w:hint="default" w:ascii="Times New Roman" w:hAnsi="Times New Roman" w:eastAsia="宋体" w:cs="Times New Roman"/>
                      <w:kern w:val="2"/>
                      <w:sz w:val="21"/>
                      <w:szCs w:val="21"/>
                      <w:lang w:val="en-US" w:eastAsia="zh-CN" w:bidi="ar"/>
                    </w:rPr>
                    <w:t>水环境城镇生活污染重点管控区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1007" w:type="pct"/>
                  <w:tcBorders>
                    <w:top w:val="single" w:color="auto" w:sz="4" w:space="0"/>
                    <w:left w:val="single" w:color="auto" w:sz="4" w:space="0"/>
                    <w:bottom w:val="single" w:color="auto" w:sz="4" w:space="0"/>
                    <w:right w:val="single" w:color="auto" w:sz="4" w:space="0"/>
                  </w:tcBorders>
                  <w:noWrap w:val="0"/>
                  <w:vAlign w:val="center"/>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2"/>
                      <w:sz w:val="21"/>
                      <w:szCs w:val="21"/>
                    </w:rPr>
                  </w:pPr>
                  <w:r>
                    <w:rPr>
                      <w:rStyle w:val="253"/>
                      <w:rFonts w:hint="default" w:ascii="Times New Roman" w:hAnsi="Times New Roman" w:eastAsia="宋体" w:cs="Times New Roman"/>
                      <w:kern w:val="2"/>
                      <w:sz w:val="21"/>
                      <w:szCs w:val="21"/>
                      <w:lang w:val="en-US" w:eastAsia="zh-CN" w:bidi="ar"/>
                    </w:rPr>
                    <w:t>YS5111022340001</w:t>
                  </w:r>
                </w:p>
              </w:tc>
              <w:tc>
                <w:tcPr>
                  <w:tcW w:w="1248" w:type="pct"/>
                  <w:tcBorders>
                    <w:top w:val="single" w:color="auto" w:sz="4" w:space="0"/>
                    <w:left w:val="single" w:color="auto" w:sz="4" w:space="0"/>
                    <w:bottom w:val="single" w:color="auto" w:sz="4" w:space="0"/>
                    <w:right w:val="single" w:color="auto" w:sz="4" w:space="0"/>
                  </w:tcBorders>
                  <w:noWrap w:val="0"/>
                  <w:vAlign w:val="center"/>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2"/>
                      <w:sz w:val="21"/>
                      <w:szCs w:val="21"/>
                    </w:rPr>
                  </w:pPr>
                  <w:r>
                    <w:rPr>
                      <w:rStyle w:val="253"/>
                      <w:rFonts w:hint="default" w:ascii="Times New Roman" w:hAnsi="Times New Roman" w:eastAsia="宋体" w:cs="Times New Roman"/>
                      <w:kern w:val="2"/>
                      <w:sz w:val="21"/>
                      <w:szCs w:val="21"/>
                      <w:lang w:val="en-US" w:eastAsia="zh-CN" w:bidi="ar"/>
                    </w:rPr>
                    <w:t>乐山市市中区大气环境受体敏感重点管控区</w:t>
                  </w:r>
                </w:p>
              </w:tc>
              <w:tc>
                <w:tcPr>
                  <w:tcW w:w="633" w:type="pct"/>
                  <w:tcBorders>
                    <w:top w:val="single" w:color="auto" w:sz="4" w:space="0"/>
                    <w:left w:val="single" w:color="auto" w:sz="4" w:space="0"/>
                    <w:bottom w:val="single" w:color="auto" w:sz="4" w:space="0"/>
                    <w:right w:val="single" w:color="auto" w:sz="4" w:space="0"/>
                  </w:tcBorders>
                  <w:noWrap w:val="0"/>
                  <w:vAlign w:val="top"/>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2"/>
                      <w:sz w:val="21"/>
                      <w:szCs w:val="21"/>
                    </w:rPr>
                  </w:pPr>
                  <w:r>
                    <w:rPr>
                      <w:rStyle w:val="253"/>
                      <w:rFonts w:hint="default" w:ascii="Times New Roman" w:hAnsi="Times New Roman" w:eastAsia="宋体" w:cs="Times New Roman"/>
                      <w:kern w:val="2"/>
                      <w:sz w:val="21"/>
                      <w:szCs w:val="21"/>
                      <w:lang w:val="en-US" w:eastAsia="zh-CN" w:bidi="ar"/>
                    </w:rPr>
                    <w:t>乐山市</w:t>
                  </w:r>
                </w:p>
              </w:tc>
              <w:tc>
                <w:tcPr>
                  <w:tcW w:w="403" w:type="pct"/>
                  <w:tcBorders>
                    <w:top w:val="single" w:color="auto" w:sz="4" w:space="0"/>
                    <w:left w:val="single" w:color="auto" w:sz="4" w:space="0"/>
                    <w:bottom w:val="single" w:color="auto" w:sz="4" w:space="0"/>
                    <w:right w:val="single" w:color="auto" w:sz="4" w:space="0"/>
                  </w:tcBorders>
                  <w:noWrap w:val="0"/>
                  <w:vAlign w:val="top"/>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2"/>
                      <w:sz w:val="21"/>
                      <w:szCs w:val="21"/>
                    </w:rPr>
                  </w:pPr>
                  <w:r>
                    <w:rPr>
                      <w:rStyle w:val="253"/>
                      <w:rFonts w:hint="default" w:ascii="Times New Roman" w:hAnsi="Times New Roman" w:eastAsia="宋体" w:cs="Times New Roman"/>
                      <w:kern w:val="2"/>
                      <w:sz w:val="21"/>
                      <w:szCs w:val="21"/>
                      <w:lang w:val="en-US" w:eastAsia="zh-CN" w:bidi="ar"/>
                    </w:rPr>
                    <w:t>市中区</w:t>
                  </w:r>
                </w:p>
              </w:tc>
              <w:tc>
                <w:tcPr>
                  <w:tcW w:w="627" w:type="pct"/>
                  <w:tcBorders>
                    <w:top w:val="single" w:color="auto" w:sz="4" w:space="0"/>
                    <w:left w:val="single" w:color="auto" w:sz="4" w:space="0"/>
                    <w:bottom w:val="single" w:color="auto" w:sz="4" w:space="0"/>
                    <w:right w:val="single" w:color="auto" w:sz="4" w:space="0"/>
                  </w:tcBorders>
                  <w:noWrap w:val="0"/>
                  <w:vAlign w:val="center"/>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2"/>
                      <w:sz w:val="21"/>
                      <w:szCs w:val="21"/>
                    </w:rPr>
                  </w:pPr>
                  <w:r>
                    <w:rPr>
                      <w:rStyle w:val="253"/>
                      <w:rFonts w:hint="default" w:ascii="Times New Roman" w:hAnsi="Times New Roman" w:eastAsia="宋体" w:cs="Times New Roman"/>
                      <w:kern w:val="2"/>
                      <w:sz w:val="21"/>
                      <w:szCs w:val="21"/>
                      <w:lang w:val="en-US" w:eastAsia="zh-CN" w:bidi="ar"/>
                    </w:rPr>
                    <w:t>大气环境管控分区</w:t>
                  </w:r>
                </w:p>
              </w:tc>
              <w:tc>
                <w:tcPr>
                  <w:tcW w:w="1079" w:type="pct"/>
                  <w:tcBorders>
                    <w:top w:val="single" w:color="auto" w:sz="4" w:space="0"/>
                    <w:left w:val="single" w:color="auto" w:sz="4" w:space="0"/>
                    <w:bottom w:val="single" w:color="auto" w:sz="4" w:space="0"/>
                    <w:right w:val="single" w:color="auto" w:sz="4" w:space="0"/>
                  </w:tcBorders>
                  <w:noWrap w:val="0"/>
                  <w:vAlign w:val="center"/>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2"/>
                      <w:sz w:val="21"/>
                      <w:szCs w:val="21"/>
                    </w:rPr>
                  </w:pPr>
                  <w:r>
                    <w:rPr>
                      <w:rStyle w:val="253"/>
                      <w:rFonts w:hint="default" w:ascii="Times New Roman" w:hAnsi="Times New Roman" w:eastAsia="宋体" w:cs="Times New Roman"/>
                      <w:kern w:val="2"/>
                      <w:sz w:val="21"/>
                      <w:szCs w:val="21"/>
                      <w:lang w:val="en-US" w:eastAsia="zh-CN" w:bidi="ar"/>
                    </w:rPr>
                    <w:t>大气环境受体敏感重点管控区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1007" w:type="pct"/>
                  <w:tcBorders>
                    <w:top w:val="single" w:color="auto" w:sz="4" w:space="0"/>
                    <w:left w:val="single" w:color="auto" w:sz="4" w:space="0"/>
                    <w:bottom w:val="single" w:color="auto" w:sz="4" w:space="0"/>
                    <w:right w:val="single" w:color="auto" w:sz="4" w:space="0"/>
                  </w:tcBorders>
                  <w:noWrap w:val="0"/>
                  <w:vAlign w:val="center"/>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2"/>
                      <w:sz w:val="21"/>
                      <w:szCs w:val="21"/>
                    </w:rPr>
                  </w:pPr>
                  <w:r>
                    <w:rPr>
                      <w:rStyle w:val="253"/>
                      <w:rFonts w:hint="default" w:ascii="Times New Roman" w:hAnsi="Times New Roman" w:eastAsia="宋体" w:cs="Times New Roman"/>
                      <w:kern w:val="2"/>
                      <w:sz w:val="21"/>
                      <w:szCs w:val="21"/>
                      <w:lang w:val="en-US" w:eastAsia="zh-CN" w:bidi="ar"/>
                    </w:rPr>
                    <w:t>YS5111022540006</w:t>
                  </w:r>
                </w:p>
              </w:tc>
              <w:tc>
                <w:tcPr>
                  <w:tcW w:w="1248" w:type="pct"/>
                  <w:tcBorders>
                    <w:top w:val="single" w:color="auto" w:sz="4" w:space="0"/>
                    <w:left w:val="single" w:color="auto" w:sz="4" w:space="0"/>
                    <w:bottom w:val="single" w:color="auto" w:sz="4" w:space="0"/>
                    <w:right w:val="single" w:color="auto" w:sz="4" w:space="0"/>
                  </w:tcBorders>
                  <w:noWrap w:val="0"/>
                  <w:vAlign w:val="center"/>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2"/>
                      <w:sz w:val="21"/>
                      <w:szCs w:val="21"/>
                    </w:rPr>
                  </w:pPr>
                  <w:r>
                    <w:rPr>
                      <w:rStyle w:val="253"/>
                      <w:rFonts w:hint="default" w:ascii="Times New Roman" w:hAnsi="Times New Roman" w:eastAsia="宋体" w:cs="Times New Roman"/>
                      <w:kern w:val="2"/>
                      <w:sz w:val="21"/>
                      <w:szCs w:val="21"/>
                      <w:lang w:val="en-US" w:eastAsia="zh-CN" w:bidi="ar"/>
                    </w:rPr>
                    <w:t>市中区禁燃区</w:t>
                  </w:r>
                </w:p>
              </w:tc>
              <w:tc>
                <w:tcPr>
                  <w:tcW w:w="633" w:type="pct"/>
                  <w:tcBorders>
                    <w:top w:val="single" w:color="auto" w:sz="4" w:space="0"/>
                    <w:left w:val="single" w:color="auto" w:sz="4" w:space="0"/>
                    <w:bottom w:val="single" w:color="auto" w:sz="4" w:space="0"/>
                    <w:right w:val="single" w:color="auto" w:sz="4" w:space="0"/>
                  </w:tcBorders>
                  <w:noWrap w:val="0"/>
                  <w:vAlign w:val="top"/>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2"/>
                      <w:sz w:val="21"/>
                      <w:szCs w:val="21"/>
                    </w:rPr>
                  </w:pPr>
                  <w:r>
                    <w:rPr>
                      <w:rStyle w:val="253"/>
                      <w:rFonts w:hint="default" w:ascii="Times New Roman" w:hAnsi="Times New Roman" w:eastAsia="宋体" w:cs="Times New Roman"/>
                      <w:kern w:val="2"/>
                      <w:sz w:val="21"/>
                      <w:szCs w:val="21"/>
                      <w:lang w:val="en-US" w:eastAsia="zh-CN" w:bidi="ar"/>
                    </w:rPr>
                    <w:t>乐山市</w:t>
                  </w:r>
                </w:p>
              </w:tc>
              <w:tc>
                <w:tcPr>
                  <w:tcW w:w="403" w:type="pct"/>
                  <w:tcBorders>
                    <w:top w:val="single" w:color="auto" w:sz="4" w:space="0"/>
                    <w:left w:val="single" w:color="auto" w:sz="4" w:space="0"/>
                    <w:bottom w:val="single" w:color="auto" w:sz="4" w:space="0"/>
                    <w:right w:val="single" w:color="auto" w:sz="4" w:space="0"/>
                  </w:tcBorders>
                  <w:noWrap w:val="0"/>
                  <w:vAlign w:val="top"/>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2"/>
                      <w:sz w:val="21"/>
                      <w:szCs w:val="21"/>
                    </w:rPr>
                  </w:pPr>
                  <w:r>
                    <w:rPr>
                      <w:rStyle w:val="253"/>
                      <w:rFonts w:hint="default" w:ascii="Times New Roman" w:hAnsi="Times New Roman" w:eastAsia="宋体" w:cs="Times New Roman"/>
                      <w:kern w:val="2"/>
                      <w:sz w:val="21"/>
                      <w:szCs w:val="21"/>
                      <w:lang w:val="en-US" w:eastAsia="zh-CN" w:bidi="ar"/>
                    </w:rPr>
                    <w:t>市中区</w:t>
                  </w:r>
                </w:p>
              </w:tc>
              <w:tc>
                <w:tcPr>
                  <w:tcW w:w="627" w:type="pct"/>
                  <w:tcBorders>
                    <w:top w:val="single" w:color="auto" w:sz="4" w:space="0"/>
                    <w:left w:val="single" w:color="auto" w:sz="4" w:space="0"/>
                    <w:bottom w:val="single" w:color="auto" w:sz="4" w:space="0"/>
                    <w:right w:val="single" w:color="auto" w:sz="4" w:space="0"/>
                  </w:tcBorders>
                  <w:noWrap w:val="0"/>
                  <w:vAlign w:val="center"/>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2"/>
                      <w:sz w:val="21"/>
                      <w:szCs w:val="21"/>
                    </w:rPr>
                  </w:pPr>
                  <w:r>
                    <w:rPr>
                      <w:rStyle w:val="253"/>
                      <w:rFonts w:hint="default" w:ascii="Times New Roman" w:hAnsi="Times New Roman" w:eastAsia="宋体" w:cs="Times New Roman"/>
                      <w:kern w:val="2"/>
                      <w:sz w:val="21"/>
                      <w:szCs w:val="21"/>
                      <w:lang w:val="en-US" w:eastAsia="zh-CN" w:bidi="ar"/>
                    </w:rPr>
                    <w:t>自然资源管控分区</w:t>
                  </w:r>
                </w:p>
              </w:tc>
              <w:tc>
                <w:tcPr>
                  <w:tcW w:w="1079" w:type="pct"/>
                  <w:tcBorders>
                    <w:top w:val="single" w:color="auto" w:sz="4" w:space="0"/>
                    <w:left w:val="single" w:color="auto" w:sz="4" w:space="0"/>
                    <w:bottom w:val="single" w:color="auto" w:sz="4" w:space="0"/>
                    <w:right w:val="single" w:color="auto" w:sz="4" w:space="0"/>
                  </w:tcBorders>
                  <w:noWrap w:val="0"/>
                  <w:vAlign w:val="center"/>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2"/>
                      <w:sz w:val="21"/>
                      <w:szCs w:val="21"/>
                    </w:rPr>
                  </w:pPr>
                  <w:r>
                    <w:rPr>
                      <w:rStyle w:val="253"/>
                      <w:rFonts w:hint="default" w:ascii="Times New Roman" w:hAnsi="Times New Roman" w:eastAsia="宋体" w:cs="Times New Roman"/>
                      <w:kern w:val="2"/>
                      <w:sz w:val="21"/>
                      <w:szCs w:val="21"/>
                      <w:lang w:val="en-US" w:eastAsia="zh-CN" w:bidi="ar"/>
                    </w:rPr>
                    <w:t>高污染燃料禁燃区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1007" w:type="pct"/>
                  <w:tcBorders>
                    <w:top w:val="single" w:color="auto" w:sz="4" w:space="0"/>
                    <w:left w:val="single" w:color="auto" w:sz="4" w:space="0"/>
                    <w:bottom w:val="single" w:color="auto" w:sz="4" w:space="0"/>
                    <w:right w:val="single" w:color="auto" w:sz="4" w:space="0"/>
                  </w:tcBorders>
                  <w:noWrap w:val="0"/>
                  <w:vAlign w:val="center"/>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2"/>
                      <w:sz w:val="21"/>
                      <w:szCs w:val="21"/>
                    </w:rPr>
                  </w:pPr>
                  <w:r>
                    <w:rPr>
                      <w:rStyle w:val="253"/>
                      <w:rFonts w:hint="default" w:ascii="Times New Roman" w:hAnsi="Times New Roman" w:eastAsia="宋体" w:cs="Times New Roman"/>
                      <w:kern w:val="2"/>
                      <w:sz w:val="21"/>
                      <w:szCs w:val="21"/>
                      <w:lang w:val="en-US" w:eastAsia="zh-CN" w:bidi="ar"/>
                    </w:rPr>
                    <w:t>YS5111022550001</w:t>
                  </w:r>
                </w:p>
              </w:tc>
              <w:tc>
                <w:tcPr>
                  <w:tcW w:w="1248" w:type="pct"/>
                  <w:tcBorders>
                    <w:top w:val="single" w:color="auto" w:sz="4" w:space="0"/>
                    <w:left w:val="single" w:color="auto" w:sz="4" w:space="0"/>
                    <w:bottom w:val="single" w:color="auto" w:sz="4" w:space="0"/>
                    <w:right w:val="single" w:color="auto" w:sz="4" w:space="0"/>
                  </w:tcBorders>
                  <w:noWrap w:val="0"/>
                  <w:vAlign w:val="center"/>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2"/>
                      <w:sz w:val="21"/>
                      <w:szCs w:val="21"/>
                    </w:rPr>
                  </w:pPr>
                  <w:r>
                    <w:rPr>
                      <w:rStyle w:val="253"/>
                      <w:rFonts w:hint="default" w:ascii="Times New Roman" w:hAnsi="Times New Roman" w:eastAsia="宋体" w:cs="Times New Roman"/>
                      <w:kern w:val="2"/>
                      <w:sz w:val="21"/>
                      <w:szCs w:val="21"/>
                      <w:lang w:val="en-US" w:eastAsia="zh-CN" w:bidi="ar"/>
                    </w:rPr>
                    <w:t>市中区自然资源重点管控区</w:t>
                  </w:r>
                </w:p>
              </w:tc>
              <w:tc>
                <w:tcPr>
                  <w:tcW w:w="633" w:type="pct"/>
                  <w:tcBorders>
                    <w:top w:val="single" w:color="auto" w:sz="4" w:space="0"/>
                    <w:left w:val="single" w:color="auto" w:sz="4" w:space="0"/>
                    <w:bottom w:val="single" w:color="auto" w:sz="4" w:space="0"/>
                    <w:right w:val="single" w:color="auto" w:sz="4" w:space="0"/>
                  </w:tcBorders>
                  <w:noWrap w:val="0"/>
                  <w:vAlign w:val="top"/>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2"/>
                      <w:sz w:val="21"/>
                      <w:szCs w:val="21"/>
                    </w:rPr>
                  </w:pPr>
                  <w:r>
                    <w:rPr>
                      <w:rStyle w:val="253"/>
                      <w:rFonts w:hint="default" w:ascii="Times New Roman" w:hAnsi="Times New Roman" w:eastAsia="宋体" w:cs="Times New Roman"/>
                      <w:kern w:val="2"/>
                      <w:sz w:val="21"/>
                      <w:szCs w:val="21"/>
                      <w:lang w:val="en-US" w:eastAsia="zh-CN" w:bidi="ar"/>
                    </w:rPr>
                    <w:t>乐山市</w:t>
                  </w:r>
                </w:p>
              </w:tc>
              <w:tc>
                <w:tcPr>
                  <w:tcW w:w="403" w:type="pct"/>
                  <w:tcBorders>
                    <w:top w:val="single" w:color="auto" w:sz="4" w:space="0"/>
                    <w:left w:val="single" w:color="auto" w:sz="4" w:space="0"/>
                    <w:bottom w:val="single" w:color="auto" w:sz="4" w:space="0"/>
                    <w:right w:val="single" w:color="auto" w:sz="4" w:space="0"/>
                  </w:tcBorders>
                  <w:noWrap w:val="0"/>
                  <w:vAlign w:val="top"/>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2"/>
                      <w:sz w:val="21"/>
                      <w:szCs w:val="21"/>
                    </w:rPr>
                  </w:pPr>
                  <w:r>
                    <w:rPr>
                      <w:rStyle w:val="253"/>
                      <w:rFonts w:hint="default" w:ascii="Times New Roman" w:hAnsi="Times New Roman" w:eastAsia="宋体" w:cs="Times New Roman"/>
                      <w:kern w:val="2"/>
                      <w:sz w:val="21"/>
                      <w:szCs w:val="21"/>
                      <w:lang w:val="en-US" w:eastAsia="zh-CN" w:bidi="ar"/>
                    </w:rPr>
                    <w:t>市中区</w:t>
                  </w:r>
                </w:p>
              </w:tc>
              <w:tc>
                <w:tcPr>
                  <w:tcW w:w="627" w:type="pct"/>
                  <w:tcBorders>
                    <w:top w:val="single" w:color="auto" w:sz="4" w:space="0"/>
                    <w:left w:val="single" w:color="auto" w:sz="4" w:space="0"/>
                    <w:bottom w:val="single" w:color="auto" w:sz="4" w:space="0"/>
                    <w:right w:val="single" w:color="auto" w:sz="4" w:space="0"/>
                  </w:tcBorders>
                  <w:noWrap w:val="0"/>
                  <w:vAlign w:val="center"/>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2"/>
                      <w:sz w:val="21"/>
                      <w:szCs w:val="21"/>
                    </w:rPr>
                  </w:pPr>
                  <w:r>
                    <w:rPr>
                      <w:rStyle w:val="253"/>
                      <w:rFonts w:hint="default" w:ascii="Times New Roman" w:hAnsi="Times New Roman" w:eastAsia="宋体" w:cs="Times New Roman"/>
                      <w:kern w:val="2"/>
                      <w:sz w:val="21"/>
                      <w:szCs w:val="21"/>
                      <w:lang w:val="en-US" w:eastAsia="zh-CN" w:bidi="ar"/>
                    </w:rPr>
                    <w:t>自然资源管控分区</w:t>
                  </w:r>
                </w:p>
              </w:tc>
              <w:tc>
                <w:tcPr>
                  <w:tcW w:w="1079" w:type="pct"/>
                  <w:tcBorders>
                    <w:top w:val="single" w:color="auto" w:sz="4" w:space="0"/>
                    <w:left w:val="single" w:color="auto" w:sz="4" w:space="0"/>
                    <w:bottom w:val="single" w:color="auto" w:sz="4" w:space="0"/>
                    <w:right w:val="single" w:color="auto" w:sz="4" w:space="0"/>
                  </w:tcBorders>
                  <w:noWrap w:val="0"/>
                  <w:vAlign w:val="center"/>
                </w:tcPr>
                <w:p>
                  <w:pPr>
                    <w:pStyle w:val="3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2"/>
                      <w:sz w:val="21"/>
                      <w:szCs w:val="21"/>
                    </w:rPr>
                  </w:pPr>
                  <w:r>
                    <w:rPr>
                      <w:rStyle w:val="253"/>
                      <w:rFonts w:hint="default" w:ascii="Times New Roman" w:hAnsi="Times New Roman" w:eastAsia="宋体" w:cs="Times New Roman"/>
                      <w:kern w:val="2"/>
                      <w:sz w:val="21"/>
                      <w:szCs w:val="21"/>
                      <w:lang w:val="en-US" w:eastAsia="zh-CN" w:bidi="ar"/>
                    </w:rPr>
                    <w:t>自然资源重点管控区</w:t>
                  </w:r>
                </w:p>
              </w:tc>
            </w:tr>
          </w:tbl>
          <w:p>
            <w:pPr>
              <w:keepNext w:val="0"/>
              <w:keepLines w:val="0"/>
              <w:pageBreakBefore w:val="0"/>
              <w:widowControl w:val="0"/>
              <w:kinsoku/>
              <w:wordWrap/>
              <w:overflowPunct/>
              <w:topLinePunct w:val="0"/>
              <w:autoSpaceDE w:val="0"/>
              <w:autoSpaceDN w:val="0"/>
              <w:bidi w:val="0"/>
              <w:adjustRightInd w:val="0"/>
              <w:snapToGrid w:val="0"/>
              <w:spacing w:line="240" w:lineRule="auto"/>
              <w:ind w:firstLine="422" w:firstLineChars="200"/>
              <w:jc w:val="center"/>
              <w:textAlignment w:val="auto"/>
              <w:rPr>
                <w:rFonts w:hint="default" w:ascii="Times New Roman" w:hAnsi="Times New Roman" w:eastAsia="宋体" w:cs="Times New Roman"/>
                <w:b/>
                <w:bCs/>
                <w:color w:val="auto"/>
                <w:spacing w:val="0"/>
                <w:sz w:val="21"/>
                <w:szCs w:val="21"/>
                <w:lang w:val="en-US" w:eastAsia="zh-CN"/>
              </w:rPr>
            </w:pPr>
            <w:r>
              <w:rPr>
                <w:rFonts w:hint="default" w:ascii="Times New Roman" w:hAnsi="Times New Roman" w:eastAsia="宋体" w:cs="Times New Roman"/>
                <w:b/>
                <w:bCs/>
                <w:color w:val="auto"/>
                <w:spacing w:val="0"/>
                <w:sz w:val="21"/>
                <w:szCs w:val="21"/>
                <w:lang w:val="en-US" w:eastAsia="zh-CN"/>
              </w:rPr>
              <w:t>表1-</w:t>
            </w:r>
            <w:r>
              <w:rPr>
                <w:rFonts w:hint="eastAsia" w:ascii="Times New Roman" w:hAnsi="Times New Roman" w:eastAsia="宋体" w:cs="Times New Roman"/>
                <w:b/>
                <w:bCs/>
                <w:color w:val="auto"/>
                <w:spacing w:val="0"/>
                <w:sz w:val="21"/>
                <w:szCs w:val="21"/>
                <w:lang w:val="en-US" w:eastAsia="zh-CN"/>
              </w:rPr>
              <w:t>7</w:t>
            </w:r>
            <w:r>
              <w:rPr>
                <w:rFonts w:hint="default" w:ascii="Times New Roman" w:hAnsi="Times New Roman" w:eastAsia="宋体" w:cs="Times New Roman"/>
                <w:b/>
                <w:bCs/>
                <w:color w:val="auto"/>
                <w:spacing w:val="0"/>
                <w:sz w:val="21"/>
                <w:szCs w:val="21"/>
                <w:lang w:val="en-US" w:eastAsia="zh-CN"/>
              </w:rPr>
              <w:t xml:space="preserve">  建设项目中点与“三线一单”相关要求的符合性分析要点</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6"/>
              <w:gridCol w:w="441"/>
              <w:gridCol w:w="757"/>
              <w:gridCol w:w="535"/>
              <w:gridCol w:w="652"/>
              <w:gridCol w:w="426"/>
              <w:gridCol w:w="2316"/>
              <w:gridCol w:w="2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Autospacing="0" w:line="240" w:lineRule="auto"/>
                    <w:ind w:left="0" w:right="0" w:firstLine="0" w:firstLineChars="0"/>
                    <w:jc w:val="center"/>
                    <w:textAlignment w:val="baseline"/>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snapToGrid/>
                      <w:color w:val="000000"/>
                      <w:kern w:val="0"/>
                      <w:sz w:val="21"/>
                      <w:szCs w:val="21"/>
                      <w:lang w:val="en-US" w:eastAsia="zh-CN" w:bidi="ar"/>
                    </w:rPr>
                    <w:t>环境管控单元编码</w:t>
                  </w:r>
                </w:p>
              </w:tc>
              <w:tc>
                <w:tcPr>
                  <w:tcW w:w="87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Autospacing="0" w:line="240" w:lineRule="auto"/>
                    <w:ind w:left="0" w:right="0" w:firstLine="0" w:firstLineChars="0"/>
                    <w:jc w:val="center"/>
                    <w:textAlignment w:val="baseline"/>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snapToGrid/>
                      <w:color w:val="000000"/>
                      <w:kern w:val="0"/>
                      <w:sz w:val="21"/>
                      <w:szCs w:val="21"/>
                      <w:lang w:val="en-US" w:eastAsia="zh-CN" w:bidi="ar"/>
                    </w:rPr>
                    <w:t>环境管控单元名称</w:t>
                  </w:r>
                </w:p>
              </w:tc>
              <w:tc>
                <w:tcPr>
                  <w:tcW w:w="552" w:type="dxa"/>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suppressLineNumbers w:val="0"/>
                    <w:kinsoku w:val="0"/>
                    <w:wordWrap/>
                    <w:overflowPunct/>
                    <w:topLinePunct w:val="0"/>
                    <w:autoSpaceDE w:val="0"/>
                    <w:autoSpaceDN w:val="0"/>
                    <w:bidi w:val="0"/>
                    <w:adjustRightInd w:val="0"/>
                    <w:snapToGrid w:val="0"/>
                    <w:spacing w:beforeAutospacing="0" w:afterAutospacing="0" w:line="240" w:lineRule="auto"/>
                    <w:ind w:left="0" w:right="0" w:firstLine="0" w:firstLineChars="0"/>
                    <w:jc w:val="center"/>
                    <w:textAlignment w:val="baseline"/>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snapToGrid/>
                      <w:color w:val="000000"/>
                      <w:kern w:val="0"/>
                      <w:sz w:val="21"/>
                      <w:szCs w:val="21"/>
                      <w:lang w:val="en-US" w:eastAsia="zh-CN" w:bidi="ar"/>
                    </w:rPr>
                    <w:t>乐山市普适性清单</w:t>
                  </w:r>
                </w:p>
              </w:tc>
              <w:tc>
                <w:tcPr>
                  <w:tcW w:w="72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Autospacing="0" w:line="240" w:lineRule="auto"/>
                    <w:ind w:left="0" w:right="0" w:firstLine="0" w:firstLineChars="0"/>
                    <w:jc w:val="center"/>
                    <w:textAlignment w:val="baseline"/>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snapToGrid/>
                      <w:color w:val="000000"/>
                      <w:kern w:val="0"/>
                      <w:sz w:val="21"/>
                      <w:szCs w:val="21"/>
                      <w:lang w:val="en-US" w:eastAsia="zh-CN" w:bidi="ar"/>
                    </w:rPr>
                    <w:t>管控类别</w:t>
                  </w:r>
                </w:p>
              </w:tc>
              <w:tc>
                <w:tcPr>
                  <w:tcW w:w="2660" w:type="dxa"/>
                  <w:gridSpan w:val="2"/>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Autospacing="0" w:line="240" w:lineRule="auto"/>
                    <w:ind w:left="0" w:right="0" w:firstLine="0" w:firstLineChars="0"/>
                    <w:jc w:val="center"/>
                    <w:textAlignment w:val="baseline"/>
                    <w:rPr>
                      <w:rFonts w:hint="default" w:ascii="Times New Roman" w:hAnsi="Times New Roman" w:eastAsia="宋体" w:cs="Times New Roman"/>
                      <w:b/>
                      <w:bCs/>
                      <w:color w:val="000000"/>
                      <w:kern w:val="0"/>
                      <w:sz w:val="21"/>
                      <w:szCs w:val="21"/>
                    </w:rPr>
                  </w:pPr>
                  <w:r>
                    <w:rPr>
                      <w:rFonts w:hint="default" w:ascii="Times New Roman" w:hAnsi="Times New Roman" w:eastAsia="宋体" w:cs="Times New Roman"/>
                      <w:b/>
                      <w:bCs/>
                      <w:snapToGrid/>
                      <w:color w:val="000000"/>
                      <w:kern w:val="0"/>
                      <w:sz w:val="21"/>
                      <w:szCs w:val="21"/>
                      <w:lang w:val="en-US" w:eastAsia="zh-CN" w:bidi="ar"/>
                    </w:rPr>
                    <w:t>单元特性管控要求</w:t>
                  </w:r>
                </w:p>
              </w:tc>
              <w:tc>
                <w:tcPr>
                  <w:tcW w:w="242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Autospacing="0" w:line="240" w:lineRule="auto"/>
                    <w:ind w:left="0" w:right="0" w:firstLine="0" w:firstLineChars="0"/>
                    <w:jc w:val="center"/>
                    <w:textAlignment w:val="baseline"/>
                    <w:rPr>
                      <w:rFonts w:hint="default" w:ascii="Times New Roman" w:hAnsi="Times New Roman" w:eastAsia="宋体" w:cs="Times New Roman"/>
                      <w:b/>
                      <w:bCs/>
                      <w:snapToGrid/>
                      <w:color w:val="000000"/>
                      <w:kern w:val="0"/>
                      <w:sz w:val="21"/>
                      <w:szCs w:val="21"/>
                      <w:lang w:val="en-US" w:eastAsia="zh-CN" w:bidi="ar"/>
                    </w:rPr>
                  </w:pPr>
                  <w:r>
                    <w:rPr>
                      <w:rFonts w:hint="default" w:ascii="Times New Roman" w:hAnsi="Times New Roman" w:eastAsia="宋体" w:cs="Times New Roman"/>
                      <w:b/>
                      <w:bCs/>
                      <w:snapToGrid/>
                      <w:color w:val="000000"/>
                      <w:kern w:val="0"/>
                      <w:sz w:val="21"/>
                      <w:szCs w:val="21"/>
                      <w:lang w:val="en-US" w:eastAsia="zh-CN" w:bidi="ar"/>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tcBorders>
                    <w:top w:val="nil"/>
                    <w:left w:val="single" w:color="auto" w:sz="4" w:space="0"/>
                    <w:bottom w:val="single" w:color="auto" w:sz="4" w:space="0"/>
                    <w:right w:val="single" w:color="auto" w:sz="4" w:space="0"/>
                  </w:tcBorders>
                  <w:noWrap w:val="0"/>
                  <w:vAlign w:val="center"/>
                </w:tcPr>
                <w:p>
                  <w:pPr>
                    <w:pStyle w:val="37"/>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rPr>
                  </w:pPr>
                  <w:r>
                    <w:rPr>
                      <w:rStyle w:val="254"/>
                      <w:rFonts w:hint="default" w:ascii="Times New Roman" w:hAnsi="Times New Roman" w:eastAsia="宋体" w:cs="Times New Roman"/>
                      <w:color w:val="000000"/>
                      <w:kern w:val="2"/>
                      <w:sz w:val="21"/>
                      <w:szCs w:val="21"/>
                      <w:lang w:val="en-US" w:eastAsia="zh-CN" w:bidi="ar"/>
                    </w:rPr>
                    <w:t>ZH51110220001</w:t>
                  </w:r>
                </w:p>
              </w:tc>
              <w:tc>
                <w:tcPr>
                  <w:tcW w:w="449" w:type="dxa"/>
                  <w:tcBorders>
                    <w:top w:val="nil"/>
                    <w:left w:val="nil"/>
                    <w:bottom w:val="single" w:color="auto" w:sz="4" w:space="0"/>
                    <w:right w:val="single" w:color="auto" w:sz="4" w:space="0"/>
                  </w:tcBorders>
                  <w:noWrap w:val="0"/>
                  <w:vAlign w:val="center"/>
                </w:tcPr>
                <w:p>
                  <w:pPr>
                    <w:pStyle w:val="37"/>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rPr>
                  </w:pPr>
                  <w:r>
                    <w:rPr>
                      <w:rStyle w:val="254"/>
                      <w:rFonts w:hint="default" w:ascii="Times New Roman" w:hAnsi="Times New Roman" w:eastAsia="宋体" w:cs="Times New Roman"/>
                      <w:color w:val="000000"/>
                      <w:kern w:val="2"/>
                      <w:sz w:val="21"/>
                      <w:szCs w:val="21"/>
                      <w:lang w:val="en-US" w:eastAsia="zh-CN" w:bidi="ar"/>
                    </w:rPr>
                    <w:t>市中区中心城区</w:t>
                  </w:r>
                </w:p>
              </w:tc>
              <w:tc>
                <w:tcPr>
                  <w:tcW w:w="1933" w:type="dxa"/>
                  <w:gridSpan w:val="3"/>
                  <w:tcBorders>
                    <w:top w:val="nil"/>
                    <w:left w:val="nil"/>
                    <w:bottom w:val="single" w:color="auto" w:sz="4" w:space="0"/>
                    <w:right w:val="single" w:color="auto" w:sz="4" w:space="0"/>
                  </w:tcBorders>
                  <w:noWrap w:val="0"/>
                  <w:vAlign w:val="top"/>
                </w:tcPr>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空间布局约束：</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禁止开发建设活动的要求</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（1）原则上禁止新建生产性企业，经论证与周边环境相容的涉及民生的工业企业除外；</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 xml:space="preserve">（2）禁止在长江干支流岸线1公里范围内新建、扩建化工园区和化工项目；禁止在长江重要支流岸线一公里范围内新建、改建、扩建尾矿库（以提升安全、生态环境保护水平为目的的改建除外）； </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（3）禁止在居民区、学校、医疗和养老机构等周边新建有色金属冶炼、焦化、化工、铅蓄电池制造等行业企业。严禁在人口聚集区新建涉及重金属排放的项目；</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（4）禁止在长江流域禁止采砂区和禁止采砂期从事采砂活动。</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限制开发建设活动的要求</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（1）现有工业企业（涉及民生的除外）限制发展，允许以提升安全、生态环境保护水平为目的的改建，引导企业搬入产业对口园区；</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（2）严格控制在城镇空间范围内新布设工业园区。若新布局工业园区，应符合乐山市国土空间规划，并结合区域环境特点、三线成果、园区产业类别，充分论证选址的环境合理性；</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（3）长江流域河道采砂应当依法取得国务院水行政主管部门有关流域管理机构或者县级以上地方人民政府水行政主管部门的许可。严格控制采砂区域、采砂总量和采砂区域内的采砂船舶数量。</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不符合空间布局要求活动的退出要求</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（1）长江主要支流重点管控岸线：按照长江干线非法码头治理标准和生态保护红线管控等要求，持续开展长江主要支流非法码头整治；</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（2）加快城市建成区重污染企业搬迁改造或关闭退出，推动实施一批重污染企业搬迁工程；大气污染防治重点区域城市钢铁企业要切实采取彻底关停、转型发展、就地改造、域外搬迁等方式转型升级；</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（3）长江干流及主要支流岸线延伸至陆域200米范围内基本消除畜禽养殖场（小区）。</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其他空间布局约束要求</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（1）长江干流及主要支流重点管控岸线：加强滨水岸线管控，以生态保护为主基调，加快推进生态修复工作进程；</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（2）加大交通运输结构优化调整力度，推动“公转铁”“公转水”和多式联运，推广节能和新能源车辆。</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污染物排放管控：</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允许排放量要求</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（1）上一年度水环境质量未完成目标的，新建排放水污染的建设项目按照总量管控要求进行倍量削减替代；</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（2）对新建排放二氧化硫、氮氧化物、工业烟粉尘和挥发性有机物的项目实施现役源2倍削减替代；</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（3）岷江干流及其支流执行总磷排放减量置换；</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（4）水质超标的水功能区，应当实施更严格的污染物排放总量削减要求。</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现有源提标升级改造</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（1）现有及新建处理规模大于1000吨日的城镇生活污水处理厂执行《四川省岷江、沱江流域水污染物排放标准》（DB51 2311-2016）；</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（2）市中区、五通桥区、沙湾区、犍为县、井研县、峨眉山市、夹江县属大气污染重点区域，执行大气污染物排放特别限值和特别管控要求；</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（3）全市燃煤锅炉稳定达到超低排放限值要求，烟粉尘低于10毫克立方米，二氧化硫低于35毫克立方米，氮氧化物低于50毫克立方米。</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其他污染物排放管控要求</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（1）到2030年，城市污水处理率达到100%；</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（2）加快城市污水处理厂提标改造，推进人工湿地等深度处理设施配套建设，进一步降低人口密集区污染入河负荷；</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3）严格执行《关于实施第六阶段机动车排放标准的通告》、《四川省机动车和非道路移动机械排气污染防治办法》。加快淘汰老旧车辆。严禁排放不达标车辆跨区域转移，鼓励、引导老旧车等高排放车辆提前报废更新。开展非道路移动机械污染整治。推进不达标工程机械清洁化改造和淘汰；</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4）深化扬尘污染治理。建筑施工工地全部做到工地周边围挡、物料堆放覆盖、土方开挖湿法作业、路面硬化、出入车辆清洗、渣土车辆密闭运输“六个百分之百”。施工场地全部安装高空作业雾炮和围挡喷淋装置、在线监测和视频监控设备，监测数据与市、县主管部门联网。严格堆场规范化全封闭管理；</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5）强化挥发性有机物整治。全面淘汰开启式干洗机；推广使用符合环保要求的建筑涂料、油墨、木器涂料、胶黏剂等产品；全面推广汽修行业使用低挥发性涂料，采用高效涂装工艺，完善有机废气收集和处理系统，取缔露天和敞开式汽修喷涂作业；全面推进储油库、油罐车、加油站油气回收改造，回收率提高到80%以上；开展餐饮、食堂、露天烧烤专项整治；</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（6）到2023年底，市级城市污泥无害化处置率达92%、县级城市达85%。到2030年，城市生活垃圾无害化处置率达100%，工业固体废弃物综合利用率达100%，危废处理率100%。</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环境风险防控：</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联防联控要求</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暂无</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其他环境风险防控要求</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（1）现有涉及五类重金属的企业，严控污染物排放，限时整治或搬迁；</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2）对拟收回土地使用权的有色金属矿采选、有色金属冶炼、石油加工、化工、焦化、电镀、制革、天然（页岩）气开采、铅蓄电池、汽车制造、农药、危废处置、电子拆解等行业企业用地，以及用途拟变更为居住和商业、学校、医疗、养老机构等公共设施的上述企业用地，应按相关要求进行土壤环境状况调查评估，符合相应规划用地土壤环境质量要求的地块，方可进入用地程序。</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资源开发利用效率要求：</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水资源利用总量要求</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1）城镇园林绿化、河湖景观、环境卫生、消防等市政用水应当优先使用再生水、雨水等非常规水源。鼓励园林绿化采用喷灌、微灌等高效节水灌溉方式。洗浴、洗车、游泳场馆等场所应当采用低耗水、循环用水等节水技术、设备和设施。餐饮、娱乐、宾馆等服务型企业应当优先采用节水型器具和设备，逐步淘汰耗水量高的用水器具和设备；</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（2）鼓励生活污水再生利用设施建设、鼓励经处理符合使用条件的生活污水用于城市杂用、工业生产、景观用水、河道补水等方面，提高生活污水再生利用效率。</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地下水开采要求</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暂无</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能源利用总量及效率要求</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（1）依据大气污染治理和环境改善的目标，强化区域能源结构优化调整，科学合理地进行分阶段、分区域禁煤；</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（2）实施煤炭消费总量控制：严格控制煤炭消费总量；严格控制新建、改建、扩建耗煤项目，新增耗煤项目实行当年煤炭消耗减量倍量替代。</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禁燃区要求</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（1）禁燃区禁止审批（核准、备案）、新建、扩建燃用高污染燃料的锅炉、炉窑等各类燃用高污染燃料的设施；</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（2）禁止在高污染燃料禁燃区销售、燃用各类高污染燃料。</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其他资源利用效率要求</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暂无</w:t>
                  </w:r>
                </w:p>
              </w:tc>
              <w:tc>
                <w:tcPr>
                  <w:tcW w:w="426" w:type="dxa"/>
                  <w:tcBorders>
                    <w:top w:val="single" w:color="auto" w:sz="4" w:space="0"/>
                    <w:left w:val="nil"/>
                    <w:bottom w:val="single" w:color="auto" w:sz="4" w:space="0"/>
                    <w:right w:val="single" w:color="auto" w:sz="4" w:space="0"/>
                  </w:tcBorders>
                  <w:noWrap w:val="0"/>
                  <w:vAlign w:val="center"/>
                </w:tcPr>
                <w:p>
                  <w:pPr>
                    <w:pStyle w:val="37"/>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rPr>
                  </w:pPr>
                  <w:r>
                    <w:rPr>
                      <w:rStyle w:val="254"/>
                      <w:rFonts w:hint="default" w:ascii="Times New Roman" w:hAnsi="Times New Roman" w:eastAsia="宋体" w:cs="Times New Roman"/>
                      <w:color w:val="000000"/>
                      <w:kern w:val="2"/>
                      <w:sz w:val="21"/>
                      <w:szCs w:val="21"/>
                      <w:lang w:val="en-US" w:eastAsia="zh-CN" w:bidi="ar"/>
                    </w:rPr>
                    <w:t>空间布局约束</w:t>
                  </w:r>
                </w:p>
              </w:tc>
              <w:tc>
                <w:tcPr>
                  <w:tcW w:w="2234" w:type="dxa"/>
                  <w:tcBorders>
                    <w:top w:val="single" w:color="auto" w:sz="4" w:space="0"/>
                    <w:left w:val="nil"/>
                    <w:bottom w:val="single" w:color="auto" w:sz="4" w:space="0"/>
                    <w:right w:val="single" w:color="auto" w:sz="4" w:space="0"/>
                  </w:tcBorders>
                  <w:noWrap w:val="0"/>
                  <w:vAlign w:val="center"/>
                </w:tcPr>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禁止开发建设活动的要求</w:t>
                  </w:r>
                </w:p>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1、禁止在城镇用地布局规划确定的公共绿地、生态廊道内进行规模化建设开发，只允许必要的公共性园林式景观点状服务休闲设施建设；2、其他执行乐山市城镇重点管控单元普适性总体准入要求</w:t>
                  </w:r>
                </w:p>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限制开发建设活动的要求</w:t>
                  </w:r>
                </w:p>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1、西进南拓、中心提升、优化西南、控制东部、完善北部；2、其他执行乐山市城镇重点管控单元普适性总体准入要求</w:t>
                  </w:r>
                </w:p>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允许开发建设活动的要求</w:t>
                  </w:r>
                </w:p>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不符合空间布局要求活动的退出要求</w:t>
                  </w:r>
                </w:p>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1、单元内既有合法手续的、且污染物排放和环境风险满足管控要求的企业可继续保留，不得新增污染物排放，并进一步加强监管；否则限期进行整改，整改后任不能达到要求的，属地政府责令关停退出；2、其他执行乐山市城镇重点管控单元普适性总体准入要求</w:t>
                  </w:r>
                </w:p>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其他空间布局约束要求</w:t>
                  </w:r>
                </w:p>
              </w:tc>
              <w:tc>
                <w:tcPr>
                  <w:tcW w:w="2425" w:type="dxa"/>
                  <w:tcBorders>
                    <w:top w:val="single" w:color="auto" w:sz="4" w:space="0"/>
                    <w:left w:val="nil"/>
                    <w:bottom w:val="single" w:color="auto" w:sz="4" w:space="0"/>
                    <w:right w:val="single" w:color="auto" w:sz="4" w:space="0"/>
                  </w:tcBorders>
                  <w:noWrap w:val="0"/>
                  <w:vAlign w:val="center"/>
                </w:tcPr>
                <w:p>
                  <w:pPr>
                    <w:spacing w:before="65" w:line="251" w:lineRule="auto"/>
                    <w:ind w:left="118" w:right="101" w:firstLine="1"/>
                    <w:rPr>
                      <w:rStyle w:val="254"/>
                      <w:rFonts w:hint="default" w:ascii="Times New Roman" w:hAnsi="Times New Roman" w:eastAsia="宋体" w:cs="Times New Roman"/>
                      <w:color w:val="000000"/>
                      <w:kern w:val="2"/>
                      <w:sz w:val="21"/>
                      <w:szCs w:val="21"/>
                      <w:shd w:val="clear" w:color="auto" w:fill="FFFFFF"/>
                      <w:lang w:val="en-US" w:eastAsia="zh-CN" w:bidi="ar"/>
                    </w:rPr>
                  </w:pPr>
                  <w:r>
                    <w:rPr>
                      <w:rFonts w:hint="default" w:ascii="Times New Roman" w:hAnsi="Times New Roman" w:eastAsia="宋体" w:cs="Times New Roman"/>
                      <w:spacing w:val="4"/>
                      <w:sz w:val="20"/>
                      <w:szCs w:val="20"/>
                      <w:lang w:val="en-US" w:eastAsia="zh-CN"/>
                    </w:rPr>
                    <w:t>符合。</w:t>
                  </w:r>
                  <w:r>
                    <w:rPr>
                      <w:rFonts w:hint="default" w:ascii="Times New Roman" w:hAnsi="Times New Roman" w:eastAsia="宋体" w:cs="Times New Roman"/>
                      <w:spacing w:val="4"/>
                      <w:sz w:val="20"/>
                      <w:szCs w:val="20"/>
                    </w:rPr>
                    <w:t>本项</w:t>
                  </w:r>
                  <w:r>
                    <w:rPr>
                      <w:rFonts w:hint="default" w:ascii="Times New Roman" w:hAnsi="Times New Roman" w:eastAsia="宋体" w:cs="Times New Roman"/>
                      <w:spacing w:val="5"/>
                      <w:sz w:val="20"/>
                      <w:szCs w:val="20"/>
                    </w:rPr>
                    <w:t>目为河道</w:t>
                  </w:r>
                  <w:r>
                    <w:rPr>
                      <w:rFonts w:hint="default" w:ascii="Times New Roman" w:hAnsi="Times New Roman" w:eastAsia="宋体" w:cs="Times New Roman"/>
                      <w:sz w:val="20"/>
                      <w:szCs w:val="20"/>
                    </w:rPr>
                    <w:t xml:space="preserve"> </w:t>
                  </w:r>
                  <w:r>
                    <w:rPr>
                      <w:rFonts w:hint="default" w:ascii="Times New Roman" w:hAnsi="Times New Roman" w:eastAsia="宋体" w:cs="Times New Roman"/>
                      <w:sz w:val="20"/>
                      <w:szCs w:val="20"/>
                      <w:lang w:val="en-US" w:eastAsia="zh-CN"/>
                    </w:rPr>
                    <w:t>综合</w:t>
                  </w:r>
                  <w:r>
                    <w:rPr>
                      <w:rFonts w:hint="default" w:ascii="Times New Roman" w:hAnsi="Times New Roman" w:eastAsia="宋体" w:cs="Times New Roman"/>
                      <w:spacing w:val="5"/>
                      <w:sz w:val="20"/>
                      <w:szCs w:val="20"/>
                    </w:rPr>
                    <w:t>整治工程项目，</w:t>
                  </w:r>
                  <w:r>
                    <w:rPr>
                      <w:rFonts w:hint="default" w:ascii="Times New Roman" w:hAnsi="Times New Roman" w:eastAsia="宋体" w:cs="Times New Roman"/>
                      <w:sz w:val="20"/>
                      <w:szCs w:val="20"/>
                    </w:rPr>
                    <w:t xml:space="preserve"> </w:t>
                  </w:r>
                  <w:r>
                    <w:rPr>
                      <w:rFonts w:hint="default" w:ascii="Times New Roman" w:hAnsi="Times New Roman" w:eastAsia="宋体" w:cs="Times New Roman"/>
                      <w:spacing w:val="5"/>
                      <w:sz w:val="20"/>
                      <w:szCs w:val="20"/>
                    </w:rPr>
                    <w:t>是生态类</w:t>
                  </w:r>
                  <w:r>
                    <w:rPr>
                      <w:rFonts w:hint="default" w:ascii="Times New Roman" w:hAnsi="Times New Roman" w:eastAsia="宋体" w:cs="Times New Roman"/>
                      <w:spacing w:val="-3"/>
                      <w:sz w:val="20"/>
                      <w:szCs w:val="20"/>
                    </w:rPr>
                    <w:t>项</w:t>
                  </w:r>
                  <w:r>
                    <w:rPr>
                      <w:rFonts w:hint="default" w:ascii="Times New Roman" w:hAnsi="Times New Roman" w:eastAsia="宋体" w:cs="Times New Roman"/>
                      <w:spacing w:val="5"/>
                      <w:sz w:val="20"/>
                      <w:szCs w:val="20"/>
                    </w:rPr>
                    <w:t>目，施工期采取措施后能够达标</w:t>
                  </w:r>
                  <w:r>
                    <w:rPr>
                      <w:rFonts w:hint="default" w:ascii="Times New Roman" w:hAnsi="Times New Roman" w:eastAsia="宋体" w:cs="Times New Roman"/>
                      <w:sz w:val="20"/>
                      <w:szCs w:val="20"/>
                    </w:rPr>
                    <w:t>排</w:t>
                  </w:r>
                  <w:r>
                    <w:rPr>
                      <w:rFonts w:hint="default" w:ascii="Times New Roman" w:hAnsi="Times New Roman" w:eastAsia="宋体" w:cs="Times New Roman"/>
                      <w:spacing w:val="5"/>
                      <w:sz w:val="20"/>
                      <w:szCs w:val="20"/>
                    </w:rPr>
                    <w:t>放</w:t>
                  </w:r>
                  <w:r>
                    <w:rPr>
                      <w:rFonts w:hint="default" w:ascii="Times New Roman" w:hAnsi="Times New Roman" w:eastAsia="宋体" w:cs="Times New Roman"/>
                      <w:spacing w:val="4"/>
                      <w:sz w:val="20"/>
                      <w:szCs w:val="20"/>
                    </w:rPr>
                    <w:t>，</w:t>
                  </w:r>
                  <w:r>
                    <w:rPr>
                      <w:rFonts w:hint="default" w:ascii="Times New Roman" w:hAnsi="Times New Roman" w:eastAsia="宋体" w:cs="Times New Roman"/>
                      <w:sz w:val="20"/>
                      <w:szCs w:val="20"/>
                    </w:rPr>
                    <w:t xml:space="preserve"> </w:t>
                  </w:r>
                  <w:r>
                    <w:rPr>
                      <w:rFonts w:hint="default" w:ascii="Times New Roman" w:hAnsi="Times New Roman" w:eastAsia="宋体" w:cs="Times New Roman"/>
                      <w:spacing w:val="5"/>
                      <w:sz w:val="20"/>
                      <w:szCs w:val="20"/>
                    </w:rPr>
                    <w:t>营</w:t>
                  </w:r>
                  <w:r>
                    <w:rPr>
                      <w:rFonts w:hint="default" w:ascii="Times New Roman" w:hAnsi="Times New Roman" w:eastAsia="宋体" w:cs="Times New Roman"/>
                      <w:spacing w:val="4"/>
                      <w:sz w:val="20"/>
                      <w:szCs w:val="20"/>
                    </w:rPr>
                    <w:t>运</w:t>
                  </w:r>
                  <w:r>
                    <w:rPr>
                      <w:rFonts w:hint="default" w:ascii="Times New Roman" w:hAnsi="Times New Roman" w:eastAsia="宋体" w:cs="Times New Roman"/>
                      <w:spacing w:val="5"/>
                      <w:sz w:val="20"/>
                      <w:szCs w:val="20"/>
                    </w:rPr>
                    <w:t>期</w:t>
                  </w:r>
                  <w:r>
                    <w:rPr>
                      <w:rFonts w:hint="default" w:ascii="Times New Roman" w:hAnsi="Times New Roman" w:eastAsia="宋体" w:cs="Times New Roman"/>
                      <w:spacing w:val="4"/>
                      <w:sz w:val="20"/>
                      <w:szCs w:val="20"/>
                    </w:rPr>
                    <w:t>无</w:t>
                  </w:r>
                  <w:r>
                    <w:rPr>
                      <w:rFonts w:hint="default" w:ascii="Times New Roman" w:hAnsi="Times New Roman" w:eastAsia="宋体" w:cs="Times New Roman"/>
                      <w:spacing w:val="5"/>
                      <w:sz w:val="20"/>
                      <w:szCs w:val="20"/>
                    </w:rPr>
                    <w:t>污</w:t>
                  </w:r>
                  <w:r>
                    <w:rPr>
                      <w:rFonts w:hint="default" w:ascii="Times New Roman" w:hAnsi="Times New Roman" w:eastAsia="宋体" w:cs="Times New Roman"/>
                      <w:spacing w:val="4"/>
                      <w:sz w:val="20"/>
                      <w:szCs w:val="20"/>
                    </w:rPr>
                    <w:t>染</w:t>
                  </w:r>
                  <w:r>
                    <w:rPr>
                      <w:rFonts w:hint="default" w:ascii="Times New Roman" w:hAnsi="Times New Roman" w:eastAsia="宋体" w:cs="Times New Roman"/>
                      <w:sz w:val="20"/>
                      <w:szCs w:val="20"/>
                    </w:rPr>
                    <w:t>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0" w:type="dxa"/>
                  <w:gridSpan w:val="2"/>
                  <w:vMerge w:val="restart"/>
                  <w:tcBorders>
                    <w:top w:val="nil"/>
                    <w:left w:val="single" w:color="auto" w:sz="4" w:space="0"/>
                    <w:right w:val="single" w:color="auto" w:sz="4" w:space="0"/>
                  </w:tcBorders>
                  <w:noWrap w:val="0"/>
                  <w:vAlign w:val="center"/>
                </w:tcPr>
                <w:p>
                  <w:pPr>
                    <w:keepNext w:val="0"/>
                    <w:keepLines w:val="0"/>
                    <w:pageBreakBefore w:val="0"/>
                    <w:wordWrap/>
                    <w:overflowPunct/>
                    <w:topLinePunct w:val="0"/>
                    <w:bidi w:val="0"/>
                    <w:spacing w:before="0" w:beforeLines="0" w:after="0" w:afterLines="0" w:line="240" w:lineRule="auto"/>
                    <w:jc w:val="center"/>
                    <w:rPr>
                      <w:rFonts w:hint="default" w:ascii="Times New Roman" w:hAnsi="Times New Roman" w:cs="Times New Roman"/>
                      <w:sz w:val="21"/>
                      <w:szCs w:val="21"/>
                    </w:rPr>
                  </w:pPr>
                </w:p>
              </w:tc>
              <w:tc>
                <w:tcPr>
                  <w:tcW w:w="874" w:type="dxa"/>
                  <w:vMerge w:val="restart"/>
                  <w:tcBorders>
                    <w:top w:val="nil"/>
                    <w:left w:val="nil"/>
                    <w:right w:val="single" w:color="auto" w:sz="4" w:space="0"/>
                  </w:tcBorders>
                  <w:noWrap w:val="0"/>
                  <w:vAlign w:val="center"/>
                </w:tcPr>
                <w:p>
                  <w:pPr>
                    <w:keepNext w:val="0"/>
                    <w:keepLines w:val="0"/>
                    <w:pageBreakBefore w:val="0"/>
                    <w:wordWrap/>
                    <w:overflowPunct/>
                    <w:topLinePunct w:val="0"/>
                    <w:bidi w:val="0"/>
                    <w:spacing w:before="0" w:beforeLines="0" w:after="0" w:afterLines="0" w:line="240" w:lineRule="auto"/>
                    <w:jc w:val="center"/>
                    <w:rPr>
                      <w:rFonts w:hint="default" w:ascii="Times New Roman" w:hAnsi="Times New Roman" w:cs="Times New Roman"/>
                      <w:sz w:val="21"/>
                      <w:szCs w:val="21"/>
                    </w:rPr>
                  </w:pPr>
                </w:p>
              </w:tc>
              <w:tc>
                <w:tcPr>
                  <w:tcW w:w="1059" w:type="dxa"/>
                  <w:gridSpan w:val="2"/>
                  <w:vMerge w:val="restart"/>
                  <w:tcBorders>
                    <w:top w:val="nil"/>
                    <w:left w:val="nil"/>
                    <w:right w:val="single" w:color="auto" w:sz="4" w:space="0"/>
                  </w:tcBorders>
                  <w:noWrap w:val="0"/>
                  <w:vAlign w:val="top"/>
                </w:tcPr>
                <w:p>
                  <w:pPr>
                    <w:keepNext w:val="0"/>
                    <w:keepLines w:val="0"/>
                    <w:pageBreakBefore w:val="0"/>
                    <w:wordWrap/>
                    <w:overflowPunct/>
                    <w:topLinePunct w:val="0"/>
                    <w:bidi w:val="0"/>
                    <w:spacing w:before="0" w:beforeLines="0" w:after="0" w:afterLines="0" w:line="240" w:lineRule="auto"/>
                    <w:jc w:val="center"/>
                    <w:rPr>
                      <w:rFonts w:hint="default" w:ascii="Times New Roman" w:hAnsi="Times New Roman" w:cs="Times New Roman"/>
                      <w:sz w:val="21"/>
                      <w:szCs w:val="21"/>
                    </w:rPr>
                  </w:pPr>
                </w:p>
              </w:tc>
              <w:tc>
                <w:tcPr>
                  <w:tcW w:w="426" w:type="dxa"/>
                  <w:tcBorders>
                    <w:top w:val="single" w:color="auto" w:sz="4" w:space="0"/>
                    <w:left w:val="nil"/>
                    <w:bottom w:val="single" w:color="auto" w:sz="4" w:space="0"/>
                    <w:right w:val="single" w:color="auto" w:sz="4" w:space="0"/>
                  </w:tcBorders>
                  <w:noWrap w:val="0"/>
                  <w:vAlign w:val="center"/>
                </w:tcPr>
                <w:p>
                  <w:pPr>
                    <w:pStyle w:val="37"/>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rPr>
                  </w:pPr>
                  <w:r>
                    <w:rPr>
                      <w:rStyle w:val="254"/>
                      <w:rFonts w:hint="default" w:ascii="Times New Roman" w:hAnsi="Times New Roman" w:eastAsia="宋体" w:cs="Times New Roman"/>
                      <w:color w:val="000000"/>
                      <w:kern w:val="2"/>
                      <w:sz w:val="21"/>
                      <w:szCs w:val="21"/>
                      <w:lang w:val="en-US" w:eastAsia="zh-CN" w:bidi="ar"/>
                    </w:rPr>
                    <w:t>污染物排放管控</w:t>
                  </w:r>
                </w:p>
              </w:tc>
              <w:tc>
                <w:tcPr>
                  <w:tcW w:w="2234" w:type="dxa"/>
                  <w:tcBorders>
                    <w:top w:val="single" w:color="auto" w:sz="4" w:space="0"/>
                    <w:left w:val="nil"/>
                    <w:bottom w:val="single" w:color="auto" w:sz="4" w:space="0"/>
                    <w:right w:val="single" w:color="auto" w:sz="4" w:space="0"/>
                  </w:tcBorders>
                  <w:noWrap w:val="0"/>
                  <w:vAlign w:val="center"/>
                </w:tcPr>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现有源提标升级改造</w:t>
                  </w:r>
                </w:p>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执行乐山市城镇重点管控单元普适性总体准入要求。</w:t>
                  </w:r>
                </w:p>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新增源等量或倍量替代</w:t>
                  </w:r>
                </w:p>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执行乐山市城镇重点管控单元普适性总体准入要求。</w:t>
                  </w:r>
                </w:p>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新增源排放标准限值</w:t>
                  </w:r>
                </w:p>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污染物排放绩效水平准入要求</w:t>
                  </w:r>
                </w:p>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执行乐山市城镇重点管控单元普适性总体准入要求。</w:t>
                  </w:r>
                </w:p>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其他污染物排放管控要求</w:t>
                  </w:r>
                </w:p>
              </w:tc>
              <w:tc>
                <w:tcPr>
                  <w:tcW w:w="2425" w:type="dxa"/>
                  <w:tcBorders>
                    <w:top w:val="single" w:color="auto" w:sz="4" w:space="0"/>
                    <w:left w:val="nil"/>
                    <w:bottom w:val="single" w:color="auto" w:sz="4" w:space="0"/>
                    <w:right w:val="single" w:color="auto" w:sz="4" w:space="0"/>
                  </w:tcBorders>
                  <w:noWrap w:val="0"/>
                  <w:vAlign w:val="center"/>
                </w:tcPr>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Style w:val="254"/>
                      <w:rFonts w:hint="default" w:ascii="Times New Roman" w:hAnsi="Times New Roman" w:eastAsia="宋体" w:cs="Times New Roman"/>
                      <w:color w:val="000000"/>
                      <w:kern w:val="2"/>
                      <w:sz w:val="21"/>
                      <w:szCs w:val="21"/>
                      <w:shd w:val="clear" w:color="auto" w:fill="FFFFFF"/>
                      <w:lang w:val="en-US" w:eastAsia="zh-CN" w:bidi="ar"/>
                    </w:rPr>
                  </w:pPr>
                  <w:r>
                    <w:rPr>
                      <w:rStyle w:val="254"/>
                      <w:rFonts w:hint="default" w:ascii="Times New Roman" w:hAnsi="Times New Roman" w:eastAsia="宋体" w:cs="Times New Roman"/>
                      <w:color w:val="000000"/>
                      <w:kern w:val="2"/>
                      <w:sz w:val="21"/>
                      <w:szCs w:val="21"/>
                      <w:shd w:val="clear" w:color="auto" w:fill="FFFFFF"/>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0" w:type="dxa"/>
                  <w:gridSpan w:val="2"/>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ordWrap/>
                    <w:overflowPunct/>
                    <w:topLinePunct w:val="0"/>
                    <w:bidi w:val="0"/>
                    <w:spacing w:before="0" w:beforeLines="0" w:after="0" w:afterLines="0" w:line="240" w:lineRule="auto"/>
                    <w:jc w:val="center"/>
                    <w:rPr>
                      <w:rFonts w:hint="default" w:ascii="Times New Roman" w:hAnsi="Times New Roman" w:cs="Times New Roman"/>
                      <w:sz w:val="21"/>
                      <w:szCs w:val="21"/>
                    </w:rPr>
                  </w:pPr>
                </w:p>
              </w:tc>
              <w:tc>
                <w:tcPr>
                  <w:tcW w:w="874" w:type="dxa"/>
                  <w:vMerge w:val="continue"/>
                  <w:tcBorders>
                    <w:top w:val="nil"/>
                    <w:left w:val="nil"/>
                    <w:bottom w:val="single" w:color="auto" w:sz="4" w:space="0"/>
                    <w:right w:val="single" w:color="auto" w:sz="4" w:space="0"/>
                  </w:tcBorders>
                  <w:noWrap w:val="0"/>
                  <w:vAlign w:val="center"/>
                </w:tcPr>
                <w:p>
                  <w:pPr>
                    <w:keepNext w:val="0"/>
                    <w:keepLines w:val="0"/>
                    <w:pageBreakBefore w:val="0"/>
                    <w:wordWrap/>
                    <w:overflowPunct/>
                    <w:topLinePunct w:val="0"/>
                    <w:bidi w:val="0"/>
                    <w:spacing w:before="0" w:beforeLines="0" w:after="0" w:afterLines="0" w:line="240" w:lineRule="auto"/>
                    <w:jc w:val="center"/>
                    <w:rPr>
                      <w:rFonts w:hint="default" w:ascii="Times New Roman" w:hAnsi="Times New Roman" w:cs="Times New Roman"/>
                      <w:sz w:val="21"/>
                      <w:szCs w:val="21"/>
                    </w:rPr>
                  </w:pPr>
                </w:p>
              </w:tc>
              <w:tc>
                <w:tcPr>
                  <w:tcW w:w="1059" w:type="dxa"/>
                  <w:gridSpan w:val="2"/>
                  <w:vMerge w:val="continue"/>
                  <w:tcBorders>
                    <w:top w:val="nil"/>
                    <w:left w:val="nil"/>
                    <w:bottom w:val="single" w:color="auto" w:sz="4" w:space="0"/>
                    <w:right w:val="single" w:color="auto" w:sz="4" w:space="0"/>
                  </w:tcBorders>
                  <w:noWrap w:val="0"/>
                  <w:vAlign w:val="top"/>
                </w:tcPr>
                <w:p>
                  <w:pPr>
                    <w:keepNext w:val="0"/>
                    <w:keepLines w:val="0"/>
                    <w:pageBreakBefore w:val="0"/>
                    <w:wordWrap/>
                    <w:overflowPunct/>
                    <w:topLinePunct w:val="0"/>
                    <w:bidi w:val="0"/>
                    <w:spacing w:before="0" w:beforeLines="0" w:after="0" w:afterLines="0" w:line="240" w:lineRule="auto"/>
                    <w:jc w:val="center"/>
                    <w:rPr>
                      <w:rFonts w:hint="default" w:ascii="Times New Roman" w:hAnsi="Times New Roman" w:cs="Times New Roman"/>
                      <w:sz w:val="21"/>
                      <w:szCs w:val="21"/>
                    </w:rPr>
                  </w:pPr>
                </w:p>
              </w:tc>
              <w:tc>
                <w:tcPr>
                  <w:tcW w:w="426" w:type="dxa"/>
                  <w:tcBorders>
                    <w:top w:val="single" w:color="auto" w:sz="4" w:space="0"/>
                    <w:left w:val="nil"/>
                    <w:bottom w:val="single" w:color="auto" w:sz="4" w:space="0"/>
                    <w:right w:val="single" w:color="auto" w:sz="4" w:space="0"/>
                  </w:tcBorders>
                  <w:noWrap w:val="0"/>
                  <w:vAlign w:val="center"/>
                </w:tcPr>
                <w:p>
                  <w:pPr>
                    <w:pStyle w:val="37"/>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rPr>
                  </w:pPr>
                  <w:r>
                    <w:rPr>
                      <w:rStyle w:val="254"/>
                      <w:rFonts w:hint="default" w:ascii="Times New Roman" w:hAnsi="Times New Roman" w:eastAsia="宋体" w:cs="Times New Roman"/>
                      <w:color w:val="000000"/>
                      <w:kern w:val="2"/>
                      <w:sz w:val="21"/>
                      <w:szCs w:val="21"/>
                      <w:lang w:val="en-US" w:eastAsia="zh-CN" w:bidi="ar"/>
                    </w:rPr>
                    <w:t>环境风险防控</w:t>
                  </w:r>
                </w:p>
              </w:tc>
              <w:tc>
                <w:tcPr>
                  <w:tcW w:w="2234" w:type="dxa"/>
                  <w:tcBorders>
                    <w:top w:val="single" w:color="auto" w:sz="4" w:space="0"/>
                    <w:left w:val="nil"/>
                    <w:bottom w:val="single" w:color="auto" w:sz="4" w:space="0"/>
                    <w:right w:val="single" w:color="auto" w:sz="4" w:space="0"/>
                  </w:tcBorders>
                  <w:noWrap w:val="0"/>
                  <w:vAlign w:val="center"/>
                </w:tcPr>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严格管控类农用地管控要求</w:t>
                  </w:r>
                </w:p>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安全利用类农用地管控要求</w:t>
                  </w:r>
                </w:p>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污染地块管控要求</w:t>
                  </w:r>
                </w:p>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园区环境风险防控要求</w:t>
                  </w:r>
                </w:p>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企业环境风险防控要求</w:t>
                  </w:r>
                </w:p>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1、加强涉危涉化企业管控，严控环境风险；2、其他执行乐山市城镇重点管控单元普适性总体准入要求。</w:t>
                  </w:r>
                </w:p>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其他环境风险防控要求</w:t>
                  </w:r>
                </w:p>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执行乐山市城镇重点管控单元普适性总体准入要求。</w:t>
                  </w:r>
                </w:p>
              </w:tc>
              <w:tc>
                <w:tcPr>
                  <w:tcW w:w="2425" w:type="dxa"/>
                  <w:tcBorders>
                    <w:top w:val="single" w:color="auto" w:sz="4" w:space="0"/>
                    <w:left w:val="nil"/>
                    <w:bottom w:val="single" w:color="auto" w:sz="4" w:space="0"/>
                    <w:right w:val="single" w:color="auto" w:sz="4" w:space="0"/>
                  </w:tcBorders>
                  <w:noWrap w:val="0"/>
                  <w:vAlign w:val="center"/>
                </w:tcPr>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Style w:val="254"/>
                      <w:rFonts w:hint="default" w:ascii="Times New Roman" w:hAnsi="Times New Roman" w:eastAsia="宋体" w:cs="Times New Roman"/>
                      <w:color w:val="000000"/>
                      <w:kern w:val="2"/>
                      <w:sz w:val="21"/>
                      <w:szCs w:val="21"/>
                      <w:shd w:val="clear" w:color="auto" w:fill="FFFFFF"/>
                      <w:lang w:val="en-US" w:eastAsia="zh-CN" w:bidi="ar"/>
                    </w:rPr>
                  </w:pPr>
                  <w:r>
                    <w:rPr>
                      <w:rStyle w:val="254"/>
                      <w:rFonts w:hint="default" w:ascii="Times New Roman" w:hAnsi="Times New Roman" w:eastAsia="宋体" w:cs="Times New Roman"/>
                      <w:color w:val="000000"/>
                      <w:kern w:val="2"/>
                      <w:sz w:val="21"/>
                      <w:szCs w:val="21"/>
                      <w:shd w:val="clear" w:color="auto" w:fill="FFFFFF"/>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0" w:type="dxa"/>
                  <w:gridSpan w:val="2"/>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ordWrap/>
                    <w:overflowPunct/>
                    <w:topLinePunct w:val="0"/>
                    <w:bidi w:val="0"/>
                    <w:spacing w:before="0" w:beforeLines="0" w:after="0" w:afterLines="0" w:line="240" w:lineRule="auto"/>
                    <w:jc w:val="center"/>
                    <w:rPr>
                      <w:rFonts w:hint="default" w:ascii="Times New Roman" w:hAnsi="Times New Roman" w:cs="Times New Roman"/>
                      <w:sz w:val="21"/>
                      <w:szCs w:val="21"/>
                    </w:rPr>
                  </w:pPr>
                </w:p>
              </w:tc>
              <w:tc>
                <w:tcPr>
                  <w:tcW w:w="874" w:type="dxa"/>
                  <w:vMerge w:val="continue"/>
                  <w:tcBorders>
                    <w:top w:val="nil"/>
                    <w:left w:val="nil"/>
                    <w:bottom w:val="single" w:color="auto" w:sz="4" w:space="0"/>
                    <w:right w:val="single" w:color="auto" w:sz="4" w:space="0"/>
                  </w:tcBorders>
                  <w:noWrap w:val="0"/>
                  <w:vAlign w:val="center"/>
                </w:tcPr>
                <w:p>
                  <w:pPr>
                    <w:keepNext w:val="0"/>
                    <w:keepLines w:val="0"/>
                    <w:pageBreakBefore w:val="0"/>
                    <w:wordWrap/>
                    <w:overflowPunct/>
                    <w:topLinePunct w:val="0"/>
                    <w:bidi w:val="0"/>
                    <w:spacing w:before="0" w:beforeLines="0" w:after="0" w:afterLines="0" w:line="240" w:lineRule="auto"/>
                    <w:jc w:val="center"/>
                    <w:rPr>
                      <w:rFonts w:hint="default" w:ascii="Times New Roman" w:hAnsi="Times New Roman" w:cs="Times New Roman"/>
                      <w:sz w:val="21"/>
                      <w:szCs w:val="21"/>
                    </w:rPr>
                  </w:pPr>
                </w:p>
              </w:tc>
              <w:tc>
                <w:tcPr>
                  <w:tcW w:w="1059" w:type="dxa"/>
                  <w:gridSpan w:val="2"/>
                  <w:vMerge w:val="continue"/>
                  <w:tcBorders>
                    <w:top w:val="nil"/>
                    <w:left w:val="nil"/>
                    <w:bottom w:val="single" w:color="auto" w:sz="4" w:space="0"/>
                    <w:right w:val="single" w:color="auto" w:sz="4" w:space="0"/>
                  </w:tcBorders>
                  <w:noWrap w:val="0"/>
                  <w:vAlign w:val="top"/>
                </w:tcPr>
                <w:p>
                  <w:pPr>
                    <w:keepNext w:val="0"/>
                    <w:keepLines w:val="0"/>
                    <w:pageBreakBefore w:val="0"/>
                    <w:wordWrap/>
                    <w:overflowPunct/>
                    <w:topLinePunct w:val="0"/>
                    <w:bidi w:val="0"/>
                    <w:spacing w:before="0" w:beforeLines="0" w:after="0" w:afterLines="0" w:line="240" w:lineRule="auto"/>
                    <w:jc w:val="center"/>
                    <w:rPr>
                      <w:rFonts w:hint="default" w:ascii="Times New Roman" w:hAnsi="Times New Roman" w:cs="Times New Roman"/>
                      <w:sz w:val="21"/>
                      <w:szCs w:val="21"/>
                    </w:rPr>
                  </w:pPr>
                </w:p>
              </w:tc>
              <w:tc>
                <w:tcPr>
                  <w:tcW w:w="426" w:type="dxa"/>
                  <w:tcBorders>
                    <w:top w:val="single" w:color="auto" w:sz="4" w:space="0"/>
                    <w:left w:val="nil"/>
                    <w:bottom w:val="single" w:color="auto" w:sz="4" w:space="0"/>
                    <w:right w:val="single" w:color="auto" w:sz="4" w:space="0"/>
                  </w:tcBorders>
                  <w:noWrap w:val="0"/>
                  <w:vAlign w:val="center"/>
                </w:tcPr>
                <w:p>
                  <w:pPr>
                    <w:pStyle w:val="37"/>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rPr>
                  </w:pPr>
                  <w:r>
                    <w:rPr>
                      <w:rStyle w:val="254"/>
                      <w:rFonts w:hint="default" w:ascii="Times New Roman" w:hAnsi="Times New Roman" w:eastAsia="宋体" w:cs="Times New Roman"/>
                      <w:color w:val="000000"/>
                      <w:kern w:val="2"/>
                      <w:sz w:val="21"/>
                      <w:szCs w:val="21"/>
                      <w:lang w:val="en-US" w:eastAsia="zh-CN" w:bidi="ar"/>
                    </w:rPr>
                    <w:t>资源开发效率要求</w:t>
                  </w:r>
                </w:p>
              </w:tc>
              <w:tc>
                <w:tcPr>
                  <w:tcW w:w="2234" w:type="dxa"/>
                  <w:tcBorders>
                    <w:top w:val="single" w:color="auto" w:sz="4" w:space="0"/>
                    <w:left w:val="nil"/>
                    <w:bottom w:val="single" w:color="auto" w:sz="4" w:space="0"/>
                    <w:right w:val="single" w:color="auto" w:sz="4" w:space="0"/>
                  </w:tcBorders>
                  <w:noWrap w:val="0"/>
                  <w:vAlign w:val="center"/>
                </w:tcPr>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水资源利用效率要求</w:t>
                  </w:r>
                </w:p>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执行乐山市城镇重点管控单元普适性总体准入要求。</w:t>
                  </w:r>
                </w:p>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地下水开采要求</w:t>
                  </w:r>
                </w:p>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能源利用效率要求</w:t>
                  </w:r>
                </w:p>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1、禁燃区内禁止审批（核准、备案）、新建、扩建燃用高污染燃料的锅炉、炉窑等各类燃用高污染燃料的设施；2、其他执行乐山市城镇重点管控单元普适性总体准入要求。</w:t>
                  </w:r>
                </w:p>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其他资源利用效率要求</w:t>
                  </w:r>
                </w:p>
              </w:tc>
              <w:tc>
                <w:tcPr>
                  <w:tcW w:w="2425" w:type="dxa"/>
                  <w:tcBorders>
                    <w:top w:val="single" w:color="auto" w:sz="4" w:space="0"/>
                    <w:left w:val="nil"/>
                    <w:bottom w:val="single" w:color="auto" w:sz="4" w:space="0"/>
                    <w:right w:val="single" w:color="auto" w:sz="4" w:space="0"/>
                  </w:tcBorders>
                  <w:noWrap w:val="0"/>
                  <w:vAlign w:val="center"/>
                </w:tcPr>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Style w:val="254"/>
                      <w:rFonts w:hint="default" w:ascii="Times New Roman" w:hAnsi="Times New Roman" w:eastAsia="宋体" w:cs="Times New Roman"/>
                      <w:color w:val="000000"/>
                      <w:kern w:val="2"/>
                      <w:sz w:val="21"/>
                      <w:szCs w:val="21"/>
                      <w:shd w:val="clear" w:color="auto" w:fill="FFFFFF"/>
                      <w:lang w:val="en-US" w:eastAsia="zh-CN" w:bidi="ar"/>
                    </w:rPr>
                  </w:pPr>
                  <w:r>
                    <w:rPr>
                      <w:rStyle w:val="254"/>
                      <w:rFonts w:hint="default" w:ascii="Times New Roman" w:hAnsi="Times New Roman" w:eastAsia="宋体" w:cs="Times New Roman"/>
                      <w:color w:val="000000"/>
                      <w:kern w:val="2"/>
                      <w:sz w:val="21"/>
                      <w:szCs w:val="21"/>
                      <w:shd w:val="clear" w:color="auto" w:fill="FFFFFF"/>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0" w:type="dxa"/>
                  <w:gridSpan w:val="2"/>
                  <w:vMerge w:val="restart"/>
                  <w:tcBorders>
                    <w:top w:val="nil"/>
                    <w:left w:val="single" w:color="auto" w:sz="4" w:space="0"/>
                    <w:bottom w:val="single" w:color="auto" w:sz="4" w:space="0"/>
                    <w:right w:val="single" w:color="auto" w:sz="4" w:space="0"/>
                  </w:tcBorders>
                  <w:noWrap w:val="0"/>
                  <w:vAlign w:val="center"/>
                </w:tcPr>
                <w:p>
                  <w:pPr>
                    <w:pStyle w:val="37"/>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rPr>
                  </w:pPr>
                  <w:r>
                    <w:rPr>
                      <w:rStyle w:val="254"/>
                      <w:rFonts w:hint="default" w:ascii="Times New Roman" w:hAnsi="Times New Roman" w:eastAsia="宋体" w:cs="Times New Roman"/>
                      <w:color w:val="000000"/>
                      <w:kern w:val="2"/>
                      <w:sz w:val="21"/>
                      <w:szCs w:val="21"/>
                      <w:lang w:val="en-US" w:eastAsia="zh-CN" w:bidi="ar"/>
                    </w:rPr>
                    <w:t>YS5111022220012</w:t>
                  </w:r>
                </w:p>
              </w:tc>
              <w:tc>
                <w:tcPr>
                  <w:tcW w:w="874" w:type="dxa"/>
                  <w:vMerge w:val="restart"/>
                  <w:tcBorders>
                    <w:top w:val="nil"/>
                    <w:left w:val="nil"/>
                    <w:bottom w:val="single" w:color="auto" w:sz="4" w:space="0"/>
                    <w:right w:val="single" w:color="auto" w:sz="4" w:space="0"/>
                  </w:tcBorders>
                  <w:noWrap w:val="0"/>
                  <w:vAlign w:val="center"/>
                </w:tcPr>
                <w:p>
                  <w:pPr>
                    <w:pStyle w:val="37"/>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rPr>
                  </w:pPr>
                  <w:r>
                    <w:rPr>
                      <w:rStyle w:val="254"/>
                      <w:rFonts w:hint="default" w:ascii="Times New Roman" w:hAnsi="Times New Roman" w:eastAsia="宋体" w:cs="Times New Roman"/>
                      <w:color w:val="000000"/>
                      <w:kern w:val="2"/>
                      <w:sz w:val="21"/>
                      <w:szCs w:val="21"/>
                      <w:lang w:val="en-US" w:eastAsia="zh-CN" w:bidi="ar"/>
                    </w:rPr>
                    <w:t>大渡河市中区李码头控制单元</w:t>
                  </w:r>
                </w:p>
              </w:tc>
              <w:tc>
                <w:tcPr>
                  <w:tcW w:w="1059" w:type="dxa"/>
                  <w:gridSpan w:val="2"/>
                  <w:vMerge w:val="restart"/>
                  <w:tcBorders>
                    <w:top w:val="nil"/>
                    <w:left w:val="nil"/>
                    <w:bottom w:val="single" w:color="auto" w:sz="4" w:space="0"/>
                    <w:right w:val="single" w:color="auto" w:sz="4" w:space="0"/>
                  </w:tcBorders>
                  <w:noWrap w:val="0"/>
                  <w:vAlign w:val="top"/>
                </w:tcPr>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空间布局约束：</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禁止开发建设活动的要求</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暂无</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限制开发建设活动的要求</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暂无</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不符合空间布局要求活动的退出要求</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暂无</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其他空间布局约束要求</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暂无</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污染物排放管控：</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允许排放量要求</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暂无</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现有源提标升级改造</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暂无</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其他污染物排放管控要求</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暂无</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环境风险防控：</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联防联控要求</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暂无</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其他环境风险防控要求</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暂无</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资源开发利用效率要求：</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水资源利用总量要求</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暂无</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地下水开采要求</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暂无</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能源利用总量及效率要求</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暂无</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禁燃区要求</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暂无</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其他资源利用效率要求</w:t>
                  </w:r>
                </w:p>
                <w:p>
                  <w:pPr>
                    <w:pStyle w:val="37"/>
                    <w:keepNext w:val="0"/>
                    <w:keepLines w:val="0"/>
                    <w:pageBreakBefore w:val="0"/>
                    <w:widowControl w:val="0"/>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0"/>
                      <w:sz w:val="21"/>
                      <w:szCs w:val="21"/>
                    </w:rPr>
                  </w:pPr>
                  <w:r>
                    <w:rPr>
                      <w:rStyle w:val="254"/>
                      <w:rFonts w:hint="default" w:ascii="Times New Roman" w:hAnsi="Times New Roman" w:eastAsia="宋体" w:cs="Times New Roman"/>
                      <w:color w:val="000000"/>
                      <w:kern w:val="0"/>
                      <w:sz w:val="21"/>
                      <w:szCs w:val="21"/>
                      <w:lang w:val="en-US" w:eastAsia="zh-CN" w:bidi="ar"/>
                    </w:rPr>
                    <w:t>暂无</w:t>
                  </w:r>
                </w:p>
              </w:tc>
              <w:tc>
                <w:tcPr>
                  <w:tcW w:w="426" w:type="dxa"/>
                  <w:tcBorders>
                    <w:top w:val="single" w:color="auto" w:sz="4" w:space="0"/>
                    <w:left w:val="nil"/>
                    <w:bottom w:val="single" w:color="auto" w:sz="4" w:space="0"/>
                    <w:right w:val="single" w:color="auto" w:sz="4" w:space="0"/>
                  </w:tcBorders>
                  <w:noWrap w:val="0"/>
                  <w:vAlign w:val="center"/>
                </w:tcPr>
                <w:p>
                  <w:pPr>
                    <w:pStyle w:val="37"/>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rPr>
                  </w:pPr>
                  <w:r>
                    <w:rPr>
                      <w:rStyle w:val="254"/>
                      <w:rFonts w:hint="default" w:ascii="Times New Roman" w:hAnsi="Times New Roman" w:eastAsia="宋体" w:cs="Times New Roman"/>
                      <w:color w:val="000000"/>
                      <w:kern w:val="2"/>
                      <w:sz w:val="21"/>
                      <w:szCs w:val="21"/>
                      <w:lang w:val="en-US" w:eastAsia="zh-CN" w:bidi="ar"/>
                    </w:rPr>
                    <w:t>空间布局约束</w:t>
                  </w:r>
                </w:p>
              </w:tc>
              <w:tc>
                <w:tcPr>
                  <w:tcW w:w="2234" w:type="dxa"/>
                  <w:tcBorders>
                    <w:top w:val="single" w:color="auto" w:sz="4" w:space="0"/>
                    <w:left w:val="nil"/>
                    <w:bottom w:val="single" w:color="auto" w:sz="4" w:space="0"/>
                    <w:right w:val="single" w:color="auto" w:sz="4" w:space="0"/>
                  </w:tcBorders>
                  <w:noWrap w:val="0"/>
                  <w:vAlign w:val="center"/>
                </w:tcPr>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禁止开发建设活动的要求</w:t>
                  </w:r>
                </w:p>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限制开发建设活动的要求</w:t>
                  </w:r>
                </w:p>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允许开发建设活动的要求</w:t>
                  </w:r>
                </w:p>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不符合空间布局要求活动的退出要求</w:t>
                  </w:r>
                </w:p>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其他空间布局约束要求</w:t>
                  </w:r>
                </w:p>
              </w:tc>
              <w:tc>
                <w:tcPr>
                  <w:tcW w:w="2425" w:type="dxa"/>
                  <w:tcBorders>
                    <w:top w:val="single" w:color="auto" w:sz="4" w:space="0"/>
                    <w:left w:val="nil"/>
                    <w:bottom w:val="single" w:color="auto" w:sz="4" w:space="0"/>
                    <w:right w:val="single" w:color="auto" w:sz="4" w:space="0"/>
                  </w:tcBorders>
                  <w:noWrap w:val="0"/>
                  <w:vAlign w:val="center"/>
                </w:tcPr>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Style w:val="254"/>
                      <w:rFonts w:hint="default" w:ascii="Times New Roman" w:hAnsi="Times New Roman" w:eastAsia="宋体" w:cs="Times New Roman"/>
                      <w:color w:val="000000"/>
                      <w:kern w:val="2"/>
                      <w:sz w:val="21"/>
                      <w:szCs w:val="21"/>
                      <w:shd w:val="clear" w:color="auto" w:fill="FFFFFF"/>
                      <w:lang w:val="en-US" w:eastAsia="zh-CN" w:bidi="ar"/>
                    </w:rPr>
                  </w:pPr>
                  <w:r>
                    <w:rPr>
                      <w:rStyle w:val="254"/>
                      <w:rFonts w:hint="default" w:ascii="Times New Roman" w:hAnsi="Times New Roman" w:eastAsia="宋体" w:cs="Times New Roman"/>
                      <w:color w:val="000000"/>
                      <w:kern w:val="2"/>
                      <w:sz w:val="21"/>
                      <w:szCs w:val="21"/>
                      <w:shd w:val="clear" w:color="auto" w:fill="FFFFFF"/>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30" w:type="dxa"/>
                  <w:gridSpan w:val="2"/>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ordWrap/>
                    <w:overflowPunct/>
                    <w:topLinePunct w:val="0"/>
                    <w:bidi w:val="0"/>
                    <w:spacing w:before="0" w:beforeLines="0" w:after="0" w:afterLines="0" w:line="240" w:lineRule="auto"/>
                    <w:jc w:val="center"/>
                    <w:rPr>
                      <w:rFonts w:hint="default" w:ascii="Times New Roman" w:hAnsi="Times New Roman" w:cs="Times New Roman"/>
                      <w:sz w:val="21"/>
                      <w:szCs w:val="21"/>
                    </w:rPr>
                  </w:pPr>
                </w:p>
              </w:tc>
              <w:tc>
                <w:tcPr>
                  <w:tcW w:w="874" w:type="dxa"/>
                  <w:vMerge w:val="continue"/>
                  <w:tcBorders>
                    <w:top w:val="nil"/>
                    <w:left w:val="nil"/>
                    <w:bottom w:val="single" w:color="auto" w:sz="4" w:space="0"/>
                    <w:right w:val="single" w:color="auto" w:sz="4" w:space="0"/>
                  </w:tcBorders>
                  <w:noWrap w:val="0"/>
                  <w:vAlign w:val="center"/>
                </w:tcPr>
                <w:p>
                  <w:pPr>
                    <w:keepNext w:val="0"/>
                    <w:keepLines w:val="0"/>
                    <w:pageBreakBefore w:val="0"/>
                    <w:wordWrap/>
                    <w:overflowPunct/>
                    <w:topLinePunct w:val="0"/>
                    <w:bidi w:val="0"/>
                    <w:spacing w:before="0" w:beforeLines="0" w:after="0" w:afterLines="0" w:line="240" w:lineRule="auto"/>
                    <w:jc w:val="center"/>
                    <w:rPr>
                      <w:rFonts w:hint="default" w:ascii="Times New Roman" w:hAnsi="Times New Roman" w:cs="Times New Roman"/>
                      <w:sz w:val="21"/>
                      <w:szCs w:val="21"/>
                    </w:rPr>
                  </w:pPr>
                </w:p>
              </w:tc>
              <w:tc>
                <w:tcPr>
                  <w:tcW w:w="1059" w:type="dxa"/>
                  <w:gridSpan w:val="2"/>
                  <w:vMerge w:val="continue"/>
                  <w:tcBorders>
                    <w:top w:val="nil"/>
                    <w:left w:val="nil"/>
                    <w:bottom w:val="single" w:color="auto" w:sz="4" w:space="0"/>
                    <w:right w:val="single" w:color="auto" w:sz="4" w:space="0"/>
                  </w:tcBorders>
                  <w:noWrap w:val="0"/>
                  <w:vAlign w:val="top"/>
                </w:tcPr>
                <w:p>
                  <w:pPr>
                    <w:keepNext w:val="0"/>
                    <w:keepLines w:val="0"/>
                    <w:pageBreakBefore w:val="0"/>
                    <w:wordWrap/>
                    <w:overflowPunct/>
                    <w:topLinePunct w:val="0"/>
                    <w:bidi w:val="0"/>
                    <w:spacing w:before="0" w:beforeLines="0" w:after="0" w:afterLines="0" w:line="240" w:lineRule="auto"/>
                    <w:jc w:val="center"/>
                    <w:rPr>
                      <w:rFonts w:hint="default" w:ascii="Times New Roman" w:hAnsi="Times New Roman" w:cs="Times New Roman"/>
                      <w:sz w:val="21"/>
                      <w:szCs w:val="21"/>
                    </w:rPr>
                  </w:pPr>
                </w:p>
              </w:tc>
              <w:tc>
                <w:tcPr>
                  <w:tcW w:w="426" w:type="dxa"/>
                  <w:tcBorders>
                    <w:top w:val="single" w:color="auto" w:sz="4" w:space="0"/>
                    <w:left w:val="nil"/>
                    <w:bottom w:val="single" w:color="auto" w:sz="4" w:space="0"/>
                    <w:right w:val="single" w:color="auto" w:sz="4" w:space="0"/>
                  </w:tcBorders>
                  <w:noWrap w:val="0"/>
                  <w:vAlign w:val="center"/>
                </w:tcPr>
                <w:p>
                  <w:pPr>
                    <w:pStyle w:val="37"/>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rPr>
                  </w:pPr>
                  <w:r>
                    <w:rPr>
                      <w:rStyle w:val="254"/>
                      <w:rFonts w:hint="default" w:ascii="Times New Roman" w:hAnsi="Times New Roman" w:eastAsia="宋体" w:cs="Times New Roman"/>
                      <w:color w:val="000000"/>
                      <w:kern w:val="2"/>
                      <w:sz w:val="21"/>
                      <w:szCs w:val="21"/>
                      <w:lang w:val="en-US" w:eastAsia="zh-CN" w:bidi="ar"/>
                    </w:rPr>
                    <w:t>污染物排放管控</w:t>
                  </w:r>
                </w:p>
              </w:tc>
              <w:tc>
                <w:tcPr>
                  <w:tcW w:w="2234" w:type="dxa"/>
                  <w:tcBorders>
                    <w:top w:val="single" w:color="auto" w:sz="4" w:space="0"/>
                    <w:left w:val="nil"/>
                    <w:bottom w:val="single" w:color="auto" w:sz="4" w:space="0"/>
                    <w:right w:val="single" w:color="auto" w:sz="4" w:space="0"/>
                  </w:tcBorders>
                  <w:noWrap w:val="0"/>
                  <w:vAlign w:val="center"/>
                </w:tcPr>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城镇污水污染控制措施要求</w:t>
                  </w:r>
                </w:p>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强化生活污水治理。目前乐山市城镇生活污水处理设施基本实现了全覆盖，需进一步加强配套收集管网工程建设，逐步提高城镇生活污水收集能力，确保已建成的城镇生活污水处理设施正常运营。推进城镇生活污水处理提质增效，健全乐山市市政排水管网定期排查检测制度，建立完善市政排水管网地理信息系统，因地制宜开展合流制排水系统雨污分流改造。强化生活垃圾收集处理，推广生活垃圾分类收集处理，从源头减少处理处置量。</w:t>
                  </w:r>
                </w:p>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工业废水污染控制措施要求</w:t>
                  </w:r>
                </w:p>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农业面源水污染控制措施要求</w:t>
                  </w:r>
                </w:p>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船舶港口水污染控制措施要求</w:t>
                  </w:r>
                </w:p>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饮用水水源和其它特殊水体保护要求</w:t>
                  </w:r>
                </w:p>
              </w:tc>
              <w:tc>
                <w:tcPr>
                  <w:tcW w:w="2425" w:type="dxa"/>
                  <w:tcBorders>
                    <w:top w:val="single" w:color="auto" w:sz="4" w:space="0"/>
                    <w:left w:val="nil"/>
                    <w:bottom w:val="single" w:color="auto" w:sz="4" w:space="0"/>
                    <w:right w:val="single" w:color="auto" w:sz="4" w:space="0"/>
                  </w:tcBorders>
                  <w:noWrap w:val="0"/>
                  <w:vAlign w:val="center"/>
                </w:tcPr>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Style w:val="254"/>
                      <w:rFonts w:hint="default" w:ascii="Times New Roman" w:hAnsi="Times New Roman" w:eastAsia="宋体" w:cs="Times New Roman"/>
                      <w:color w:val="000000"/>
                      <w:kern w:val="2"/>
                      <w:sz w:val="21"/>
                      <w:szCs w:val="21"/>
                      <w:shd w:val="clear" w:color="auto" w:fill="FFFFFF"/>
                      <w:lang w:val="en-US" w:eastAsia="zh-CN" w:bidi="ar"/>
                    </w:rPr>
                  </w:pPr>
                  <w:r>
                    <w:rPr>
                      <w:rStyle w:val="254"/>
                      <w:rFonts w:hint="default" w:ascii="Times New Roman" w:hAnsi="Times New Roman" w:eastAsia="宋体" w:cs="Times New Roman"/>
                      <w:color w:val="000000"/>
                      <w:kern w:val="2"/>
                      <w:sz w:val="21"/>
                      <w:szCs w:val="21"/>
                      <w:shd w:val="clear" w:color="auto" w:fill="FFFFFF"/>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30" w:type="dxa"/>
                  <w:gridSpan w:val="2"/>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ordWrap/>
                    <w:overflowPunct/>
                    <w:topLinePunct w:val="0"/>
                    <w:bidi w:val="0"/>
                    <w:spacing w:before="0" w:beforeLines="0" w:after="0" w:afterLines="0" w:line="240" w:lineRule="auto"/>
                    <w:jc w:val="center"/>
                    <w:rPr>
                      <w:rFonts w:hint="default" w:ascii="Times New Roman" w:hAnsi="Times New Roman" w:cs="Times New Roman"/>
                      <w:sz w:val="21"/>
                      <w:szCs w:val="21"/>
                    </w:rPr>
                  </w:pPr>
                </w:p>
              </w:tc>
              <w:tc>
                <w:tcPr>
                  <w:tcW w:w="874" w:type="dxa"/>
                  <w:vMerge w:val="continue"/>
                  <w:tcBorders>
                    <w:top w:val="nil"/>
                    <w:left w:val="nil"/>
                    <w:bottom w:val="single" w:color="auto" w:sz="4" w:space="0"/>
                    <w:right w:val="single" w:color="auto" w:sz="4" w:space="0"/>
                  </w:tcBorders>
                  <w:noWrap w:val="0"/>
                  <w:vAlign w:val="center"/>
                </w:tcPr>
                <w:p>
                  <w:pPr>
                    <w:keepNext w:val="0"/>
                    <w:keepLines w:val="0"/>
                    <w:pageBreakBefore w:val="0"/>
                    <w:wordWrap/>
                    <w:overflowPunct/>
                    <w:topLinePunct w:val="0"/>
                    <w:bidi w:val="0"/>
                    <w:spacing w:before="0" w:beforeLines="0" w:after="0" w:afterLines="0" w:line="240" w:lineRule="auto"/>
                    <w:jc w:val="center"/>
                    <w:rPr>
                      <w:rFonts w:hint="default" w:ascii="Times New Roman" w:hAnsi="Times New Roman" w:cs="Times New Roman"/>
                      <w:sz w:val="21"/>
                      <w:szCs w:val="21"/>
                    </w:rPr>
                  </w:pPr>
                </w:p>
              </w:tc>
              <w:tc>
                <w:tcPr>
                  <w:tcW w:w="1059" w:type="dxa"/>
                  <w:gridSpan w:val="2"/>
                  <w:vMerge w:val="continue"/>
                  <w:tcBorders>
                    <w:top w:val="nil"/>
                    <w:left w:val="nil"/>
                    <w:bottom w:val="single" w:color="auto" w:sz="4" w:space="0"/>
                    <w:right w:val="single" w:color="auto" w:sz="4" w:space="0"/>
                  </w:tcBorders>
                  <w:noWrap w:val="0"/>
                  <w:vAlign w:val="top"/>
                </w:tcPr>
                <w:p>
                  <w:pPr>
                    <w:keepNext w:val="0"/>
                    <w:keepLines w:val="0"/>
                    <w:pageBreakBefore w:val="0"/>
                    <w:wordWrap/>
                    <w:overflowPunct/>
                    <w:topLinePunct w:val="0"/>
                    <w:bidi w:val="0"/>
                    <w:spacing w:before="0" w:beforeLines="0" w:after="0" w:afterLines="0" w:line="240" w:lineRule="auto"/>
                    <w:jc w:val="center"/>
                    <w:rPr>
                      <w:rFonts w:hint="default" w:ascii="Times New Roman" w:hAnsi="Times New Roman" w:cs="Times New Roman"/>
                      <w:sz w:val="21"/>
                      <w:szCs w:val="21"/>
                    </w:rPr>
                  </w:pPr>
                </w:p>
              </w:tc>
              <w:tc>
                <w:tcPr>
                  <w:tcW w:w="426" w:type="dxa"/>
                  <w:tcBorders>
                    <w:top w:val="single" w:color="auto" w:sz="4" w:space="0"/>
                    <w:left w:val="nil"/>
                    <w:bottom w:val="single" w:color="auto" w:sz="4" w:space="0"/>
                    <w:right w:val="single" w:color="auto" w:sz="4" w:space="0"/>
                  </w:tcBorders>
                  <w:noWrap w:val="0"/>
                  <w:vAlign w:val="center"/>
                </w:tcPr>
                <w:p>
                  <w:pPr>
                    <w:pStyle w:val="37"/>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rPr>
                  </w:pPr>
                  <w:r>
                    <w:rPr>
                      <w:rStyle w:val="254"/>
                      <w:rFonts w:hint="default" w:ascii="Times New Roman" w:hAnsi="Times New Roman" w:eastAsia="宋体" w:cs="Times New Roman"/>
                      <w:color w:val="000000"/>
                      <w:kern w:val="2"/>
                      <w:sz w:val="21"/>
                      <w:szCs w:val="21"/>
                      <w:lang w:val="en-US" w:eastAsia="zh-CN" w:bidi="ar"/>
                    </w:rPr>
                    <w:t>环境风险防控</w:t>
                  </w:r>
                </w:p>
              </w:tc>
              <w:tc>
                <w:tcPr>
                  <w:tcW w:w="2234" w:type="dxa"/>
                  <w:vMerge w:val="restart"/>
                  <w:tcBorders>
                    <w:top w:val="nil"/>
                    <w:left w:val="nil"/>
                    <w:bottom w:val="single" w:color="auto" w:sz="4" w:space="0"/>
                    <w:right w:val="single" w:color="auto" w:sz="4" w:space="0"/>
                  </w:tcBorders>
                  <w:noWrap w:val="0"/>
                  <w:vAlign w:val="center"/>
                </w:tcPr>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w:t>
                  </w:r>
                </w:p>
              </w:tc>
              <w:tc>
                <w:tcPr>
                  <w:tcW w:w="2425" w:type="dxa"/>
                  <w:tcBorders>
                    <w:top w:val="nil"/>
                    <w:left w:val="nil"/>
                    <w:bottom w:val="single" w:color="auto" w:sz="4" w:space="0"/>
                    <w:right w:val="single" w:color="auto" w:sz="4" w:space="0"/>
                  </w:tcBorders>
                  <w:noWrap w:val="0"/>
                  <w:vAlign w:val="center"/>
                </w:tcPr>
                <w:p>
                  <w:pPr>
                    <w:spacing w:before="65" w:line="228" w:lineRule="auto"/>
                    <w:ind w:left="119"/>
                    <w:rPr>
                      <w:rStyle w:val="254"/>
                      <w:rFonts w:hint="default" w:ascii="Times New Roman" w:hAnsi="Times New Roman" w:eastAsia="宋体" w:cs="Times New Roman"/>
                      <w:color w:val="000000"/>
                      <w:kern w:val="2"/>
                      <w:sz w:val="21"/>
                      <w:szCs w:val="21"/>
                      <w:shd w:val="clear" w:color="auto" w:fill="FFFFFF"/>
                      <w:lang w:val="en-US" w:eastAsia="zh-CN" w:bidi="ar"/>
                    </w:rPr>
                  </w:pPr>
                  <w:r>
                    <w:rPr>
                      <w:rStyle w:val="254"/>
                      <w:rFonts w:hint="default" w:ascii="Times New Roman" w:hAnsi="Times New Roman" w:eastAsia="宋体" w:cs="Times New Roman"/>
                      <w:color w:val="000000"/>
                      <w:kern w:val="2"/>
                      <w:sz w:val="21"/>
                      <w:szCs w:val="21"/>
                      <w:shd w:val="clear" w:color="auto" w:fill="FFFFFF"/>
                      <w:lang w:val="en-US" w:eastAsia="zh-CN" w:bidi="ar"/>
                    </w:rPr>
                    <w:t>符合。</w:t>
                  </w:r>
                  <w:r>
                    <w:rPr>
                      <w:rFonts w:hint="default" w:ascii="Times New Roman" w:hAnsi="Times New Roman" w:eastAsia="宋体" w:cs="Times New Roman"/>
                      <w:spacing w:val="4"/>
                      <w:sz w:val="20"/>
                      <w:szCs w:val="20"/>
                    </w:rPr>
                    <w:t>本项</w:t>
                  </w:r>
                  <w:r>
                    <w:rPr>
                      <w:rFonts w:hint="default" w:ascii="Times New Roman" w:hAnsi="Times New Roman" w:eastAsia="宋体" w:cs="Times New Roman"/>
                      <w:spacing w:val="-16"/>
                      <w:sz w:val="20"/>
                      <w:szCs w:val="20"/>
                    </w:rPr>
                    <w:t>目</w:t>
                  </w:r>
                  <w:r>
                    <w:rPr>
                      <w:rFonts w:hint="default" w:ascii="Times New Roman" w:hAnsi="Times New Roman" w:eastAsia="宋体" w:cs="Times New Roman"/>
                      <w:spacing w:val="-15"/>
                      <w:sz w:val="20"/>
                      <w:szCs w:val="20"/>
                    </w:rPr>
                    <w:t>不</w:t>
                  </w:r>
                  <w:r>
                    <w:rPr>
                      <w:rFonts w:hint="default" w:ascii="Times New Roman" w:hAnsi="Times New Roman" w:eastAsia="宋体" w:cs="Times New Roman"/>
                      <w:spacing w:val="4"/>
                      <w:sz w:val="20"/>
                      <w:szCs w:val="20"/>
                    </w:rPr>
                    <w:t>涉</w:t>
                  </w:r>
                  <w:r>
                    <w:rPr>
                      <w:rFonts w:hint="default" w:ascii="Times New Roman" w:hAnsi="Times New Roman" w:eastAsia="宋体" w:cs="Times New Roman"/>
                      <w:spacing w:val="3"/>
                      <w:sz w:val="20"/>
                      <w:szCs w:val="20"/>
                    </w:rPr>
                    <w:t>及</w:t>
                  </w:r>
                  <w:r>
                    <w:rPr>
                      <w:rFonts w:hint="default" w:ascii="Times New Roman" w:hAnsi="Times New Roman" w:eastAsia="宋体" w:cs="Times New Roman"/>
                      <w:spacing w:val="4"/>
                      <w:sz w:val="20"/>
                      <w:szCs w:val="20"/>
                    </w:rPr>
                    <w:t>重大风险</w:t>
                  </w:r>
                  <w:r>
                    <w:rPr>
                      <w:rFonts w:hint="default" w:ascii="Times New Roman" w:hAnsi="Times New Roman" w:eastAsia="宋体" w:cs="Times New Roman"/>
                      <w:spacing w:val="1"/>
                      <w:sz w:val="20"/>
                      <w:szCs w:val="20"/>
                    </w:rPr>
                    <w:t>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30" w:type="dxa"/>
                  <w:gridSpan w:val="2"/>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ordWrap/>
                    <w:overflowPunct/>
                    <w:topLinePunct w:val="0"/>
                    <w:bidi w:val="0"/>
                    <w:spacing w:before="0" w:beforeLines="0" w:after="0" w:afterLines="0" w:line="240" w:lineRule="auto"/>
                    <w:jc w:val="center"/>
                    <w:rPr>
                      <w:rFonts w:hint="default" w:ascii="Times New Roman" w:hAnsi="Times New Roman" w:cs="Times New Roman"/>
                      <w:sz w:val="21"/>
                      <w:szCs w:val="21"/>
                    </w:rPr>
                  </w:pPr>
                </w:p>
              </w:tc>
              <w:tc>
                <w:tcPr>
                  <w:tcW w:w="874" w:type="dxa"/>
                  <w:vMerge w:val="continue"/>
                  <w:tcBorders>
                    <w:top w:val="nil"/>
                    <w:left w:val="nil"/>
                    <w:bottom w:val="single" w:color="auto" w:sz="4" w:space="0"/>
                    <w:right w:val="single" w:color="auto" w:sz="4" w:space="0"/>
                  </w:tcBorders>
                  <w:noWrap w:val="0"/>
                  <w:vAlign w:val="center"/>
                </w:tcPr>
                <w:p>
                  <w:pPr>
                    <w:keepNext w:val="0"/>
                    <w:keepLines w:val="0"/>
                    <w:pageBreakBefore w:val="0"/>
                    <w:wordWrap/>
                    <w:overflowPunct/>
                    <w:topLinePunct w:val="0"/>
                    <w:bidi w:val="0"/>
                    <w:spacing w:before="0" w:beforeLines="0" w:after="0" w:afterLines="0" w:line="240" w:lineRule="auto"/>
                    <w:jc w:val="center"/>
                    <w:rPr>
                      <w:rFonts w:hint="default" w:ascii="Times New Roman" w:hAnsi="Times New Roman" w:cs="Times New Roman"/>
                      <w:sz w:val="21"/>
                      <w:szCs w:val="21"/>
                    </w:rPr>
                  </w:pPr>
                </w:p>
              </w:tc>
              <w:tc>
                <w:tcPr>
                  <w:tcW w:w="1059" w:type="dxa"/>
                  <w:gridSpan w:val="2"/>
                  <w:vMerge w:val="continue"/>
                  <w:tcBorders>
                    <w:top w:val="nil"/>
                    <w:left w:val="nil"/>
                    <w:bottom w:val="single" w:color="auto" w:sz="4" w:space="0"/>
                    <w:right w:val="single" w:color="auto" w:sz="4" w:space="0"/>
                  </w:tcBorders>
                  <w:noWrap w:val="0"/>
                  <w:vAlign w:val="top"/>
                </w:tcPr>
                <w:p>
                  <w:pPr>
                    <w:keepNext w:val="0"/>
                    <w:keepLines w:val="0"/>
                    <w:pageBreakBefore w:val="0"/>
                    <w:wordWrap/>
                    <w:overflowPunct/>
                    <w:topLinePunct w:val="0"/>
                    <w:bidi w:val="0"/>
                    <w:spacing w:before="0" w:beforeLines="0" w:after="0" w:afterLines="0" w:line="240" w:lineRule="auto"/>
                    <w:jc w:val="center"/>
                    <w:rPr>
                      <w:rFonts w:hint="default" w:ascii="Times New Roman" w:hAnsi="Times New Roman" w:cs="Times New Roman"/>
                      <w:sz w:val="21"/>
                      <w:szCs w:val="21"/>
                    </w:rPr>
                  </w:pPr>
                </w:p>
              </w:tc>
              <w:tc>
                <w:tcPr>
                  <w:tcW w:w="426" w:type="dxa"/>
                  <w:tcBorders>
                    <w:top w:val="single" w:color="auto" w:sz="4" w:space="0"/>
                    <w:left w:val="nil"/>
                    <w:bottom w:val="single" w:color="auto" w:sz="4" w:space="0"/>
                    <w:right w:val="single" w:color="auto" w:sz="4" w:space="0"/>
                  </w:tcBorders>
                  <w:noWrap w:val="0"/>
                  <w:vAlign w:val="center"/>
                </w:tcPr>
                <w:p>
                  <w:pPr>
                    <w:pStyle w:val="37"/>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rPr>
                  </w:pPr>
                  <w:r>
                    <w:rPr>
                      <w:rStyle w:val="254"/>
                      <w:rFonts w:hint="default" w:ascii="Times New Roman" w:hAnsi="Times New Roman" w:eastAsia="宋体" w:cs="Times New Roman"/>
                      <w:color w:val="000000"/>
                      <w:kern w:val="2"/>
                      <w:sz w:val="21"/>
                      <w:szCs w:val="21"/>
                      <w:lang w:val="en-US" w:eastAsia="zh-CN" w:bidi="ar"/>
                    </w:rPr>
                    <w:t>资源开发效率要求</w:t>
                  </w:r>
                </w:p>
              </w:tc>
              <w:tc>
                <w:tcPr>
                  <w:tcW w:w="2234" w:type="dxa"/>
                  <w:vMerge w:val="continue"/>
                  <w:tcBorders>
                    <w:top w:val="nil"/>
                    <w:left w:val="nil"/>
                    <w:bottom w:val="single" w:color="auto" w:sz="4" w:space="0"/>
                    <w:right w:val="single" w:color="auto" w:sz="4" w:space="0"/>
                  </w:tcBorders>
                  <w:noWrap w:val="0"/>
                  <w:vAlign w:val="center"/>
                </w:tcPr>
                <w:p>
                  <w:pPr>
                    <w:keepNext w:val="0"/>
                    <w:keepLines w:val="0"/>
                    <w:pageBreakBefore w:val="0"/>
                    <w:wordWrap/>
                    <w:overflowPunct/>
                    <w:topLinePunct w:val="0"/>
                    <w:bidi w:val="0"/>
                    <w:spacing w:before="0" w:beforeLines="0" w:after="0" w:afterLines="0" w:line="240" w:lineRule="auto"/>
                    <w:jc w:val="center"/>
                    <w:rPr>
                      <w:rFonts w:hint="default" w:ascii="Times New Roman" w:hAnsi="Times New Roman" w:cs="Times New Roman"/>
                      <w:sz w:val="21"/>
                      <w:szCs w:val="21"/>
                    </w:rPr>
                  </w:pPr>
                </w:p>
              </w:tc>
              <w:tc>
                <w:tcPr>
                  <w:tcW w:w="2425" w:type="dxa"/>
                  <w:tcBorders>
                    <w:top w:val="nil"/>
                    <w:left w:val="nil"/>
                    <w:bottom w:val="single" w:color="auto" w:sz="4" w:space="0"/>
                    <w:right w:val="single" w:color="auto" w:sz="4" w:space="0"/>
                  </w:tcBorders>
                  <w:noWrap w:val="0"/>
                  <w:vAlign w:val="center"/>
                </w:tcPr>
                <w:p>
                  <w:pPr>
                    <w:keepNext w:val="0"/>
                    <w:keepLines w:val="0"/>
                    <w:pageBreakBefore w:val="0"/>
                    <w:wordWrap/>
                    <w:overflowPunct/>
                    <w:topLinePunct w:val="0"/>
                    <w:bidi w:val="0"/>
                    <w:spacing w:before="0" w:beforeLines="0" w:after="0" w:afterLines="0"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30" w:type="dxa"/>
                  <w:gridSpan w:val="2"/>
                  <w:vMerge w:val="restart"/>
                  <w:tcBorders>
                    <w:top w:val="nil"/>
                    <w:left w:val="single" w:color="auto" w:sz="4" w:space="0"/>
                    <w:bottom w:val="single" w:color="auto" w:sz="4" w:space="0"/>
                    <w:right w:val="single" w:color="auto" w:sz="4" w:space="0"/>
                  </w:tcBorders>
                  <w:noWrap w:val="0"/>
                  <w:vAlign w:val="center"/>
                </w:tcPr>
                <w:p>
                  <w:pPr>
                    <w:pStyle w:val="37"/>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rPr>
                  </w:pPr>
                  <w:r>
                    <w:rPr>
                      <w:rStyle w:val="254"/>
                      <w:rFonts w:hint="default" w:ascii="Times New Roman" w:hAnsi="Times New Roman" w:eastAsia="宋体" w:cs="Times New Roman"/>
                      <w:color w:val="000000"/>
                      <w:kern w:val="2"/>
                      <w:sz w:val="21"/>
                      <w:szCs w:val="21"/>
                      <w:lang w:val="en-US" w:eastAsia="zh-CN" w:bidi="ar"/>
                    </w:rPr>
                    <w:t>YS5111022340001</w:t>
                  </w:r>
                </w:p>
              </w:tc>
              <w:tc>
                <w:tcPr>
                  <w:tcW w:w="874" w:type="dxa"/>
                  <w:vMerge w:val="restart"/>
                  <w:tcBorders>
                    <w:top w:val="nil"/>
                    <w:left w:val="nil"/>
                    <w:bottom w:val="single" w:color="auto" w:sz="4" w:space="0"/>
                    <w:right w:val="single" w:color="auto" w:sz="4" w:space="0"/>
                  </w:tcBorders>
                  <w:noWrap w:val="0"/>
                  <w:vAlign w:val="center"/>
                </w:tcPr>
                <w:p>
                  <w:pPr>
                    <w:pStyle w:val="37"/>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rPr>
                  </w:pPr>
                  <w:r>
                    <w:rPr>
                      <w:rStyle w:val="254"/>
                      <w:rFonts w:hint="default" w:ascii="Times New Roman" w:hAnsi="Times New Roman" w:eastAsia="宋体" w:cs="Times New Roman"/>
                      <w:color w:val="000000"/>
                      <w:kern w:val="2"/>
                      <w:sz w:val="21"/>
                      <w:szCs w:val="21"/>
                      <w:lang w:val="en-US" w:eastAsia="zh-CN" w:bidi="ar"/>
                    </w:rPr>
                    <w:t>乐山市市中区大气环境受体敏感重点管控区</w:t>
                  </w:r>
                </w:p>
              </w:tc>
              <w:tc>
                <w:tcPr>
                  <w:tcW w:w="1059" w:type="dxa"/>
                  <w:gridSpan w:val="2"/>
                  <w:vMerge w:val="continue"/>
                  <w:tcBorders>
                    <w:top w:val="nil"/>
                    <w:left w:val="nil"/>
                    <w:bottom w:val="single" w:color="auto" w:sz="4" w:space="0"/>
                    <w:right w:val="single" w:color="auto" w:sz="4" w:space="0"/>
                  </w:tcBorders>
                  <w:noWrap w:val="0"/>
                  <w:vAlign w:val="top"/>
                </w:tcPr>
                <w:p>
                  <w:pPr>
                    <w:keepNext w:val="0"/>
                    <w:keepLines w:val="0"/>
                    <w:pageBreakBefore w:val="0"/>
                    <w:wordWrap/>
                    <w:overflowPunct/>
                    <w:topLinePunct w:val="0"/>
                    <w:bidi w:val="0"/>
                    <w:spacing w:before="0" w:beforeLines="0" w:after="0" w:afterLines="0" w:line="240" w:lineRule="auto"/>
                    <w:jc w:val="center"/>
                    <w:rPr>
                      <w:rFonts w:hint="default" w:ascii="Times New Roman" w:hAnsi="Times New Roman" w:cs="Times New Roman"/>
                      <w:sz w:val="21"/>
                      <w:szCs w:val="21"/>
                    </w:rPr>
                  </w:pPr>
                </w:p>
              </w:tc>
              <w:tc>
                <w:tcPr>
                  <w:tcW w:w="426" w:type="dxa"/>
                  <w:tcBorders>
                    <w:top w:val="single" w:color="auto" w:sz="4" w:space="0"/>
                    <w:left w:val="nil"/>
                    <w:bottom w:val="single" w:color="auto" w:sz="4" w:space="0"/>
                    <w:right w:val="single" w:color="auto" w:sz="4" w:space="0"/>
                  </w:tcBorders>
                  <w:noWrap w:val="0"/>
                  <w:vAlign w:val="center"/>
                </w:tcPr>
                <w:p>
                  <w:pPr>
                    <w:pStyle w:val="37"/>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rPr>
                  </w:pPr>
                  <w:r>
                    <w:rPr>
                      <w:rStyle w:val="254"/>
                      <w:rFonts w:hint="default" w:ascii="Times New Roman" w:hAnsi="Times New Roman" w:eastAsia="宋体" w:cs="Times New Roman"/>
                      <w:color w:val="000000"/>
                      <w:kern w:val="2"/>
                      <w:sz w:val="21"/>
                      <w:szCs w:val="21"/>
                      <w:lang w:val="en-US" w:eastAsia="zh-CN" w:bidi="ar"/>
                    </w:rPr>
                    <w:t>空间布局约束</w:t>
                  </w:r>
                </w:p>
              </w:tc>
              <w:tc>
                <w:tcPr>
                  <w:tcW w:w="2234" w:type="dxa"/>
                  <w:tcBorders>
                    <w:top w:val="single" w:color="auto" w:sz="4" w:space="0"/>
                    <w:left w:val="nil"/>
                    <w:bottom w:val="single" w:color="auto" w:sz="4" w:space="0"/>
                    <w:right w:val="single" w:color="auto" w:sz="4" w:space="0"/>
                  </w:tcBorders>
                  <w:noWrap w:val="0"/>
                  <w:vAlign w:val="center"/>
                </w:tcPr>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禁止开发建设活动的要求</w:t>
                  </w:r>
                </w:p>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限制开发建设活动的要求</w:t>
                  </w:r>
                </w:p>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允许开发建设活动的要求</w:t>
                  </w:r>
                </w:p>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不符合空间布局要求活动的退出要求</w:t>
                  </w:r>
                </w:p>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其他空间布局约束要求</w:t>
                  </w:r>
                </w:p>
              </w:tc>
              <w:tc>
                <w:tcPr>
                  <w:tcW w:w="2425" w:type="dxa"/>
                  <w:tcBorders>
                    <w:top w:val="single" w:color="auto" w:sz="4" w:space="0"/>
                    <w:left w:val="nil"/>
                    <w:bottom w:val="single" w:color="auto" w:sz="4" w:space="0"/>
                    <w:right w:val="single" w:color="auto" w:sz="4" w:space="0"/>
                  </w:tcBorders>
                  <w:noWrap w:val="0"/>
                  <w:vAlign w:val="center"/>
                </w:tcPr>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Style w:val="254"/>
                      <w:rFonts w:hint="default" w:ascii="Times New Roman" w:hAnsi="Times New Roman" w:eastAsia="宋体" w:cs="Times New Roman"/>
                      <w:color w:val="000000"/>
                      <w:kern w:val="2"/>
                      <w:sz w:val="21"/>
                      <w:szCs w:val="21"/>
                      <w:shd w:val="clear" w:color="auto" w:fill="FFFFFF"/>
                      <w:lang w:val="en-US" w:eastAsia="zh-CN" w:bidi="ar"/>
                    </w:rPr>
                  </w:pPr>
                  <w:r>
                    <w:rPr>
                      <w:rStyle w:val="254"/>
                      <w:rFonts w:hint="default" w:ascii="Times New Roman" w:hAnsi="Times New Roman" w:eastAsia="宋体" w:cs="Times New Roman"/>
                      <w:color w:val="000000"/>
                      <w:kern w:val="2"/>
                      <w:sz w:val="21"/>
                      <w:szCs w:val="21"/>
                      <w:shd w:val="clear" w:color="auto" w:fill="FFFFFF"/>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30" w:type="dxa"/>
                  <w:gridSpan w:val="2"/>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ordWrap/>
                    <w:overflowPunct/>
                    <w:topLinePunct w:val="0"/>
                    <w:bidi w:val="0"/>
                    <w:spacing w:before="0" w:beforeLines="0" w:after="0" w:afterLines="0" w:line="240" w:lineRule="auto"/>
                    <w:jc w:val="center"/>
                    <w:rPr>
                      <w:rFonts w:hint="default" w:ascii="Times New Roman" w:hAnsi="Times New Roman" w:cs="Times New Roman"/>
                      <w:sz w:val="21"/>
                      <w:szCs w:val="21"/>
                    </w:rPr>
                  </w:pPr>
                </w:p>
              </w:tc>
              <w:tc>
                <w:tcPr>
                  <w:tcW w:w="874" w:type="dxa"/>
                  <w:vMerge w:val="continue"/>
                  <w:tcBorders>
                    <w:top w:val="nil"/>
                    <w:left w:val="nil"/>
                    <w:bottom w:val="single" w:color="auto" w:sz="4" w:space="0"/>
                    <w:right w:val="single" w:color="auto" w:sz="4" w:space="0"/>
                  </w:tcBorders>
                  <w:noWrap w:val="0"/>
                  <w:vAlign w:val="center"/>
                </w:tcPr>
                <w:p>
                  <w:pPr>
                    <w:keepNext w:val="0"/>
                    <w:keepLines w:val="0"/>
                    <w:pageBreakBefore w:val="0"/>
                    <w:wordWrap/>
                    <w:overflowPunct/>
                    <w:topLinePunct w:val="0"/>
                    <w:bidi w:val="0"/>
                    <w:spacing w:before="0" w:beforeLines="0" w:after="0" w:afterLines="0" w:line="240" w:lineRule="auto"/>
                    <w:jc w:val="center"/>
                    <w:rPr>
                      <w:rFonts w:hint="default" w:ascii="Times New Roman" w:hAnsi="Times New Roman" w:cs="Times New Roman"/>
                      <w:sz w:val="21"/>
                      <w:szCs w:val="21"/>
                    </w:rPr>
                  </w:pPr>
                </w:p>
              </w:tc>
              <w:tc>
                <w:tcPr>
                  <w:tcW w:w="1059" w:type="dxa"/>
                  <w:gridSpan w:val="2"/>
                  <w:vMerge w:val="continue"/>
                  <w:tcBorders>
                    <w:top w:val="nil"/>
                    <w:left w:val="nil"/>
                    <w:bottom w:val="single" w:color="auto" w:sz="4" w:space="0"/>
                    <w:right w:val="single" w:color="auto" w:sz="4" w:space="0"/>
                  </w:tcBorders>
                  <w:noWrap w:val="0"/>
                  <w:vAlign w:val="top"/>
                </w:tcPr>
                <w:p>
                  <w:pPr>
                    <w:keepNext w:val="0"/>
                    <w:keepLines w:val="0"/>
                    <w:pageBreakBefore w:val="0"/>
                    <w:wordWrap/>
                    <w:overflowPunct/>
                    <w:topLinePunct w:val="0"/>
                    <w:bidi w:val="0"/>
                    <w:spacing w:before="0" w:beforeLines="0" w:after="0" w:afterLines="0" w:line="240" w:lineRule="auto"/>
                    <w:jc w:val="center"/>
                    <w:rPr>
                      <w:rFonts w:hint="default" w:ascii="Times New Roman" w:hAnsi="Times New Roman" w:cs="Times New Roman"/>
                      <w:sz w:val="21"/>
                      <w:szCs w:val="21"/>
                    </w:rPr>
                  </w:pPr>
                </w:p>
              </w:tc>
              <w:tc>
                <w:tcPr>
                  <w:tcW w:w="426" w:type="dxa"/>
                  <w:tcBorders>
                    <w:top w:val="single" w:color="auto" w:sz="4" w:space="0"/>
                    <w:left w:val="nil"/>
                    <w:bottom w:val="single" w:color="auto" w:sz="4" w:space="0"/>
                    <w:right w:val="single" w:color="auto" w:sz="4" w:space="0"/>
                  </w:tcBorders>
                  <w:noWrap w:val="0"/>
                  <w:vAlign w:val="center"/>
                </w:tcPr>
                <w:p>
                  <w:pPr>
                    <w:pStyle w:val="37"/>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rPr>
                  </w:pPr>
                  <w:r>
                    <w:rPr>
                      <w:rStyle w:val="254"/>
                      <w:rFonts w:hint="default" w:ascii="Times New Roman" w:hAnsi="Times New Roman" w:eastAsia="宋体" w:cs="Times New Roman"/>
                      <w:color w:val="000000"/>
                      <w:kern w:val="2"/>
                      <w:sz w:val="21"/>
                      <w:szCs w:val="21"/>
                      <w:lang w:val="en-US" w:eastAsia="zh-CN" w:bidi="ar"/>
                    </w:rPr>
                    <w:t>污染物排放管控</w:t>
                  </w:r>
                </w:p>
              </w:tc>
              <w:tc>
                <w:tcPr>
                  <w:tcW w:w="2234" w:type="dxa"/>
                  <w:tcBorders>
                    <w:top w:val="single" w:color="auto" w:sz="4" w:space="0"/>
                    <w:left w:val="nil"/>
                    <w:bottom w:val="single" w:color="auto" w:sz="4" w:space="0"/>
                    <w:right w:val="single" w:color="auto" w:sz="4" w:space="0"/>
                  </w:tcBorders>
                  <w:noWrap w:val="0"/>
                  <w:vAlign w:val="center"/>
                </w:tcPr>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大气环境质量执行标准</w:t>
                  </w:r>
                </w:p>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《环境空气质量标准》（GB3095-2012）：二级</w:t>
                  </w:r>
                </w:p>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区域大气污染物削减/替代要求</w:t>
                  </w:r>
                </w:p>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新增大气污染物排放的建设项目实施总量削减替代。</w:t>
                  </w:r>
                </w:p>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燃煤和其他能源大气污染控制要求</w:t>
                  </w:r>
                </w:p>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工业废气污染控制要求</w:t>
                  </w:r>
                </w:p>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机动车船大气污染控制要求</w:t>
                  </w:r>
                </w:p>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加强城市交通管理。优化城市功能和布局规划，调整城区路网结构。加快建立以快速路和组团间联系主干路为骨架、组团内道路为主体的快捷、安全、衔接合理的城市道路网，缓解城区交通压力。通过错峰上下班、调整停车费、智能交通管理和服务等手段，提高机动车通行效率；大力发展城乡公共交通，形成以公共汽车为主体、出租车为补充的城市公共交通系统，基本实现城市公交线路全覆盖并及时拓展。加快步行和自行车交通系统建设；鼓励燃油机动车驾驶人在不影响道路通行且需停车三分钟以上的情况下熄灭发动机。</w:t>
                  </w:r>
                </w:p>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扬尘污染控制要求</w:t>
                  </w:r>
                </w:p>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强化施工扬尘监管。严格落实《四川省建筑工程扬尘污染防治技术导则（试行）》、《四川省施工场地扬尘排放标准》（DB51/2682-2029）、《建筑工地扬尘治理标准》等文件要求。在进行房屋建筑、市政设施施工、河道整治、建筑物拆除、物料运输和堆放、园林绿化等活动时，应当采取扬尘污染防治措施。所有施工工地落实“六不准”、“六必须”，实现施工现场围挡、工地物料堆放覆盖、施工现场路面硬化、驶出工地车辆冲洗干净、拆迁工地湿法作业、渣土运输车辆密闭“六个百分之百”，并安装降尘除尘设施。控制道路扬尘污染。提升城市精细化管理水平，加强道路清扫保洁，大力推行建成区道路机械化湿式清扫等低尘作业方式。落实环境卫生“门前三包”责任制，提高环境卫生清扫保洁质量，保证城市道路路面及行道树、绿化带无明显浮尘、积土、淤泥，切实改善环境卫生状况。加强城郊结合部扬尘管控。</w:t>
                  </w:r>
                </w:p>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农业生产经营活动大气污染控制要求</w:t>
                  </w:r>
                </w:p>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重点行业企业专项治理要求</w:t>
                  </w:r>
                </w:p>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强化餐饮服务企业油烟排放整治，城市建成区餐饮企业应安装具有油雾回收功能的抽油烟机和运水烟罩、静电型和等离子型等高效油烟净化设施。中心城区建成区禁止露天烧烤。中心城区建成区内所有餐饮服务经营场所和新、改、扩建有油烟产生的餐饮项目，应当安装油烟净化设施并达到排放标准。定期对油烟净化设施进行维护保养，并保存维护保养记录，确保油烟稳定达标排放，设施正常使用率不低于95%。</w:t>
                  </w:r>
                </w:p>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其他大气污染物排放管控要求</w:t>
                  </w:r>
                </w:p>
              </w:tc>
              <w:tc>
                <w:tcPr>
                  <w:tcW w:w="2425" w:type="dxa"/>
                  <w:tcBorders>
                    <w:top w:val="single" w:color="auto" w:sz="4" w:space="0"/>
                    <w:left w:val="nil"/>
                    <w:bottom w:val="single" w:color="auto" w:sz="4" w:space="0"/>
                    <w:right w:val="single" w:color="auto" w:sz="4" w:space="0"/>
                  </w:tcBorders>
                  <w:noWrap w:val="0"/>
                  <w:vAlign w:val="center"/>
                </w:tcPr>
                <w:p>
                  <w:pPr>
                    <w:spacing w:before="65" w:line="251" w:lineRule="auto"/>
                    <w:ind w:left="115" w:right="102" w:firstLine="1"/>
                    <w:rPr>
                      <w:rFonts w:hint="default" w:ascii="Times New Roman" w:hAnsi="Times New Roman" w:eastAsia="宋体" w:cs="Times New Roman"/>
                      <w:sz w:val="20"/>
                      <w:szCs w:val="20"/>
                    </w:rPr>
                  </w:pPr>
                  <w:r>
                    <w:rPr>
                      <w:rStyle w:val="254"/>
                      <w:rFonts w:hint="default" w:ascii="Times New Roman" w:hAnsi="Times New Roman" w:eastAsia="宋体" w:cs="Times New Roman"/>
                      <w:color w:val="000000"/>
                      <w:kern w:val="2"/>
                      <w:sz w:val="21"/>
                      <w:szCs w:val="21"/>
                      <w:shd w:val="clear" w:color="auto" w:fill="FFFFFF"/>
                      <w:lang w:val="en-US" w:eastAsia="zh-CN" w:bidi="ar"/>
                    </w:rPr>
                    <w:t>符合。本项目为河道综合整治工程，</w:t>
                  </w:r>
                  <w:r>
                    <w:rPr>
                      <w:rFonts w:hint="default" w:ascii="Times New Roman" w:hAnsi="Times New Roman" w:eastAsia="宋体" w:cs="Times New Roman"/>
                      <w:spacing w:val="9"/>
                      <w:sz w:val="20"/>
                      <w:szCs w:val="20"/>
                    </w:rPr>
                    <w:t>严格落实</w:t>
                  </w:r>
                  <w:r>
                    <w:rPr>
                      <w:rFonts w:hint="default" w:ascii="Times New Roman" w:hAnsi="Times New Roman" w:eastAsia="宋体" w:cs="Times New Roman"/>
                      <w:sz w:val="20"/>
                      <w:szCs w:val="20"/>
                    </w:rPr>
                    <w:t xml:space="preserve"> </w:t>
                  </w:r>
                  <w:r>
                    <w:rPr>
                      <w:rFonts w:hint="default" w:ascii="Times New Roman" w:hAnsi="Times New Roman" w:eastAsia="宋体" w:cs="Times New Roman"/>
                      <w:spacing w:val="9"/>
                      <w:sz w:val="20"/>
                      <w:szCs w:val="20"/>
                    </w:rPr>
                    <w:t>《四川省建筑工程扬尘</w:t>
                  </w:r>
                  <w:r>
                    <w:rPr>
                      <w:rFonts w:hint="default" w:ascii="Times New Roman" w:hAnsi="Times New Roman" w:eastAsia="宋体" w:cs="Times New Roman"/>
                      <w:sz w:val="20"/>
                      <w:szCs w:val="20"/>
                    </w:rPr>
                    <w:t xml:space="preserve"> </w:t>
                  </w:r>
                  <w:r>
                    <w:rPr>
                      <w:rFonts w:hint="default" w:ascii="Times New Roman" w:hAnsi="Times New Roman" w:eastAsia="宋体" w:cs="Times New Roman"/>
                      <w:spacing w:val="10"/>
                      <w:sz w:val="20"/>
                      <w:szCs w:val="20"/>
                    </w:rPr>
                    <w:t>污</w:t>
                  </w:r>
                  <w:r>
                    <w:rPr>
                      <w:rFonts w:hint="default" w:ascii="Times New Roman" w:hAnsi="Times New Roman" w:eastAsia="宋体" w:cs="Times New Roman"/>
                      <w:spacing w:val="8"/>
                      <w:sz w:val="20"/>
                      <w:szCs w:val="20"/>
                    </w:rPr>
                    <w:t>染防治技术导则 (试</w:t>
                  </w:r>
                  <w:r>
                    <w:rPr>
                      <w:rFonts w:hint="default" w:ascii="Times New Roman" w:hAnsi="Times New Roman" w:eastAsia="宋体" w:cs="Times New Roman"/>
                      <w:sz w:val="20"/>
                      <w:szCs w:val="20"/>
                    </w:rPr>
                    <w:t xml:space="preserve"> </w:t>
                  </w:r>
                  <w:r>
                    <w:rPr>
                      <w:rFonts w:hint="default" w:ascii="Times New Roman" w:hAnsi="Times New Roman" w:eastAsia="宋体" w:cs="Times New Roman"/>
                      <w:spacing w:val="10"/>
                      <w:sz w:val="20"/>
                      <w:szCs w:val="20"/>
                    </w:rPr>
                    <w:t>行</w:t>
                  </w:r>
                  <w:r>
                    <w:rPr>
                      <w:rFonts w:hint="default" w:ascii="Times New Roman" w:hAnsi="Times New Roman" w:eastAsia="宋体" w:cs="Times New Roman"/>
                      <w:spacing w:val="8"/>
                      <w:sz w:val="20"/>
                      <w:szCs w:val="20"/>
                    </w:rPr>
                    <w:t>) 》、《四川省施工</w:t>
                  </w:r>
                </w:p>
                <w:p>
                  <w:pPr>
                    <w:tabs>
                      <w:tab w:val="left" w:pos="226"/>
                    </w:tabs>
                    <w:spacing w:before="1" w:line="251" w:lineRule="auto"/>
                    <w:ind w:left="118" w:right="99" w:firstLine="103"/>
                    <w:rPr>
                      <w:rStyle w:val="254"/>
                      <w:rFonts w:hint="default" w:ascii="Times New Roman" w:hAnsi="Times New Roman" w:eastAsia="宋体" w:cs="Times New Roman"/>
                      <w:color w:val="000000"/>
                      <w:kern w:val="2"/>
                      <w:sz w:val="21"/>
                      <w:szCs w:val="21"/>
                      <w:shd w:val="clear" w:color="auto" w:fill="FFFFFF"/>
                      <w:lang w:val="en-US" w:eastAsia="zh-CN" w:bidi="ar"/>
                    </w:rPr>
                  </w:pPr>
                  <w:r>
                    <w:rPr>
                      <w:rFonts w:hint="default" w:ascii="Times New Roman" w:hAnsi="Times New Roman" w:eastAsia="宋体" w:cs="Times New Roman"/>
                      <w:spacing w:val="12"/>
                      <w:sz w:val="20"/>
                      <w:szCs w:val="20"/>
                    </w:rPr>
                    <w:t>场</w:t>
                  </w:r>
                  <w:r>
                    <w:rPr>
                      <w:rFonts w:hint="default" w:ascii="Times New Roman" w:hAnsi="Times New Roman" w:eastAsia="宋体" w:cs="Times New Roman"/>
                      <w:spacing w:val="7"/>
                      <w:sz w:val="20"/>
                      <w:szCs w:val="20"/>
                    </w:rPr>
                    <w:t>地扬尘排放标准》</w:t>
                  </w:r>
                  <w:r>
                    <w:rPr>
                      <w:rFonts w:hint="default" w:ascii="Times New Roman" w:hAnsi="Times New Roman" w:eastAsia="宋体" w:cs="Times New Roman"/>
                      <w:sz w:val="20"/>
                      <w:szCs w:val="20"/>
                    </w:rPr>
                    <w:t xml:space="preserve"> </w:t>
                  </w:r>
                  <w:r>
                    <w:rPr>
                      <w:rFonts w:hint="default" w:ascii="Times New Roman" w:hAnsi="Times New Roman" w:eastAsia="宋体" w:cs="Times New Roman"/>
                      <w:sz w:val="20"/>
                      <w:szCs w:val="20"/>
                    </w:rPr>
                    <w:tab/>
                  </w:r>
                  <w:r>
                    <w:rPr>
                      <w:rFonts w:hint="default" w:ascii="Times New Roman" w:hAnsi="Times New Roman" w:eastAsia="宋体" w:cs="Times New Roman"/>
                      <w:spacing w:val="7"/>
                      <w:sz w:val="20"/>
                      <w:szCs w:val="20"/>
                    </w:rPr>
                    <w:t>(</w:t>
                  </w:r>
                  <w:r>
                    <w:rPr>
                      <w:rFonts w:hint="default" w:ascii="Times New Roman" w:hAnsi="Times New Roman" w:eastAsia="Times New Roman" w:cs="Times New Roman"/>
                      <w:sz w:val="20"/>
                      <w:szCs w:val="20"/>
                    </w:rPr>
                    <w:t>DB</w:t>
                  </w:r>
                  <w:r>
                    <w:rPr>
                      <w:rFonts w:hint="default" w:ascii="Times New Roman" w:hAnsi="Times New Roman" w:eastAsia="Times New Roman" w:cs="Times New Roman"/>
                      <w:spacing w:val="5"/>
                      <w:sz w:val="20"/>
                      <w:szCs w:val="20"/>
                    </w:rPr>
                    <w:t>51/2682-2020</w:t>
                  </w:r>
                  <w:r>
                    <w:rPr>
                      <w:rFonts w:hint="default" w:ascii="Times New Roman" w:hAnsi="Times New Roman" w:eastAsia="宋体" w:cs="Times New Roman"/>
                      <w:spacing w:val="5"/>
                      <w:sz w:val="20"/>
                      <w:szCs w:val="20"/>
                    </w:rPr>
                    <w:t>) 、</w:t>
                  </w:r>
                  <w:r>
                    <w:rPr>
                      <w:rFonts w:hint="default" w:ascii="Times New Roman" w:hAnsi="Times New Roman" w:eastAsia="宋体" w:cs="Times New Roman"/>
                      <w:sz w:val="20"/>
                      <w:szCs w:val="20"/>
                    </w:rPr>
                    <w:t xml:space="preserve"> </w:t>
                  </w:r>
                  <w:r>
                    <w:rPr>
                      <w:rFonts w:hint="default" w:ascii="Times New Roman" w:hAnsi="Times New Roman" w:eastAsia="宋体" w:cs="Times New Roman"/>
                      <w:spacing w:val="15"/>
                      <w:sz w:val="20"/>
                      <w:szCs w:val="20"/>
                    </w:rPr>
                    <w:t>《</w:t>
                  </w:r>
                  <w:r>
                    <w:rPr>
                      <w:rFonts w:hint="default" w:ascii="Times New Roman" w:hAnsi="Times New Roman" w:eastAsia="宋体" w:cs="Times New Roman"/>
                      <w:spacing w:val="8"/>
                      <w:sz w:val="20"/>
                      <w:szCs w:val="20"/>
                    </w:rPr>
                    <w:t>建筑工地扬尘治理标</w:t>
                  </w:r>
                  <w:r>
                    <w:rPr>
                      <w:rFonts w:hint="default" w:ascii="Times New Roman" w:hAnsi="Times New Roman" w:eastAsia="宋体" w:cs="Times New Roman"/>
                      <w:sz w:val="20"/>
                      <w:szCs w:val="20"/>
                    </w:rPr>
                    <w:t xml:space="preserve"> </w:t>
                  </w:r>
                  <w:r>
                    <w:rPr>
                      <w:rFonts w:hint="default" w:ascii="Times New Roman" w:hAnsi="Times New Roman" w:eastAsia="宋体" w:cs="Times New Roman"/>
                      <w:spacing w:val="9"/>
                      <w:sz w:val="20"/>
                      <w:szCs w:val="20"/>
                    </w:rPr>
                    <w:t>准》等文件要求。同时</w:t>
                  </w:r>
                  <w:r>
                    <w:rPr>
                      <w:rFonts w:hint="default" w:ascii="Times New Roman" w:hAnsi="Times New Roman" w:eastAsia="宋体" w:cs="Times New Roman"/>
                      <w:spacing w:val="4"/>
                      <w:sz w:val="20"/>
                      <w:szCs w:val="20"/>
                    </w:rPr>
                    <w:t>落实</w:t>
                  </w:r>
                  <w:r>
                    <w:rPr>
                      <w:rFonts w:hint="default" w:ascii="Times New Roman" w:hAnsi="Times New Roman" w:eastAsia="Times New Roman" w:cs="Times New Roman"/>
                      <w:spacing w:val="4"/>
                      <w:sz w:val="20"/>
                      <w:szCs w:val="20"/>
                    </w:rPr>
                    <w:t>“</w:t>
                  </w:r>
                  <w:r>
                    <w:rPr>
                      <w:rFonts w:hint="default" w:ascii="Times New Roman" w:hAnsi="Times New Roman" w:eastAsia="宋体" w:cs="Times New Roman"/>
                      <w:spacing w:val="4"/>
                      <w:sz w:val="20"/>
                      <w:szCs w:val="20"/>
                    </w:rPr>
                    <w:t>六</w:t>
                  </w:r>
                  <w:r>
                    <w:rPr>
                      <w:rFonts w:hint="default" w:ascii="Times New Roman" w:hAnsi="Times New Roman" w:eastAsia="宋体" w:cs="Times New Roman"/>
                      <w:spacing w:val="2"/>
                      <w:sz w:val="20"/>
                      <w:szCs w:val="20"/>
                    </w:rPr>
                    <w:t>不准</w:t>
                  </w:r>
                  <w:r>
                    <w:rPr>
                      <w:rFonts w:hint="default" w:ascii="Times New Roman" w:hAnsi="Times New Roman" w:eastAsia="Times New Roman" w:cs="Times New Roman"/>
                      <w:spacing w:val="2"/>
                      <w:sz w:val="20"/>
                      <w:szCs w:val="20"/>
                    </w:rPr>
                    <w:t xml:space="preserve">” </w:t>
                  </w:r>
                  <w:r>
                    <w:rPr>
                      <w:rFonts w:hint="default" w:ascii="Times New Roman" w:hAnsi="Times New Roman" w:eastAsia="宋体" w:cs="Times New Roman"/>
                      <w:spacing w:val="2"/>
                      <w:sz w:val="20"/>
                      <w:szCs w:val="20"/>
                    </w:rPr>
                    <w:t>、</w:t>
                  </w:r>
                  <w:r>
                    <w:rPr>
                      <w:rFonts w:hint="default" w:ascii="Times New Roman" w:hAnsi="Times New Roman" w:eastAsia="Times New Roman" w:cs="Times New Roman"/>
                      <w:spacing w:val="2"/>
                      <w:sz w:val="20"/>
                      <w:szCs w:val="20"/>
                    </w:rPr>
                    <w:t>“</w:t>
                  </w:r>
                  <w:r>
                    <w:rPr>
                      <w:rFonts w:hint="default" w:ascii="Times New Roman" w:hAnsi="Times New Roman" w:eastAsia="宋体" w:cs="Times New Roman"/>
                      <w:spacing w:val="2"/>
                      <w:sz w:val="20"/>
                      <w:szCs w:val="20"/>
                    </w:rPr>
                    <w:t>六必</w:t>
                  </w:r>
                  <w:r>
                    <w:rPr>
                      <w:rFonts w:hint="default" w:ascii="Times New Roman" w:hAnsi="Times New Roman" w:eastAsia="宋体" w:cs="Times New Roman"/>
                      <w:spacing w:val="4"/>
                      <w:sz w:val="20"/>
                      <w:szCs w:val="20"/>
                    </w:rPr>
                    <w:t>须</w:t>
                  </w:r>
                  <w:r>
                    <w:rPr>
                      <w:rFonts w:hint="default" w:ascii="Times New Roman" w:hAnsi="Times New Roman" w:eastAsia="Times New Roman" w:cs="Times New Roman"/>
                      <w:spacing w:val="4"/>
                      <w:sz w:val="20"/>
                      <w:szCs w:val="20"/>
                    </w:rPr>
                    <w:t xml:space="preserve">” </w:t>
                  </w:r>
                  <w:r>
                    <w:rPr>
                      <w:rFonts w:hint="default" w:ascii="Times New Roman" w:hAnsi="Times New Roman" w:eastAsia="宋体" w:cs="Times New Roman"/>
                      <w:spacing w:val="3"/>
                      <w:sz w:val="20"/>
                      <w:szCs w:val="20"/>
                    </w:rPr>
                    <w:t>，</w:t>
                  </w:r>
                  <w:r>
                    <w:rPr>
                      <w:rFonts w:hint="default" w:ascii="Times New Roman" w:hAnsi="Times New Roman" w:eastAsia="宋体" w:cs="Times New Roman"/>
                      <w:spacing w:val="2"/>
                      <w:sz w:val="20"/>
                      <w:szCs w:val="20"/>
                    </w:rPr>
                    <w:t>实现施工现场围</w:t>
                  </w:r>
                  <w:r>
                    <w:rPr>
                      <w:rFonts w:hint="default" w:ascii="Times New Roman" w:hAnsi="Times New Roman" w:eastAsia="宋体" w:cs="Times New Roman"/>
                      <w:sz w:val="20"/>
                      <w:szCs w:val="20"/>
                    </w:rPr>
                    <w:t xml:space="preserve"> </w:t>
                  </w:r>
                  <w:r>
                    <w:rPr>
                      <w:rFonts w:hint="default" w:ascii="Times New Roman" w:hAnsi="Times New Roman" w:eastAsia="宋体" w:cs="Times New Roman"/>
                      <w:spacing w:val="-6"/>
                      <w:sz w:val="20"/>
                      <w:szCs w:val="20"/>
                    </w:rPr>
                    <w:t>挡</w:t>
                  </w:r>
                  <w:r>
                    <w:rPr>
                      <w:rFonts w:hint="default" w:ascii="Times New Roman" w:hAnsi="Times New Roman" w:eastAsia="宋体" w:cs="Times New Roman"/>
                      <w:spacing w:val="-4"/>
                      <w:sz w:val="20"/>
                      <w:szCs w:val="20"/>
                    </w:rPr>
                    <w:t>、</w:t>
                  </w:r>
                  <w:r>
                    <w:rPr>
                      <w:rFonts w:hint="default" w:ascii="Times New Roman" w:hAnsi="Times New Roman" w:eastAsia="宋体" w:cs="Times New Roman"/>
                      <w:spacing w:val="-3"/>
                      <w:sz w:val="20"/>
                      <w:szCs w:val="20"/>
                    </w:rPr>
                    <w:t>工地物料堆放覆盖、</w:t>
                  </w:r>
                  <w:r>
                    <w:rPr>
                      <w:rFonts w:hint="default" w:ascii="Times New Roman" w:hAnsi="Times New Roman" w:eastAsia="宋体" w:cs="Times New Roman"/>
                      <w:sz w:val="20"/>
                      <w:szCs w:val="20"/>
                    </w:rPr>
                    <w:t xml:space="preserve"> </w:t>
                  </w:r>
                  <w:r>
                    <w:rPr>
                      <w:rFonts w:hint="default" w:ascii="Times New Roman" w:hAnsi="Times New Roman" w:eastAsia="宋体" w:cs="Times New Roman"/>
                      <w:spacing w:val="9"/>
                      <w:sz w:val="20"/>
                      <w:szCs w:val="20"/>
                    </w:rPr>
                    <w:t>施工现场路面硬化、驶</w:t>
                  </w:r>
                  <w:r>
                    <w:rPr>
                      <w:rFonts w:hint="default" w:ascii="Times New Roman" w:hAnsi="Times New Roman" w:eastAsia="宋体" w:cs="Times New Roman"/>
                      <w:sz w:val="20"/>
                      <w:szCs w:val="20"/>
                    </w:rPr>
                    <w:t xml:space="preserve"> </w:t>
                  </w:r>
                  <w:r>
                    <w:rPr>
                      <w:rFonts w:hint="default" w:ascii="Times New Roman" w:hAnsi="Times New Roman" w:eastAsia="宋体" w:cs="Times New Roman"/>
                      <w:spacing w:val="14"/>
                      <w:sz w:val="20"/>
                      <w:szCs w:val="20"/>
                    </w:rPr>
                    <w:t>出</w:t>
                  </w:r>
                  <w:r>
                    <w:rPr>
                      <w:rFonts w:hint="default" w:ascii="Times New Roman" w:hAnsi="Times New Roman" w:eastAsia="宋体" w:cs="Times New Roman"/>
                      <w:spacing w:val="10"/>
                      <w:sz w:val="20"/>
                      <w:szCs w:val="20"/>
                    </w:rPr>
                    <w:t>工地车辆冲洗干净、</w:t>
                  </w:r>
                  <w:r>
                    <w:rPr>
                      <w:rFonts w:hint="default" w:ascii="Times New Roman" w:hAnsi="Times New Roman" w:eastAsia="宋体" w:cs="Times New Roman"/>
                      <w:sz w:val="20"/>
                      <w:szCs w:val="20"/>
                    </w:rPr>
                    <w:t xml:space="preserve"> </w:t>
                  </w:r>
                  <w:r>
                    <w:rPr>
                      <w:rFonts w:hint="default" w:ascii="Times New Roman" w:hAnsi="Times New Roman" w:eastAsia="宋体" w:cs="Times New Roman"/>
                      <w:spacing w:val="9"/>
                      <w:sz w:val="20"/>
                      <w:szCs w:val="20"/>
                    </w:rPr>
                    <w:t>拆迁工地湿法作业、渣</w:t>
                  </w:r>
                  <w:r>
                    <w:rPr>
                      <w:rFonts w:hint="default" w:ascii="Times New Roman" w:hAnsi="Times New Roman" w:eastAsia="宋体" w:cs="Times New Roman"/>
                      <w:spacing w:val="10"/>
                      <w:sz w:val="20"/>
                      <w:szCs w:val="20"/>
                    </w:rPr>
                    <w:t>土</w:t>
                  </w:r>
                  <w:r>
                    <w:rPr>
                      <w:rFonts w:hint="default" w:ascii="Times New Roman" w:hAnsi="Times New Roman" w:eastAsia="宋体" w:cs="Times New Roman"/>
                      <w:spacing w:val="8"/>
                      <w:sz w:val="20"/>
                      <w:szCs w:val="20"/>
                    </w:rPr>
                    <w:t>运输车辆密闭</w:t>
                  </w:r>
                  <w:r>
                    <w:rPr>
                      <w:rFonts w:hint="default" w:ascii="Times New Roman" w:hAnsi="Times New Roman" w:eastAsia="Times New Roman" w:cs="Times New Roman"/>
                      <w:spacing w:val="8"/>
                      <w:sz w:val="20"/>
                      <w:szCs w:val="20"/>
                    </w:rPr>
                    <w:t>“</w:t>
                  </w:r>
                  <w:r>
                    <w:rPr>
                      <w:rFonts w:hint="default" w:ascii="Times New Roman" w:hAnsi="Times New Roman" w:eastAsia="宋体" w:cs="Times New Roman"/>
                      <w:spacing w:val="8"/>
                      <w:sz w:val="20"/>
                      <w:szCs w:val="20"/>
                    </w:rPr>
                    <w:t>六个</w:t>
                  </w:r>
                  <w:r>
                    <w:rPr>
                      <w:rFonts w:hint="default" w:ascii="Times New Roman" w:hAnsi="Times New Roman" w:eastAsia="宋体" w:cs="Times New Roman"/>
                      <w:sz w:val="20"/>
                      <w:szCs w:val="20"/>
                    </w:rPr>
                    <w:t xml:space="preserve"> </w:t>
                  </w:r>
                  <w:r>
                    <w:rPr>
                      <w:rFonts w:hint="default" w:ascii="Times New Roman" w:hAnsi="Times New Roman" w:eastAsia="宋体" w:cs="Times New Roman"/>
                      <w:spacing w:val="-1"/>
                      <w:sz w:val="20"/>
                      <w:szCs w:val="20"/>
                    </w:rPr>
                    <w:t>百分之百</w:t>
                  </w:r>
                  <w:r>
                    <w:rPr>
                      <w:rFonts w:hint="default" w:ascii="Times New Roman" w:hAnsi="Times New Roman" w:eastAsia="Times New Roman" w:cs="Times New Roman"/>
                      <w:spacing w:val="-1"/>
                      <w:sz w:val="20"/>
                      <w:szCs w:val="20"/>
                    </w:rPr>
                    <w:t>”</w:t>
                  </w:r>
                  <w:r>
                    <w:rPr>
                      <w:rFonts w:hint="default" w:ascii="Times New Roman" w:hAnsi="Times New Roman" w:eastAsia="宋体" w:cs="Times New Roman"/>
                      <w:sz w:val="20"/>
                      <w:szCs w:val="20"/>
                    </w:rPr>
                    <w:t>，并安装降尘</w:t>
                  </w:r>
                  <w:r>
                    <w:rPr>
                      <w:rFonts w:hint="default" w:ascii="Times New Roman" w:hAnsi="Times New Roman" w:eastAsia="宋体" w:cs="Times New Roman"/>
                      <w:spacing w:val="5"/>
                      <w:sz w:val="20"/>
                      <w:szCs w:val="20"/>
                    </w:rPr>
                    <w:t>除</w:t>
                  </w:r>
                  <w:r>
                    <w:rPr>
                      <w:rFonts w:hint="default" w:ascii="Times New Roman" w:hAnsi="Times New Roman" w:eastAsia="宋体" w:cs="Times New Roman"/>
                      <w:spacing w:val="3"/>
                      <w:sz w:val="20"/>
                      <w:szCs w:val="20"/>
                    </w:rPr>
                    <w:t>尘设施。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0" w:type="dxa"/>
                  <w:gridSpan w:val="2"/>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ordWrap/>
                    <w:overflowPunct/>
                    <w:topLinePunct w:val="0"/>
                    <w:bidi w:val="0"/>
                    <w:spacing w:before="0" w:beforeLines="0" w:after="0" w:afterLines="0" w:line="240" w:lineRule="auto"/>
                    <w:jc w:val="center"/>
                    <w:rPr>
                      <w:rFonts w:hint="default" w:ascii="Times New Roman" w:hAnsi="Times New Roman" w:cs="Times New Roman"/>
                      <w:sz w:val="21"/>
                      <w:szCs w:val="21"/>
                    </w:rPr>
                  </w:pPr>
                </w:p>
              </w:tc>
              <w:tc>
                <w:tcPr>
                  <w:tcW w:w="874" w:type="dxa"/>
                  <w:vMerge w:val="continue"/>
                  <w:tcBorders>
                    <w:top w:val="nil"/>
                    <w:left w:val="nil"/>
                    <w:bottom w:val="single" w:color="auto" w:sz="4" w:space="0"/>
                    <w:right w:val="single" w:color="auto" w:sz="4" w:space="0"/>
                  </w:tcBorders>
                  <w:noWrap w:val="0"/>
                  <w:vAlign w:val="center"/>
                </w:tcPr>
                <w:p>
                  <w:pPr>
                    <w:keepNext w:val="0"/>
                    <w:keepLines w:val="0"/>
                    <w:pageBreakBefore w:val="0"/>
                    <w:wordWrap/>
                    <w:overflowPunct/>
                    <w:topLinePunct w:val="0"/>
                    <w:bidi w:val="0"/>
                    <w:spacing w:before="0" w:beforeLines="0" w:after="0" w:afterLines="0" w:line="240" w:lineRule="auto"/>
                    <w:jc w:val="center"/>
                    <w:rPr>
                      <w:rFonts w:hint="default" w:ascii="Times New Roman" w:hAnsi="Times New Roman" w:cs="Times New Roman"/>
                      <w:sz w:val="21"/>
                      <w:szCs w:val="21"/>
                    </w:rPr>
                  </w:pPr>
                </w:p>
              </w:tc>
              <w:tc>
                <w:tcPr>
                  <w:tcW w:w="1059" w:type="dxa"/>
                  <w:gridSpan w:val="2"/>
                  <w:vMerge w:val="continue"/>
                  <w:tcBorders>
                    <w:top w:val="nil"/>
                    <w:left w:val="nil"/>
                    <w:bottom w:val="single" w:color="auto" w:sz="4" w:space="0"/>
                    <w:right w:val="single" w:color="auto" w:sz="4" w:space="0"/>
                  </w:tcBorders>
                  <w:noWrap w:val="0"/>
                  <w:vAlign w:val="top"/>
                </w:tcPr>
                <w:p>
                  <w:pPr>
                    <w:keepNext w:val="0"/>
                    <w:keepLines w:val="0"/>
                    <w:pageBreakBefore w:val="0"/>
                    <w:wordWrap/>
                    <w:overflowPunct/>
                    <w:topLinePunct w:val="0"/>
                    <w:bidi w:val="0"/>
                    <w:spacing w:before="0" w:beforeLines="0" w:after="0" w:afterLines="0" w:line="240" w:lineRule="auto"/>
                    <w:jc w:val="center"/>
                    <w:rPr>
                      <w:rFonts w:hint="default" w:ascii="Times New Roman" w:hAnsi="Times New Roman" w:cs="Times New Roman"/>
                      <w:sz w:val="21"/>
                      <w:szCs w:val="21"/>
                    </w:rPr>
                  </w:pPr>
                </w:p>
              </w:tc>
              <w:tc>
                <w:tcPr>
                  <w:tcW w:w="426" w:type="dxa"/>
                  <w:tcBorders>
                    <w:top w:val="single" w:color="auto" w:sz="4" w:space="0"/>
                    <w:left w:val="nil"/>
                    <w:bottom w:val="single" w:color="auto" w:sz="4" w:space="0"/>
                    <w:right w:val="single" w:color="auto" w:sz="4" w:space="0"/>
                  </w:tcBorders>
                  <w:noWrap w:val="0"/>
                  <w:vAlign w:val="center"/>
                </w:tcPr>
                <w:p>
                  <w:pPr>
                    <w:pStyle w:val="37"/>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rPr>
                  </w:pPr>
                  <w:r>
                    <w:rPr>
                      <w:rStyle w:val="254"/>
                      <w:rFonts w:hint="default" w:ascii="Times New Roman" w:hAnsi="Times New Roman" w:eastAsia="宋体" w:cs="Times New Roman"/>
                      <w:color w:val="000000"/>
                      <w:kern w:val="2"/>
                      <w:sz w:val="21"/>
                      <w:szCs w:val="21"/>
                      <w:lang w:val="en-US" w:eastAsia="zh-CN" w:bidi="ar"/>
                    </w:rPr>
                    <w:t>环境风险防控</w:t>
                  </w:r>
                </w:p>
              </w:tc>
              <w:tc>
                <w:tcPr>
                  <w:tcW w:w="2234" w:type="dxa"/>
                  <w:tcBorders>
                    <w:top w:val="single" w:color="auto" w:sz="4" w:space="0"/>
                    <w:left w:val="nil"/>
                    <w:bottom w:val="single" w:color="auto" w:sz="4" w:space="0"/>
                    <w:right w:val="single" w:color="auto" w:sz="4" w:space="0"/>
                  </w:tcBorders>
                  <w:noWrap w:val="0"/>
                  <w:vAlign w:val="center"/>
                </w:tcPr>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同城镇重点管控单元总体准入要求。</w:t>
                  </w:r>
                </w:p>
              </w:tc>
              <w:tc>
                <w:tcPr>
                  <w:tcW w:w="2425" w:type="dxa"/>
                  <w:tcBorders>
                    <w:top w:val="single" w:color="auto" w:sz="4" w:space="0"/>
                    <w:left w:val="nil"/>
                    <w:bottom w:val="single" w:color="auto" w:sz="4" w:space="0"/>
                    <w:right w:val="single" w:color="auto" w:sz="4" w:space="0"/>
                  </w:tcBorders>
                  <w:noWrap w:val="0"/>
                  <w:vAlign w:val="center"/>
                </w:tcPr>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Style w:val="254"/>
                      <w:rFonts w:hint="default" w:ascii="Times New Roman" w:hAnsi="Times New Roman" w:eastAsia="宋体" w:cs="Times New Roman"/>
                      <w:color w:val="000000"/>
                      <w:kern w:val="2"/>
                      <w:sz w:val="21"/>
                      <w:szCs w:val="21"/>
                      <w:shd w:val="clear" w:color="auto" w:fill="FFFFFF"/>
                      <w:lang w:val="en-US" w:eastAsia="zh-CN" w:bidi="ar"/>
                    </w:rPr>
                  </w:pPr>
                  <w:r>
                    <w:rPr>
                      <w:rStyle w:val="254"/>
                      <w:rFonts w:hint="default" w:ascii="Times New Roman" w:hAnsi="Times New Roman" w:eastAsia="宋体" w:cs="Times New Roman"/>
                      <w:color w:val="000000"/>
                      <w:kern w:val="2"/>
                      <w:sz w:val="21"/>
                      <w:szCs w:val="21"/>
                      <w:shd w:val="clear" w:color="auto" w:fill="FFFFFF"/>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0" w:type="dxa"/>
                  <w:gridSpan w:val="2"/>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ordWrap/>
                    <w:overflowPunct/>
                    <w:topLinePunct w:val="0"/>
                    <w:bidi w:val="0"/>
                    <w:spacing w:before="0" w:beforeLines="0" w:after="0" w:afterLines="0" w:line="240" w:lineRule="auto"/>
                    <w:jc w:val="center"/>
                    <w:rPr>
                      <w:rFonts w:hint="default" w:ascii="Times New Roman" w:hAnsi="Times New Roman" w:cs="Times New Roman"/>
                      <w:sz w:val="21"/>
                      <w:szCs w:val="21"/>
                    </w:rPr>
                  </w:pPr>
                </w:p>
              </w:tc>
              <w:tc>
                <w:tcPr>
                  <w:tcW w:w="874" w:type="dxa"/>
                  <w:vMerge w:val="continue"/>
                  <w:tcBorders>
                    <w:top w:val="nil"/>
                    <w:left w:val="nil"/>
                    <w:bottom w:val="single" w:color="auto" w:sz="4" w:space="0"/>
                    <w:right w:val="single" w:color="auto" w:sz="4" w:space="0"/>
                  </w:tcBorders>
                  <w:noWrap w:val="0"/>
                  <w:vAlign w:val="center"/>
                </w:tcPr>
                <w:p>
                  <w:pPr>
                    <w:keepNext w:val="0"/>
                    <w:keepLines w:val="0"/>
                    <w:pageBreakBefore w:val="0"/>
                    <w:wordWrap/>
                    <w:overflowPunct/>
                    <w:topLinePunct w:val="0"/>
                    <w:bidi w:val="0"/>
                    <w:spacing w:before="0" w:beforeLines="0" w:after="0" w:afterLines="0" w:line="240" w:lineRule="auto"/>
                    <w:jc w:val="center"/>
                    <w:rPr>
                      <w:rFonts w:hint="default" w:ascii="Times New Roman" w:hAnsi="Times New Roman" w:cs="Times New Roman"/>
                      <w:sz w:val="21"/>
                      <w:szCs w:val="21"/>
                    </w:rPr>
                  </w:pPr>
                </w:p>
              </w:tc>
              <w:tc>
                <w:tcPr>
                  <w:tcW w:w="1059" w:type="dxa"/>
                  <w:gridSpan w:val="2"/>
                  <w:vMerge w:val="continue"/>
                  <w:tcBorders>
                    <w:top w:val="nil"/>
                    <w:left w:val="nil"/>
                    <w:bottom w:val="single" w:color="auto" w:sz="4" w:space="0"/>
                    <w:right w:val="single" w:color="auto" w:sz="4" w:space="0"/>
                  </w:tcBorders>
                  <w:noWrap w:val="0"/>
                  <w:vAlign w:val="top"/>
                </w:tcPr>
                <w:p>
                  <w:pPr>
                    <w:keepNext w:val="0"/>
                    <w:keepLines w:val="0"/>
                    <w:pageBreakBefore w:val="0"/>
                    <w:wordWrap/>
                    <w:overflowPunct/>
                    <w:topLinePunct w:val="0"/>
                    <w:bidi w:val="0"/>
                    <w:spacing w:before="0" w:beforeLines="0" w:after="0" w:afterLines="0" w:line="240" w:lineRule="auto"/>
                    <w:jc w:val="center"/>
                    <w:rPr>
                      <w:rFonts w:hint="default" w:ascii="Times New Roman" w:hAnsi="Times New Roman" w:cs="Times New Roman"/>
                      <w:sz w:val="21"/>
                      <w:szCs w:val="21"/>
                    </w:rPr>
                  </w:pPr>
                </w:p>
              </w:tc>
              <w:tc>
                <w:tcPr>
                  <w:tcW w:w="426" w:type="dxa"/>
                  <w:tcBorders>
                    <w:top w:val="single" w:color="auto" w:sz="4" w:space="0"/>
                    <w:left w:val="nil"/>
                    <w:bottom w:val="single" w:color="auto" w:sz="4" w:space="0"/>
                    <w:right w:val="single" w:color="auto" w:sz="4" w:space="0"/>
                  </w:tcBorders>
                  <w:noWrap w:val="0"/>
                  <w:vAlign w:val="center"/>
                </w:tcPr>
                <w:p>
                  <w:pPr>
                    <w:pStyle w:val="37"/>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rPr>
                  </w:pPr>
                  <w:r>
                    <w:rPr>
                      <w:rStyle w:val="254"/>
                      <w:rFonts w:hint="default" w:ascii="Times New Roman" w:hAnsi="Times New Roman" w:eastAsia="宋体" w:cs="Times New Roman"/>
                      <w:color w:val="000000"/>
                      <w:kern w:val="2"/>
                      <w:sz w:val="21"/>
                      <w:szCs w:val="21"/>
                      <w:lang w:val="en-US" w:eastAsia="zh-CN" w:bidi="ar"/>
                    </w:rPr>
                    <w:t>资源开发效率要求</w:t>
                  </w:r>
                </w:p>
              </w:tc>
              <w:tc>
                <w:tcPr>
                  <w:tcW w:w="2234" w:type="dxa"/>
                  <w:vMerge w:val="restart"/>
                  <w:tcBorders>
                    <w:top w:val="nil"/>
                    <w:left w:val="nil"/>
                    <w:bottom w:val="single" w:color="auto" w:sz="4" w:space="0"/>
                    <w:right w:val="single" w:color="auto" w:sz="4" w:space="0"/>
                  </w:tcBorders>
                  <w:noWrap w:val="0"/>
                  <w:vAlign w:val="center"/>
                </w:tcPr>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w:t>
                  </w:r>
                </w:p>
              </w:tc>
              <w:tc>
                <w:tcPr>
                  <w:tcW w:w="2425" w:type="dxa"/>
                  <w:tcBorders>
                    <w:top w:val="nil"/>
                    <w:left w:val="nil"/>
                    <w:bottom w:val="single" w:color="auto" w:sz="4" w:space="0"/>
                    <w:right w:val="single" w:color="auto" w:sz="4" w:space="0"/>
                  </w:tcBorders>
                  <w:noWrap w:val="0"/>
                  <w:vAlign w:val="center"/>
                </w:tcPr>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Style w:val="254"/>
                      <w:rFonts w:hint="default" w:ascii="Times New Roman" w:hAnsi="Times New Roman" w:eastAsia="宋体" w:cs="Times New Roman"/>
                      <w:color w:val="000000"/>
                      <w:kern w:val="2"/>
                      <w:sz w:val="21"/>
                      <w:szCs w:val="21"/>
                      <w:shd w:val="clear" w:color="auto" w:fill="FFFFFF"/>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0" w:type="dxa"/>
                  <w:gridSpan w:val="2"/>
                  <w:vMerge w:val="restart"/>
                  <w:tcBorders>
                    <w:top w:val="nil"/>
                    <w:left w:val="single" w:color="auto" w:sz="4" w:space="0"/>
                    <w:bottom w:val="single" w:color="auto" w:sz="4" w:space="0"/>
                    <w:right w:val="single" w:color="auto" w:sz="4" w:space="0"/>
                  </w:tcBorders>
                  <w:noWrap w:val="0"/>
                  <w:vAlign w:val="center"/>
                </w:tcPr>
                <w:p>
                  <w:pPr>
                    <w:pStyle w:val="37"/>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rPr>
                  </w:pPr>
                  <w:r>
                    <w:rPr>
                      <w:rStyle w:val="254"/>
                      <w:rFonts w:hint="default" w:ascii="Times New Roman" w:hAnsi="Times New Roman" w:eastAsia="宋体" w:cs="Times New Roman"/>
                      <w:color w:val="000000"/>
                      <w:kern w:val="2"/>
                      <w:sz w:val="21"/>
                      <w:szCs w:val="21"/>
                      <w:lang w:val="en-US" w:eastAsia="zh-CN" w:bidi="ar"/>
                    </w:rPr>
                    <w:t>YS5111022540006</w:t>
                  </w:r>
                </w:p>
              </w:tc>
              <w:tc>
                <w:tcPr>
                  <w:tcW w:w="874" w:type="dxa"/>
                  <w:vMerge w:val="restart"/>
                  <w:tcBorders>
                    <w:top w:val="nil"/>
                    <w:left w:val="nil"/>
                    <w:bottom w:val="single" w:color="auto" w:sz="4" w:space="0"/>
                    <w:right w:val="single" w:color="auto" w:sz="4" w:space="0"/>
                  </w:tcBorders>
                  <w:noWrap w:val="0"/>
                  <w:vAlign w:val="center"/>
                </w:tcPr>
                <w:p>
                  <w:pPr>
                    <w:pStyle w:val="37"/>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rPr>
                  </w:pPr>
                  <w:r>
                    <w:rPr>
                      <w:rStyle w:val="254"/>
                      <w:rFonts w:hint="default" w:ascii="Times New Roman" w:hAnsi="Times New Roman" w:eastAsia="宋体" w:cs="Times New Roman"/>
                      <w:color w:val="000000"/>
                      <w:kern w:val="2"/>
                      <w:sz w:val="21"/>
                      <w:szCs w:val="21"/>
                      <w:lang w:val="en-US" w:eastAsia="zh-CN" w:bidi="ar"/>
                    </w:rPr>
                    <w:t>市中区禁燃区</w:t>
                  </w:r>
                </w:p>
              </w:tc>
              <w:tc>
                <w:tcPr>
                  <w:tcW w:w="1059" w:type="dxa"/>
                  <w:gridSpan w:val="2"/>
                  <w:vMerge w:val="continue"/>
                  <w:tcBorders>
                    <w:top w:val="nil"/>
                    <w:left w:val="nil"/>
                    <w:bottom w:val="single" w:color="auto" w:sz="4" w:space="0"/>
                    <w:right w:val="single" w:color="auto" w:sz="4" w:space="0"/>
                  </w:tcBorders>
                  <w:noWrap w:val="0"/>
                  <w:vAlign w:val="top"/>
                </w:tcPr>
                <w:p>
                  <w:pPr>
                    <w:keepNext w:val="0"/>
                    <w:keepLines w:val="0"/>
                    <w:pageBreakBefore w:val="0"/>
                    <w:wordWrap/>
                    <w:overflowPunct/>
                    <w:topLinePunct w:val="0"/>
                    <w:bidi w:val="0"/>
                    <w:spacing w:before="0" w:beforeLines="0" w:after="0" w:afterLines="0" w:line="240" w:lineRule="auto"/>
                    <w:jc w:val="center"/>
                    <w:rPr>
                      <w:rFonts w:hint="default" w:ascii="Times New Roman" w:hAnsi="Times New Roman" w:cs="Times New Roman"/>
                      <w:sz w:val="21"/>
                      <w:szCs w:val="21"/>
                    </w:rPr>
                  </w:pPr>
                </w:p>
              </w:tc>
              <w:tc>
                <w:tcPr>
                  <w:tcW w:w="426" w:type="dxa"/>
                  <w:tcBorders>
                    <w:top w:val="single" w:color="auto" w:sz="4" w:space="0"/>
                    <w:left w:val="nil"/>
                    <w:bottom w:val="single" w:color="auto" w:sz="4" w:space="0"/>
                    <w:right w:val="single" w:color="auto" w:sz="4" w:space="0"/>
                  </w:tcBorders>
                  <w:noWrap w:val="0"/>
                  <w:vAlign w:val="center"/>
                </w:tcPr>
                <w:p>
                  <w:pPr>
                    <w:pStyle w:val="37"/>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rPr>
                  </w:pPr>
                  <w:r>
                    <w:rPr>
                      <w:rStyle w:val="254"/>
                      <w:rFonts w:hint="default" w:ascii="Times New Roman" w:hAnsi="Times New Roman" w:eastAsia="宋体" w:cs="Times New Roman"/>
                      <w:color w:val="000000"/>
                      <w:kern w:val="2"/>
                      <w:sz w:val="21"/>
                      <w:szCs w:val="21"/>
                      <w:lang w:val="en-US" w:eastAsia="zh-CN" w:bidi="ar"/>
                    </w:rPr>
                    <w:t>空间布局约束</w:t>
                  </w:r>
                </w:p>
              </w:tc>
              <w:tc>
                <w:tcPr>
                  <w:tcW w:w="2234" w:type="dxa"/>
                  <w:vMerge w:val="continue"/>
                  <w:tcBorders>
                    <w:top w:val="nil"/>
                    <w:left w:val="nil"/>
                    <w:bottom w:val="single" w:color="auto" w:sz="4" w:space="0"/>
                    <w:right w:val="single" w:color="auto" w:sz="4" w:space="0"/>
                  </w:tcBorders>
                  <w:noWrap w:val="0"/>
                  <w:vAlign w:val="center"/>
                </w:tcPr>
                <w:p>
                  <w:pPr>
                    <w:keepNext w:val="0"/>
                    <w:keepLines w:val="0"/>
                    <w:pageBreakBefore w:val="0"/>
                    <w:wordWrap/>
                    <w:overflowPunct/>
                    <w:topLinePunct w:val="0"/>
                    <w:bidi w:val="0"/>
                    <w:spacing w:before="0" w:beforeLines="0" w:after="0" w:afterLines="0" w:line="240" w:lineRule="auto"/>
                    <w:jc w:val="center"/>
                    <w:rPr>
                      <w:rFonts w:hint="default" w:ascii="Times New Roman" w:hAnsi="Times New Roman" w:cs="Times New Roman"/>
                      <w:sz w:val="21"/>
                      <w:szCs w:val="21"/>
                    </w:rPr>
                  </w:pPr>
                </w:p>
              </w:tc>
              <w:tc>
                <w:tcPr>
                  <w:tcW w:w="2425" w:type="dxa"/>
                  <w:tcBorders>
                    <w:top w:val="nil"/>
                    <w:left w:val="nil"/>
                    <w:bottom w:val="single" w:color="auto" w:sz="4" w:space="0"/>
                    <w:right w:val="single" w:color="auto" w:sz="4" w:space="0"/>
                  </w:tcBorders>
                  <w:noWrap w:val="0"/>
                  <w:vAlign w:val="center"/>
                </w:tcPr>
                <w:p>
                  <w:pPr>
                    <w:keepNext w:val="0"/>
                    <w:keepLines w:val="0"/>
                    <w:pageBreakBefore w:val="0"/>
                    <w:wordWrap/>
                    <w:overflowPunct/>
                    <w:topLinePunct w:val="0"/>
                    <w:bidi w:val="0"/>
                    <w:spacing w:before="0" w:beforeLines="0" w:after="0" w:afterLines="0"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0" w:type="dxa"/>
                  <w:gridSpan w:val="2"/>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ordWrap/>
                    <w:overflowPunct/>
                    <w:topLinePunct w:val="0"/>
                    <w:bidi w:val="0"/>
                    <w:spacing w:before="0" w:beforeLines="0" w:after="0" w:afterLines="0" w:line="240" w:lineRule="auto"/>
                    <w:jc w:val="center"/>
                    <w:rPr>
                      <w:rFonts w:hint="default" w:ascii="Times New Roman" w:hAnsi="Times New Roman" w:cs="Times New Roman"/>
                      <w:sz w:val="21"/>
                      <w:szCs w:val="21"/>
                    </w:rPr>
                  </w:pPr>
                </w:p>
              </w:tc>
              <w:tc>
                <w:tcPr>
                  <w:tcW w:w="874" w:type="dxa"/>
                  <w:vMerge w:val="continue"/>
                  <w:tcBorders>
                    <w:top w:val="nil"/>
                    <w:left w:val="nil"/>
                    <w:bottom w:val="single" w:color="auto" w:sz="4" w:space="0"/>
                    <w:right w:val="single" w:color="auto" w:sz="4" w:space="0"/>
                  </w:tcBorders>
                  <w:noWrap w:val="0"/>
                  <w:vAlign w:val="center"/>
                </w:tcPr>
                <w:p>
                  <w:pPr>
                    <w:keepNext w:val="0"/>
                    <w:keepLines w:val="0"/>
                    <w:pageBreakBefore w:val="0"/>
                    <w:wordWrap/>
                    <w:overflowPunct/>
                    <w:topLinePunct w:val="0"/>
                    <w:bidi w:val="0"/>
                    <w:spacing w:before="0" w:beforeLines="0" w:after="0" w:afterLines="0" w:line="240" w:lineRule="auto"/>
                    <w:jc w:val="center"/>
                    <w:rPr>
                      <w:rFonts w:hint="default" w:ascii="Times New Roman" w:hAnsi="Times New Roman" w:cs="Times New Roman"/>
                      <w:sz w:val="21"/>
                      <w:szCs w:val="21"/>
                    </w:rPr>
                  </w:pPr>
                </w:p>
              </w:tc>
              <w:tc>
                <w:tcPr>
                  <w:tcW w:w="1059" w:type="dxa"/>
                  <w:gridSpan w:val="2"/>
                  <w:vMerge w:val="continue"/>
                  <w:tcBorders>
                    <w:top w:val="nil"/>
                    <w:left w:val="nil"/>
                    <w:bottom w:val="single" w:color="auto" w:sz="4" w:space="0"/>
                    <w:right w:val="single" w:color="auto" w:sz="4" w:space="0"/>
                  </w:tcBorders>
                  <w:noWrap w:val="0"/>
                  <w:vAlign w:val="top"/>
                </w:tcPr>
                <w:p>
                  <w:pPr>
                    <w:keepNext w:val="0"/>
                    <w:keepLines w:val="0"/>
                    <w:pageBreakBefore w:val="0"/>
                    <w:wordWrap/>
                    <w:overflowPunct/>
                    <w:topLinePunct w:val="0"/>
                    <w:bidi w:val="0"/>
                    <w:spacing w:before="0" w:beforeLines="0" w:after="0" w:afterLines="0" w:line="240" w:lineRule="auto"/>
                    <w:jc w:val="center"/>
                    <w:rPr>
                      <w:rFonts w:hint="default" w:ascii="Times New Roman" w:hAnsi="Times New Roman" w:cs="Times New Roman"/>
                      <w:sz w:val="21"/>
                      <w:szCs w:val="21"/>
                    </w:rPr>
                  </w:pPr>
                </w:p>
              </w:tc>
              <w:tc>
                <w:tcPr>
                  <w:tcW w:w="426" w:type="dxa"/>
                  <w:tcBorders>
                    <w:top w:val="single" w:color="auto" w:sz="4" w:space="0"/>
                    <w:left w:val="nil"/>
                    <w:bottom w:val="single" w:color="auto" w:sz="4" w:space="0"/>
                    <w:right w:val="single" w:color="auto" w:sz="4" w:space="0"/>
                  </w:tcBorders>
                  <w:noWrap w:val="0"/>
                  <w:vAlign w:val="center"/>
                </w:tcPr>
                <w:p>
                  <w:pPr>
                    <w:pStyle w:val="37"/>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rPr>
                  </w:pPr>
                  <w:r>
                    <w:rPr>
                      <w:rStyle w:val="254"/>
                      <w:rFonts w:hint="default" w:ascii="Times New Roman" w:hAnsi="Times New Roman" w:eastAsia="宋体" w:cs="Times New Roman"/>
                      <w:color w:val="000000"/>
                      <w:kern w:val="2"/>
                      <w:sz w:val="21"/>
                      <w:szCs w:val="21"/>
                      <w:lang w:val="en-US" w:eastAsia="zh-CN" w:bidi="ar"/>
                    </w:rPr>
                    <w:t>污染物排放管控</w:t>
                  </w:r>
                </w:p>
              </w:tc>
              <w:tc>
                <w:tcPr>
                  <w:tcW w:w="2234" w:type="dxa"/>
                  <w:vMerge w:val="continue"/>
                  <w:tcBorders>
                    <w:top w:val="nil"/>
                    <w:left w:val="nil"/>
                    <w:bottom w:val="single" w:color="auto" w:sz="4" w:space="0"/>
                    <w:right w:val="single" w:color="auto" w:sz="4" w:space="0"/>
                  </w:tcBorders>
                  <w:noWrap w:val="0"/>
                  <w:vAlign w:val="center"/>
                </w:tcPr>
                <w:p>
                  <w:pPr>
                    <w:keepNext w:val="0"/>
                    <w:keepLines w:val="0"/>
                    <w:pageBreakBefore w:val="0"/>
                    <w:wordWrap/>
                    <w:overflowPunct/>
                    <w:topLinePunct w:val="0"/>
                    <w:bidi w:val="0"/>
                    <w:spacing w:before="0" w:beforeLines="0" w:after="0" w:afterLines="0" w:line="240" w:lineRule="auto"/>
                    <w:jc w:val="center"/>
                    <w:rPr>
                      <w:rFonts w:hint="default" w:ascii="Times New Roman" w:hAnsi="Times New Roman" w:cs="Times New Roman"/>
                      <w:sz w:val="21"/>
                      <w:szCs w:val="21"/>
                    </w:rPr>
                  </w:pPr>
                </w:p>
              </w:tc>
              <w:tc>
                <w:tcPr>
                  <w:tcW w:w="2425" w:type="dxa"/>
                  <w:tcBorders>
                    <w:top w:val="nil"/>
                    <w:left w:val="nil"/>
                    <w:bottom w:val="single" w:color="auto" w:sz="4" w:space="0"/>
                    <w:right w:val="single" w:color="auto" w:sz="4" w:space="0"/>
                  </w:tcBorders>
                  <w:noWrap w:val="0"/>
                  <w:vAlign w:val="center"/>
                </w:tcPr>
                <w:p>
                  <w:pPr>
                    <w:keepNext w:val="0"/>
                    <w:keepLines w:val="0"/>
                    <w:pageBreakBefore w:val="0"/>
                    <w:wordWrap/>
                    <w:overflowPunct/>
                    <w:topLinePunct w:val="0"/>
                    <w:bidi w:val="0"/>
                    <w:spacing w:before="0" w:beforeLines="0" w:after="0" w:afterLines="0"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0" w:type="dxa"/>
                  <w:gridSpan w:val="2"/>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ordWrap/>
                    <w:overflowPunct/>
                    <w:topLinePunct w:val="0"/>
                    <w:bidi w:val="0"/>
                    <w:spacing w:before="0" w:beforeLines="0" w:after="0" w:afterLines="0" w:line="240" w:lineRule="auto"/>
                    <w:jc w:val="center"/>
                    <w:rPr>
                      <w:rFonts w:hint="default" w:ascii="Times New Roman" w:hAnsi="Times New Roman" w:cs="Times New Roman"/>
                      <w:sz w:val="21"/>
                      <w:szCs w:val="21"/>
                    </w:rPr>
                  </w:pPr>
                </w:p>
              </w:tc>
              <w:tc>
                <w:tcPr>
                  <w:tcW w:w="874" w:type="dxa"/>
                  <w:vMerge w:val="continue"/>
                  <w:tcBorders>
                    <w:top w:val="nil"/>
                    <w:left w:val="nil"/>
                    <w:bottom w:val="single" w:color="auto" w:sz="4" w:space="0"/>
                    <w:right w:val="single" w:color="auto" w:sz="4" w:space="0"/>
                  </w:tcBorders>
                  <w:noWrap w:val="0"/>
                  <w:vAlign w:val="center"/>
                </w:tcPr>
                <w:p>
                  <w:pPr>
                    <w:keepNext w:val="0"/>
                    <w:keepLines w:val="0"/>
                    <w:pageBreakBefore w:val="0"/>
                    <w:wordWrap/>
                    <w:overflowPunct/>
                    <w:topLinePunct w:val="0"/>
                    <w:bidi w:val="0"/>
                    <w:spacing w:before="0" w:beforeLines="0" w:after="0" w:afterLines="0" w:line="240" w:lineRule="auto"/>
                    <w:jc w:val="center"/>
                    <w:rPr>
                      <w:rFonts w:hint="default" w:ascii="Times New Roman" w:hAnsi="Times New Roman" w:cs="Times New Roman"/>
                      <w:sz w:val="21"/>
                      <w:szCs w:val="21"/>
                    </w:rPr>
                  </w:pPr>
                </w:p>
              </w:tc>
              <w:tc>
                <w:tcPr>
                  <w:tcW w:w="1059" w:type="dxa"/>
                  <w:gridSpan w:val="2"/>
                  <w:vMerge w:val="continue"/>
                  <w:tcBorders>
                    <w:top w:val="nil"/>
                    <w:left w:val="nil"/>
                    <w:bottom w:val="single" w:color="auto" w:sz="4" w:space="0"/>
                    <w:right w:val="single" w:color="auto" w:sz="4" w:space="0"/>
                  </w:tcBorders>
                  <w:noWrap w:val="0"/>
                  <w:vAlign w:val="top"/>
                </w:tcPr>
                <w:p>
                  <w:pPr>
                    <w:keepNext w:val="0"/>
                    <w:keepLines w:val="0"/>
                    <w:pageBreakBefore w:val="0"/>
                    <w:wordWrap/>
                    <w:overflowPunct/>
                    <w:topLinePunct w:val="0"/>
                    <w:bidi w:val="0"/>
                    <w:spacing w:before="0" w:beforeLines="0" w:after="0" w:afterLines="0" w:line="240" w:lineRule="auto"/>
                    <w:jc w:val="center"/>
                    <w:rPr>
                      <w:rFonts w:hint="default" w:ascii="Times New Roman" w:hAnsi="Times New Roman" w:cs="Times New Roman"/>
                      <w:sz w:val="21"/>
                      <w:szCs w:val="21"/>
                    </w:rPr>
                  </w:pPr>
                </w:p>
              </w:tc>
              <w:tc>
                <w:tcPr>
                  <w:tcW w:w="426" w:type="dxa"/>
                  <w:tcBorders>
                    <w:top w:val="single" w:color="auto" w:sz="4" w:space="0"/>
                    <w:left w:val="nil"/>
                    <w:bottom w:val="single" w:color="auto" w:sz="4" w:space="0"/>
                    <w:right w:val="single" w:color="auto" w:sz="4" w:space="0"/>
                  </w:tcBorders>
                  <w:noWrap w:val="0"/>
                  <w:vAlign w:val="center"/>
                </w:tcPr>
                <w:p>
                  <w:pPr>
                    <w:pStyle w:val="37"/>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rPr>
                  </w:pPr>
                  <w:r>
                    <w:rPr>
                      <w:rStyle w:val="254"/>
                      <w:rFonts w:hint="default" w:ascii="Times New Roman" w:hAnsi="Times New Roman" w:eastAsia="宋体" w:cs="Times New Roman"/>
                      <w:color w:val="000000"/>
                      <w:kern w:val="2"/>
                      <w:sz w:val="21"/>
                      <w:szCs w:val="21"/>
                      <w:lang w:val="en-US" w:eastAsia="zh-CN" w:bidi="ar"/>
                    </w:rPr>
                    <w:t>环境风险防控</w:t>
                  </w:r>
                </w:p>
              </w:tc>
              <w:tc>
                <w:tcPr>
                  <w:tcW w:w="2234" w:type="dxa"/>
                  <w:vMerge w:val="continue"/>
                  <w:tcBorders>
                    <w:top w:val="nil"/>
                    <w:left w:val="nil"/>
                    <w:bottom w:val="single" w:color="auto" w:sz="4" w:space="0"/>
                    <w:right w:val="single" w:color="auto" w:sz="4" w:space="0"/>
                  </w:tcBorders>
                  <w:noWrap w:val="0"/>
                  <w:vAlign w:val="center"/>
                </w:tcPr>
                <w:p>
                  <w:pPr>
                    <w:keepNext w:val="0"/>
                    <w:keepLines w:val="0"/>
                    <w:pageBreakBefore w:val="0"/>
                    <w:wordWrap/>
                    <w:overflowPunct/>
                    <w:topLinePunct w:val="0"/>
                    <w:bidi w:val="0"/>
                    <w:spacing w:before="0" w:beforeLines="0" w:after="0" w:afterLines="0" w:line="240" w:lineRule="auto"/>
                    <w:jc w:val="center"/>
                    <w:rPr>
                      <w:rFonts w:hint="default" w:ascii="Times New Roman" w:hAnsi="Times New Roman" w:cs="Times New Roman"/>
                      <w:sz w:val="21"/>
                      <w:szCs w:val="21"/>
                    </w:rPr>
                  </w:pPr>
                </w:p>
              </w:tc>
              <w:tc>
                <w:tcPr>
                  <w:tcW w:w="2425" w:type="dxa"/>
                  <w:tcBorders>
                    <w:top w:val="nil"/>
                    <w:left w:val="nil"/>
                    <w:bottom w:val="single" w:color="auto" w:sz="4" w:space="0"/>
                    <w:right w:val="single" w:color="auto" w:sz="4" w:space="0"/>
                  </w:tcBorders>
                  <w:noWrap w:val="0"/>
                  <w:vAlign w:val="center"/>
                </w:tcPr>
                <w:p>
                  <w:pPr>
                    <w:keepNext w:val="0"/>
                    <w:keepLines w:val="0"/>
                    <w:pageBreakBefore w:val="0"/>
                    <w:wordWrap/>
                    <w:overflowPunct/>
                    <w:topLinePunct w:val="0"/>
                    <w:bidi w:val="0"/>
                    <w:spacing w:before="0" w:beforeLines="0" w:after="0" w:afterLines="0"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30" w:type="dxa"/>
                  <w:gridSpan w:val="2"/>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ordWrap/>
                    <w:overflowPunct/>
                    <w:topLinePunct w:val="0"/>
                    <w:bidi w:val="0"/>
                    <w:spacing w:before="0" w:beforeLines="0" w:after="0" w:afterLines="0" w:line="240" w:lineRule="auto"/>
                    <w:jc w:val="center"/>
                    <w:rPr>
                      <w:rFonts w:hint="default" w:ascii="Times New Roman" w:hAnsi="Times New Roman" w:cs="Times New Roman"/>
                      <w:sz w:val="21"/>
                      <w:szCs w:val="21"/>
                    </w:rPr>
                  </w:pPr>
                </w:p>
              </w:tc>
              <w:tc>
                <w:tcPr>
                  <w:tcW w:w="874" w:type="dxa"/>
                  <w:vMerge w:val="continue"/>
                  <w:tcBorders>
                    <w:top w:val="nil"/>
                    <w:left w:val="nil"/>
                    <w:bottom w:val="single" w:color="auto" w:sz="4" w:space="0"/>
                    <w:right w:val="single" w:color="auto" w:sz="4" w:space="0"/>
                  </w:tcBorders>
                  <w:noWrap w:val="0"/>
                  <w:vAlign w:val="center"/>
                </w:tcPr>
                <w:p>
                  <w:pPr>
                    <w:keepNext w:val="0"/>
                    <w:keepLines w:val="0"/>
                    <w:pageBreakBefore w:val="0"/>
                    <w:wordWrap/>
                    <w:overflowPunct/>
                    <w:topLinePunct w:val="0"/>
                    <w:bidi w:val="0"/>
                    <w:spacing w:before="0" w:beforeLines="0" w:after="0" w:afterLines="0" w:line="240" w:lineRule="auto"/>
                    <w:jc w:val="center"/>
                    <w:rPr>
                      <w:rFonts w:hint="default" w:ascii="Times New Roman" w:hAnsi="Times New Roman" w:cs="Times New Roman"/>
                      <w:sz w:val="21"/>
                      <w:szCs w:val="21"/>
                    </w:rPr>
                  </w:pPr>
                </w:p>
              </w:tc>
              <w:tc>
                <w:tcPr>
                  <w:tcW w:w="1059" w:type="dxa"/>
                  <w:gridSpan w:val="2"/>
                  <w:vMerge w:val="continue"/>
                  <w:tcBorders>
                    <w:top w:val="nil"/>
                    <w:left w:val="nil"/>
                    <w:bottom w:val="single" w:color="auto" w:sz="4" w:space="0"/>
                    <w:right w:val="single" w:color="auto" w:sz="4" w:space="0"/>
                  </w:tcBorders>
                  <w:noWrap w:val="0"/>
                  <w:vAlign w:val="top"/>
                </w:tcPr>
                <w:p>
                  <w:pPr>
                    <w:keepNext w:val="0"/>
                    <w:keepLines w:val="0"/>
                    <w:pageBreakBefore w:val="0"/>
                    <w:wordWrap/>
                    <w:overflowPunct/>
                    <w:topLinePunct w:val="0"/>
                    <w:bidi w:val="0"/>
                    <w:spacing w:before="0" w:beforeLines="0" w:after="0" w:afterLines="0" w:line="240" w:lineRule="auto"/>
                    <w:jc w:val="center"/>
                    <w:rPr>
                      <w:rFonts w:hint="default" w:ascii="Times New Roman" w:hAnsi="Times New Roman" w:cs="Times New Roman"/>
                      <w:sz w:val="21"/>
                      <w:szCs w:val="21"/>
                    </w:rPr>
                  </w:pPr>
                </w:p>
              </w:tc>
              <w:tc>
                <w:tcPr>
                  <w:tcW w:w="426" w:type="dxa"/>
                  <w:tcBorders>
                    <w:top w:val="single" w:color="auto" w:sz="4" w:space="0"/>
                    <w:left w:val="nil"/>
                    <w:bottom w:val="single" w:color="auto" w:sz="4" w:space="0"/>
                    <w:right w:val="single" w:color="auto" w:sz="4" w:space="0"/>
                  </w:tcBorders>
                  <w:noWrap w:val="0"/>
                  <w:vAlign w:val="center"/>
                </w:tcPr>
                <w:p>
                  <w:pPr>
                    <w:pStyle w:val="37"/>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rPr>
                  </w:pPr>
                  <w:r>
                    <w:rPr>
                      <w:rStyle w:val="254"/>
                      <w:rFonts w:hint="default" w:ascii="Times New Roman" w:hAnsi="Times New Roman" w:eastAsia="宋体" w:cs="Times New Roman"/>
                      <w:color w:val="000000"/>
                      <w:kern w:val="2"/>
                      <w:sz w:val="21"/>
                      <w:szCs w:val="21"/>
                      <w:lang w:val="en-US" w:eastAsia="zh-CN" w:bidi="ar"/>
                    </w:rPr>
                    <w:t>资源开发效率要求</w:t>
                  </w:r>
                </w:p>
              </w:tc>
              <w:tc>
                <w:tcPr>
                  <w:tcW w:w="2234" w:type="dxa"/>
                  <w:tcBorders>
                    <w:top w:val="single" w:color="auto" w:sz="4" w:space="0"/>
                    <w:left w:val="nil"/>
                    <w:bottom w:val="single" w:color="auto" w:sz="4" w:space="0"/>
                    <w:right w:val="single" w:color="auto" w:sz="4" w:space="0"/>
                  </w:tcBorders>
                  <w:noWrap w:val="0"/>
                  <w:vAlign w:val="center"/>
                </w:tcPr>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土地资源开发效率要求</w:t>
                  </w:r>
                </w:p>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能源资源开发效率要求</w:t>
                  </w:r>
                </w:p>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能源消耗、污染物排放不得超过能源利用上线控制性指标</w:t>
                  </w:r>
                </w:p>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其他资源开发效率要求</w:t>
                  </w:r>
                </w:p>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实施煤炭消费总量控制：严格控制煤炭消费总量；严格控制新建、改建、扩建耗煤项目，新增耗煤项目实行当年煤炭消耗减量倍量替代。（依据：《乐山市打赢蓝天保卫战实施方案》）</w:t>
                  </w:r>
                </w:p>
              </w:tc>
              <w:tc>
                <w:tcPr>
                  <w:tcW w:w="2425" w:type="dxa"/>
                  <w:tcBorders>
                    <w:top w:val="single" w:color="auto" w:sz="4" w:space="0"/>
                    <w:left w:val="nil"/>
                    <w:bottom w:val="single" w:color="auto" w:sz="4" w:space="0"/>
                    <w:right w:val="single" w:color="auto" w:sz="4" w:space="0"/>
                  </w:tcBorders>
                  <w:noWrap w:val="0"/>
                  <w:vAlign w:val="center"/>
                </w:tcPr>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Style w:val="254"/>
                      <w:rFonts w:hint="default" w:ascii="Times New Roman" w:hAnsi="Times New Roman" w:eastAsia="宋体" w:cs="Times New Roman"/>
                      <w:color w:val="000000"/>
                      <w:kern w:val="2"/>
                      <w:sz w:val="21"/>
                      <w:szCs w:val="21"/>
                      <w:shd w:val="clear" w:color="auto" w:fill="FFFFFF"/>
                      <w:lang w:val="en-US" w:eastAsia="zh-CN" w:bidi="ar"/>
                    </w:rPr>
                  </w:pPr>
                  <w:r>
                    <w:rPr>
                      <w:rStyle w:val="254"/>
                      <w:rFonts w:hint="default" w:ascii="Times New Roman" w:hAnsi="Times New Roman" w:eastAsia="宋体" w:cs="Times New Roman"/>
                      <w:color w:val="000000"/>
                      <w:kern w:val="2"/>
                      <w:sz w:val="21"/>
                      <w:szCs w:val="21"/>
                      <w:shd w:val="clear" w:color="auto" w:fill="FFFFFF"/>
                      <w:lang w:val="en-US" w:eastAsia="zh-CN" w:bidi="ar"/>
                    </w:rPr>
                    <w:t>主要使用电能及河水，不涉及高污染燃料使用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0" w:type="dxa"/>
                  <w:gridSpan w:val="2"/>
                  <w:vMerge w:val="restart"/>
                  <w:tcBorders>
                    <w:top w:val="nil"/>
                    <w:left w:val="single" w:color="auto" w:sz="4" w:space="0"/>
                    <w:bottom w:val="single" w:color="auto" w:sz="4" w:space="0"/>
                    <w:right w:val="single" w:color="auto" w:sz="4" w:space="0"/>
                  </w:tcBorders>
                  <w:noWrap w:val="0"/>
                  <w:vAlign w:val="center"/>
                </w:tcPr>
                <w:p>
                  <w:pPr>
                    <w:pStyle w:val="37"/>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rPr>
                  </w:pPr>
                  <w:r>
                    <w:rPr>
                      <w:rStyle w:val="254"/>
                      <w:rFonts w:hint="default" w:ascii="Times New Roman" w:hAnsi="Times New Roman" w:eastAsia="宋体" w:cs="Times New Roman"/>
                      <w:color w:val="000000"/>
                      <w:kern w:val="2"/>
                      <w:sz w:val="21"/>
                      <w:szCs w:val="21"/>
                      <w:lang w:val="en-US" w:eastAsia="zh-CN" w:bidi="ar"/>
                    </w:rPr>
                    <w:t>YS5111022550001</w:t>
                  </w:r>
                </w:p>
              </w:tc>
              <w:tc>
                <w:tcPr>
                  <w:tcW w:w="874" w:type="dxa"/>
                  <w:vMerge w:val="restart"/>
                  <w:tcBorders>
                    <w:top w:val="nil"/>
                    <w:left w:val="nil"/>
                    <w:bottom w:val="single" w:color="auto" w:sz="4" w:space="0"/>
                    <w:right w:val="single" w:color="auto" w:sz="4" w:space="0"/>
                  </w:tcBorders>
                  <w:noWrap w:val="0"/>
                  <w:vAlign w:val="center"/>
                </w:tcPr>
                <w:p>
                  <w:pPr>
                    <w:pStyle w:val="37"/>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rPr>
                  </w:pPr>
                  <w:r>
                    <w:rPr>
                      <w:rStyle w:val="254"/>
                      <w:rFonts w:hint="default" w:ascii="Times New Roman" w:hAnsi="Times New Roman" w:eastAsia="宋体" w:cs="Times New Roman"/>
                      <w:color w:val="000000"/>
                      <w:kern w:val="2"/>
                      <w:sz w:val="21"/>
                      <w:szCs w:val="21"/>
                      <w:lang w:val="en-US" w:eastAsia="zh-CN" w:bidi="ar"/>
                    </w:rPr>
                    <w:t>市中区自然资源重点管控区</w:t>
                  </w:r>
                </w:p>
              </w:tc>
              <w:tc>
                <w:tcPr>
                  <w:tcW w:w="1059" w:type="dxa"/>
                  <w:gridSpan w:val="2"/>
                  <w:vMerge w:val="continue"/>
                  <w:tcBorders>
                    <w:top w:val="nil"/>
                    <w:left w:val="nil"/>
                    <w:bottom w:val="single" w:color="auto" w:sz="4" w:space="0"/>
                    <w:right w:val="single" w:color="auto" w:sz="4" w:space="0"/>
                  </w:tcBorders>
                  <w:noWrap w:val="0"/>
                  <w:vAlign w:val="top"/>
                </w:tcPr>
                <w:p>
                  <w:pPr>
                    <w:keepNext w:val="0"/>
                    <w:keepLines w:val="0"/>
                    <w:pageBreakBefore w:val="0"/>
                    <w:wordWrap/>
                    <w:overflowPunct/>
                    <w:topLinePunct w:val="0"/>
                    <w:bidi w:val="0"/>
                    <w:spacing w:before="0" w:beforeLines="0" w:after="0" w:afterLines="0" w:line="240" w:lineRule="auto"/>
                    <w:jc w:val="center"/>
                    <w:rPr>
                      <w:rFonts w:hint="default" w:ascii="Times New Roman" w:hAnsi="Times New Roman" w:cs="Times New Roman"/>
                      <w:sz w:val="21"/>
                      <w:szCs w:val="21"/>
                    </w:rPr>
                  </w:pPr>
                </w:p>
              </w:tc>
              <w:tc>
                <w:tcPr>
                  <w:tcW w:w="426" w:type="dxa"/>
                  <w:tcBorders>
                    <w:top w:val="single" w:color="auto" w:sz="4" w:space="0"/>
                    <w:left w:val="nil"/>
                    <w:bottom w:val="single" w:color="auto" w:sz="4" w:space="0"/>
                    <w:right w:val="single" w:color="auto" w:sz="4" w:space="0"/>
                  </w:tcBorders>
                  <w:noWrap w:val="0"/>
                  <w:vAlign w:val="center"/>
                </w:tcPr>
                <w:p>
                  <w:pPr>
                    <w:pStyle w:val="37"/>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rPr>
                  </w:pPr>
                  <w:r>
                    <w:rPr>
                      <w:rStyle w:val="254"/>
                      <w:rFonts w:hint="default" w:ascii="Times New Roman" w:hAnsi="Times New Roman" w:eastAsia="宋体" w:cs="Times New Roman"/>
                      <w:color w:val="000000"/>
                      <w:kern w:val="2"/>
                      <w:sz w:val="21"/>
                      <w:szCs w:val="21"/>
                      <w:lang w:val="en-US" w:eastAsia="zh-CN" w:bidi="ar"/>
                    </w:rPr>
                    <w:t>空间布局约束</w:t>
                  </w:r>
                </w:p>
              </w:tc>
              <w:tc>
                <w:tcPr>
                  <w:tcW w:w="2234" w:type="dxa"/>
                  <w:tcBorders>
                    <w:top w:val="single" w:color="auto" w:sz="4" w:space="0"/>
                    <w:left w:val="nil"/>
                    <w:bottom w:val="single" w:color="auto" w:sz="4" w:space="0"/>
                    <w:right w:val="single" w:color="auto" w:sz="4" w:space="0"/>
                  </w:tcBorders>
                  <w:noWrap w:val="0"/>
                  <w:vAlign w:val="center"/>
                </w:tcPr>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合理开发高效利用水资源，建设节水型社会；优化土地利用布局与结构；优化产业空间布局，构建清洁能源体系</w:t>
                  </w:r>
                </w:p>
              </w:tc>
              <w:tc>
                <w:tcPr>
                  <w:tcW w:w="2425" w:type="dxa"/>
                  <w:tcBorders>
                    <w:top w:val="single" w:color="auto" w:sz="4" w:space="0"/>
                    <w:left w:val="nil"/>
                    <w:bottom w:val="single" w:color="auto" w:sz="4" w:space="0"/>
                    <w:right w:val="single" w:color="auto" w:sz="4" w:space="0"/>
                  </w:tcBorders>
                  <w:noWrap w:val="0"/>
                  <w:vAlign w:val="center"/>
                </w:tcPr>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Style w:val="254"/>
                      <w:rFonts w:hint="default" w:ascii="Times New Roman" w:hAnsi="Times New Roman" w:eastAsia="宋体" w:cs="Times New Roman"/>
                      <w:color w:val="000000"/>
                      <w:kern w:val="2"/>
                      <w:sz w:val="21"/>
                      <w:szCs w:val="21"/>
                      <w:shd w:val="clear" w:color="auto" w:fill="FFFFFF"/>
                      <w:lang w:val="en-US" w:eastAsia="zh-CN" w:bidi="ar"/>
                    </w:rPr>
                  </w:pPr>
                  <w:r>
                    <w:rPr>
                      <w:rStyle w:val="254"/>
                      <w:rFonts w:hint="default" w:ascii="Times New Roman" w:hAnsi="Times New Roman" w:eastAsia="宋体" w:cs="Times New Roman"/>
                      <w:color w:val="000000"/>
                      <w:kern w:val="2"/>
                      <w:sz w:val="21"/>
                      <w:szCs w:val="21"/>
                      <w:shd w:val="clear" w:color="auto" w:fill="FFFFFF"/>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0" w:type="dxa"/>
                  <w:gridSpan w:val="2"/>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ordWrap/>
                    <w:overflowPunct/>
                    <w:topLinePunct w:val="0"/>
                    <w:bidi w:val="0"/>
                    <w:spacing w:before="0" w:beforeLines="0" w:after="0" w:afterLines="0" w:line="240" w:lineRule="auto"/>
                    <w:jc w:val="center"/>
                    <w:rPr>
                      <w:rFonts w:hint="default" w:ascii="Times New Roman" w:hAnsi="Times New Roman" w:cs="Times New Roman"/>
                      <w:sz w:val="21"/>
                      <w:szCs w:val="21"/>
                    </w:rPr>
                  </w:pPr>
                </w:p>
              </w:tc>
              <w:tc>
                <w:tcPr>
                  <w:tcW w:w="874" w:type="dxa"/>
                  <w:vMerge w:val="continue"/>
                  <w:tcBorders>
                    <w:top w:val="nil"/>
                    <w:left w:val="nil"/>
                    <w:bottom w:val="single" w:color="auto" w:sz="4" w:space="0"/>
                    <w:right w:val="single" w:color="auto" w:sz="4" w:space="0"/>
                  </w:tcBorders>
                  <w:noWrap w:val="0"/>
                  <w:vAlign w:val="center"/>
                </w:tcPr>
                <w:p>
                  <w:pPr>
                    <w:keepNext w:val="0"/>
                    <w:keepLines w:val="0"/>
                    <w:pageBreakBefore w:val="0"/>
                    <w:wordWrap/>
                    <w:overflowPunct/>
                    <w:topLinePunct w:val="0"/>
                    <w:bidi w:val="0"/>
                    <w:spacing w:before="0" w:beforeLines="0" w:after="0" w:afterLines="0" w:line="240" w:lineRule="auto"/>
                    <w:jc w:val="center"/>
                    <w:rPr>
                      <w:rFonts w:hint="default" w:ascii="Times New Roman" w:hAnsi="Times New Roman" w:cs="Times New Roman"/>
                      <w:sz w:val="21"/>
                      <w:szCs w:val="21"/>
                    </w:rPr>
                  </w:pPr>
                </w:p>
              </w:tc>
              <w:tc>
                <w:tcPr>
                  <w:tcW w:w="1059" w:type="dxa"/>
                  <w:gridSpan w:val="2"/>
                  <w:vMerge w:val="continue"/>
                  <w:tcBorders>
                    <w:top w:val="nil"/>
                    <w:left w:val="nil"/>
                    <w:bottom w:val="single" w:color="auto" w:sz="4" w:space="0"/>
                    <w:right w:val="single" w:color="auto" w:sz="4" w:space="0"/>
                  </w:tcBorders>
                  <w:noWrap w:val="0"/>
                  <w:vAlign w:val="top"/>
                </w:tcPr>
                <w:p>
                  <w:pPr>
                    <w:keepNext w:val="0"/>
                    <w:keepLines w:val="0"/>
                    <w:pageBreakBefore w:val="0"/>
                    <w:wordWrap/>
                    <w:overflowPunct/>
                    <w:topLinePunct w:val="0"/>
                    <w:bidi w:val="0"/>
                    <w:spacing w:before="0" w:beforeLines="0" w:after="0" w:afterLines="0" w:line="240" w:lineRule="auto"/>
                    <w:jc w:val="center"/>
                    <w:rPr>
                      <w:rFonts w:hint="default" w:ascii="Times New Roman" w:hAnsi="Times New Roman" w:cs="Times New Roman"/>
                      <w:sz w:val="21"/>
                      <w:szCs w:val="21"/>
                    </w:rPr>
                  </w:pPr>
                </w:p>
              </w:tc>
              <w:tc>
                <w:tcPr>
                  <w:tcW w:w="426" w:type="dxa"/>
                  <w:tcBorders>
                    <w:top w:val="single" w:color="auto" w:sz="4" w:space="0"/>
                    <w:left w:val="nil"/>
                    <w:bottom w:val="single" w:color="auto" w:sz="4" w:space="0"/>
                    <w:right w:val="single" w:color="auto" w:sz="4" w:space="0"/>
                  </w:tcBorders>
                  <w:noWrap w:val="0"/>
                  <w:vAlign w:val="center"/>
                </w:tcPr>
                <w:p>
                  <w:pPr>
                    <w:pStyle w:val="37"/>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rPr>
                  </w:pPr>
                  <w:r>
                    <w:rPr>
                      <w:rStyle w:val="254"/>
                      <w:rFonts w:hint="default" w:ascii="Times New Roman" w:hAnsi="Times New Roman" w:eastAsia="宋体" w:cs="Times New Roman"/>
                      <w:color w:val="000000"/>
                      <w:kern w:val="2"/>
                      <w:sz w:val="21"/>
                      <w:szCs w:val="21"/>
                      <w:lang w:val="en-US" w:eastAsia="zh-CN" w:bidi="ar"/>
                    </w:rPr>
                    <w:t>污染物排放管控</w:t>
                  </w:r>
                </w:p>
              </w:tc>
              <w:tc>
                <w:tcPr>
                  <w:tcW w:w="2234" w:type="dxa"/>
                  <w:vMerge w:val="restart"/>
                  <w:tcBorders>
                    <w:top w:val="nil"/>
                    <w:left w:val="nil"/>
                    <w:bottom w:val="single" w:color="auto" w:sz="4" w:space="0"/>
                    <w:right w:val="single" w:color="auto" w:sz="4" w:space="0"/>
                  </w:tcBorders>
                  <w:noWrap w:val="0"/>
                  <w:vAlign w:val="center"/>
                </w:tcPr>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w:t>
                  </w:r>
                </w:p>
              </w:tc>
              <w:tc>
                <w:tcPr>
                  <w:tcW w:w="2425" w:type="dxa"/>
                  <w:tcBorders>
                    <w:top w:val="nil"/>
                    <w:left w:val="nil"/>
                    <w:bottom w:val="single" w:color="auto" w:sz="4" w:space="0"/>
                    <w:right w:val="single" w:color="auto" w:sz="4" w:space="0"/>
                  </w:tcBorders>
                  <w:noWrap w:val="0"/>
                  <w:vAlign w:val="center"/>
                </w:tcPr>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Style w:val="254"/>
                      <w:rFonts w:hint="default" w:ascii="Times New Roman" w:hAnsi="Times New Roman" w:eastAsia="宋体" w:cs="Times New Roman"/>
                      <w:color w:val="000000"/>
                      <w:kern w:val="2"/>
                      <w:sz w:val="21"/>
                      <w:szCs w:val="21"/>
                      <w:shd w:val="clear" w:color="auto" w:fill="FFFFFF"/>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0" w:type="dxa"/>
                  <w:gridSpan w:val="2"/>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ordWrap/>
                    <w:overflowPunct/>
                    <w:topLinePunct w:val="0"/>
                    <w:bidi w:val="0"/>
                    <w:spacing w:before="0" w:beforeLines="0" w:after="0" w:afterLines="0" w:line="240" w:lineRule="auto"/>
                    <w:jc w:val="center"/>
                    <w:rPr>
                      <w:rFonts w:hint="default" w:ascii="Times New Roman" w:hAnsi="Times New Roman" w:cs="Times New Roman"/>
                      <w:sz w:val="21"/>
                      <w:szCs w:val="21"/>
                    </w:rPr>
                  </w:pPr>
                </w:p>
              </w:tc>
              <w:tc>
                <w:tcPr>
                  <w:tcW w:w="874" w:type="dxa"/>
                  <w:vMerge w:val="continue"/>
                  <w:tcBorders>
                    <w:top w:val="nil"/>
                    <w:left w:val="nil"/>
                    <w:bottom w:val="single" w:color="auto" w:sz="4" w:space="0"/>
                    <w:right w:val="single" w:color="auto" w:sz="4" w:space="0"/>
                  </w:tcBorders>
                  <w:noWrap w:val="0"/>
                  <w:vAlign w:val="center"/>
                </w:tcPr>
                <w:p>
                  <w:pPr>
                    <w:keepNext w:val="0"/>
                    <w:keepLines w:val="0"/>
                    <w:pageBreakBefore w:val="0"/>
                    <w:wordWrap/>
                    <w:overflowPunct/>
                    <w:topLinePunct w:val="0"/>
                    <w:bidi w:val="0"/>
                    <w:spacing w:before="0" w:beforeLines="0" w:after="0" w:afterLines="0" w:line="240" w:lineRule="auto"/>
                    <w:jc w:val="center"/>
                    <w:rPr>
                      <w:rFonts w:hint="default" w:ascii="Times New Roman" w:hAnsi="Times New Roman" w:cs="Times New Roman"/>
                      <w:sz w:val="21"/>
                      <w:szCs w:val="21"/>
                    </w:rPr>
                  </w:pPr>
                </w:p>
              </w:tc>
              <w:tc>
                <w:tcPr>
                  <w:tcW w:w="1059" w:type="dxa"/>
                  <w:gridSpan w:val="2"/>
                  <w:vMerge w:val="continue"/>
                  <w:tcBorders>
                    <w:top w:val="nil"/>
                    <w:left w:val="nil"/>
                    <w:bottom w:val="single" w:color="auto" w:sz="4" w:space="0"/>
                    <w:right w:val="single" w:color="auto" w:sz="4" w:space="0"/>
                  </w:tcBorders>
                  <w:noWrap w:val="0"/>
                  <w:vAlign w:val="top"/>
                </w:tcPr>
                <w:p>
                  <w:pPr>
                    <w:keepNext w:val="0"/>
                    <w:keepLines w:val="0"/>
                    <w:pageBreakBefore w:val="0"/>
                    <w:wordWrap/>
                    <w:overflowPunct/>
                    <w:topLinePunct w:val="0"/>
                    <w:bidi w:val="0"/>
                    <w:spacing w:before="0" w:beforeLines="0" w:after="0" w:afterLines="0" w:line="240" w:lineRule="auto"/>
                    <w:jc w:val="center"/>
                    <w:rPr>
                      <w:rFonts w:hint="default" w:ascii="Times New Roman" w:hAnsi="Times New Roman" w:cs="Times New Roman"/>
                      <w:sz w:val="21"/>
                      <w:szCs w:val="21"/>
                    </w:rPr>
                  </w:pPr>
                </w:p>
              </w:tc>
              <w:tc>
                <w:tcPr>
                  <w:tcW w:w="426" w:type="dxa"/>
                  <w:tcBorders>
                    <w:top w:val="single" w:color="auto" w:sz="4" w:space="0"/>
                    <w:left w:val="nil"/>
                    <w:bottom w:val="single" w:color="auto" w:sz="4" w:space="0"/>
                    <w:right w:val="single" w:color="auto" w:sz="4" w:space="0"/>
                  </w:tcBorders>
                  <w:noWrap w:val="0"/>
                  <w:vAlign w:val="center"/>
                </w:tcPr>
                <w:p>
                  <w:pPr>
                    <w:pStyle w:val="37"/>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rPr>
                  </w:pPr>
                  <w:r>
                    <w:rPr>
                      <w:rStyle w:val="254"/>
                      <w:rFonts w:hint="default" w:ascii="Times New Roman" w:hAnsi="Times New Roman" w:eastAsia="宋体" w:cs="Times New Roman"/>
                      <w:color w:val="000000"/>
                      <w:kern w:val="2"/>
                      <w:sz w:val="21"/>
                      <w:szCs w:val="21"/>
                      <w:lang w:val="en-US" w:eastAsia="zh-CN" w:bidi="ar"/>
                    </w:rPr>
                    <w:t>环境风险防控</w:t>
                  </w:r>
                </w:p>
              </w:tc>
              <w:tc>
                <w:tcPr>
                  <w:tcW w:w="2234" w:type="dxa"/>
                  <w:vMerge w:val="continue"/>
                  <w:tcBorders>
                    <w:top w:val="nil"/>
                    <w:left w:val="nil"/>
                    <w:bottom w:val="single" w:color="auto" w:sz="4" w:space="0"/>
                    <w:right w:val="single" w:color="auto" w:sz="4" w:space="0"/>
                  </w:tcBorders>
                  <w:noWrap w:val="0"/>
                  <w:vAlign w:val="center"/>
                </w:tcPr>
                <w:p>
                  <w:pPr>
                    <w:keepNext w:val="0"/>
                    <w:keepLines w:val="0"/>
                    <w:pageBreakBefore w:val="0"/>
                    <w:wordWrap/>
                    <w:overflowPunct/>
                    <w:topLinePunct w:val="0"/>
                    <w:bidi w:val="0"/>
                    <w:spacing w:before="0" w:beforeLines="0" w:after="0" w:afterLines="0" w:line="240" w:lineRule="auto"/>
                    <w:jc w:val="center"/>
                    <w:rPr>
                      <w:rFonts w:hint="default" w:ascii="Times New Roman" w:hAnsi="Times New Roman" w:cs="Times New Roman"/>
                      <w:sz w:val="21"/>
                      <w:szCs w:val="21"/>
                    </w:rPr>
                  </w:pPr>
                </w:p>
              </w:tc>
              <w:tc>
                <w:tcPr>
                  <w:tcW w:w="2425" w:type="dxa"/>
                  <w:tcBorders>
                    <w:top w:val="nil"/>
                    <w:left w:val="nil"/>
                    <w:bottom w:val="single" w:color="auto" w:sz="4" w:space="0"/>
                    <w:right w:val="single" w:color="auto" w:sz="4" w:space="0"/>
                  </w:tcBorders>
                  <w:noWrap w:val="0"/>
                  <w:vAlign w:val="center"/>
                </w:tcPr>
                <w:p>
                  <w:pPr>
                    <w:keepNext w:val="0"/>
                    <w:keepLines w:val="0"/>
                    <w:pageBreakBefore w:val="0"/>
                    <w:wordWrap/>
                    <w:overflowPunct/>
                    <w:topLinePunct w:val="0"/>
                    <w:bidi w:val="0"/>
                    <w:spacing w:before="0" w:beforeLines="0" w:after="0" w:afterLines="0"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0" w:type="dxa"/>
                  <w:gridSpan w:val="2"/>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ordWrap/>
                    <w:overflowPunct/>
                    <w:topLinePunct w:val="0"/>
                    <w:bidi w:val="0"/>
                    <w:spacing w:before="0" w:beforeLines="0" w:after="0" w:afterLines="0" w:line="240" w:lineRule="auto"/>
                    <w:jc w:val="center"/>
                    <w:rPr>
                      <w:rFonts w:hint="default" w:ascii="Times New Roman" w:hAnsi="Times New Roman" w:cs="Times New Roman"/>
                      <w:sz w:val="21"/>
                      <w:szCs w:val="21"/>
                    </w:rPr>
                  </w:pPr>
                </w:p>
              </w:tc>
              <w:tc>
                <w:tcPr>
                  <w:tcW w:w="874" w:type="dxa"/>
                  <w:vMerge w:val="continue"/>
                  <w:tcBorders>
                    <w:top w:val="nil"/>
                    <w:left w:val="nil"/>
                    <w:bottom w:val="single" w:color="auto" w:sz="4" w:space="0"/>
                    <w:right w:val="single" w:color="auto" w:sz="4" w:space="0"/>
                  </w:tcBorders>
                  <w:noWrap w:val="0"/>
                  <w:vAlign w:val="center"/>
                </w:tcPr>
                <w:p>
                  <w:pPr>
                    <w:keepNext w:val="0"/>
                    <w:keepLines w:val="0"/>
                    <w:pageBreakBefore w:val="0"/>
                    <w:wordWrap/>
                    <w:overflowPunct/>
                    <w:topLinePunct w:val="0"/>
                    <w:bidi w:val="0"/>
                    <w:spacing w:before="0" w:beforeLines="0" w:after="0" w:afterLines="0" w:line="240" w:lineRule="auto"/>
                    <w:jc w:val="center"/>
                    <w:rPr>
                      <w:rFonts w:hint="default" w:ascii="Times New Roman" w:hAnsi="Times New Roman" w:cs="Times New Roman"/>
                      <w:sz w:val="21"/>
                      <w:szCs w:val="21"/>
                    </w:rPr>
                  </w:pPr>
                </w:p>
              </w:tc>
              <w:tc>
                <w:tcPr>
                  <w:tcW w:w="1059" w:type="dxa"/>
                  <w:gridSpan w:val="2"/>
                  <w:vMerge w:val="continue"/>
                  <w:tcBorders>
                    <w:top w:val="nil"/>
                    <w:left w:val="nil"/>
                    <w:bottom w:val="single" w:color="auto" w:sz="4" w:space="0"/>
                    <w:right w:val="single" w:color="auto" w:sz="4" w:space="0"/>
                  </w:tcBorders>
                  <w:noWrap w:val="0"/>
                  <w:vAlign w:val="top"/>
                </w:tcPr>
                <w:p>
                  <w:pPr>
                    <w:keepNext w:val="0"/>
                    <w:keepLines w:val="0"/>
                    <w:pageBreakBefore w:val="0"/>
                    <w:wordWrap/>
                    <w:overflowPunct/>
                    <w:topLinePunct w:val="0"/>
                    <w:bidi w:val="0"/>
                    <w:spacing w:before="0" w:beforeLines="0" w:after="0" w:afterLines="0" w:line="240" w:lineRule="auto"/>
                    <w:jc w:val="center"/>
                    <w:rPr>
                      <w:rFonts w:hint="default" w:ascii="Times New Roman" w:hAnsi="Times New Roman" w:cs="Times New Roman"/>
                      <w:sz w:val="21"/>
                      <w:szCs w:val="21"/>
                    </w:rPr>
                  </w:pPr>
                </w:p>
              </w:tc>
              <w:tc>
                <w:tcPr>
                  <w:tcW w:w="426" w:type="dxa"/>
                  <w:tcBorders>
                    <w:top w:val="single" w:color="auto" w:sz="4" w:space="0"/>
                    <w:left w:val="nil"/>
                    <w:bottom w:val="single" w:color="auto" w:sz="4" w:space="0"/>
                    <w:right w:val="single" w:color="auto" w:sz="4" w:space="0"/>
                  </w:tcBorders>
                  <w:noWrap w:val="0"/>
                  <w:vAlign w:val="center"/>
                </w:tcPr>
                <w:p>
                  <w:pPr>
                    <w:pStyle w:val="37"/>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rPr>
                  </w:pPr>
                  <w:r>
                    <w:rPr>
                      <w:rStyle w:val="254"/>
                      <w:rFonts w:hint="default" w:ascii="Times New Roman" w:hAnsi="Times New Roman" w:eastAsia="宋体" w:cs="Times New Roman"/>
                      <w:color w:val="000000"/>
                      <w:kern w:val="2"/>
                      <w:sz w:val="21"/>
                      <w:szCs w:val="21"/>
                      <w:lang w:val="en-US" w:eastAsia="zh-CN" w:bidi="ar"/>
                    </w:rPr>
                    <w:t>资源开发效率要求</w:t>
                  </w:r>
                </w:p>
              </w:tc>
              <w:tc>
                <w:tcPr>
                  <w:tcW w:w="2234" w:type="dxa"/>
                  <w:tcBorders>
                    <w:top w:val="single" w:color="auto" w:sz="4" w:space="0"/>
                    <w:left w:val="nil"/>
                    <w:bottom w:val="single" w:color="auto" w:sz="4" w:space="0"/>
                    <w:right w:val="single" w:color="auto" w:sz="4" w:space="0"/>
                  </w:tcBorders>
                  <w:noWrap w:val="0"/>
                  <w:vAlign w:val="center"/>
                </w:tcPr>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土地资源开发效率要求</w:t>
                  </w:r>
                </w:p>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能源资源开发效率要求</w:t>
                  </w:r>
                </w:p>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color w:val="000000"/>
                      <w:kern w:val="2"/>
                      <w:sz w:val="21"/>
                      <w:szCs w:val="21"/>
                      <w:shd w:val="clear" w:color="auto" w:fill="FFFFFF"/>
                    </w:rPr>
                  </w:pPr>
                  <w:r>
                    <w:rPr>
                      <w:rStyle w:val="254"/>
                      <w:rFonts w:hint="default" w:ascii="Times New Roman" w:hAnsi="Times New Roman" w:eastAsia="宋体" w:cs="Times New Roman"/>
                      <w:color w:val="000000"/>
                      <w:kern w:val="2"/>
                      <w:sz w:val="21"/>
                      <w:szCs w:val="21"/>
                      <w:shd w:val="clear" w:color="auto" w:fill="FFFFFF"/>
                      <w:lang w:val="en-US" w:eastAsia="zh-CN" w:bidi="ar"/>
                    </w:rPr>
                    <w:t>其他资源开发效率要求</w:t>
                  </w:r>
                </w:p>
              </w:tc>
              <w:tc>
                <w:tcPr>
                  <w:tcW w:w="2425" w:type="dxa"/>
                  <w:tcBorders>
                    <w:top w:val="single" w:color="auto" w:sz="4" w:space="0"/>
                    <w:left w:val="nil"/>
                    <w:bottom w:val="single" w:color="auto" w:sz="4" w:space="0"/>
                    <w:right w:val="single" w:color="auto" w:sz="4" w:space="0"/>
                  </w:tcBorders>
                  <w:noWrap w:val="0"/>
                  <w:vAlign w:val="center"/>
                </w:tcPr>
                <w:p>
                  <w:pPr>
                    <w:pStyle w:val="37"/>
                    <w:keepNext w:val="0"/>
                    <w:keepLines w:val="0"/>
                    <w:pageBreakBefore w:val="0"/>
                    <w:widowControl/>
                    <w:suppressLineNumbers w:val="0"/>
                    <w:shd w:val="clear" w:color="auto" w:fill="FFFFFF"/>
                    <w:kinsoku w:val="0"/>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baseline"/>
                    <w:rPr>
                      <w:rStyle w:val="254"/>
                      <w:rFonts w:hint="default" w:ascii="Times New Roman" w:hAnsi="Times New Roman" w:eastAsia="宋体" w:cs="Times New Roman"/>
                      <w:color w:val="000000"/>
                      <w:kern w:val="2"/>
                      <w:sz w:val="21"/>
                      <w:szCs w:val="21"/>
                      <w:shd w:val="clear" w:color="auto" w:fill="FFFFFF"/>
                      <w:lang w:val="en-US" w:eastAsia="zh-CN" w:bidi="ar"/>
                    </w:rPr>
                  </w:pPr>
                  <w:r>
                    <w:rPr>
                      <w:rStyle w:val="254"/>
                      <w:rFonts w:hint="default" w:ascii="Times New Roman" w:hAnsi="Times New Roman" w:eastAsia="宋体" w:cs="Times New Roman"/>
                      <w:color w:val="000000"/>
                      <w:kern w:val="2"/>
                      <w:sz w:val="21"/>
                      <w:szCs w:val="21"/>
                      <w:shd w:val="clear" w:color="auto" w:fill="FFFFFF"/>
                      <w:lang w:val="en-US" w:eastAsia="zh-CN" w:bidi="ar"/>
                    </w:rPr>
                    <w:t>符合</w:t>
                  </w:r>
                </w:p>
              </w:tc>
            </w:tr>
          </w:tbl>
          <w:p>
            <w:pPr>
              <w:pStyle w:val="2"/>
              <w:keepNext w:val="0"/>
              <w:keepLines w:val="0"/>
              <w:pageBreakBefore w:val="0"/>
              <w:kinsoku/>
              <w:wordWrap/>
              <w:overflowPunct/>
              <w:topLinePunct w:val="0"/>
              <w:bidi w:val="0"/>
              <w:adjustRightInd w:val="0"/>
              <w:snapToGrid w:val="0"/>
              <w:spacing w:before="0" w:after="0" w:line="360" w:lineRule="auto"/>
              <w:ind w:right="0" w:firstLine="480" w:firstLineChars="200"/>
              <w:textAlignment w:val="auto"/>
              <w:rPr>
                <w:rFonts w:hint="default" w:ascii="Times New Roman" w:hAnsi="Times New Roman" w:cs="Times New Roman"/>
                <w:sz w:val="24"/>
                <w:szCs w:val="24"/>
              </w:rPr>
            </w:pPr>
            <w:r>
              <w:rPr>
                <w:rFonts w:hint="default" w:ascii="Times New Roman" w:hAnsi="Times New Roman" w:eastAsia="宋体" w:cs="Times New Roman"/>
                <w:b w:val="0"/>
                <w:bCs w:val="0"/>
                <w:color w:val="auto"/>
                <w:spacing w:val="0"/>
                <w:kern w:val="2"/>
                <w:sz w:val="24"/>
                <w:szCs w:val="24"/>
                <w:lang w:val="en-US" w:eastAsia="zh-CN" w:bidi="ar-SA"/>
              </w:rPr>
              <w:t>综上所述，经过与“三线一单”进行对照后，项目不在生态保护红线内、符合环境质量底线要求，未涉及资源利用上线、未列入环境准入负面清单内。故本项目符合“三线一单”要求</w:t>
            </w:r>
            <w:r>
              <w:rPr>
                <w:rFonts w:hint="default" w:ascii="Times New Roman" w:hAnsi="Times New Roman" w:cs="Times New Roman"/>
                <w:color w:val="auto"/>
                <w:sz w:val="24"/>
                <w:szCs w:val="24"/>
              </w:rPr>
              <w:t>。</w:t>
            </w:r>
          </w:p>
          <w:p>
            <w:pPr>
              <w:pStyle w:val="2"/>
              <w:rPr>
                <w:rFonts w:hint="default" w:ascii="Times New Roman" w:hAnsi="Times New Roman" w:cs="Times New Roman"/>
                <w:b w:val="0"/>
                <w:bCs w:val="0"/>
                <w:color w:val="auto"/>
                <w:spacing w:val="0"/>
                <w:sz w:val="24"/>
                <w:szCs w:val="24"/>
                <w:lang w:val="en-US" w:eastAsia="zh-CN"/>
              </w:rPr>
            </w:pPr>
          </w:p>
          <w:p>
            <w:pPr>
              <w:pStyle w:val="2"/>
              <w:rPr>
                <w:rFonts w:hint="default" w:ascii="Times New Roman" w:hAnsi="Times New Roman" w:cs="Times New Roman"/>
                <w:b w:val="0"/>
                <w:bCs w:val="0"/>
                <w:color w:val="auto"/>
                <w:spacing w:val="0"/>
                <w:sz w:val="24"/>
                <w:szCs w:val="24"/>
                <w:lang w:val="en-US"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0000FF"/>
                <w:kern w:val="21"/>
                <w:sz w:val="24"/>
                <w:szCs w:val="24"/>
                <w:lang w:val="en-US" w:eastAsia="zh-CN"/>
              </w:rPr>
            </w:pPr>
          </w:p>
        </w:tc>
      </w:tr>
    </w:tbl>
    <w:p>
      <w:pPr>
        <w:keepNext w:val="0"/>
        <w:keepLines w:val="0"/>
        <w:pageBreakBefore w:val="0"/>
        <w:kinsoku/>
        <w:wordWrap/>
        <w:overflowPunct/>
        <w:topLinePunct w:val="0"/>
        <w:bidi w:val="0"/>
        <w:adjustRightInd w:val="0"/>
        <w:snapToGrid w:val="0"/>
        <w:spacing w:line="360" w:lineRule="auto"/>
        <w:textAlignment w:val="auto"/>
        <w:outlineLvl w:val="0"/>
        <w:rPr>
          <w:rFonts w:hint="default" w:ascii="Times New Roman" w:hAnsi="Times New Roman" w:eastAsia="黑体" w:cs="Times New Roman"/>
          <w:sz w:val="30"/>
        </w:rPr>
        <w:sectPr>
          <w:footerReference r:id="rId11" w:type="default"/>
          <w:pgSz w:w="11906" w:h="16838"/>
          <w:pgMar w:top="1587" w:right="283" w:bottom="1531" w:left="283"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37"/>
        <w:keepNext w:val="0"/>
        <w:keepLines w:val="0"/>
        <w:pageBreakBefore w:val="0"/>
        <w:kinsoku/>
        <w:wordWrap/>
        <w:overflowPunct/>
        <w:topLinePunct w:val="0"/>
        <w:bidi w:val="0"/>
        <w:adjustRightInd w:val="0"/>
        <w:snapToGrid w:val="0"/>
        <w:jc w:val="center"/>
        <w:textAlignment w:val="auto"/>
        <w:outlineLvl w:val="0"/>
        <w:rPr>
          <w:rFonts w:hint="default" w:ascii="Times New Roman" w:hAnsi="Times New Roman" w:eastAsia="黑体" w:cs="Times New Roman"/>
          <w:snapToGrid w:val="0"/>
          <w:sz w:val="30"/>
          <w:szCs w:val="30"/>
        </w:rPr>
      </w:pPr>
      <w:r>
        <w:rPr>
          <w:rFonts w:hint="default" w:ascii="Times New Roman" w:hAnsi="Times New Roman" w:eastAsia="黑体" w:cs="Times New Roman"/>
          <w:snapToGrid w:val="0"/>
          <w:sz w:val="30"/>
          <w:szCs w:val="30"/>
        </w:rPr>
        <w:t>二、建设内容</w:t>
      </w:r>
    </w:p>
    <w:tbl>
      <w:tblPr>
        <w:tblStyle w:val="41"/>
        <w:tblW w:w="85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806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4" w:type="dxa"/>
            <w:noWrap w:val="0"/>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cs="Times New Roman"/>
                <w:kern w:val="0"/>
                <w:szCs w:val="21"/>
              </w:rPr>
            </w:pPr>
            <w:r>
              <w:rPr>
                <w:rFonts w:hint="default" w:ascii="Times New Roman" w:hAnsi="Times New Roman" w:cs="Times New Roman"/>
                <w:b/>
                <w:bCs/>
                <w:kern w:val="0"/>
                <w:szCs w:val="21"/>
              </w:rPr>
              <w:t>地理位置</w:t>
            </w:r>
          </w:p>
        </w:tc>
        <w:tc>
          <w:tcPr>
            <w:tcW w:w="7670"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0000FF"/>
                <w:kern w:val="0"/>
                <w:szCs w:val="21"/>
                <w:lang w:val="en-US" w:eastAsia="zh-CN"/>
              </w:rPr>
            </w:pPr>
            <w:r>
              <w:rPr>
                <w:rFonts w:hint="default" w:ascii="Times New Roman" w:hAnsi="Times New Roman" w:eastAsia="宋体" w:cs="Times New Roman"/>
                <w:b w:val="0"/>
                <w:bCs w:val="0"/>
                <w:color w:val="auto"/>
                <w:spacing w:val="0"/>
                <w:sz w:val="24"/>
                <w:szCs w:val="24"/>
                <w:lang w:val="en-US" w:eastAsia="zh-CN"/>
              </w:rPr>
              <w:t>本项目位于</w:t>
            </w:r>
            <w:r>
              <w:rPr>
                <w:rFonts w:hint="eastAsia" w:ascii="Times New Roman" w:hAnsi="Times New Roman" w:eastAsia="宋体" w:cs="Times New Roman"/>
                <w:b w:val="0"/>
                <w:bCs w:val="0"/>
                <w:color w:val="auto"/>
                <w:spacing w:val="0"/>
                <w:sz w:val="24"/>
                <w:szCs w:val="24"/>
                <w:lang w:val="en-US" w:eastAsia="zh-CN"/>
              </w:rPr>
              <w:t>峨眉河干流下游</w:t>
            </w:r>
            <w:r>
              <w:rPr>
                <w:rFonts w:hint="default" w:ascii="Times New Roman" w:hAnsi="Times New Roman" w:eastAsia="宋体" w:cs="Times New Roman"/>
                <w:b w:val="0"/>
                <w:bCs w:val="0"/>
                <w:color w:val="auto"/>
                <w:spacing w:val="0"/>
                <w:sz w:val="24"/>
                <w:szCs w:val="24"/>
                <w:lang w:val="en-US" w:eastAsia="zh-CN"/>
              </w:rPr>
              <w:t>乐山市市中区</w:t>
            </w:r>
            <w:r>
              <w:rPr>
                <w:rFonts w:hint="eastAsia" w:ascii="Times New Roman" w:hAnsi="Times New Roman" w:eastAsia="宋体" w:cs="Times New Roman"/>
                <w:b w:val="0"/>
                <w:bCs w:val="0"/>
                <w:color w:val="auto"/>
                <w:spacing w:val="0"/>
                <w:sz w:val="24"/>
                <w:szCs w:val="24"/>
                <w:lang w:val="en-US" w:eastAsia="zh-CN"/>
              </w:rPr>
              <w:t>苏稽镇境内，乐峨公路大桥下游510m处，</w:t>
            </w:r>
            <w:r>
              <w:rPr>
                <w:rFonts w:hint="default" w:ascii="Times New Roman" w:hAnsi="Times New Roman" w:eastAsia="宋体" w:cs="Times New Roman"/>
                <w:b w:val="0"/>
                <w:bCs w:val="0"/>
                <w:color w:val="auto"/>
                <w:spacing w:val="0"/>
                <w:sz w:val="24"/>
                <w:szCs w:val="24"/>
                <w:lang w:val="en-US" w:eastAsia="zh-CN"/>
              </w:rPr>
              <w:t>项目地理位置见附图1。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4" w:type="dxa"/>
            <w:noWrap w:val="0"/>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cs="Times New Roman"/>
                <w:kern w:val="0"/>
                <w:szCs w:val="21"/>
              </w:rPr>
            </w:pPr>
            <w:r>
              <w:rPr>
                <w:rFonts w:hint="default" w:ascii="Times New Roman" w:hAnsi="Times New Roman" w:cs="Times New Roman"/>
                <w:b/>
                <w:bCs/>
                <w:kern w:val="0"/>
                <w:szCs w:val="21"/>
              </w:rPr>
              <w:t>项目组成及规模</w:t>
            </w:r>
          </w:p>
        </w:tc>
        <w:tc>
          <w:tcPr>
            <w:tcW w:w="7670" w:type="dxa"/>
            <w:noWrap w:val="0"/>
            <w:vAlign w:val="center"/>
          </w:tcPr>
          <w:p>
            <w:pPr>
              <w:pStyle w:val="40"/>
              <w:keepNext w:val="0"/>
              <w:keepLines w:val="0"/>
              <w:pageBreakBefore w:val="0"/>
              <w:widowControl w:val="0"/>
              <w:tabs>
                <w:tab w:val="left" w:pos="420"/>
                <w:tab w:val="left" w:pos="870"/>
                <w:tab w:val="left" w:pos="3150"/>
              </w:tabs>
              <w:kinsoku/>
              <w:wordWrap/>
              <w:overflowPunct/>
              <w:topLinePunct w:val="0"/>
              <w:autoSpaceDE w:val="0"/>
              <w:autoSpaceDN w:val="0"/>
              <w:bidi w:val="0"/>
              <w:adjustRightInd w:val="0"/>
              <w:snapToGrid w:val="0"/>
              <w:spacing w:after="0" w:line="360" w:lineRule="auto"/>
              <w:ind w:left="0" w:leftChars="0" w:right="0" w:firstLine="482" w:firstLineChars="200"/>
              <w:textAlignment w:val="baseline"/>
              <w:rPr>
                <w:rFonts w:hint="default" w:ascii="Times New Roman" w:hAnsi="Times New Roman" w:eastAsia="宋体" w:cs="Times New Roman"/>
                <w:b w:val="0"/>
                <w:bCs w:val="0"/>
                <w:color w:val="auto"/>
                <w:spacing w:val="0"/>
                <w:kern w:val="2"/>
                <w:sz w:val="24"/>
                <w:szCs w:val="24"/>
                <w:lang w:val="en-US" w:eastAsia="zh-CN" w:bidi="ar-SA"/>
              </w:rPr>
            </w:pPr>
            <w:r>
              <w:rPr>
                <w:rFonts w:hint="eastAsia" w:ascii="Times New Roman" w:hAnsi="Times New Roman" w:eastAsia="宋体" w:cs="Times New Roman"/>
                <w:b/>
                <w:bCs/>
                <w:color w:val="auto"/>
                <w:spacing w:val="0"/>
                <w:kern w:val="2"/>
                <w:sz w:val="24"/>
                <w:szCs w:val="24"/>
                <w:lang w:val="en-US" w:eastAsia="zh-CN" w:bidi="ar-SA"/>
              </w:rPr>
              <w:t>1、项目由来</w:t>
            </w:r>
          </w:p>
          <w:p>
            <w:pPr>
              <w:keepNext w:val="0"/>
              <w:keepLines w:val="0"/>
              <w:pageBreakBefore w:val="0"/>
              <w:widowControl w:val="0"/>
              <w:kinsoku/>
              <w:wordWrap/>
              <w:overflowPunct/>
              <w:topLinePunct w:val="0"/>
              <w:bidi w:val="0"/>
              <w:spacing w:line="360" w:lineRule="auto"/>
              <w:ind w:right="0" w:firstLine="480" w:firstLineChars="200"/>
              <w:rPr>
                <w:rFonts w:hint="default" w:ascii="Times New Roman" w:hAnsi="Times New Roman" w:eastAsia="宋体" w:cs="Times New Roman"/>
                <w:b w:val="0"/>
                <w:bCs w:val="0"/>
                <w:color w:val="auto"/>
                <w:spacing w:val="0"/>
                <w:kern w:val="2"/>
                <w:sz w:val="24"/>
                <w:szCs w:val="24"/>
                <w:lang w:val="en-US" w:eastAsia="zh-CN" w:bidi="ar-SA"/>
              </w:rPr>
            </w:pPr>
            <w:r>
              <w:rPr>
                <w:rFonts w:hint="eastAsia" w:ascii="Times New Roman" w:hAnsi="Times New Roman" w:eastAsia="宋体" w:cs="Times New Roman"/>
                <w:b w:val="0"/>
                <w:bCs w:val="0"/>
                <w:color w:val="auto"/>
                <w:spacing w:val="0"/>
                <w:kern w:val="2"/>
                <w:sz w:val="24"/>
                <w:szCs w:val="24"/>
                <w:lang w:val="en-US" w:eastAsia="zh-CN" w:bidi="ar-SA"/>
              </w:rPr>
              <w:t>安福堰建于解放前，位于</w:t>
            </w:r>
            <w:r>
              <w:rPr>
                <w:rFonts w:hint="eastAsia" w:ascii="Times New Roman" w:hAnsi="Times New Roman" w:eastAsia="宋体" w:cs="Times New Roman"/>
                <w:b w:val="0"/>
                <w:bCs w:val="0"/>
                <w:color w:val="auto"/>
                <w:spacing w:val="0"/>
                <w:sz w:val="24"/>
                <w:szCs w:val="24"/>
                <w:lang w:val="en-US" w:eastAsia="zh-CN"/>
              </w:rPr>
              <w:t>峨眉河干流下游</w:t>
            </w:r>
            <w:r>
              <w:rPr>
                <w:rFonts w:hint="default" w:ascii="Times New Roman" w:hAnsi="Times New Roman" w:eastAsia="宋体" w:cs="Times New Roman"/>
                <w:b w:val="0"/>
                <w:bCs w:val="0"/>
                <w:color w:val="auto"/>
                <w:spacing w:val="0"/>
                <w:sz w:val="24"/>
                <w:szCs w:val="24"/>
                <w:lang w:val="en-US" w:eastAsia="zh-CN"/>
              </w:rPr>
              <w:t>乐山市市中区</w:t>
            </w:r>
            <w:r>
              <w:rPr>
                <w:rFonts w:hint="eastAsia" w:ascii="Times New Roman" w:hAnsi="Times New Roman" w:eastAsia="宋体" w:cs="Times New Roman"/>
                <w:b w:val="0"/>
                <w:bCs w:val="0"/>
                <w:color w:val="auto"/>
                <w:spacing w:val="0"/>
                <w:sz w:val="24"/>
                <w:szCs w:val="24"/>
                <w:lang w:val="en-US" w:eastAsia="zh-CN"/>
              </w:rPr>
              <w:t>苏稽镇境内，在峨眉河筑坝取水，设计流量0.6m</w:t>
            </w:r>
            <w:r>
              <w:rPr>
                <w:rFonts w:hint="eastAsia" w:ascii="Times New Roman" w:hAnsi="Times New Roman" w:eastAsia="宋体" w:cs="Times New Roman"/>
                <w:b w:val="0"/>
                <w:bCs w:val="0"/>
                <w:color w:val="auto"/>
                <w:spacing w:val="0"/>
                <w:sz w:val="24"/>
                <w:szCs w:val="24"/>
                <w:vertAlign w:val="superscript"/>
                <w:lang w:val="en-US" w:eastAsia="zh-CN"/>
              </w:rPr>
              <w:t>3</w:t>
            </w:r>
            <w:r>
              <w:rPr>
                <w:rFonts w:hint="eastAsia" w:ascii="Times New Roman" w:hAnsi="Times New Roman" w:eastAsia="宋体" w:cs="Times New Roman"/>
                <w:b w:val="0"/>
                <w:bCs w:val="0"/>
                <w:color w:val="auto"/>
                <w:spacing w:val="0"/>
                <w:sz w:val="24"/>
                <w:szCs w:val="24"/>
                <w:lang w:val="en-US" w:eastAsia="zh-CN"/>
              </w:rPr>
              <w:t>/s，</w:t>
            </w:r>
            <w:r>
              <w:rPr>
                <w:rFonts w:hint="eastAsia" w:ascii="Times New Roman" w:hAnsi="Times New Roman" w:eastAsia="宋体" w:cs="Times New Roman"/>
                <w:b w:val="0"/>
                <w:bCs w:val="0"/>
                <w:color w:val="auto"/>
                <w:spacing w:val="0"/>
                <w:kern w:val="2"/>
                <w:sz w:val="24"/>
                <w:szCs w:val="24"/>
                <w:lang w:val="en-US" w:eastAsia="zh-CN" w:bidi="ar-SA"/>
              </w:rPr>
              <w:t>设计灌面4800亩，现状实际灌面3600亩，</w:t>
            </w:r>
            <w:r>
              <w:rPr>
                <w:rFonts w:hint="eastAsia" w:ascii="Times New Roman" w:hAnsi="Times New Roman" w:eastAsia="宋体" w:cs="Times New Roman"/>
                <w:b w:val="0"/>
                <w:bCs w:val="0"/>
                <w:color w:val="auto"/>
                <w:spacing w:val="0"/>
                <w:sz w:val="24"/>
                <w:szCs w:val="24"/>
                <w:lang w:val="en-US" w:eastAsia="zh-CN"/>
              </w:rPr>
              <w:t>经明渠输水进行自流灌溉，灌面覆盖苏稽镇新联村、石鼓寺村、雷坝村及水口场社区，是苏稽镇及水口镇重要的灌溉工程。现由于安福堰浆砌条石坝已经损毁，取水困难，需要对安福堰取水枢纽进行全面综合治理。</w:t>
            </w:r>
          </w:p>
          <w:p>
            <w:pPr>
              <w:keepNext w:val="0"/>
              <w:keepLines w:val="0"/>
              <w:pageBreakBefore w:val="0"/>
              <w:widowControl w:val="0"/>
              <w:kinsoku/>
              <w:wordWrap/>
              <w:overflowPunct/>
              <w:topLinePunct w:val="0"/>
              <w:bidi w:val="0"/>
              <w:spacing w:line="360" w:lineRule="auto"/>
              <w:ind w:right="0" w:firstLine="480" w:firstLineChars="200"/>
              <w:rPr>
                <w:rFonts w:hint="eastAsia" w:ascii="Times New Roman" w:hAnsi="Times New Roman" w:eastAsia="宋体" w:cs="Times New Roman"/>
                <w:b w:val="0"/>
                <w:bCs w:val="0"/>
                <w:color w:val="auto"/>
                <w:spacing w:val="0"/>
                <w:kern w:val="2"/>
                <w:sz w:val="24"/>
                <w:szCs w:val="24"/>
                <w:lang w:val="en-US" w:eastAsia="zh-CN" w:bidi="ar-SA"/>
              </w:rPr>
            </w:pPr>
            <w:r>
              <w:rPr>
                <w:rFonts w:hint="eastAsia" w:ascii="Times New Roman" w:hAnsi="Times New Roman" w:eastAsia="宋体" w:cs="Times New Roman"/>
                <w:b w:val="0"/>
                <w:bCs w:val="0"/>
                <w:color w:val="auto"/>
                <w:spacing w:val="0"/>
                <w:kern w:val="2"/>
                <w:sz w:val="24"/>
                <w:szCs w:val="24"/>
                <w:lang w:val="en-US" w:eastAsia="zh-CN" w:bidi="ar-SA"/>
              </w:rPr>
              <w:t>主要整治内容为将原安福堰条石低坝改造为拦河气盾升坝（以下简称气盾坝），改造取水口，整治引水渠，修建多级跌水消能，加固工程段两岸护岸。本次拟建的安福堰气盾坝，在原安福堰处，坝址区控制峨眉河流域面积484km</w:t>
            </w:r>
            <w:r>
              <w:rPr>
                <w:rFonts w:hint="eastAsia" w:ascii="Times New Roman" w:hAnsi="Times New Roman" w:eastAsia="宋体" w:cs="Times New Roman"/>
                <w:b w:val="0"/>
                <w:bCs w:val="0"/>
                <w:color w:val="auto"/>
                <w:spacing w:val="0"/>
                <w:kern w:val="2"/>
                <w:sz w:val="24"/>
                <w:szCs w:val="24"/>
                <w:vertAlign w:val="superscript"/>
                <w:lang w:val="en-US" w:eastAsia="zh-CN" w:bidi="ar-SA"/>
              </w:rPr>
              <w:t>2</w:t>
            </w:r>
            <w:r>
              <w:rPr>
                <w:rFonts w:hint="eastAsia" w:ascii="Times New Roman" w:hAnsi="Times New Roman" w:eastAsia="宋体" w:cs="Times New Roman"/>
                <w:b w:val="0"/>
                <w:bCs w:val="0"/>
                <w:color w:val="auto"/>
                <w:spacing w:val="0"/>
                <w:kern w:val="2"/>
                <w:sz w:val="24"/>
                <w:szCs w:val="24"/>
                <w:lang w:val="en-US" w:eastAsia="zh-CN" w:bidi="ar-SA"/>
              </w:rPr>
              <w:t>，水量充沛。根据乐山市峨眉河旅游综合开发规划，峨眉河开发已列入乐山市近期重点实施的工程，实施安福堰综合整治工程，不仅可以确保灌溉工程发挥正常作用，也改善了景观效果，提升了峨眉河旅游价值。</w:t>
            </w:r>
          </w:p>
          <w:p>
            <w:pPr>
              <w:keepNext w:val="0"/>
              <w:keepLines w:val="0"/>
              <w:pageBreakBefore w:val="0"/>
              <w:widowControl w:val="0"/>
              <w:kinsoku/>
              <w:wordWrap/>
              <w:overflowPunct/>
              <w:topLinePunct w:val="0"/>
              <w:bidi w:val="0"/>
              <w:spacing w:line="360" w:lineRule="auto"/>
              <w:ind w:right="0" w:firstLine="480" w:firstLineChars="200"/>
              <w:rPr>
                <w:rFonts w:hint="default" w:ascii="Times New Roman" w:hAnsi="Times New Roman" w:cs="Times New Roman"/>
                <w:color w:val="auto"/>
                <w:spacing w:val="0"/>
                <w:sz w:val="24"/>
                <w:szCs w:val="24"/>
                <w:lang w:val="en-US"/>
              </w:rPr>
            </w:pPr>
            <w:r>
              <w:rPr>
                <w:rFonts w:hint="eastAsia" w:ascii="Times New Roman" w:hAnsi="Times New Roman" w:eastAsia="宋体" w:cs="Times New Roman"/>
                <w:b w:val="0"/>
                <w:bCs w:val="0"/>
                <w:color w:val="auto"/>
                <w:spacing w:val="0"/>
                <w:kern w:val="2"/>
                <w:sz w:val="24"/>
                <w:szCs w:val="24"/>
                <w:lang w:val="en-US" w:eastAsia="zh-CN" w:bidi="ar-SA"/>
              </w:rPr>
              <w:t>综上，乐山嘉和投资有限责任公司拟投资3438万元建设苏稽峨眉河安福堰综合整治工程。</w:t>
            </w:r>
            <w:r>
              <w:rPr>
                <w:rFonts w:hint="default" w:ascii="Times New Roman" w:hAnsi="Times New Roman" w:cs="Times New Roman"/>
                <w:color w:val="auto"/>
                <w:spacing w:val="0"/>
                <w:sz w:val="24"/>
                <w:szCs w:val="24"/>
              </w:rPr>
              <w:t>202</w:t>
            </w:r>
            <w:r>
              <w:rPr>
                <w:rFonts w:hint="eastAsia" w:ascii="Times New Roman" w:hAnsi="Times New Roman" w:cs="Times New Roman"/>
                <w:color w:val="auto"/>
                <w:spacing w:val="0"/>
                <w:sz w:val="24"/>
                <w:szCs w:val="24"/>
                <w:lang w:val="en-US" w:eastAsia="zh-CN"/>
              </w:rPr>
              <w:t>2</w:t>
            </w:r>
            <w:r>
              <w:rPr>
                <w:rFonts w:hint="default" w:ascii="Times New Roman" w:hAnsi="Times New Roman" w:cs="Times New Roman"/>
                <w:color w:val="auto"/>
                <w:spacing w:val="0"/>
                <w:sz w:val="24"/>
                <w:szCs w:val="24"/>
              </w:rPr>
              <w:t>年</w:t>
            </w:r>
            <w:r>
              <w:rPr>
                <w:rFonts w:hint="default" w:ascii="Times New Roman" w:hAnsi="Times New Roman" w:cs="Times New Roman"/>
                <w:color w:val="auto"/>
                <w:spacing w:val="0"/>
                <w:sz w:val="24"/>
                <w:szCs w:val="24"/>
                <w:lang w:val="en-US" w:eastAsia="zh-CN"/>
              </w:rPr>
              <w:t>2</w:t>
            </w:r>
            <w:r>
              <w:rPr>
                <w:rFonts w:hint="default" w:ascii="Times New Roman" w:hAnsi="Times New Roman" w:cs="Times New Roman"/>
                <w:color w:val="auto"/>
                <w:spacing w:val="0"/>
                <w:sz w:val="24"/>
                <w:szCs w:val="24"/>
              </w:rPr>
              <w:t>月</w:t>
            </w:r>
            <w:r>
              <w:rPr>
                <w:rFonts w:hint="eastAsia" w:ascii="Times New Roman" w:hAnsi="Times New Roman" w:cs="Times New Roman"/>
                <w:color w:val="auto"/>
                <w:spacing w:val="0"/>
                <w:sz w:val="24"/>
                <w:szCs w:val="24"/>
                <w:lang w:val="en-US" w:eastAsia="zh-CN"/>
              </w:rPr>
              <w:t>23</w:t>
            </w:r>
            <w:r>
              <w:rPr>
                <w:rFonts w:hint="default" w:ascii="Times New Roman" w:hAnsi="Times New Roman" w:cs="Times New Roman"/>
                <w:color w:val="auto"/>
                <w:spacing w:val="0"/>
                <w:sz w:val="24"/>
                <w:szCs w:val="24"/>
              </w:rPr>
              <w:t>日，</w:t>
            </w:r>
            <w:r>
              <w:rPr>
                <w:rFonts w:hint="default" w:ascii="Times New Roman" w:hAnsi="Times New Roman" w:cs="Times New Roman"/>
                <w:color w:val="auto"/>
                <w:spacing w:val="0"/>
                <w:sz w:val="24"/>
                <w:szCs w:val="24"/>
                <w:lang w:eastAsia="zh-CN"/>
              </w:rPr>
              <w:t>乐山市</w:t>
            </w:r>
            <w:r>
              <w:rPr>
                <w:rFonts w:hint="eastAsia" w:ascii="Times New Roman" w:hAnsi="Times New Roman" w:cs="Times New Roman"/>
                <w:color w:val="auto"/>
                <w:spacing w:val="0"/>
                <w:sz w:val="24"/>
                <w:szCs w:val="24"/>
                <w:lang w:val="en-US" w:eastAsia="zh-CN"/>
              </w:rPr>
              <w:t>中区</w:t>
            </w:r>
            <w:r>
              <w:rPr>
                <w:rFonts w:hint="default" w:ascii="Times New Roman" w:hAnsi="Times New Roman" w:cs="Times New Roman"/>
                <w:color w:val="auto"/>
                <w:spacing w:val="0"/>
                <w:sz w:val="24"/>
                <w:szCs w:val="24"/>
                <w:lang w:eastAsia="zh-CN"/>
              </w:rPr>
              <w:t>发展和改革</w:t>
            </w:r>
            <w:r>
              <w:rPr>
                <w:rFonts w:hint="eastAsia" w:ascii="Times New Roman" w:hAnsi="Times New Roman" w:cs="Times New Roman"/>
                <w:color w:val="auto"/>
                <w:spacing w:val="0"/>
                <w:sz w:val="24"/>
                <w:szCs w:val="24"/>
                <w:lang w:val="en-US" w:eastAsia="zh-CN"/>
              </w:rPr>
              <w:t>局</w:t>
            </w:r>
            <w:r>
              <w:rPr>
                <w:rFonts w:hint="default" w:ascii="Times New Roman" w:hAnsi="Times New Roman" w:cs="Times New Roman"/>
                <w:color w:val="auto"/>
                <w:spacing w:val="0"/>
                <w:sz w:val="24"/>
                <w:szCs w:val="24"/>
              </w:rPr>
              <w:t>出具了</w:t>
            </w:r>
            <w:r>
              <w:rPr>
                <w:rFonts w:hint="eastAsia" w:ascii="Times New Roman" w:hAnsi="Times New Roman" w:cs="Times New Roman"/>
                <w:color w:val="auto"/>
                <w:spacing w:val="0"/>
                <w:sz w:val="24"/>
                <w:szCs w:val="24"/>
                <w:lang w:val="en-US" w:eastAsia="zh-CN"/>
              </w:rPr>
              <w:t>该项目备案表</w:t>
            </w:r>
            <w:r>
              <w:rPr>
                <w:rFonts w:hint="default" w:ascii="Times New Roman" w:hAnsi="Times New Roman" w:eastAsia="宋体" w:cs="Times New Roman"/>
                <w:color w:val="auto"/>
                <w:spacing w:val="0"/>
                <w:sz w:val="24"/>
                <w:szCs w:val="24"/>
                <w:highlight w:val="none"/>
                <w:lang w:eastAsia="zh-CN"/>
              </w:rPr>
              <w:t>，</w:t>
            </w:r>
            <w:r>
              <w:rPr>
                <w:rFonts w:hint="eastAsia" w:ascii="Times New Roman" w:hAnsi="Times New Roman" w:eastAsia="宋体" w:cs="Times New Roman"/>
                <w:color w:val="auto"/>
                <w:spacing w:val="0"/>
                <w:sz w:val="24"/>
                <w:szCs w:val="24"/>
                <w:highlight w:val="none"/>
                <w:lang w:val="en-US" w:eastAsia="zh-CN"/>
              </w:rPr>
              <w:t>备案号</w:t>
            </w:r>
            <w:r>
              <w:rPr>
                <w:rFonts w:hint="default" w:ascii="Times New Roman" w:hAnsi="Times New Roman" w:eastAsia="宋体" w:cs="Times New Roman"/>
                <w:color w:val="auto"/>
                <w:spacing w:val="0"/>
                <w:sz w:val="24"/>
                <w:szCs w:val="24"/>
                <w:highlight w:val="none"/>
                <w:lang w:eastAsia="zh-CN"/>
              </w:rPr>
              <w:t>为“</w:t>
            </w:r>
            <w:r>
              <w:rPr>
                <w:rFonts w:hint="eastAsia" w:ascii="Times New Roman" w:hAnsi="Times New Roman" w:eastAsia="宋体" w:cs="Times New Roman"/>
                <w:color w:val="auto"/>
                <w:spacing w:val="0"/>
                <w:sz w:val="24"/>
                <w:szCs w:val="24"/>
                <w:highlight w:val="none"/>
                <w:lang w:val="en-US" w:eastAsia="zh-CN"/>
              </w:rPr>
              <w:t>川投资备</w:t>
            </w:r>
            <w:r>
              <w:rPr>
                <w:rFonts w:hint="eastAsia" w:ascii="Times New Roman" w:hAnsi="Times New Roman" w:eastAsia="宋体" w:cs="Times New Roman"/>
                <w:kern w:val="21"/>
                <w:sz w:val="24"/>
                <w:szCs w:val="24"/>
                <w:lang w:val="en-US" w:eastAsia="zh-CN"/>
              </w:rPr>
              <w:t>【2202</w:t>
            </w:r>
            <w:r>
              <w:rPr>
                <w:rFonts w:hint="default" w:ascii="Times New Roman" w:hAnsi="Times New Roman" w:eastAsia="Calibri" w:cs="Times New Roman"/>
                <w:kern w:val="21"/>
                <w:sz w:val="24"/>
                <w:szCs w:val="24"/>
              </w:rPr>
              <w:t>-5111</w:t>
            </w:r>
            <w:r>
              <w:rPr>
                <w:rFonts w:hint="eastAsia" w:ascii="Times New Roman" w:hAnsi="Times New Roman" w:eastAsia="宋体" w:cs="Times New Roman"/>
                <w:kern w:val="21"/>
                <w:sz w:val="24"/>
                <w:szCs w:val="24"/>
                <w:lang w:val="en-US" w:eastAsia="zh-CN"/>
              </w:rPr>
              <w:t>02</w:t>
            </w:r>
            <w:r>
              <w:rPr>
                <w:rFonts w:hint="default" w:ascii="Times New Roman" w:hAnsi="Times New Roman" w:eastAsia="Calibri" w:cs="Times New Roman"/>
                <w:kern w:val="21"/>
                <w:sz w:val="24"/>
                <w:szCs w:val="24"/>
              </w:rPr>
              <w:t>-</w:t>
            </w:r>
            <w:r>
              <w:rPr>
                <w:rFonts w:hint="eastAsia" w:ascii="Times New Roman" w:hAnsi="Times New Roman" w:eastAsia="宋体" w:cs="Times New Roman"/>
                <w:kern w:val="21"/>
                <w:sz w:val="24"/>
                <w:szCs w:val="24"/>
                <w:lang w:val="en-US" w:eastAsia="zh-CN"/>
              </w:rPr>
              <w:t>04</w:t>
            </w:r>
            <w:r>
              <w:rPr>
                <w:rFonts w:hint="default" w:ascii="Times New Roman" w:hAnsi="Times New Roman" w:eastAsia="Calibri" w:cs="Times New Roman"/>
                <w:kern w:val="21"/>
                <w:sz w:val="24"/>
                <w:szCs w:val="24"/>
              </w:rPr>
              <w:t>-01-</w:t>
            </w:r>
            <w:r>
              <w:rPr>
                <w:rFonts w:hint="eastAsia" w:ascii="Times New Roman" w:hAnsi="Times New Roman" w:eastAsia="宋体" w:cs="Times New Roman"/>
                <w:kern w:val="21"/>
                <w:sz w:val="24"/>
                <w:szCs w:val="24"/>
                <w:lang w:val="en-US" w:eastAsia="zh-CN"/>
              </w:rPr>
              <w:t>468223】FGQB-0032号</w:t>
            </w:r>
            <w:r>
              <w:rPr>
                <w:rFonts w:hint="default" w:ascii="Times New Roman" w:hAnsi="Times New Roman" w:eastAsia="宋体" w:cs="Times New Roman"/>
                <w:color w:val="auto"/>
                <w:spacing w:val="0"/>
                <w:sz w:val="24"/>
                <w:szCs w:val="24"/>
                <w:highlight w:val="none"/>
                <w:lang w:eastAsia="zh-CN"/>
              </w:rPr>
              <w:t>”，同意本项目的建设。</w:t>
            </w:r>
            <w:r>
              <w:rPr>
                <w:rFonts w:hint="eastAsia" w:ascii="Times New Roman" w:hAnsi="Times New Roman" w:eastAsia="宋体" w:cs="Times New Roman"/>
                <w:color w:val="auto"/>
                <w:spacing w:val="0"/>
                <w:sz w:val="24"/>
                <w:szCs w:val="24"/>
                <w:highlight w:val="none"/>
                <w:lang w:val="en-US" w:eastAsia="zh-CN"/>
              </w:rPr>
              <w:t>2022年4月20日，</w:t>
            </w:r>
            <w:r>
              <w:rPr>
                <w:rFonts w:hint="eastAsia" w:ascii="Times New Roman" w:hAnsi="Times New Roman" w:eastAsia="宋体" w:cs="Times New Roman"/>
                <w:b w:val="0"/>
                <w:bCs w:val="0"/>
                <w:color w:val="auto"/>
                <w:spacing w:val="0"/>
                <w:kern w:val="2"/>
                <w:sz w:val="24"/>
                <w:szCs w:val="24"/>
                <w:lang w:val="en-US" w:eastAsia="zh-CN" w:bidi="ar-SA"/>
              </w:rPr>
              <w:t>苏稽峨眉河安福堰综合整治工程初步设计报告通过专家审查；</w:t>
            </w:r>
            <w:r>
              <w:rPr>
                <w:rFonts w:hint="eastAsia" w:ascii="Times New Roman" w:hAnsi="Times New Roman" w:eastAsia="宋体" w:cs="Times New Roman"/>
                <w:color w:val="auto"/>
                <w:spacing w:val="0"/>
                <w:sz w:val="24"/>
                <w:szCs w:val="24"/>
                <w:highlight w:val="none"/>
                <w:lang w:val="en-US" w:eastAsia="zh-CN"/>
              </w:rPr>
              <w:t>2022年5月6日，乐山市水务局出具了该工程行洪论证与河势稳定评价报告的批复；2023年3月15日，乐山市农业农村局出具了关于《</w:t>
            </w:r>
            <w:r>
              <w:rPr>
                <w:rFonts w:hint="default" w:ascii="Times New Roman" w:hAnsi="Times New Roman" w:eastAsia="宋体" w:cs="Times New Roman"/>
                <w:bCs/>
                <w:color w:val="auto"/>
                <w:kern w:val="0"/>
                <w:sz w:val="24"/>
                <w:lang w:val="en-US" w:eastAsia="zh-CN"/>
              </w:rPr>
              <w:t>乐山市市中区苏稽峨眉河安福堰综合</w:t>
            </w:r>
            <w:r>
              <w:rPr>
                <w:rFonts w:hint="eastAsia" w:ascii="Times New Roman" w:hAnsi="Times New Roman" w:eastAsia="宋体" w:cs="Times New Roman"/>
                <w:bCs/>
                <w:color w:val="auto"/>
                <w:kern w:val="0"/>
                <w:sz w:val="24"/>
                <w:lang w:val="en-US" w:eastAsia="zh-CN"/>
              </w:rPr>
              <w:t>整治工程对水生生物影响及补救措施专题报告</w:t>
            </w:r>
            <w:r>
              <w:rPr>
                <w:rFonts w:hint="eastAsia" w:ascii="Times New Roman" w:hAnsi="Times New Roman" w:eastAsia="宋体" w:cs="Times New Roman"/>
                <w:color w:val="auto"/>
                <w:spacing w:val="0"/>
                <w:sz w:val="24"/>
                <w:szCs w:val="24"/>
                <w:highlight w:val="none"/>
                <w:lang w:val="en-US" w:eastAsia="zh-CN"/>
              </w:rPr>
              <w:t>》的批复。</w:t>
            </w:r>
          </w:p>
          <w:p>
            <w:pPr>
              <w:pStyle w:val="40"/>
              <w:keepNext w:val="0"/>
              <w:keepLines w:val="0"/>
              <w:pageBreakBefore w:val="0"/>
              <w:widowControl w:val="0"/>
              <w:tabs>
                <w:tab w:val="left" w:pos="420"/>
                <w:tab w:val="left" w:pos="870"/>
                <w:tab w:val="left" w:pos="3150"/>
              </w:tabs>
              <w:kinsoku/>
              <w:wordWrap/>
              <w:overflowPunct/>
              <w:topLinePunct w:val="0"/>
              <w:autoSpaceDE w:val="0"/>
              <w:autoSpaceDN w:val="0"/>
              <w:bidi w:val="0"/>
              <w:adjustRightInd w:val="0"/>
              <w:snapToGrid w:val="0"/>
              <w:spacing w:after="0" w:line="360" w:lineRule="auto"/>
              <w:ind w:left="0" w:leftChars="0" w:right="0" w:firstLine="482" w:firstLineChars="200"/>
              <w:textAlignment w:val="baseline"/>
              <w:outlineLvl w:val="1"/>
              <w:rPr>
                <w:rFonts w:hint="default" w:ascii="Times New Roman" w:hAnsi="Times New Roman" w:eastAsia="宋体" w:cs="Times New Roman"/>
                <w:b/>
                <w:bCs/>
                <w:color w:val="auto"/>
                <w:spacing w:val="0"/>
                <w:kern w:val="2"/>
                <w:sz w:val="24"/>
                <w:szCs w:val="24"/>
                <w:lang w:val="en-US" w:eastAsia="zh-CN" w:bidi="ar-SA"/>
              </w:rPr>
            </w:pPr>
            <w:bookmarkStart w:id="20" w:name="_Toc23537"/>
            <w:r>
              <w:rPr>
                <w:rFonts w:hint="default" w:ascii="Times New Roman" w:hAnsi="Times New Roman" w:eastAsia="宋体" w:cs="Times New Roman"/>
                <w:b/>
                <w:bCs/>
                <w:color w:val="auto"/>
                <w:spacing w:val="0"/>
                <w:kern w:val="2"/>
                <w:sz w:val="24"/>
                <w:szCs w:val="24"/>
                <w:lang w:val="en-US" w:eastAsia="zh-CN" w:bidi="ar-SA"/>
              </w:rPr>
              <w:t>2、项目建设必要性</w:t>
            </w:r>
            <w:bookmarkEnd w:id="20"/>
          </w:p>
          <w:p>
            <w:pPr>
              <w:keepNext w:val="0"/>
              <w:keepLines w:val="0"/>
              <w:pageBreakBefore w:val="0"/>
              <w:widowControl w:val="0"/>
              <w:kinsoku/>
              <w:wordWrap/>
              <w:overflowPunct/>
              <w:topLinePunct w:val="0"/>
              <w:autoSpaceDE/>
              <w:autoSpaceDN/>
              <w:bidi w:val="0"/>
              <w:adjustRightInd/>
              <w:snapToGrid/>
              <w:spacing w:line="360" w:lineRule="auto"/>
              <w:ind w:right="0" w:firstLine="482"/>
              <w:textAlignment w:val="auto"/>
              <w:rPr>
                <w:rFonts w:hint="eastAsia" w:ascii="Times New Roman" w:hAnsi="Times New Roman" w:eastAsia="宋体" w:cs="Times New Roman"/>
                <w:b/>
                <w:bCs/>
                <w:color w:val="auto"/>
                <w:spacing w:val="0"/>
                <w:kern w:val="2"/>
                <w:sz w:val="24"/>
                <w:szCs w:val="24"/>
                <w:lang w:val="en-US" w:eastAsia="zh-CN" w:bidi="ar-SA"/>
              </w:rPr>
            </w:pPr>
            <w:r>
              <w:rPr>
                <w:rFonts w:hint="eastAsia" w:ascii="Times New Roman" w:hAnsi="Times New Roman" w:eastAsia="宋体" w:cs="Times New Roman"/>
                <w:b/>
                <w:bCs/>
                <w:color w:val="auto"/>
                <w:spacing w:val="0"/>
                <w:kern w:val="2"/>
                <w:sz w:val="24"/>
                <w:szCs w:val="24"/>
                <w:lang w:val="en-US" w:eastAsia="zh-CN" w:bidi="ar-SA"/>
              </w:rPr>
              <w:t>（1）安福堰综合整治工程</w:t>
            </w:r>
            <w:r>
              <w:rPr>
                <w:rFonts w:hint="default" w:ascii="Times New Roman" w:hAnsi="Times New Roman" w:eastAsia="宋体" w:cs="Times New Roman"/>
                <w:b/>
                <w:bCs/>
                <w:color w:val="auto"/>
                <w:spacing w:val="0"/>
                <w:kern w:val="2"/>
                <w:sz w:val="24"/>
                <w:szCs w:val="24"/>
                <w:lang w:val="en-US" w:eastAsia="zh-CN" w:bidi="ar-SA"/>
              </w:rPr>
              <w:t>是建设骨干水利工程</w:t>
            </w:r>
            <w:r>
              <w:rPr>
                <w:rFonts w:hint="eastAsia" w:ascii="Times New Roman" w:hAnsi="Times New Roman" w:eastAsia="宋体" w:cs="Times New Roman"/>
                <w:b/>
                <w:bCs/>
                <w:color w:val="auto"/>
                <w:spacing w:val="0"/>
                <w:kern w:val="2"/>
                <w:sz w:val="24"/>
                <w:szCs w:val="24"/>
                <w:lang w:val="en-US" w:eastAsia="zh-CN" w:bidi="ar-SA"/>
              </w:rPr>
              <w:t>，保障水源，</w:t>
            </w:r>
            <w:r>
              <w:rPr>
                <w:rFonts w:hint="default" w:ascii="Times New Roman" w:hAnsi="Times New Roman" w:eastAsia="宋体" w:cs="Times New Roman"/>
                <w:b/>
                <w:bCs/>
                <w:color w:val="auto"/>
                <w:spacing w:val="0"/>
                <w:kern w:val="2"/>
                <w:sz w:val="24"/>
                <w:szCs w:val="24"/>
                <w:lang w:val="en-US" w:eastAsia="zh-CN" w:bidi="ar-SA"/>
              </w:rPr>
              <w:t>提高粮食综合生产能力的需要</w:t>
            </w:r>
            <w:r>
              <w:rPr>
                <w:rFonts w:hint="eastAsia" w:ascii="Times New Roman" w:hAnsi="Times New Roman" w:eastAsia="宋体" w:cs="Times New Roman"/>
                <w:b/>
                <w:bCs/>
                <w:color w:val="auto"/>
                <w:spacing w:val="0"/>
                <w:kern w:val="2"/>
                <w:sz w:val="24"/>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Times New Roman" w:hAnsi="Times New Roman" w:eastAsia="宋体" w:cs="Times New Roman"/>
                <w:b w:val="0"/>
                <w:bCs w:val="0"/>
                <w:color w:val="auto"/>
                <w:spacing w:val="0"/>
                <w:kern w:val="2"/>
                <w:sz w:val="24"/>
                <w:szCs w:val="24"/>
                <w:lang w:val="en-US" w:eastAsia="zh-CN" w:bidi="ar-SA"/>
              </w:rPr>
            </w:pPr>
            <w:r>
              <w:rPr>
                <w:rFonts w:hint="eastAsia" w:ascii="Times New Roman" w:hAnsi="Times New Roman" w:eastAsia="宋体" w:cs="Times New Roman"/>
                <w:b w:val="0"/>
                <w:bCs w:val="0"/>
                <w:color w:val="auto"/>
                <w:spacing w:val="0"/>
                <w:kern w:val="2"/>
                <w:sz w:val="24"/>
                <w:szCs w:val="24"/>
                <w:lang w:val="en-US" w:eastAsia="zh-CN" w:bidi="ar-SA"/>
              </w:rPr>
              <w:t>安福堰灌区所在的苏稽镇是市中区社会</w:t>
            </w:r>
            <w:r>
              <w:rPr>
                <w:rFonts w:hint="default" w:ascii="Times New Roman" w:hAnsi="Times New Roman" w:eastAsia="宋体" w:cs="Times New Roman"/>
                <w:b w:val="0"/>
                <w:bCs w:val="0"/>
                <w:color w:val="auto"/>
                <w:spacing w:val="0"/>
                <w:kern w:val="2"/>
                <w:sz w:val="24"/>
                <w:szCs w:val="24"/>
                <w:lang w:val="en-US" w:eastAsia="zh-CN" w:bidi="ar-SA"/>
              </w:rPr>
              <w:t>经济条件</w:t>
            </w:r>
            <w:r>
              <w:rPr>
                <w:rFonts w:hint="eastAsia" w:ascii="Times New Roman" w:hAnsi="Times New Roman" w:eastAsia="宋体" w:cs="Times New Roman"/>
                <w:b w:val="0"/>
                <w:bCs w:val="0"/>
                <w:color w:val="auto"/>
                <w:spacing w:val="0"/>
                <w:kern w:val="2"/>
                <w:sz w:val="24"/>
                <w:szCs w:val="24"/>
                <w:lang w:val="en-US" w:eastAsia="zh-CN" w:bidi="ar-SA"/>
              </w:rPr>
              <w:t>和农业生产条件</w:t>
            </w:r>
            <w:r>
              <w:rPr>
                <w:rFonts w:hint="default" w:ascii="Times New Roman" w:hAnsi="Times New Roman" w:eastAsia="宋体" w:cs="Times New Roman"/>
                <w:b w:val="0"/>
                <w:bCs w:val="0"/>
                <w:color w:val="auto"/>
                <w:spacing w:val="0"/>
                <w:kern w:val="2"/>
                <w:sz w:val="24"/>
                <w:szCs w:val="24"/>
                <w:lang w:val="en-US" w:eastAsia="zh-CN" w:bidi="ar-SA"/>
              </w:rPr>
              <w:t>较好的地区，资源丰富，交通便利，经济发展较快。</w:t>
            </w:r>
            <w:r>
              <w:rPr>
                <w:rFonts w:hint="eastAsia" w:ascii="Times New Roman" w:hAnsi="Times New Roman" w:eastAsia="宋体" w:cs="Times New Roman"/>
                <w:b w:val="0"/>
                <w:bCs w:val="0"/>
                <w:color w:val="auto"/>
                <w:spacing w:val="0"/>
                <w:kern w:val="2"/>
                <w:sz w:val="24"/>
                <w:szCs w:val="24"/>
                <w:lang w:val="en-US" w:eastAsia="zh-CN" w:bidi="ar-SA"/>
              </w:rPr>
              <w:t>安福堰是灌区农业生产的用水需求。但安福堰建于解放前，取水口为浆砌条石低坝，目前堰体局部遭破坏，取水水位降低使灌区取水量无法得到保证，灌溉取水水源保证率低。本次安福堰综合整治</w:t>
            </w:r>
            <w:r>
              <w:rPr>
                <w:rFonts w:hint="default" w:ascii="Times New Roman" w:hAnsi="Times New Roman" w:eastAsia="宋体" w:cs="Times New Roman"/>
                <w:b w:val="0"/>
                <w:bCs w:val="0"/>
                <w:color w:val="auto"/>
                <w:spacing w:val="0"/>
                <w:kern w:val="2"/>
                <w:sz w:val="24"/>
                <w:szCs w:val="24"/>
                <w:lang w:val="en-US" w:eastAsia="zh-CN" w:bidi="ar-SA"/>
              </w:rPr>
              <w:t>任务以</w:t>
            </w:r>
            <w:r>
              <w:rPr>
                <w:rFonts w:hint="eastAsia" w:ascii="Times New Roman" w:hAnsi="Times New Roman" w:eastAsia="宋体" w:cs="Times New Roman"/>
                <w:b w:val="0"/>
                <w:bCs w:val="0"/>
                <w:color w:val="auto"/>
                <w:spacing w:val="0"/>
                <w:kern w:val="2"/>
                <w:sz w:val="24"/>
                <w:szCs w:val="24"/>
                <w:lang w:val="en-US" w:eastAsia="zh-CN" w:bidi="ar-SA"/>
              </w:rPr>
              <w:t>农田</w:t>
            </w:r>
            <w:r>
              <w:rPr>
                <w:rFonts w:hint="default" w:ascii="Times New Roman" w:hAnsi="Times New Roman" w:eastAsia="宋体" w:cs="Times New Roman"/>
                <w:b w:val="0"/>
                <w:bCs w:val="0"/>
                <w:color w:val="auto"/>
                <w:spacing w:val="0"/>
                <w:kern w:val="2"/>
                <w:sz w:val="24"/>
                <w:szCs w:val="24"/>
                <w:lang w:val="en-US" w:eastAsia="zh-CN" w:bidi="ar-SA"/>
              </w:rPr>
              <w:t>灌溉为主，兼顾</w:t>
            </w:r>
            <w:r>
              <w:rPr>
                <w:rFonts w:hint="eastAsia" w:ascii="Times New Roman" w:hAnsi="Times New Roman" w:eastAsia="宋体" w:cs="Times New Roman"/>
                <w:b w:val="0"/>
                <w:bCs w:val="0"/>
                <w:color w:val="auto"/>
                <w:spacing w:val="0"/>
                <w:kern w:val="2"/>
                <w:sz w:val="24"/>
                <w:szCs w:val="24"/>
                <w:lang w:val="en-US" w:eastAsia="zh-CN" w:bidi="ar-SA"/>
              </w:rPr>
              <w:t>河湖生态治理及打造峨眉河苏稽段水景观</w:t>
            </w:r>
            <w:r>
              <w:rPr>
                <w:rFonts w:hint="default" w:ascii="Times New Roman" w:hAnsi="Times New Roman" w:eastAsia="宋体" w:cs="Times New Roman"/>
                <w:b w:val="0"/>
                <w:bCs w:val="0"/>
                <w:color w:val="auto"/>
                <w:spacing w:val="0"/>
                <w:kern w:val="2"/>
                <w:sz w:val="24"/>
                <w:szCs w:val="24"/>
                <w:lang w:val="en-US" w:eastAsia="zh-CN" w:bidi="ar-SA"/>
              </w:rPr>
              <w:t>等综合利用。</w:t>
            </w:r>
            <w:r>
              <w:rPr>
                <w:rFonts w:hint="eastAsia" w:ascii="Times New Roman" w:hAnsi="Times New Roman" w:eastAsia="宋体" w:cs="Times New Roman"/>
                <w:b w:val="0"/>
                <w:bCs w:val="0"/>
                <w:color w:val="auto"/>
                <w:spacing w:val="0"/>
                <w:kern w:val="2"/>
                <w:sz w:val="24"/>
                <w:szCs w:val="24"/>
                <w:lang w:val="en-US" w:eastAsia="zh-CN" w:bidi="ar-SA"/>
              </w:rPr>
              <w:t>安福堰综合整治工程从根本上解决水源问题，发展节水农业，提高农业特别是粮食综合生产能力，为保障国家粮食安全做出贡献。</w:t>
            </w:r>
          </w:p>
          <w:p>
            <w:pPr>
              <w:keepNext w:val="0"/>
              <w:keepLines w:val="0"/>
              <w:pageBreakBefore w:val="0"/>
              <w:widowControl w:val="0"/>
              <w:kinsoku/>
              <w:wordWrap/>
              <w:overflowPunct/>
              <w:topLinePunct w:val="0"/>
              <w:autoSpaceDE/>
              <w:autoSpaceDN/>
              <w:bidi w:val="0"/>
              <w:adjustRightInd/>
              <w:snapToGrid/>
              <w:spacing w:line="360" w:lineRule="auto"/>
              <w:ind w:right="0" w:firstLine="482" w:firstLineChars="200"/>
              <w:textAlignment w:val="auto"/>
              <w:rPr>
                <w:rFonts w:hint="eastAsia" w:ascii="Times New Roman" w:hAnsi="Times New Roman" w:eastAsia="宋体" w:cs="Times New Roman"/>
                <w:b/>
                <w:bCs/>
                <w:color w:val="auto"/>
                <w:spacing w:val="0"/>
                <w:kern w:val="2"/>
                <w:sz w:val="24"/>
                <w:szCs w:val="24"/>
                <w:lang w:val="en-US" w:eastAsia="zh-CN" w:bidi="ar-SA"/>
              </w:rPr>
            </w:pPr>
            <w:r>
              <w:rPr>
                <w:rFonts w:hint="eastAsia" w:ascii="Times New Roman" w:hAnsi="Times New Roman" w:eastAsia="宋体" w:cs="Times New Roman"/>
                <w:b/>
                <w:bCs/>
                <w:color w:val="auto"/>
                <w:spacing w:val="0"/>
                <w:kern w:val="2"/>
                <w:sz w:val="24"/>
                <w:szCs w:val="24"/>
                <w:lang w:val="en-US" w:eastAsia="zh-CN" w:bidi="ar-SA"/>
              </w:rPr>
              <w:t>（2）安福堰综合整治工程是提高防洪能力，确保人民群众生命安全的需要</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Times New Roman" w:hAnsi="Times New Roman" w:eastAsia="宋体" w:cs="Times New Roman"/>
                <w:b w:val="0"/>
                <w:bCs w:val="0"/>
                <w:color w:val="auto"/>
                <w:spacing w:val="0"/>
                <w:kern w:val="2"/>
                <w:sz w:val="24"/>
                <w:szCs w:val="24"/>
                <w:lang w:val="en-US" w:eastAsia="zh-CN" w:bidi="ar-SA"/>
              </w:rPr>
            </w:pPr>
            <w:r>
              <w:rPr>
                <w:rFonts w:hint="eastAsia" w:ascii="Times New Roman" w:hAnsi="Times New Roman" w:eastAsia="宋体" w:cs="Times New Roman"/>
                <w:b w:val="0"/>
                <w:bCs w:val="0"/>
                <w:color w:val="auto"/>
                <w:spacing w:val="0"/>
                <w:kern w:val="2"/>
                <w:sz w:val="24"/>
                <w:szCs w:val="24"/>
                <w:lang w:val="en-US" w:eastAsia="zh-CN" w:bidi="ar-SA"/>
              </w:rPr>
              <w:t>安福堰上游及下游均建有挡河挡水低堰，坝体的拦挡原因使河床淤积抬升2~3m，受安福堰取水坝局部破坏及下游淤积的影响，致使两岸遭遇1~2年的洪水即淹没右岸滩地，破坏当地的农田及水利设施，造成取水困难，给当地群众生产生活带来困扰及极大的隐患，给沿线居民身体健康和城镇形象造成严重的影响。通过本项目建设，降低洪水对两岸居民影响。</w:t>
            </w:r>
          </w:p>
          <w:p>
            <w:pPr>
              <w:keepNext w:val="0"/>
              <w:keepLines w:val="0"/>
              <w:pageBreakBefore w:val="0"/>
              <w:widowControl w:val="0"/>
              <w:kinsoku/>
              <w:wordWrap/>
              <w:overflowPunct/>
              <w:topLinePunct w:val="0"/>
              <w:autoSpaceDE/>
              <w:autoSpaceDN/>
              <w:bidi w:val="0"/>
              <w:adjustRightInd/>
              <w:snapToGrid/>
              <w:spacing w:line="360" w:lineRule="auto"/>
              <w:ind w:right="0" w:firstLine="482" w:firstLineChars="200"/>
              <w:textAlignment w:val="auto"/>
              <w:rPr>
                <w:rFonts w:hint="eastAsia" w:ascii="Times New Roman" w:hAnsi="Times New Roman" w:eastAsia="宋体" w:cs="Times New Roman"/>
                <w:b w:val="0"/>
                <w:bCs w:val="0"/>
                <w:color w:val="auto"/>
                <w:spacing w:val="0"/>
                <w:kern w:val="2"/>
                <w:sz w:val="24"/>
                <w:szCs w:val="24"/>
                <w:lang w:val="en-US" w:eastAsia="zh-CN" w:bidi="ar-SA"/>
              </w:rPr>
            </w:pPr>
            <w:r>
              <w:rPr>
                <w:rFonts w:hint="eastAsia" w:ascii="Times New Roman" w:hAnsi="Times New Roman" w:eastAsia="宋体" w:cs="Times New Roman"/>
                <w:b/>
                <w:bCs/>
                <w:color w:val="auto"/>
                <w:spacing w:val="0"/>
                <w:kern w:val="2"/>
                <w:sz w:val="24"/>
                <w:szCs w:val="24"/>
                <w:lang w:val="en-US" w:eastAsia="zh-CN" w:bidi="ar-SA"/>
              </w:rPr>
              <w:t>（3）安福堰综合整治工程是优化农业产业结构，推进社会主义新农村建设的需要</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Times New Roman" w:hAnsi="Times New Roman" w:eastAsia="宋体" w:cs="Times New Roman"/>
                <w:b w:val="0"/>
                <w:bCs w:val="0"/>
                <w:color w:val="auto"/>
                <w:spacing w:val="0"/>
                <w:kern w:val="2"/>
                <w:sz w:val="24"/>
                <w:szCs w:val="24"/>
                <w:lang w:val="en-US" w:eastAsia="zh-CN" w:bidi="ar-SA"/>
              </w:rPr>
            </w:pPr>
            <w:r>
              <w:rPr>
                <w:rFonts w:hint="eastAsia" w:ascii="Times New Roman" w:hAnsi="Times New Roman" w:eastAsia="宋体" w:cs="Times New Roman"/>
                <w:b w:val="0"/>
                <w:bCs w:val="0"/>
                <w:color w:val="auto"/>
                <w:spacing w:val="0"/>
                <w:kern w:val="2"/>
                <w:sz w:val="24"/>
                <w:szCs w:val="24"/>
                <w:lang w:val="en-US" w:eastAsia="zh-CN" w:bidi="ar-SA"/>
              </w:rPr>
              <w:t>安福堰综合整治工程</w:t>
            </w:r>
            <w:r>
              <w:rPr>
                <w:rFonts w:hint="default" w:ascii="Times New Roman" w:hAnsi="Times New Roman" w:eastAsia="宋体" w:cs="Times New Roman"/>
                <w:b w:val="0"/>
                <w:bCs w:val="0"/>
                <w:color w:val="auto"/>
                <w:spacing w:val="0"/>
                <w:kern w:val="2"/>
                <w:sz w:val="24"/>
                <w:szCs w:val="24"/>
                <w:lang w:val="en-US" w:eastAsia="zh-CN" w:bidi="ar-SA"/>
              </w:rPr>
              <w:t>使农业生产水源有了保障，为促进</w:t>
            </w:r>
            <w:r>
              <w:rPr>
                <w:rFonts w:hint="eastAsia" w:ascii="Times New Roman" w:hAnsi="Times New Roman" w:eastAsia="宋体" w:cs="Times New Roman"/>
                <w:b w:val="0"/>
                <w:bCs w:val="0"/>
                <w:color w:val="auto"/>
                <w:spacing w:val="0"/>
                <w:kern w:val="2"/>
                <w:sz w:val="24"/>
                <w:szCs w:val="24"/>
                <w:lang w:val="en-US" w:eastAsia="zh-CN" w:bidi="ar-SA"/>
              </w:rPr>
              <w:t>灌区</w:t>
            </w:r>
            <w:r>
              <w:rPr>
                <w:rFonts w:hint="default" w:ascii="Times New Roman" w:hAnsi="Times New Roman" w:eastAsia="宋体" w:cs="Times New Roman"/>
                <w:b w:val="0"/>
                <w:bCs w:val="0"/>
                <w:color w:val="auto"/>
                <w:spacing w:val="0"/>
                <w:kern w:val="2"/>
                <w:sz w:val="24"/>
                <w:szCs w:val="24"/>
                <w:lang w:val="en-US" w:eastAsia="zh-CN" w:bidi="ar-SA"/>
              </w:rPr>
              <w:t>农业产业结构的调整提供了有利条件，可使间种、套种等农业新技术得到普及和推广，随着农业产业化的快速发展，作为其基础设施的水利灌溉工程，必须提高科技含量，充分利用水资源，为</w:t>
            </w:r>
            <w:r>
              <w:rPr>
                <w:rFonts w:hint="eastAsia" w:ascii="Times New Roman" w:hAnsi="Times New Roman" w:eastAsia="宋体" w:cs="Times New Roman"/>
                <w:b w:val="0"/>
                <w:bCs w:val="0"/>
                <w:color w:val="auto"/>
                <w:spacing w:val="0"/>
                <w:kern w:val="2"/>
                <w:sz w:val="24"/>
                <w:szCs w:val="24"/>
                <w:lang w:val="en-US" w:eastAsia="zh-CN" w:bidi="ar-SA"/>
              </w:rPr>
              <w:t>农业</w:t>
            </w:r>
            <w:r>
              <w:rPr>
                <w:rFonts w:hint="default" w:ascii="Times New Roman" w:hAnsi="Times New Roman" w:eastAsia="宋体" w:cs="Times New Roman"/>
                <w:b w:val="0"/>
                <w:bCs w:val="0"/>
                <w:color w:val="auto"/>
                <w:spacing w:val="0"/>
                <w:kern w:val="2"/>
                <w:sz w:val="24"/>
                <w:szCs w:val="24"/>
                <w:lang w:val="en-US" w:eastAsia="zh-CN" w:bidi="ar-SA"/>
              </w:rPr>
              <w:t>经济建设服务。同时，对进一步加强农业和农村基础设施建设及改善</w:t>
            </w:r>
            <w:r>
              <w:rPr>
                <w:rFonts w:hint="eastAsia" w:ascii="Times New Roman" w:hAnsi="Times New Roman" w:eastAsia="宋体" w:cs="Times New Roman"/>
                <w:b w:val="0"/>
                <w:bCs w:val="0"/>
                <w:color w:val="auto"/>
                <w:spacing w:val="0"/>
                <w:kern w:val="2"/>
                <w:sz w:val="24"/>
                <w:szCs w:val="24"/>
                <w:lang w:val="en-US" w:eastAsia="zh-CN" w:bidi="ar-SA"/>
              </w:rPr>
              <w:t>灌区</w:t>
            </w:r>
            <w:r>
              <w:rPr>
                <w:rFonts w:hint="default" w:ascii="Times New Roman" w:hAnsi="Times New Roman" w:eastAsia="宋体" w:cs="Times New Roman"/>
                <w:b w:val="0"/>
                <w:bCs w:val="0"/>
                <w:color w:val="auto"/>
                <w:spacing w:val="0"/>
                <w:kern w:val="2"/>
                <w:sz w:val="24"/>
                <w:szCs w:val="24"/>
                <w:lang w:val="en-US" w:eastAsia="zh-CN" w:bidi="ar-SA"/>
              </w:rPr>
              <w:t>农民生产生活条件、增加农民收入发挥积极作用</w:t>
            </w:r>
            <w:r>
              <w:rPr>
                <w:rFonts w:hint="eastAsia" w:ascii="Times New Roman" w:hAnsi="Times New Roman" w:eastAsia="宋体" w:cs="Times New Roman"/>
                <w:b w:val="0"/>
                <w:bCs w:val="0"/>
                <w:color w:val="auto"/>
                <w:spacing w:val="0"/>
                <w:kern w:val="2"/>
                <w:sz w:val="24"/>
                <w:szCs w:val="24"/>
                <w:lang w:val="en-US" w:eastAsia="zh-CN" w:bidi="ar-SA"/>
              </w:rPr>
              <w:t>，同时也是推进社会主义新农村建设的重要内容</w:t>
            </w:r>
            <w:r>
              <w:rPr>
                <w:rFonts w:hint="default" w:ascii="Times New Roman" w:hAnsi="Times New Roman" w:eastAsia="宋体" w:cs="Times New Roman"/>
                <w:b w:val="0"/>
                <w:bCs w:val="0"/>
                <w:color w:val="auto"/>
                <w:spacing w:val="0"/>
                <w:kern w:val="2"/>
                <w:sz w:val="24"/>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right="0" w:firstLine="482" w:firstLineChars="200"/>
              <w:textAlignment w:val="auto"/>
              <w:rPr>
                <w:rFonts w:hint="eastAsia" w:ascii="Times New Roman" w:hAnsi="Times New Roman" w:eastAsia="宋体" w:cs="Times New Roman"/>
                <w:b/>
                <w:bCs/>
                <w:color w:val="auto"/>
                <w:spacing w:val="0"/>
                <w:kern w:val="2"/>
                <w:sz w:val="24"/>
                <w:szCs w:val="24"/>
                <w:lang w:val="en-US" w:eastAsia="zh-CN" w:bidi="ar-SA"/>
              </w:rPr>
            </w:pPr>
            <w:r>
              <w:rPr>
                <w:rFonts w:hint="eastAsia" w:ascii="Times New Roman" w:hAnsi="Times New Roman" w:eastAsia="宋体" w:cs="Times New Roman"/>
                <w:b/>
                <w:bCs/>
                <w:color w:val="auto"/>
                <w:spacing w:val="0"/>
                <w:kern w:val="2"/>
                <w:sz w:val="24"/>
                <w:szCs w:val="24"/>
                <w:lang w:val="en-US" w:eastAsia="zh-CN" w:bidi="ar-SA"/>
              </w:rPr>
              <w:t>（4）安福堰综合整治工程</w:t>
            </w:r>
            <w:r>
              <w:rPr>
                <w:rFonts w:hint="default" w:ascii="Times New Roman" w:hAnsi="Times New Roman" w:eastAsia="宋体" w:cs="Times New Roman"/>
                <w:b/>
                <w:bCs/>
                <w:color w:val="auto"/>
                <w:spacing w:val="0"/>
                <w:kern w:val="2"/>
                <w:sz w:val="24"/>
                <w:szCs w:val="24"/>
                <w:lang w:val="en-US" w:eastAsia="zh-CN" w:bidi="ar-SA"/>
              </w:rPr>
              <w:t>是</w:t>
            </w:r>
            <w:r>
              <w:rPr>
                <w:rFonts w:hint="eastAsia" w:ascii="Times New Roman" w:hAnsi="Times New Roman" w:eastAsia="宋体" w:cs="Times New Roman"/>
                <w:b/>
                <w:bCs/>
                <w:color w:val="auto"/>
                <w:spacing w:val="0"/>
                <w:kern w:val="2"/>
                <w:sz w:val="24"/>
                <w:szCs w:val="24"/>
                <w:lang w:val="en-US" w:eastAsia="zh-CN" w:bidi="ar-SA"/>
              </w:rPr>
              <w:t>改善安福堰水生态环境，提升苏稽镇品质的</w:t>
            </w:r>
            <w:r>
              <w:rPr>
                <w:rFonts w:hint="default" w:ascii="Times New Roman" w:hAnsi="Times New Roman" w:eastAsia="宋体" w:cs="Times New Roman"/>
                <w:b/>
                <w:bCs/>
                <w:color w:val="auto"/>
                <w:spacing w:val="0"/>
                <w:kern w:val="2"/>
                <w:sz w:val="24"/>
                <w:szCs w:val="24"/>
                <w:lang w:val="en-US" w:eastAsia="zh-CN" w:bidi="ar-SA"/>
              </w:rPr>
              <w:t>需要</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b w:val="0"/>
                <w:bCs w:val="0"/>
                <w:color w:val="auto"/>
                <w:spacing w:val="0"/>
                <w:kern w:val="2"/>
                <w:sz w:val="24"/>
                <w:szCs w:val="24"/>
                <w:lang w:val="en-US" w:eastAsia="zh-CN" w:bidi="ar-SA"/>
              </w:rPr>
            </w:pPr>
            <w:r>
              <w:rPr>
                <w:rFonts w:hint="eastAsia" w:ascii="Times New Roman" w:hAnsi="Times New Roman" w:eastAsia="宋体" w:cs="Times New Roman"/>
                <w:b w:val="0"/>
                <w:bCs w:val="0"/>
                <w:color w:val="auto"/>
                <w:spacing w:val="0"/>
                <w:kern w:val="2"/>
                <w:sz w:val="24"/>
                <w:szCs w:val="24"/>
                <w:lang w:val="en-US" w:eastAsia="zh-CN" w:bidi="ar-SA"/>
              </w:rPr>
              <w:t>本次安福堰综合整治工程建成后，可在保证灌溉水源保证率的同时引入富余水量作为生态流，促进水体交换和水生态修复。将极大地改善当地的水生态环境，提升城镇形象。</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right="0" w:rightChars="0" w:firstLine="482" w:firstLineChars="200"/>
              <w:jc w:val="both"/>
              <w:textAlignment w:val="auto"/>
              <w:rPr>
                <w:rFonts w:hint="default" w:ascii="Times New Roman" w:hAnsi="Times New Roman" w:eastAsia="宋体" w:cs="Times New Roman"/>
                <w:b/>
                <w:bCs/>
                <w:color w:val="auto"/>
                <w:spacing w:val="0"/>
                <w:kern w:val="2"/>
                <w:sz w:val="24"/>
                <w:szCs w:val="24"/>
                <w:lang w:val="en-US" w:eastAsia="zh-CN" w:bidi="ar-SA"/>
              </w:rPr>
            </w:pPr>
            <w:r>
              <w:rPr>
                <w:rFonts w:hint="default" w:ascii="Times New Roman" w:hAnsi="Times New Roman" w:eastAsia="宋体" w:cs="Times New Roman"/>
                <w:b/>
                <w:bCs/>
                <w:color w:val="auto"/>
                <w:spacing w:val="0"/>
                <w:kern w:val="2"/>
                <w:sz w:val="24"/>
                <w:szCs w:val="24"/>
                <w:lang w:val="en-US" w:eastAsia="zh-CN" w:bidi="ar-SA"/>
              </w:rPr>
              <w:t>3、项目基本情况</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right="0" w:rightChars="0" w:firstLine="482"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b/>
                <w:bCs/>
                <w:color w:val="auto"/>
                <w:sz w:val="24"/>
                <w:szCs w:val="24"/>
                <w:lang w:val="en-US" w:eastAsia="zh-CN"/>
              </w:rPr>
              <w:t>项目名称：</w:t>
            </w:r>
            <w:r>
              <w:rPr>
                <w:rFonts w:hint="default" w:ascii="Times New Roman" w:hAnsi="Times New Roman" w:eastAsia="宋体" w:cs="Times New Roman"/>
                <w:kern w:val="21"/>
                <w:sz w:val="24"/>
                <w:szCs w:val="24"/>
                <w:lang w:eastAsia="zh-CN"/>
              </w:rPr>
              <w:t>乐山市市中区苏稽峨眉河安福堰综合整治工程</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right="0" w:rightChars="0" w:firstLine="482" w:firstLineChars="200"/>
              <w:jc w:val="both"/>
              <w:textAlignment w:val="auto"/>
              <w:rPr>
                <w:rFonts w:hint="default" w:ascii="Times New Roman" w:hAnsi="Times New Roman" w:eastAsia="宋体" w:cs="Times New Roman"/>
                <w:kern w:val="21"/>
                <w:sz w:val="24"/>
                <w:szCs w:val="24"/>
                <w:lang w:val="en-US" w:eastAsia="zh-CN"/>
              </w:rPr>
            </w:pPr>
            <w:r>
              <w:rPr>
                <w:rFonts w:hint="default" w:ascii="Times New Roman" w:hAnsi="Times New Roman" w:cs="Times New Roman"/>
                <w:b/>
                <w:bCs/>
                <w:color w:val="auto"/>
                <w:sz w:val="24"/>
                <w:szCs w:val="24"/>
                <w:lang w:val="en-US" w:eastAsia="zh-CN"/>
              </w:rPr>
              <w:t>建设单位：</w:t>
            </w:r>
            <w:r>
              <w:rPr>
                <w:rFonts w:hint="default" w:ascii="Times New Roman" w:hAnsi="Times New Roman" w:eastAsia="宋体" w:cs="Times New Roman"/>
                <w:kern w:val="21"/>
                <w:sz w:val="24"/>
                <w:szCs w:val="24"/>
                <w:lang w:eastAsia="zh-CN"/>
              </w:rPr>
              <w:t>乐山</w:t>
            </w:r>
            <w:r>
              <w:rPr>
                <w:rFonts w:hint="eastAsia" w:ascii="Times New Roman" w:hAnsi="Times New Roman" w:eastAsia="宋体" w:cs="Times New Roman"/>
                <w:kern w:val="21"/>
                <w:sz w:val="24"/>
                <w:szCs w:val="24"/>
                <w:lang w:val="en-US" w:eastAsia="zh-CN"/>
              </w:rPr>
              <w:t>嘉和投资有限责任公司</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right="0" w:rightChars="0" w:firstLine="482"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b/>
                <w:bCs/>
                <w:color w:val="auto"/>
                <w:sz w:val="24"/>
                <w:szCs w:val="24"/>
                <w:lang w:val="en-US" w:eastAsia="zh-CN"/>
              </w:rPr>
              <w:t>建设性质：</w:t>
            </w:r>
            <w:r>
              <w:rPr>
                <w:rFonts w:hint="eastAsia" w:ascii="Times New Roman" w:hAnsi="Times New Roman" w:cs="Times New Roman"/>
                <w:b w:val="0"/>
                <w:bCs w:val="0"/>
                <w:color w:val="auto"/>
                <w:sz w:val="24"/>
                <w:szCs w:val="24"/>
                <w:lang w:val="en-US" w:eastAsia="zh-CN"/>
              </w:rPr>
              <w:t>改</w:t>
            </w:r>
            <w:r>
              <w:rPr>
                <w:rFonts w:hint="default" w:ascii="Times New Roman" w:hAnsi="Times New Roman" w:cs="Times New Roman"/>
                <w:b w:val="0"/>
                <w:bCs w:val="0"/>
                <w:color w:val="auto"/>
                <w:sz w:val="24"/>
                <w:szCs w:val="24"/>
                <w:lang w:val="en-US" w:eastAsia="zh-CN"/>
              </w:rPr>
              <w:t>建</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right="0" w:rightChars="0" w:firstLine="482" w:firstLineChars="200"/>
              <w:jc w:val="both"/>
              <w:textAlignment w:val="auto"/>
              <w:rPr>
                <w:rFonts w:hint="default" w:ascii="Times New Roman" w:hAnsi="Times New Roman" w:eastAsia="宋体" w:cs="Times New Roman"/>
                <w:color w:val="auto"/>
                <w:spacing w:val="0"/>
                <w:kern w:val="0"/>
                <w:sz w:val="24"/>
                <w:szCs w:val="24"/>
                <w:lang w:val="en-US" w:eastAsia="zh-CN" w:bidi="ar-SA"/>
              </w:rPr>
            </w:pPr>
            <w:r>
              <w:rPr>
                <w:rFonts w:hint="default" w:ascii="Times New Roman" w:hAnsi="Times New Roman" w:cs="Times New Roman"/>
                <w:b/>
                <w:bCs/>
                <w:color w:val="auto"/>
                <w:sz w:val="24"/>
                <w:szCs w:val="24"/>
                <w:lang w:val="en-US" w:eastAsia="zh-CN"/>
              </w:rPr>
              <w:t>建设地点：</w:t>
            </w:r>
            <w:r>
              <w:rPr>
                <w:rFonts w:hint="default" w:ascii="Times New Roman" w:hAnsi="Times New Roman" w:eastAsia="宋体" w:cs="Times New Roman"/>
                <w:kern w:val="21"/>
                <w:sz w:val="24"/>
                <w:szCs w:val="24"/>
                <w:lang w:eastAsia="zh-CN"/>
              </w:rPr>
              <w:t>乐山市</w:t>
            </w:r>
            <w:r>
              <w:rPr>
                <w:rFonts w:hint="eastAsia" w:ascii="Times New Roman" w:hAnsi="Times New Roman" w:eastAsia="宋体" w:cs="Times New Roman"/>
                <w:kern w:val="21"/>
                <w:sz w:val="24"/>
                <w:szCs w:val="24"/>
                <w:lang w:val="en-US" w:eastAsia="zh-CN"/>
              </w:rPr>
              <w:t>苏稽镇</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right="0" w:rightChars="0" w:firstLine="482" w:firstLineChars="200"/>
              <w:jc w:val="both"/>
              <w:textAlignment w:val="auto"/>
              <w:rPr>
                <w:rFonts w:hint="default" w:ascii="Times New Roman" w:hAnsi="Times New Roman" w:eastAsia="宋体" w:cs="Times New Roman"/>
                <w:color w:val="auto"/>
                <w:spacing w:val="0"/>
                <w:kern w:val="0"/>
                <w:sz w:val="24"/>
                <w:szCs w:val="24"/>
                <w:lang w:val="en-US" w:eastAsia="zh-CN" w:bidi="ar-SA"/>
              </w:rPr>
            </w:pPr>
            <w:r>
              <w:rPr>
                <w:rFonts w:hint="default" w:ascii="Times New Roman" w:hAnsi="Times New Roman" w:cs="Times New Roman"/>
                <w:b/>
                <w:bCs/>
                <w:color w:val="auto"/>
                <w:sz w:val="24"/>
                <w:szCs w:val="24"/>
                <w:lang w:val="en-US" w:eastAsia="zh-CN"/>
              </w:rPr>
              <w:t>项目投资：</w:t>
            </w:r>
            <w:r>
              <w:rPr>
                <w:rFonts w:hint="eastAsia" w:ascii="Times New Roman" w:hAnsi="Times New Roman" w:eastAsia="宋体" w:cs="Times New Roman"/>
                <w:color w:val="auto"/>
                <w:spacing w:val="0"/>
                <w:kern w:val="0"/>
                <w:sz w:val="24"/>
                <w:szCs w:val="24"/>
                <w:lang w:val="en-US" w:eastAsia="zh-CN" w:bidi="ar-SA"/>
              </w:rPr>
              <w:t>3438</w:t>
            </w:r>
            <w:r>
              <w:rPr>
                <w:rFonts w:hint="default" w:ascii="Times New Roman" w:hAnsi="Times New Roman" w:cs="Times New Roman"/>
                <w:color w:val="auto"/>
                <w:sz w:val="24"/>
                <w:szCs w:val="24"/>
                <w:lang w:val="en-US" w:eastAsia="zh-CN"/>
              </w:rPr>
              <w:t>万元</w:t>
            </w:r>
          </w:p>
          <w:p>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2" w:firstLineChars="200"/>
              <w:jc w:val="both"/>
              <w:textAlignment w:val="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4、建设任务和治理标准</w:t>
            </w:r>
          </w:p>
          <w:p>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0" w:firstLineChars="200"/>
              <w:jc w:val="both"/>
              <w:textAlignment w:val="auto"/>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安福堰综合整治工程设计水平年为2030年，灌溉设计保证率为75%，供水范围为峨眉河苏稽段右岸的4800亩灌溉面积，灌溉净需水量为130万m</w:t>
            </w:r>
            <w:r>
              <w:rPr>
                <w:rFonts w:hint="eastAsia" w:ascii="Times New Roman" w:hAnsi="Times New Roman" w:cs="Times New Roman"/>
                <w:b w:val="0"/>
                <w:bCs w:val="0"/>
                <w:color w:val="auto"/>
                <w:sz w:val="24"/>
                <w:szCs w:val="24"/>
                <w:vertAlign w:val="superscript"/>
                <w:lang w:val="en-US" w:eastAsia="zh-CN"/>
              </w:rPr>
              <w:t>3</w:t>
            </w:r>
            <w:r>
              <w:rPr>
                <w:rFonts w:hint="eastAsia" w:ascii="Times New Roman" w:hAnsi="Times New Roman" w:cs="Times New Roman"/>
                <w:b w:val="0"/>
                <w:bCs w:val="0"/>
                <w:color w:val="auto"/>
                <w:sz w:val="24"/>
                <w:szCs w:val="24"/>
                <w:lang w:val="en-US" w:eastAsia="zh-CN"/>
              </w:rPr>
              <w:t>，灌溉毛需水量为232.1万m</w:t>
            </w:r>
            <w:r>
              <w:rPr>
                <w:rFonts w:hint="eastAsia" w:ascii="Times New Roman" w:hAnsi="Times New Roman" w:cs="Times New Roman"/>
                <w:b w:val="0"/>
                <w:bCs w:val="0"/>
                <w:color w:val="auto"/>
                <w:sz w:val="24"/>
                <w:szCs w:val="24"/>
                <w:vertAlign w:val="superscript"/>
                <w:lang w:val="en-US" w:eastAsia="zh-CN"/>
              </w:rPr>
              <w:t>3</w:t>
            </w:r>
            <w:r>
              <w:rPr>
                <w:rFonts w:hint="eastAsia" w:ascii="Times New Roman" w:hAnsi="Times New Roman" w:cs="Times New Roman"/>
                <w:b w:val="0"/>
                <w:bCs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0" w:firstLineChars="200"/>
              <w:jc w:val="both"/>
              <w:textAlignment w:val="auto"/>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本工程设计洪水标准采用20年一遇，消能设计洪水标准采用10年一遇，排涝标准为10年一遇。安福堰枢纽永久主要建筑物按5级设计，取水口及引水渠枢纽永久次要建筑物按5级设计，临时建筑物按5级设计。堤防工程级别为4级。</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1" w:type="dxa"/>
                  <w:noWrap w:val="0"/>
                  <w:vAlign w:val="top"/>
                </w:tcPr>
                <w:p>
                  <w:pPr>
                    <w:pStyle w:val="2"/>
                  </w:pPr>
                  <w:r>
                    <w:drawing>
                      <wp:inline distT="0" distB="0" distL="114300" distR="114300">
                        <wp:extent cx="4912995" cy="3531235"/>
                        <wp:effectExtent l="0" t="0" r="1905" b="12065"/>
                        <wp:docPr id="20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13"/>
                                <pic:cNvPicPr>
                                  <a:picLocks noChangeAspect="1"/>
                                </pic:cNvPicPr>
                              </pic:nvPicPr>
                              <pic:blipFill>
                                <a:blip r:embed="rId35"/>
                                <a:stretch>
                                  <a:fillRect/>
                                </a:stretch>
                              </pic:blipFill>
                              <pic:spPr>
                                <a:xfrm>
                                  <a:off x="0" y="0"/>
                                  <a:ext cx="4912995" cy="3531235"/>
                                </a:xfrm>
                                <a:prstGeom prst="rect">
                                  <a:avLst/>
                                </a:prstGeom>
                                <a:noFill/>
                                <a:ln>
                                  <a:noFill/>
                                </a:ln>
                              </pic:spPr>
                            </pic:pic>
                          </a:graphicData>
                        </a:graphic>
                      </wp:inline>
                    </w:drawing>
                  </w: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lang w:val="en-US" w:eastAsia="zh-CN"/>
                    </w:rPr>
                  </w:pPr>
                  <w:r>
                    <w:rPr>
                      <w:rFonts w:hint="default" w:ascii="Times New Roman" w:hAnsi="Times New Roman" w:cs="Times New Roman"/>
                      <w:b/>
                      <w:bCs/>
                      <w:sz w:val="21"/>
                      <w:szCs w:val="21"/>
                      <w:lang w:val="en-US" w:eastAsia="zh-CN"/>
                    </w:rPr>
                    <w:t>图</w:t>
                  </w:r>
                  <w:r>
                    <w:rPr>
                      <w:rFonts w:hint="eastAsia" w:ascii="Times New Roman" w:hAnsi="Times New Roman" w:cs="Times New Roman"/>
                      <w:b/>
                      <w:bCs/>
                      <w:sz w:val="21"/>
                      <w:szCs w:val="21"/>
                      <w:lang w:val="en-US" w:eastAsia="zh-CN"/>
                    </w:rPr>
                    <w:t>2-1</w:t>
                  </w:r>
                  <w:r>
                    <w:rPr>
                      <w:rFonts w:hint="default" w:ascii="Times New Roman" w:hAnsi="Times New Roman" w:cs="Times New Roman"/>
                      <w:b/>
                      <w:bCs/>
                      <w:sz w:val="21"/>
                      <w:szCs w:val="21"/>
                      <w:lang w:val="en-US" w:eastAsia="zh-CN"/>
                    </w:rPr>
                    <w:t xml:space="preserve">  安福堰综合整治后效果图</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2" w:firstLineChars="200"/>
              <w:jc w:val="both"/>
              <w:textAlignment w:val="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5、</w:t>
            </w:r>
            <w:r>
              <w:rPr>
                <w:rFonts w:hint="default" w:ascii="Times New Roman" w:hAnsi="Times New Roman" w:cs="Times New Roman"/>
                <w:b/>
                <w:bCs/>
                <w:color w:val="auto"/>
                <w:sz w:val="24"/>
                <w:szCs w:val="24"/>
                <w:lang w:val="en-US" w:eastAsia="zh-CN"/>
              </w:rPr>
              <w:t>建设内容及规模：</w:t>
            </w:r>
          </w:p>
          <w:p>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0" w:firstLineChars="200"/>
              <w:jc w:val="both"/>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本次安福堰综合整治任务以农田灌溉为主，兼顾河湖生态治理及打造峨眉河苏稽段水景观等综合利用。安福堰枢纽区包括新建拦河气盾坝、新建安福堰取水口、整治安福堰输水渠进口段、拦河坝段护岸工程等建筑物。拦河气盾坝含钢筋砼坝体、钢盾板、气䑋、大坝上游铺盖、大坝下游护坦及海漫。</w:t>
            </w:r>
          </w:p>
          <w:p>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拦河气盾坝布置于原安福堰位置，采用拆除原安福堰大坝进行重建，拦河气盾坝采用钢筋砼闸墩及底坐，通过气盾坝溢流及泄洪，最大坝高4.7m，最大坝体底部宽度9.5m，坝顶轴线总长130.828m。坝后设置护坦及海漫。</w:t>
            </w:r>
          </w:p>
          <w:p>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0" w:firstLineChars="200"/>
              <w:jc w:val="both"/>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新建安福堰取水口位于大坝右段，进口宽度8.75m，采用气盾坝控制。</w:t>
            </w:r>
          </w:p>
          <w:p>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整治安福堰输水渠进口段位于峨眉河右岸大坝下游，从取水口至下游650m为沿河道布置的引水渠道，其中310.6m由于冲毁严重，本次对其进行拆除重建，原渠道侧墙部分浆砌条石衬砌，底部为土渠，目前有多处冲毁及垮塌段，本次将过水面整治为砼衬砌，上部采用砼框格植草护坡。</w:t>
            </w:r>
          </w:p>
          <w:p>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拦河坝段护岸工程位于大坝两岸河道护岸，护岸马道以下为重力式挡墙结构，马道以上为护坡。</w:t>
            </w:r>
          </w:p>
          <w:p>
            <w:pPr>
              <w:pStyle w:val="40"/>
              <w:keepNext w:val="0"/>
              <w:keepLines w:val="0"/>
              <w:pageBreakBefore w:val="0"/>
              <w:widowControl w:val="0"/>
              <w:tabs>
                <w:tab w:val="left" w:pos="420"/>
                <w:tab w:val="left" w:pos="870"/>
                <w:tab w:val="left" w:pos="3150"/>
              </w:tabs>
              <w:kinsoku/>
              <w:wordWrap/>
              <w:overflowPunct/>
              <w:topLinePunct w:val="0"/>
              <w:autoSpaceDE w:val="0"/>
              <w:autoSpaceDN w:val="0"/>
              <w:bidi w:val="0"/>
              <w:adjustRightInd w:val="0"/>
              <w:snapToGrid w:val="0"/>
              <w:spacing w:after="0" w:line="240" w:lineRule="auto"/>
              <w:ind w:left="0" w:leftChars="0" w:right="0" w:firstLine="0" w:firstLineChars="0"/>
              <w:jc w:val="center"/>
              <w:textAlignment w:val="baseline"/>
              <w:rPr>
                <w:rFonts w:hint="default" w:ascii="Times New Roman" w:hAnsi="Times New Roman" w:eastAsia="宋体" w:cs="Times New Roman"/>
                <w:b/>
                <w:bCs/>
                <w:color w:val="auto"/>
                <w:spacing w:val="0"/>
                <w:sz w:val="21"/>
                <w:szCs w:val="21"/>
                <w:lang w:val="en-US" w:eastAsia="zh-CN"/>
              </w:rPr>
            </w:pPr>
            <w:r>
              <w:rPr>
                <w:rFonts w:hint="default" w:ascii="Times New Roman" w:hAnsi="Times New Roman" w:eastAsia="宋体" w:cs="Times New Roman"/>
                <w:b/>
                <w:bCs/>
                <w:color w:val="auto"/>
                <w:spacing w:val="0"/>
                <w:sz w:val="21"/>
                <w:szCs w:val="21"/>
                <w:lang w:val="en-US" w:eastAsia="zh-CN"/>
              </w:rPr>
              <w:t>表2-</w:t>
            </w:r>
            <w:r>
              <w:rPr>
                <w:rFonts w:hint="eastAsia" w:ascii="Times New Roman" w:hAnsi="Times New Roman" w:eastAsia="宋体" w:cs="Times New Roman"/>
                <w:b/>
                <w:bCs/>
                <w:color w:val="auto"/>
                <w:spacing w:val="0"/>
                <w:sz w:val="21"/>
                <w:szCs w:val="21"/>
                <w:lang w:val="en-US" w:eastAsia="zh-CN"/>
              </w:rPr>
              <w:t>1</w:t>
            </w:r>
            <w:r>
              <w:rPr>
                <w:rFonts w:hint="default" w:ascii="Times New Roman" w:hAnsi="Times New Roman" w:eastAsia="宋体" w:cs="Times New Roman"/>
                <w:b/>
                <w:bCs/>
                <w:color w:val="auto"/>
                <w:spacing w:val="0"/>
                <w:sz w:val="21"/>
                <w:szCs w:val="21"/>
                <w:lang w:val="en-US" w:eastAsia="zh-CN"/>
              </w:rPr>
              <w:t xml:space="preserve">  主要工程特性表</w:t>
            </w:r>
          </w:p>
          <w:tbl>
            <w:tblPr>
              <w:tblStyle w:val="41"/>
              <w:tblW w:w="0" w:type="auto"/>
              <w:tblInd w:w="1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94"/>
              <w:gridCol w:w="3611"/>
              <w:gridCol w:w="966"/>
              <w:gridCol w:w="1275"/>
              <w:gridCol w:w="128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trPr>
              <w:tc>
                <w:tcPr>
                  <w:tcW w:w="694"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序号</w:t>
                  </w:r>
                </w:p>
              </w:tc>
              <w:tc>
                <w:tcPr>
                  <w:tcW w:w="3611"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名        称</w:t>
                  </w:r>
                </w:p>
              </w:tc>
              <w:tc>
                <w:tcPr>
                  <w:tcW w:w="966"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单位</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数量</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trPr>
              <w:tc>
                <w:tcPr>
                  <w:tcW w:w="694"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一</w:t>
                  </w:r>
                </w:p>
              </w:tc>
              <w:tc>
                <w:tcPr>
                  <w:tcW w:w="3611"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水文</w:t>
                  </w:r>
                </w:p>
              </w:tc>
              <w:tc>
                <w:tcPr>
                  <w:tcW w:w="966"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624" w:hRule="atLeast"/>
              </w:trPr>
              <w:tc>
                <w:tcPr>
                  <w:tcW w:w="694"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w:t>
                  </w:r>
                </w:p>
              </w:tc>
              <w:tc>
                <w:tcPr>
                  <w:tcW w:w="3611"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坝址以上</w:t>
                  </w:r>
                </w:p>
              </w:tc>
              <w:tc>
                <w:tcPr>
                  <w:tcW w:w="966"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km</w:t>
                  </w:r>
                  <w:r>
                    <w:rPr>
                      <w:rFonts w:hint="default" w:ascii="Times New Roman" w:hAnsi="Times New Roman" w:eastAsia="宋体" w:cs="Times New Roman"/>
                      <w:kern w:val="2"/>
                      <w:sz w:val="21"/>
                      <w:szCs w:val="21"/>
                      <w:vertAlign w:val="superscript"/>
                      <w:lang w:val="en-US" w:eastAsia="zh-CN" w:bidi="ar"/>
                    </w:rPr>
                    <w:t>2</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484</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trPr>
              <w:tc>
                <w:tcPr>
                  <w:tcW w:w="694"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2</w:t>
                  </w:r>
                </w:p>
              </w:tc>
              <w:tc>
                <w:tcPr>
                  <w:tcW w:w="3611"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利用的水文资料年限</w:t>
                  </w:r>
                </w:p>
              </w:tc>
              <w:tc>
                <w:tcPr>
                  <w:tcW w:w="966"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年</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32</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trPr>
              <w:tc>
                <w:tcPr>
                  <w:tcW w:w="694"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3</w:t>
                  </w:r>
                </w:p>
              </w:tc>
              <w:tc>
                <w:tcPr>
                  <w:tcW w:w="3611"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多年平均年径流深</w:t>
                  </w:r>
                </w:p>
              </w:tc>
              <w:tc>
                <w:tcPr>
                  <w:tcW w:w="966"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mm</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1060</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trPr>
              <w:tc>
                <w:tcPr>
                  <w:tcW w:w="694" w:type="dxa"/>
                  <w:tcBorders>
                    <w:tl2br w:val="nil"/>
                    <w:tr2bl w:val="nil"/>
                  </w:tcBorders>
                  <w:shd w:val="clear" w:color="auto" w:fill="FFFFFF"/>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4</w:t>
                  </w:r>
                </w:p>
              </w:tc>
              <w:tc>
                <w:tcPr>
                  <w:tcW w:w="3611" w:type="dxa"/>
                  <w:tcBorders>
                    <w:tl2br w:val="nil"/>
                    <w:tr2bl w:val="nil"/>
                  </w:tcBorders>
                  <w:shd w:val="clear" w:color="auto" w:fill="FFFFFF"/>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多年平均天然径流总量</w:t>
                  </w:r>
                </w:p>
              </w:tc>
              <w:tc>
                <w:tcPr>
                  <w:tcW w:w="966" w:type="dxa"/>
                  <w:tcBorders>
                    <w:tl2br w:val="nil"/>
                    <w:tr2bl w:val="nil"/>
                  </w:tcBorders>
                  <w:shd w:val="clear" w:color="auto" w:fill="FFFFFF"/>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万m³</w:t>
                  </w:r>
                </w:p>
              </w:tc>
              <w:tc>
                <w:tcPr>
                  <w:tcW w:w="0" w:type="auto"/>
                  <w:tcBorders>
                    <w:tl2br w:val="nil"/>
                    <w:tr2bl w:val="nil"/>
                  </w:tcBorders>
                  <w:shd w:val="clear" w:color="auto" w:fill="FFFFFF"/>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51300</w:t>
                  </w:r>
                </w:p>
              </w:tc>
              <w:tc>
                <w:tcPr>
                  <w:tcW w:w="0" w:type="auto"/>
                  <w:tcBorders>
                    <w:tl2br w:val="nil"/>
                    <w:tr2bl w:val="nil"/>
                  </w:tcBorders>
                  <w:shd w:val="clear" w:color="auto" w:fill="FFFFFF"/>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trPr>
              <w:tc>
                <w:tcPr>
                  <w:tcW w:w="694"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5</w:t>
                  </w:r>
                </w:p>
              </w:tc>
              <w:tc>
                <w:tcPr>
                  <w:tcW w:w="3611"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代表性流量</w:t>
                  </w:r>
                </w:p>
              </w:tc>
              <w:tc>
                <w:tcPr>
                  <w:tcW w:w="966"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trPr>
              <w:tc>
                <w:tcPr>
                  <w:tcW w:w="694"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w:t>
                  </w:r>
                </w:p>
              </w:tc>
              <w:tc>
                <w:tcPr>
                  <w:tcW w:w="3611"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天然多年平均流量</w:t>
                  </w:r>
                </w:p>
              </w:tc>
              <w:tc>
                <w:tcPr>
                  <w:tcW w:w="966"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m³</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18.17</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trPr>
              <w:tc>
                <w:tcPr>
                  <w:tcW w:w="694"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2）</w:t>
                  </w:r>
                </w:p>
              </w:tc>
              <w:tc>
                <w:tcPr>
                  <w:tcW w:w="3611"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设计洪水标准及流量</w:t>
                  </w:r>
                </w:p>
              </w:tc>
              <w:tc>
                <w:tcPr>
                  <w:tcW w:w="966"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m³/s</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1830</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P=5%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trPr>
              <w:tc>
                <w:tcPr>
                  <w:tcW w:w="694"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3）</w:t>
                  </w:r>
                </w:p>
              </w:tc>
              <w:tc>
                <w:tcPr>
                  <w:tcW w:w="3611"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消能防冲洪水标准及流量</w:t>
                  </w:r>
                </w:p>
              </w:tc>
              <w:tc>
                <w:tcPr>
                  <w:tcW w:w="966"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m³/ s</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1380</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P=10%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trPr>
              <w:tc>
                <w:tcPr>
                  <w:tcW w:w="694"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6</w:t>
                  </w:r>
                </w:p>
              </w:tc>
              <w:tc>
                <w:tcPr>
                  <w:tcW w:w="3611"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泥沙</w:t>
                  </w:r>
                </w:p>
              </w:tc>
              <w:tc>
                <w:tcPr>
                  <w:tcW w:w="966"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trPr>
              <w:tc>
                <w:tcPr>
                  <w:tcW w:w="694"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w:t>
                  </w:r>
                </w:p>
              </w:tc>
              <w:tc>
                <w:tcPr>
                  <w:tcW w:w="3611"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多年平均悬移质输沙量</w:t>
                  </w:r>
                </w:p>
              </w:tc>
              <w:tc>
                <w:tcPr>
                  <w:tcW w:w="966"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万t</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24.2</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trPr>
              <w:tc>
                <w:tcPr>
                  <w:tcW w:w="694"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2）</w:t>
                  </w:r>
                </w:p>
              </w:tc>
              <w:tc>
                <w:tcPr>
                  <w:tcW w:w="3611"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多年平均推移质输沙量</w:t>
                  </w:r>
                </w:p>
              </w:tc>
              <w:tc>
                <w:tcPr>
                  <w:tcW w:w="966"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万t</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2.42</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4" w:hRule="atLeast"/>
              </w:trPr>
              <w:tc>
                <w:tcPr>
                  <w:tcW w:w="694"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二</w:t>
                  </w:r>
                </w:p>
              </w:tc>
              <w:tc>
                <w:tcPr>
                  <w:tcW w:w="3611"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安福堰</w:t>
                  </w:r>
                </w:p>
              </w:tc>
              <w:tc>
                <w:tcPr>
                  <w:tcW w:w="966"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4" w:hRule="atLeast"/>
              </w:trPr>
              <w:tc>
                <w:tcPr>
                  <w:tcW w:w="694"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w:t>
                  </w:r>
                </w:p>
              </w:tc>
              <w:tc>
                <w:tcPr>
                  <w:tcW w:w="3611"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水位</w:t>
                  </w:r>
                </w:p>
              </w:tc>
              <w:tc>
                <w:tcPr>
                  <w:tcW w:w="966"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4" w:hRule="atLeast"/>
              </w:trPr>
              <w:tc>
                <w:tcPr>
                  <w:tcW w:w="694"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w:t>
                  </w:r>
                </w:p>
              </w:tc>
              <w:tc>
                <w:tcPr>
                  <w:tcW w:w="3611"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正常蓄水位</w:t>
                  </w:r>
                </w:p>
              </w:tc>
              <w:tc>
                <w:tcPr>
                  <w:tcW w:w="966"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m</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371.70</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4" w:hRule="atLeast"/>
              </w:trPr>
              <w:tc>
                <w:tcPr>
                  <w:tcW w:w="694"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2）</w:t>
                  </w:r>
                </w:p>
              </w:tc>
              <w:tc>
                <w:tcPr>
                  <w:tcW w:w="3611"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气盾坝初始启动水位</w:t>
                  </w:r>
                </w:p>
              </w:tc>
              <w:tc>
                <w:tcPr>
                  <w:tcW w:w="966"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m</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731.90</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4" w:hRule="atLeast"/>
              </w:trPr>
              <w:tc>
                <w:tcPr>
                  <w:tcW w:w="694"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3）</w:t>
                  </w:r>
                </w:p>
              </w:tc>
              <w:tc>
                <w:tcPr>
                  <w:tcW w:w="3611"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设计洪水位</w:t>
                  </w:r>
                </w:p>
              </w:tc>
              <w:tc>
                <w:tcPr>
                  <w:tcW w:w="966"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m</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373.98</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4" w:hRule="atLeast"/>
              </w:trPr>
              <w:tc>
                <w:tcPr>
                  <w:tcW w:w="694"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4）</w:t>
                  </w:r>
                </w:p>
              </w:tc>
              <w:tc>
                <w:tcPr>
                  <w:tcW w:w="3611"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校核洪水位</w:t>
                  </w:r>
                </w:p>
              </w:tc>
              <w:tc>
                <w:tcPr>
                  <w:tcW w:w="966"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m</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374.62</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4" w:hRule="atLeast"/>
              </w:trPr>
              <w:tc>
                <w:tcPr>
                  <w:tcW w:w="694"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5）</w:t>
                  </w:r>
                </w:p>
              </w:tc>
              <w:tc>
                <w:tcPr>
                  <w:tcW w:w="3611"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死水位</w:t>
                  </w:r>
                </w:p>
              </w:tc>
              <w:tc>
                <w:tcPr>
                  <w:tcW w:w="966"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m</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370.70</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4" w:hRule="atLeast"/>
              </w:trPr>
              <w:tc>
                <w:tcPr>
                  <w:tcW w:w="694"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2</w:t>
                  </w:r>
                </w:p>
              </w:tc>
              <w:tc>
                <w:tcPr>
                  <w:tcW w:w="3611"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库容</w:t>
                  </w:r>
                </w:p>
              </w:tc>
              <w:tc>
                <w:tcPr>
                  <w:tcW w:w="966"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4" w:hRule="atLeast"/>
              </w:trPr>
              <w:tc>
                <w:tcPr>
                  <w:tcW w:w="694"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w:t>
                  </w:r>
                </w:p>
              </w:tc>
              <w:tc>
                <w:tcPr>
                  <w:tcW w:w="3611"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正常蓄水位对应库容</w:t>
                  </w:r>
                </w:p>
              </w:tc>
              <w:tc>
                <w:tcPr>
                  <w:tcW w:w="966"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万m³</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18.3</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4" w:hRule="atLeast"/>
              </w:trPr>
              <w:tc>
                <w:tcPr>
                  <w:tcW w:w="694"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2）</w:t>
                  </w:r>
                </w:p>
              </w:tc>
              <w:tc>
                <w:tcPr>
                  <w:tcW w:w="3611"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兴利库容</w:t>
                  </w:r>
                </w:p>
              </w:tc>
              <w:tc>
                <w:tcPr>
                  <w:tcW w:w="966"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万m³</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17</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trPr>
              <w:tc>
                <w:tcPr>
                  <w:tcW w:w="694"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3）</w:t>
                  </w:r>
                </w:p>
              </w:tc>
              <w:tc>
                <w:tcPr>
                  <w:tcW w:w="3611"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死库容</w:t>
                  </w:r>
                </w:p>
              </w:tc>
              <w:tc>
                <w:tcPr>
                  <w:tcW w:w="966"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万m³</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1.3</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trPr>
              <w:tc>
                <w:tcPr>
                  <w:tcW w:w="694"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三</w:t>
                  </w:r>
                </w:p>
              </w:tc>
              <w:tc>
                <w:tcPr>
                  <w:tcW w:w="3611"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工程效益指标</w:t>
                  </w:r>
                </w:p>
              </w:tc>
              <w:tc>
                <w:tcPr>
                  <w:tcW w:w="966"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trPr>
              <w:tc>
                <w:tcPr>
                  <w:tcW w:w="694"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w:t>
                  </w:r>
                </w:p>
              </w:tc>
              <w:tc>
                <w:tcPr>
                  <w:tcW w:w="3611"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灌溉效益</w:t>
                  </w:r>
                </w:p>
              </w:tc>
              <w:tc>
                <w:tcPr>
                  <w:tcW w:w="966"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trPr>
              <w:tc>
                <w:tcPr>
                  <w:tcW w:w="694"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w:t>
                  </w:r>
                </w:p>
              </w:tc>
              <w:tc>
                <w:tcPr>
                  <w:tcW w:w="3611"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灌溉面积</w:t>
                  </w:r>
                </w:p>
              </w:tc>
              <w:tc>
                <w:tcPr>
                  <w:tcW w:w="966"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亩</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4800</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trPr>
              <w:tc>
                <w:tcPr>
                  <w:tcW w:w="694"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2）</w:t>
                  </w:r>
                </w:p>
              </w:tc>
              <w:tc>
                <w:tcPr>
                  <w:tcW w:w="3611"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供水保证率（P）</w:t>
                  </w:r>
                </w:p>
              </w:tc>
              <w:tc>
                <w:tcPr>
                  <w:tcW w:w="966"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75</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灌溉用水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trPr>
              <w:tc>
                <w:tcPr>
                  <w:tcW w:w="694"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3）</w:t>
                  </w:r>
                </w:p>
              </w:tc>
              <w:tc>
                <w:tcPr>
                  <w:tcW w:w="3611"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多年平均供水量</w:t>
                  </w:r>
                </w:p>
              </w:tc>
              <w:tc>
                <w:tcPr>
                  <w:tcW w:w="966"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万m³</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231.1</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灌溉、生态需水量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trPr>
              <w:tc>
                <w:tcPr>
                  <w:tcW w:w="694"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四</w:t>
                  </w:r>
                </w:p>
              </w:tc>
              <w:tc>
                <w:tcPr>
                  <w:tcW w:w="3611"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淹没及工程占地</w:t>
                  </w:r>
                </w:p>
              </w:tc>
              <w:tc>
                <w:tcPr>
                  <w:tcW w:w="966"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trPr>
              <w:tc>
                <w:tcPr>
                  <w:tcW w:w="694"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w:t>
                  </w:r>
                </w:p>
              </w:tc>
              <w:tc>
                <w:tcPr>
                  <w:tcW w:w="3611"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建设征地</w:t>
                  </w:r>
                </w:p>
              </w:tc>
              <w:tc>
                <w:tcPr>
                  <w:tcW w:w="966"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亩</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48.91</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trPr>
              <w:tc>
                <w:tcPr>
                  <w:tcW w:w="694"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2</w:t>
                  </w:r>
                </w:p>
              </w:tc>
              <w:tc>
                <w:tcPr>
                  <w:tcW w:w="3611"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拆迁房屋</w:t>
                  </w:r>
                </w:p>
              </w:tc>
              <w:tc>
                <w:tcPr>
                  <w:tcW w:w="966"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m</w:t>
                  </w:r>
                  <w:r>
                    <w:rPr>
                      <w:rFonts w:hint="default" w:ascii="Times New Roman" w:hAnsi="Times New Roman" w:eastAsia="宋体" w:cs="Times New Roman"/>
                      <w:kern w:val="2"/>
                      <w:sz w:val="21"/>
                      <w:szCs w:val="21"/>
                      <w:vertAlign w:val="superscript"/>
                      <w:lang w:val="en-US" w:eastAsia="zh-CN" w:bidi="ar"/>
                    </w:rPr>
                    <w:t>2</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无</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trPr>
              <w:tc>
                <w:tcPr>
                  <w:tcW w:w="694"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3</w:t>
                  </w:r>
                </w:p>
              </w:tc>
              <w:tc>
                <w:tcPr>
                  <w:tcW w:w="3611"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搬迁人口</w:t>
                  </w:r>
                </w:p>
              </w:tc>
              <w:tc>
                <w:tcPr>
                  <w:tcW w:w="966"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人</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无</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trPr>
              <w:tc>
                <w:tcPr>
                  <w:tcW w:w="694"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五</w:t>
                  </w:r>
                </w:p>
              </w:tc>
              <w:tc>
                <w:tcPr>
                  <w:tcW w:w="3611"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主要建筑物</w:t>
                  </w:r>
                </w:p>
              </w:tc>
              <w:tc>
                <w:tcPr>
                  <w:tcW w:w="966"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trPr>
              <w:tc>
                <w:tcPr>
                  <w:tcW w:w="694"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w:t>
                  </w:r>
                </w:p>
              </w:tc>
              <w:tc>
                <w:tcPr>
                  <w:tcW w:w="3611"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挡水建筑物</w:t>
                  </w:r>
                </w:p>
              </w:tc>
              <w:tc>
                <w:tcPr>
                  <w:tcW w:w="966"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trPr>
              <w:tc>
                <w:tcPr>
                  <w:tcW w:w="694"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w:t>
                  </w:r>
                </w:p>
              </w:tc>
              <w:tc>
                <w:tcPr>
                  <w:tcW w:w="3611"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型式</w:t>
                  </w:r>
                </w:p>
              </w:tc>
              <w:tc>
                <w:tcPr>
                  <w:tcW w:w="3559" w:type="dxa"/>
                  <w:gridSpan w:val="3"/>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拦河气盾升坝</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trPr>
              <w:tc>
                <w:tcPr>
                  <w:tcW w:w="694"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2）</w:t>
                  </w:r>
                </w:p>
              </w:tc>
              <w:tc>
                <w:tcPr>
                  <w:tcW w:w="3611"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地基特性</w:t>
                  </w:r>
                </w:p>
              </w:tc>
              <w:tc>
                <w:tcPr>
                  <w:tcW w:w="3559" w:type="dxa"/>
                  <w:gridSpan w:val="3"/>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砂卵石、砂质泥岩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trPr>
              <w:tc>
                <w:tcPr>
                  <w:tcW w:w="694"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3）</w:t>
                  </w:r>
                </w:p>
              </w:tc>
              <w:tc>
                <w:tcPr>
                  <w:tcW w:w="3611"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地震动峰值加速度</w:t>
                  </w:r>
                </w:p>
              </w:tc>
              <w:tc>
                <w:tcPr>
                  <w:tcW w:w="966"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g</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0.1</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trPr>
              <w:tc>
                <w:tcPr>
                  <w:tcW w:w="694"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4）</w:t>
                  </w:r>
                </w:p>
              </w:tc>
              <w:tc>
                <w:tcPr>
                  <w:tcW w:w="3611"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动反应谱特征周期</w:t>
                  </w:r>
                </w:p>
              </w:tc>
              <w:tc>
                <w:tcPr>
                  <w:tcW w:w="966"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s</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0.40</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trPr>
              <w:tc>
                <w:tcPr>
                  <w:tcW w:w="694"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4）</w:t>
                  </w:r>
                </w:p>
              </w:tc>
              <w:tc>
                <w:tcPr>
                  <w:tcW w:w="3611"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坝顶高程</w:t>
                  </w:r>
                </w:p>
              </w:tc>
              <w:tc>
                <w:tcPr>
                  <w:tcW w:w="966"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m</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372.4</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90" w:hRule="atLeast"/>
              </w:trPr>
              <w:tc>
                <w:tcPr>
                  <w:tcW w:w="694"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5）</w:t>
                  </w:r>
                </w:p>
              </w:tc>
              <w:tc>
                <w:tcPr>
                  <w:tcW w:w="3611"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最大坝高</w:t>
                  </w:r>
                </w:p>
              </w:tc>
              <w:tc>
                <w:tcPr>
                  <w:tcW w:w="966"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m</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4.7</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trPr>
              <w:tc>
                <w:tcPr>
                  <w:tcW w:w="694"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6）</w:t>
                  </w:r>
                </w:p>
              </w:tc>
              <w:tc>
                <w:tcPr>
                  <w:tcW w:w="3611"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坝顶长度</w:t>
                  </w:r>
                </w:p>
              </w:tc>
              <w:tc>
                <w:tcPr>
                  <w:tcW w:w="966"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m</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130.828</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trPr>
              <w:tc>
                <w:tcPr>
                  <w:tcW w:w="694"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2</w:t>
                  </w:r>
                </w:p>
              </w:tc>
              <w:tc>
                <w:tcPr>
                  <w:tcW w:w="3611"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泄洪道</w:t>
                  </w:r>
                </w:p>
              </w:tc>
              <w:tc>
                <w:tcPr>
                  <w:tcW w:w="966"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trPr>
              <w:tc>
                <w:tcPr>
                  <w:tcW w:w="694"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w:t>
                  </w:r>
                </w:p>
              </w:tc>
              <w:tc>
                <w:tcPr>
                  <w:tcW w:w="3611"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型式</w:t>
                  </w:r>
                </w:p>
              </w:tc>
              <w:tc>
                <w:tcPr>
                  <w:tcW w:w="3559" w:type="dxa"/>
                  <w:gridSpan w:val="3"/>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气盾闸控制表孔泄洪道</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trPr>
              <w:tc>
                <w:tcPr>
                  <w:tcW w:w="694"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2）</w:t>
                  </w:r>
                </w:p>
              </w:tc>
              <w:tc>
                <w:tcPr>
                  <w:tcW w:w="3611"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堰顶高程</w:t>
                  </w:r>
                </w:p>
              </w:tc>
              <w:tc>
                <w:tcPr>
                  <w:tcW w:w="966"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m</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370.70</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trPr>
              <w:tc>
                <w:tcPr>
                  <w:tcW w:w="694"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3）</w:t>
                  </w:r>
                </w:p>
              </w:tc>
              <w:tc>
                <w:tcPr>
                  <w:tcW w:w="3611"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泄槽宽度</w:t>
                  </w:r>
                </w:p>
              </w:tc>
              <w:tc>
                <w:tcPr>
                  <w:tcW w:w="966"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m</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105</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trPr>
              <w:tc>
                <w:tcPr>
                  <w:tcW w:w="694"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4）</w:t>
                  </w:r>
                </w:p>
              </w:tc>
              <w:tc>
                <w:tcPr>
                  <w:tcW w:w="3611"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最大下泄流量</w:t>
                  </w:r>
                </w:p>
              </w:tc>
              <w:tc>
                <w:tcPr>
                  <w:tcW w:w="966"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m³/s</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1830</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trPr>
              <w:tc>
                <w:tcPr>
                  <w:tcW w:w="694"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5）</w:t>
                  </w:r>
                </w:p>
              </w:tc>
              <w:tc>
                <w:tcPr>
                  <w:tcW w:w="3611"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消能方式</w:t>
                  </w:r>
                </w:p>
              </w:tc>
              <w:tc>
                <w:tcPr>
                  <w:tcW w:w="3559" w:type="dxa"/>
                  <w:gridSpan w:val="3"/>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底流消能</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4" w:hRule="atLeast"/>
              </w:trPr>
              <w:tc>
                <w:tcPr>
                  <w:tcW w:w="694"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3</w:t>
                  </w:r>
                </w:p>
              </w:tc>
              <w:tc>
                <w:tcPr>
                  <w:tcW w:w="3611"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取水建筑物</w:t>
                  </w:r>
                </w:p>
              </w:tc>
              <w:tc>
                <w:tcPr>
                  <w:tcW w:w="3559" w:type="dxa"/>
                  <w:gridSpan w:val="3"/>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闸门取水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77" w:hRule="atLeast"/>
              </w:trPr>
              <w:tc>
                <w:tcPr>
                  <w:tcW w:w="694"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w:t>
                  </w:r>
                </w:p>
              </w:tc>
              <w:tc>
                <w:tcPr>
                  <w:tcW w:w="3611"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型式</w:t>
                  </w:r>
                </w:p>
              </w:tc>
              <w:tc>
                <w:tcPr>
                  <w:tcW w:w="3559" w:type="dxa"/>
                  <w:gridSpan w:val="3"/>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薄壁堰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trPr>
              <w:tc>
                <w:tcPr>
                  <w:tcW w:w="694" w:type="dxa"/>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2）</w:t>
                  </w:r>
                </w:p>
              </w:tc>
              <w:tc>
                <w:tcPr>
                  <w:tcW w:w="3611" w:type="dxa"/>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进口宽度</w:t>
                  </w:r>
                </w:p>
              </w:tc>
              <w:tc>
                <w:tcPr>
                  <w:tcW w:w="966" w:type="dxa"/>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m</w:t>
                  </w:r>
                </w:p>
              </w:tc>
              <w:tc>
                <w:tcPr>
                  <w:tcW w:w="0" w:type="auto"/>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8.75</w:t>
                  </w:r>
                </w:p>
              </w:tc>
              <w:tc>
                <w:tcPr>
                  <w:tcW w:w="0" w:type="auto"/>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trPr>
              <w:tc>
                <w:tcPr>
                  <w:tcW w:w="694" w:type="dxa"/>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3）</w:t>
                  </w:r>
                </w:p>
              </w:tc>
              <w:tc>
                <w:tcPr>
                  <w:tcW w:w="3611" w:type="dxa"/>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堰顶高程</w:t>
                  </w:r>
                </w:p>
              </w:tc>
              <w:tc>
                <w:tcPr>
                  <w:tcW w:w="966" w:type="dxa"/>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m</w:t>
                  </w:r>
                </w:p>
              </w:tc>
              <w:tc>
                <w:tcPr>
                  <w:tcW w:w="0" w:type="auto"/>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370.7</w:t>
                  </w:r>
                </w:p>
              </w:tc>
              <w:tc>
                <w:tcPr>
                  <w:tcW w:w="0" w:type="auto"/>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4" w:hRule="atLeast"/>
              </w:trPr>
              <w:tc>
                <w:tcPr>
                  <w:tcW w:w="694"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4</w:t>
                  </w:r>
                </w:p>
              </w:tc>
              <w:tc>
                <w:tcPr>
                  <w:tcW w:w="3611"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生态放水</w:t>
                  </w:r>
                </w:p>
              </w:tc>
              <w:tc>
                <w:tcPr>
                  <w:tcW w:w="3559" w:type="dxa"/>
                  <w:gridSpan w:val="3"/>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气盾坝顶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trPr>
              <w:tc>
                <w:tcPr>
                  <w:tcW w:w="694" w:type="dxa"/>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w:t>
                  </w:r>
                </w:p>
              </w:tc>
              <w:tc>
                <w:tcPr>
                  <w:tcW w:w="3611" w:type="dxa"/>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型式</w:t>
                  </w:r>
                </w:p>
              </w:tc>
              <w:tc>
                <w:tcPr>
                  <w:tcW w:w="966" w:type="dxa"/>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薄壁堰</w:t>
                  </w:r>
                </w:p>
              </w:tc>
              <w:tc>
                <w:tcPr>
                  <w:tcW w:w="0" w:type="auto"/>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c>
                <w:tcPr>
                  <w:tcW w:w="0" w:type="auto"/>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trPr>
              <w:tc>
                <w:tcPr>
                  <w:tcW w:w="694" w:type="dxa"/>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2）</w:t>
                  </w:r>
                </w:p>
              </w:tc>
              <w:tc>
                <w:tcPr>
                  <w:tcW w:w="3611" w:type="dxa"/>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进口宽度</w:t>
                  </w:r>
                </w:p>
              </w:tc>
              <w:tc>
                <w:tcPr>
                  <w:tcW w:w="966" w:type="dxa"/>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m</w:t>
                  </w:r>
                </w:p>
              </w:tc>
              <w:tc>
                <w:tcPr>
                  <w:tcW w:w="0" w:type="auto"/>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105</w:t>
                  </w:r>
                </w:p>
              </w:tc>
              <w:tc>
                <w:tcPr>
                  <w:tcW w:w="0" w:type="auto"/>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trPr>
              <w:tc>
                <w:tcPr>
                  <w:tcW w:w="694" w:type="dxa"/>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3）</w:t>
                  </w:r>
                </w:p>
              </w:tc>
              <w:tc>
                <w:tcPr>
                  <w:tcW w:w="3611" w:type="dxa"/>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闸顶高程</w:t>
                  </w:r>
                </w:p>
              </w:tc>
              <w:tc>
                <w:tcPr>
                  <w:tcW w:w="966" w:type="dxa"/>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m</w:t>
                  </w:r>
                </w:p>
              </w:tc>
              <w:tc>
                <w:tcPr>
                  <w:tcW w:w="0" w:type="auto"/>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370.7~371.7</w:t>
                  </w:r>
                </w:p>
              </w:tc>
              <w:tc>
                <w:tcPr>
                  <w:tcW w:w="0" w:type="auto"/>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trPr>
              <w:tc>
                <w:tcPr>
                  <w:tcW w:w="694" w:type="dxa"/>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六</w:t>
                  </w:r>
                </w:p>
              </w:tc>
              <w:tc>
                <w:tcPr>
                  <w:tcW w:w="3611" w:type="dxa"/>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主要机电设备</w:t>
                  </w:r>
                </w:p>
              </w:tc>
              <w:tc>
                <w:tcPr>
                  <w:tcW w:w="966" w:type="dxa"/>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c>
                <w:tcPr>
                  <w:tcW w:w="0" w:type="auto"/>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c>
                <w:tcPr>
                  <w:tcW w:w="0" w:type="auto"/>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trPr>
              <w:tc>
                <w:tcPr>
                  <w:tcW w:w="694" w:type="dxa"/>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w:t>
                  </w:r>
                </w:p>
              </w:tc>
              <w:tc>
                <w:tcPr>
                  <w:tcW w:w="3611" w:type="dxa"/>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盾板（Q345B，热喷锌、封闭漆、8.7m×2.1m×14mm）</w:t>
                  </w:r>
                </w:p>
              </w:tc>
              <w:tc>
                <w:tcPr>
                  <w:tcW w:w="96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0"/>
                      <w:sz w:val="21"/>
                      <w:szCs w:val="21"/>
                      <w:lang w:val="en-US" w:eastAsia="zh-CN" w:bidi="ar"/>
                    </w:rPr>
                    <w:t>块</w:t>
                  </w: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0"/>
                      <w:sz w:val="21"/>
                      <w:szCs w:val="21"/>
                      <w:lang w:val="en-US" w:eastAsia="zh-CN" w:bidi="ar"/>
                    </w:rPr>
                    <w:t>12</w:t>
                  </w:r>
                </w:p>
              </w:tc>
              <w:tc>
                <w:tcPr>
                  <w:tcW w:w="0" w:type="auto"/>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trPr>
              <w:tc>
                <w:tcPr>
                  <w:tcW w:w="694"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2</w:t>
                  </w:r>
                </w:p>
              </w:tc>
              <w:tc>
                <w:tcPr>
                  <w:tcW w:w="361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0"/>
                      <w:sz w:val="21"/>
                      <w:szCs w:val="21"/>
                      <w:lang w:val="en-US" w:eastAsia="zh-CN" w:bidi="ar"/>
                    </w:rPr>
                    <w:t>气囊（外胶EPDM材料，平板硫化，一次定型，8.175m×1.6m×30mm）</w:t>
                  </w:r>
                </w:p>
              </w:tc>
              <w:tc>
                <w:tcPr>
                  <w:tcW w:w="96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0"/>
                      <w:sz w:val="21"/>
                      <w:szCs w:val="21"/>
                      <w:lang w:val="en-US" w:eastAsia="zh-CN" w:bidi="ar"/>
                    </w:rPr>
                    <w:t>块</w:t>
                  </w: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0"/>
                      <w:sz w:val="21"/>
                      <w:szCs w:val="21"/>
                      <w:lang w:val="en-US" w:eastAsia="zh-CN" w:bidi="ar"/>
                    </w:rPr>
                    <w:t>12</w:t>
                  </w:r>
                </w:p>
              </w:tc>
              <w:tc>
                <w:tcPr>
                  <w:tcW w:w="0" w:type="auto"/>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trPr>
              <w:tc>
                <w:tcPr>
                  <w:tcW w:w="694"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3</w:t>
                  </w:r>
                </w:p>
              </w:tc>
              <w:tc>
                <w:tcPr>
                  <w:tcW w:w="361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0"/>
                      <w:sz w:val="21"/>
                      <w:szCs w:val="21"/>
                      <w:lang w:val="en-US" w:eastAsia="zh-CN" w:bidi="ar"/>
                    </w:rPr>
                    <w:t>风机 11KW</w:t>
                  </w:r>
                </w:p>
              </w:tc>
              <w:tc>
                <w:tcPr>
                  <w:tcW w:w="96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0"/>
                      <w:sz w:val="21"/>
                      <w:szCs w:val="21"/>
                      <w:lang w:val="en-US" w:eastAsia="zh-CN" w:bidi="ar"/>
                    </w:rPr>
                    <w:t>台</w:t>
                  </w: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0"/>
                      <w:sz w:val="21"/>
                      <w:szCs w:val="21"/>
                      <w:lang w:val="en-US" w:eastAsia="zh-CN" w:bidi="ar"/>
                    </w:rPr>
                    <w:t>1</w:t>
                  </w:r>
                </w:p>
              </w:tc>
              <w:tc>
                <w:tcPr>
                  <w:tcW w:w="0" w:type="auto"/>
                  <w:tcBorders>
                    <w:tl2br w:val="nil"/>
                    <w:tr2bl w:val="nil"/>
                  </w:tcBorders>
                  <w:noWrap w:val="0"/>
                  <w:vAlign w:val="center"/>
                </w:tcPr>
                <w:p>
                  <w:pPr>
                    <w:pStyle w:val="37"/>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trPr>
              <w:tc>
                <w:tcPr>
                  <w:tcW w:w="694"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七</w:t>
                  </w:r>
                </w:p>
              </w:tc>
              <w:tc>
                <w:tcPr>
                  <w:tcW w:w="3611"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施工</w:t>
                  </w:r>
                </w:p>
              </w:tc>
              <w:tc>
                <w:tcPr>
                  <w:tcW w:w="966"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trPr>
              <w:tc>
                <w:tcPr>
                  <w:tcW w:w="694"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w:t>
                  </w:r>
                </w:p>
              </w:tc>
              <w:tc>
                <w:tcPr>
                  <w:tcW w:w="3611"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总工期</w:t>
                  </w:r>
                </w:p>
              </w:tc>
              <w:tc>
                <w:tcPr>
                  <w:tcW w:w="966"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月</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8</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trPr>
              <w:tc>
                <w:tcPr>
                  <w:tcW w:w="694"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2</w:t>
                  </w:r>
                </w:p>
              </w:tc>
              <w:tc>
                <w:tcPr>
                  <w:tcW w:w="3611"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施工高峰人数</w:t>
                  </w:r>
                </w:p>
              </w:tc>
              <w:tc>
                <w:tcPr>
                  <w:tcW w:w="966"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人</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80</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trPr>
              <w:tc>
                <w:tcPr>
                  <w:tcW w:w="694"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3</w:t>
                  </w:r>
                </w:p>
              </w:tc>
              <w:tc>
                <w:tcPr>
                  <w:tcW w:w="3611"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施工劳动总工日</w:t>
                  </w:r>
                </w:p>
              </w:tc>
              <w:tc>
                <w:tcPr>
                  <w:tcW w:w="966"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万工日</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3.66</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trPr>
              <w:tc>
                <w:tcPr>
                  <w:tcW w:w="694"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4</w:t>
                  </w:r>
                </w:p>
              </w:tc>
              <w:tc>
                <w:tcPr>
                  <w:tcW w:w="3611"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施工强度</w:t>
                  </w:r>
                </w:p>
              </w:tc>
              <w:tc>
                <w:tcPr>
                  <w:tcW w:w="966"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trPr>
              <w:tc>
                <w:tcPr>
                  <w:tcW w:w="694"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5</w:t>
                  </w:r>
                </w:p>
              </w:tc>
              <w:tc>
                <w:tcPr>
                  <w:tcW w:w="3611"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土石方开挖</w:t>
                  </w:r>
                </w:p>
              </w:tc>
              <w:tc>
                <w:tcPr>
                  <w:tcW w:w="966"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万m³</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lang w:val="en-US"/>
                    </w:rPr>
                  </w:pPr>
                  <w:r>
                    <w:rPr>
                      <w:rFonts w:hint="eastAsia" w:ascii="Times New Roman" w:hAnsi="Times New Roman" w:eastAsia="宋体" w:cs="Times New Roman"/>
                      <w:kern w:val="2"/>
                      <w:sz w:val="21"/>
                      <w:szCs w:val="21"/>
                      <w:lang w:val="en-US" w:eastAsia="zh-CN" w:bidi="ar"/>
                    </w:rPr>
                    <w:t>4.32</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trPr>
              <w:tc>
                <w:tcPr>
                  <w:tcW w:w="694"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6</w:t>
                  </w:r>
                </w:p>
              </w:tc>
              <w:tc>
                <w:tcPr>
                  <w:tcW w:w="3611"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土石方回填</w:t>
                  </w:r>
                </w:p>
              </w:tc>
              <w:tc>
                <w:tcPr>
                  <w:tcW w:w="966"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万m³</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lang w:val="en-US"/>
                    </w:rPr>
                  </w:pPr>
                  <w:r>
                    <w:rPr>
                      <w:rFonts w:hint="eastAsia" w:ascii="Times New Roman" w:hAnsi="Times New Roman" w:eastAsia="宋体" w:cs="Times New Roman"/>
                      <w:kern w:val="2"/>
                      <w:sz w:val="21"/>
                      <w:szCs w:val="21"/>
                      <w:lang w:val="en-US" w:eastAsia="zh-CN" w:bidi="ar"/>
                    </w:rPr>
                    <w:t>1.47</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83" w:hRule="atLeast"/>
              </w:trPr>
              <w:tc>
                <w:tcPr>
                  <w:tcW w:w="694"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7</w:t>
                  </w:r>
                </w:p>
              </w:tc>
              <w:tc>
                <w:tcPr>
                  <w:tcW w:w="3611"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砼浇筑</w:t>
                  </w:r>
                </w:p>
              </w:tc>
              <w:tc>
                <w:tcPr>
                  <w:tcW w:w="966" w:type="dxa"/>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万m³/月</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0.60</w:t>
                  </w:r>
                </w:p>
              </w:tc>
              <w:tc>
                <w:tcPr>
                  <w:tcW w:w="0" w:type="auto"/>
                  <w:tcBorders>
                    <w:tl2br w:val="nil"/>
                    <w:tr2bl w:val="nil"/>
                  </w:tcBorders>
                  <w:noWrap w:val="0"/>
                  <w:vAlign w:val="center"/>
                </w:tcPr>
                <w:p>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rPr>
                      <w:rFonts w:hint="default" w:ascii="Times New Roman" w:hAnsi="Times New Roman" w:eastAsia="宋体" w:cs="Times New Roman"/>
                      <w:kern w:val="2"/>
                      <w:sz w:val="21"/>
                      <w:szCs w:val="21"/>
                    </w:rPr>
                  </w:pP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val="en-US" w:eastAsia="zh-CN"/>
              </w:rPr>
              <w:t>本项目组成及规模见下表。</w:t>
            </w:r>
          </w:p>
          <w:p>
            <w:pPr>
              <w:pStyle w:val="40"/>
              <w:keepNext w:val="0"/>
              <w:keepLines w:val="0"/>
              <w:pageBreakBefore w:val="0"/>
              <w:widowControl w:val="0"/>
              <w:tabs>
                <w:tab w:val="left" w:pos="420"/>
                <w:tab w:val="left" w:pos="870"/>
                <w:tab w:val="left" w:pos="3150"/>
              </w:tabs>
              <w:kinsoku/>
              <w:wordWrap/>
              <w:overflowPunct/>
              <w:topLinePunct w:val="0"/>
              <w:autoSpaceDE w:val="0"/>
              <w:autoSpaceDN w:val="0"/>
              <w:bidi w:val="0"/>
              <w:adjustRightInd w:val="0"/>
              <w:snapToGrid w:val="0"/>
              <w:spacing w:after="0" w:line="240" w:lineRule="auto"/>
              <w:ind w:left="0" w:leftChars="0" w:right="0" w:firstLine="0" w:firstLineChars="0"/>
              <w:jc w:val="center"/>
              <w:textAlignment w:val="baseline"/>
              <w:rPr>
                <w:rFonts w:hint="default" w:ascii="Times New Roman" w:hAnsi="Times New Roman" w:eastAsia="宋体" w:cs="Times New Roman"/>
                <w:b/>
                <w:bCs/>
                <w:color w:val="auto"/>
                <w:spacing w:val="0"/>
                <w:sz w:val="21"/>
                <w:szCs w:val="21"/>
                <w:lang w:val="en-US" w:eastAsia="zh-CN"/>
              </w:rPr>
            </w:pPr>
          </w:p>
          <w:p>
            <w:pPr>
              <w:pStyle w:val="40"/>
              <w:keepNext w:val="0"/>
              <w:keepLines w:val="0"/>
              <w:pageBreakBefore w:val="0"/>
              <w:widowControl w:val="0"/>
              <w:tabs>
                <w:tab w:val="left" w:pos="420"/>
                <w:tab w:val="left" w:pos="870"/>
                <w:tab w:val="left" w:pos="3150"/>
              </w:tabs>
              <w:kinsoku/>
              <w:wordWrap/>
              <w:overflowPunct/>
              <w:topLinePunct w:val="0"/>
              <w:autoSpaceDE w:val="0"/>
              <w:autoSpaceDN w:val="0"/>
              <w:bidi w:val="0"/>
              <w:adjustRightInd w:val="0"/>
              <w:snapToGrid w:val="0"/>
              <w:spacing w:after="0" w:line="240" w:lineRule="auto"/>
              <w:ind w:left="0" w:leftChars="0" w:right="0" w:firstLine="0" w:firstLineChars="0"/>
              <w:jc w:val="center"/>
              <w:textAlignment w:val="baseline"/>
              <w:rPr>
                <w:rFonts w:hint="default" w:ascii="Times New Roman" w:hAnsi="Times New Roman" w:eastAsia="宋体" w:cs="Times New Roman"/>
                <w:b/>
                <w:bCs/>
                <w:color w:val="auto"/>
                <w:spacing w:val="0"/>
                <w:sz w:val="21"/>
                <w:szCs w:val="21"/>
                <w:lang w:val="en-US" w:eastAsia="zh-CN"/>
              </w:rPr>
            </w:pPr>
            <w:r>
              <w:rPr>
                <w:rFonts w:hint="default" w:ascii="Times New Roman" w:hAnsi="Times New Roman" w:eastAsia="宋体" w:cs="Times New Roman"/>
                <w:b/>
                <w:bCs/>
                <w:color w:val="auto"/>
                <w:spacing w:val="0"/>
                <w:sz w:val="21"/>
                <w:szCs w:val="21"/>
                <w:lang w:val="en-US" w:eastAsia="zh-CN"/>
              </w:rPr>
              <w:t>表2-</w:t>
            </w:r>
            <w:r>
              <w:rPr>
                <w:rFonts w:hint="eastAsia" w:ascii="Times New Roman" w:hAnsi="Times New Roman" w:eastAsia="宋体" w:cs="Times New Roman"/>
                <w:b/>
                <w:bCs/>
                <w:color w:val="auto"/>
                <w:spacing w:val="0"/>
                <w:sz w:val="21"/>
                <w:szCs w:val="21"/>
                <w:lang w:val="en-US" w:eastAsia="zh-CN"/>
              </w:rPr>
              <w:t>2</w:t>
            </w:r>
            <w:r>
              <w:rPr>
                <w:rFonts w:hint="default" w:ascii="Times New Roman" w:hAnsi="Times New Roman" w:eastAsia="宋体" w:cs="Times New Roman"/>
                <w:b/>
                <w:bCs/>
                <w:color w:val="auto"/>
                <w:spacing w:val="0"/>
                <w:sz w:val="21"/>
                <w:szCs w:val="21"/>
                <w:lang w:val="en-US" w:eastAsia="zh-CN"/>
              </w:rPr>
              <w:t xml:space="preserve">  项目组成及主要环境问题一览表</w:t>
            </w:r>
          </w:p>
          <w:tbl>
            <w:tblPr>
              <w:tblStyle w:val="4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2"/>
              <w:gridCol w:w="568"/>
              <w:gridCol w:w="4859"/>
              <w:gridCol w:w="1015"/>
              <w:gridCol w:w="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5"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b/>
                      <w:color w:val="auto"/>
                      <w:spacing w:val="0"/>
                      <w:sz w:val="21"/>
                      <w:szCs w:val="21"/>
                      <w:highlight w:val="none"/>
                    </w:rPr>
                  </w:pPr>
                  <w:r>
                    <w:rPr>
                      <w:rFonts w:hint="default" w:ascii="Times New Roman" w:hAnsi="Times New Roman" w:eastAsia="宋体" w:cs="Times New Roman"/>
                      <w:b/>
                      <w:color w:val="auto"/>
                      <w:spacing w:val="0"/>
                      <w:sz w:val="21"/>
                      <w:szCs w:val="21"/>
                      <w:highlight w:val="none"/>
                      <w:lang w:bidi="ar"/>
                    </w:rPr>
                    <w:t>工程分类</w:t>
                  </w:r>
                </w:p>
              </w:tc>
              <w:tc>
                <w:tcPr>
                  <w:tcW w:w="362"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b/>
                      <w:color w:val="auto"/>
                      <w:spacing w:val="0"/>
                      <w:sz w:val="21"/>
                      <w:szCs w:val="21"/>
                      <w:highlight w:val="none"/>
                    </w:rPr>
                  </w:pPr>
                  <w:r>
                    <w:rPr>
                      <w:rFonts w:hint="default" w:ascii="Times New Roman" w:hAnsi="Times New Roman" w:eastAsia="宋体" w:cs="Times New Roman"/>
                      <w:b/>
                      <w:color w:val="auto"/>
                      <w:spacing w:val="0"/>
                      <w:sz w:val="21"/>
                      <w:szCs w:val="21"/>
                      <w:highlight w:val="none"/>
                      <w:lang w:bidi="ar"/>
                    </w:rPr>
                    <w:t>项目名称</w:t>
                  </w:r>
                </w:p>
              </w:tc>
              <w:tc>
                <w:tcPr>
                  <w:tcW w:w="3098"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b/>
                      <w:color w:val="auto"/>
                      <w:spacing w:val="0"/>
                      <w:sz w:val="21"/>
                      <w:szCs w:val="21"/>
                      <w:highlight w:val="none"/>
                      <w:lang w:val="en-US" w:eastAsia="zh-CN"/>
                    </w:rPr>
                  </w:pPr>
                  <w:r>
                    <w:rPr>
                      <w:rFonts w:hint="default" w:ascii="Times New Roman" w:hAnsi="Times New Roman" w:eastAsia="宋体" w:cs="Times New Roman"/>
                      <w:b/>
                      <w:color w:val="auto"/>
                      <w:spacing w:val="0"/>
                      <w:sz w:val="21"/>
                      <w:szCs w:val="21"/>
                      <w:highlight w:val="none"/>
                      <w:lang w:val="en-US" w:eastAsia="zh-CN" w:bidi="ar"/>
                    </w:rPr>
                    <w:t>工程组成</w:t>
                  </w:r>
                </w:p>
              </w:tc>
              <w:tc>
                <w:tcPr>
                  <w:tcW w:w="1173"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b/>
                      <w:color w:val="auto"/>
                      <w:spacing w:val="0"/>
                      <w:sz w:val="21"/>
                      <w:szCs w:val="21"/>
                      <w:highlight w:val="none"/>
                    </w:rPr>
                  </w:pPr>
                  <w:r>
                    <w:rPr>
                      <w:rFonts w:hint="default" w:ascii="Times New Roman" w:hAnsi="Times New Roman" w:eastAsia="宋体" w:cs="Times New Roman"/>
                      <w:b/>
                      <w:color w:val="auto"/>
                      <w:spacing w:val="0"/>
                      <w:sz w:val="21"/>
                      <w:szCs w:val="21"/>
                      <w:highlight w:val="none"/>
                      <w:lang w:val="en-US" w:eastAsia="zh-CN" w:bidi="ar"/>
                    </w:rPr>
                    <w:t>可能存在的</w:t>
                  </w:r>
                  <w:r>
                    <w:rPr>
                      <w:rFonts w:hint="default" w:ascii="Times New Roman" w:hAnsi="Times New Roman" w:eastAsia="宋体" w:cs="Times New Roman"/>
                      <w:b/>
                      <w:color w:val="auto"/>
                      <w:spacing w:val="0"/>
                      <w:sz w:val="21"/>
                      <w:szCs w:val="21"/>
                      <w:highlight w:val="none"/>
                      <w:lang w:bidi="ar"/>
                    </w:rPr>
                    <w:t>环境问题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5"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b/>
                      <w:color w:val="auto"/>
                      <w:spacing w:val="0"/>
                      <w:sz w:val="21"/>
                      <w:szCs w:val="21"/>
                      <w:highlight w:val="none"/>
                    </w:rPr>
                  </w:pPr>
                </w:p>
              </w:tc>
              <w:tc>
                <w:tcPr>
                  <w:tcW w:w="362"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b/>
                      <w:color w:val="auto"/>
                      <w:spacing w:val="0"/>
                      <w:sz w:val="21"/>
                      <w:szCs w:val="21"/>
                      <w:highlight w:val="none"/>
                    </w:rPr>
                  </w:pPr>
                </w:p>
              </w:tc>
              <w:tc>
                <w:tcPr>
                  <w:tcW w:w="3098"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b/>
                      <w:color w:val="auto"/>
                      <w:spacing w:val="0"/>
                      <w:sz w:val="21"/>
                      <w:szCs w:val="21"/>
                      <w:highlight w:val="none"/>
                    </w:rPr>
                  </w:pPr>
                </w:p>
              </w:tc>
              <w:tc>
                <w:tcPr>
                  <w:tcW w:w="64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b/>
                      <w:color w:val="auto"/>
                      <w:spacing w:val="0"/>
                      <w:sz w:val="21"/>
                      <w:szCs w:val="21"/>
                      <w:highlight w:val="none"/>
                    </w:rPr>
                  </w:pPr>
                  <w:r>
                    <w:rPr>
                      <w:rFonts w:hint="default" w:ascii="Times New Roman" w:hAnsi="Times New Roman" w:eastAsia="宋体" w:cs="Times New Roman"/>
                      <w:b/>
                      <w:color w:val="auto"/>
                      <w:spacing w:val="0"/>
                      <w:sz w:val="21"/>
                      <w:szCs w:val="21"/>
                      <w:highlight w:val="none"/>
                      <w:lang w:bidi="ar"/>
                    </w:rPr>
                    <w:t>施工期</w:t>
                  </w:r>
                </w:p>
              </w:tc>
              <w:tc>
                <w:tcPr>
                  <w:tcW w:w="52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b/>
                      <w:color w:val="auto"/>
                      <w:spacing w:val="0"/>
                      <w:sz w:val="21"/>
                      <w:szCs w:val="21"/>
                      <w:highlight w:val="none"/>
                    </w:rPr>
                  </w:pPr>
                  <w:r>
                    <w:rPr>
                      <w:rFonts w:hint="default" w:ascii="Times New Roman" w:hAnsi="Times New Roman" w:eastAsia="宋体" w:cs="Times New Roman"/>
                      <w:b/>
                      <w:color w:val="auto"/>
                      <w:spacing w:val="0"/>
                      <w:sz w:val="21"/>
                      <w:szCs w:val="21"/>
                      <w:highlight w:val="none"/>
                      <w:lang w:bidi="ar"/>
                    </w:rPr>
                    <w:t>营运期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5"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lang w:bidi="ar"/>
                    </w:rPr>
                    <w:t>主体工程</w:t>
                  </w:r>
                </w:p>
              </w:tc>
              <w:tc>
                <w:tcPr>
                  <w:tcW w:w="36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气盾坝工程</w:t>
                  </w:r>
                </w:p>
              </w:tc>
              <w:tc>
                <w:tcPr>
                  <w:tcW w:w="309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kern w:val="2"/>
                      <w:sz w:val="21"/>
                      <w:szCs w:val="21"/>
                      <w:highlight w:val="none"/>
                      <w:lang w:val="en-US" w:eastAsia="zh-CN" w:bidi="ar"/>
                    </w:rPr>
                  </w:pPr>
                  <w:r>
                    <w:rPr>
                      <w:rFonts w:hint="default" w:ascii="Times New Roman" w:hAnsi="Times New Roman" w:eastAsia="宋体" w:cs="Times New Roman"/>
                      <w:color w:val="auto"/>
                      <w:spacing w:val="0"/>
                      <w:kern w:val="2"/>
                      <w:sz w:val="21"/>
                      <w:szCs w:val="21"/>
                      <w:highlight w:val="none"/>
                      <w:lang w:val="en-US" w:eastAsia="zh-CN" w:bidi="ar"/>
                    </w:rPr>
                    <w:t>安福堰正常蓄水位371.7m，设计洪水位373.98m，校核洪水位374.62m，死水位370.7m。大坝枢纽推荐方案为混凝土基础气盾坝，坝体采用C25砼进行浇筑，面层70cm采用C40钢筋HF砼浇筑，大坝从左到右依次为左坝肩、12孔有闸门控制的泄水坝段、闸墩、1孔取水泄水闸段、右坝肩。坝顶轴线总长130.828m，各坝段总长依次为8.125m、105m、1.704m、8.75m、7.25m。大坝坝顶高程372.4m，最大坝高4.7m，坝顶宽度不考虑今后的交通要求，最大坝体底部宽度9.5m。溢流坝段位于河槽中心位置，本工程大坝为气盾坝，大坝即为泄洪建筑。</w:t>
                  </w:r>
                </w:p>
              </w:tc>
              <w:tc>
                <w:tcPr>
                  <w:tcW w:w="647" w:type="pct"/>
                  <w:vMerge w:val="restart"/>
                  <w:tcBorders>
                    <w:tl2br w:val="nil"/>
                    <w:tr2bl w:val="nil"/>
                  </w:tcBorders>
                  <w:noWrap w:val="0"/>
                  <w:vAlign w:val="center"/>
                </w:tcPr>
                <w:p>
                  <w:pPr>
                    <w:keepNext w:val="0"/>
                    <w:keepLines w:val="0"/>
                    <w:pageBreakBefore w:val="0"/>
                    <w:widowControl w:val="0"/>
                    <w:kinsoku/>
                    <w:wordWrap/>
                    <w:overflowPunct/>
                    <w:topLinePunct w:val="0"/>
                    <w:bidi w:val="0"/>
                    <w:spacing w:line="240" w:lineRule="auto"/>
                    <w:ind w:left="0"/>
                    <w:jc w:val="center"/>
                    <w:rPr>
                      <w:rFonts w:hint="default" w:ascii="Times New Roman" w:hAnsi="Times New Roman" w:eastAsia="宋体" w:cs="Times New Roman"/>
                      <w:sz w:val="21"/>
                      <w:szCs w:val="21"/>
                    </w:rPr>
                  </w:pPr>
                </w:p>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spacing w:val="2"/>
                      <w:sz w:val="21"/>
                      <w:szCs w:val="21"/>
                    </w:rPr>
                    <w:t>施工废水</w:t>
                  </w:r>
                  <w:r>
                    <w:rPr>
                      <w:rFonts w:hint="default" w:ascii="Times New Roman" w:hAnsi="Times New Roman" w:eastAsia="宋体" w:cs="Times New Roman"/>
                      <w:spacing w:val="1"/>
                      <w:sz w:val="21"/>
                      <w:szCs w:val="21"/>
                    </w:rPr>
                    <w:t>、</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2"/>
                      <w:sz w:val="21"/>
                      <w:szCs w:val="21"/>
                    </w:rPr>
                    <w:t>施工噪声</w:t>
                  </w:r>
                  <w:r>
                    <w:rPr>
                      <w:rFonts w:hint="default" w:ascii="Times New Roman" w:hAnsi="Times New Roman" w:eastAsia="宋体" w:cs="Times New Roman"/>
                      <w:spacing w:val="1"/>
                      <w:sz w:val="21"/>
                      <w:szCs w:val="21"/>
                    </w:rPr>
                    <w:t>、</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2"/>
                      <w:sz w:val="21"/>
                      <w:szCs w:val="21"/>
                    </w:rPr>
                    <w:t>土石方、</w:t>
                  </w:r>
                  <w:r>
                    <w:rPr>
                      <w:rFonts w:hint="default" w:ascii="Times New Roman" w:hAnsi="Times New Roman" w:eastAsia="宋体" w:cs="Times New Roman"/>
                      <w:spacing w:val="1"/>
                      <w:sz w:val="21"/>
                      <w:szCs w:val="21"/>
                    </w:rPr>
                    <w:t>淤</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2"/>
                      <w:sz w:val="21"/>
                      <w:szCs w:val="21"/>
                    </w:rPr>
                    <w:t>泥、施工</w:t>
                  </w:r>
                  <w:r>
                    <w:rPr>
                      <w:rFonts w:hint="default" w:ascii="Times New Roman" w:hAnsi="Times New Roman" w:eastAsia="宋体" w:cs="Times New Roman"/>
                      <w:spacing w:val="1"/>
                      <w:sz w:val="21"/>
                      <w:szCs w:val="21"/>
                    </w:rPr>
                    <w:t>扬</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2"/>
                      <w:sz w:val="21"/>
                      <w:szCs w:val="21"/>
                    </w:rPr>
                    <w:t>尘、生活</w:t>
                  </w:r>
                  <w:r>
                    <w:rPr>
                      <w:rFonts w:hint="default" w:ascii="Times New Roman" w:hAnsi="Times New Roman" w:eastAsia="宋体" w:cs="Times New Roman"/>
                      <w:spacing w:val="1"/>
                      <w:sz w:val="21"/>
                      <w:szCs w:val="21"/>
                    </w:rPr>
                    <w:t>污</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2"/>
                      <w:sz w:val="21"/>
                      <w:szCs w:val="21"/>
                    </w:rPr>
                    <w:t>水、生活</w:t>
                  </w:r>
                  <w:r>
                    <w:rPr>
                      <w:rFonts w:hint="default" w:ascii="Times New Roman" w:hAnsi="Times New Roman" w:eastAsia="宋体" w:cs="Times New Roman"/>
                      <w:spacing w:val="1"/>
                      <w:sz w:val="21"/>
                      <w:szCs w:val="21"/>
                    </w:rPr>
                    <w:t>垃</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2"/>
                      <w:sz w:val="21"/>
                      <w:szCs w:val="21"/>
                    </w:rPr>
                    <w:t>圾、植被</w:t>
                  </w:r>
                  <w:r>
                    <w:rPr>
                      <w:rFonts w:hint="default" w:ascii="Times New Roman" w:hAnsi="Times New Roman" w:eastAsia="宋体" w:cs="Times New Roman"/>
                      <w:spacing w:val="1"/>
                      <w:sz w:val="21"/>
                      <w:szCs w:val="21"/>
                    </w:rPr>
                    <w:t>破</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13"/>
                      <w:sz w:val="21"/>
                      <w:szCs w:val="21"/>
                    </w:rPr>
                    <w:t>坏 水 土 流</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2"/>
                      <w:sz w:val="21"/>
                      <w:szCs w:val="21"/>
                    </w:rPr>
                    <w:t>失、生态</w:t>
                  </w:r>
                  <w:r>
                    <w:rPr>
                      <w:rFonts w:hint="default" w:ascii="Times New Roman" w:hAnsi="Times New Roman" w:eastAsia="宋体" w:cs="Times New Roman"/>
                      <w:spacing w:val="1"/>
                      <w:sz w:val="21"/>
                      <w:szCs w:val="21"/>
                    </w:rPr>
                    <w:t>影</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1"/>
                      <w:sz w:val="21"/>
                      <w:szCs w:val="21"/>
                    </w:rPr>
                    <w:t>响</w:t>
                  </w:r>
                </w:p>
              </w:tc>
              <w:tc>
                <w:tcPr>
                  <w:tcW w:w="52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5"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lang w:bidi="ar"/>
                    </w:rPr>
                  </w:pPr>
                </w:p>
              </w:tc>
              <w:tc>
                <w:tcPr>
                  <w:tcW w:w="36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lang w:val="en-US" w:eastAsia="zh-CN"/>
                    </w:rPr>
                    <w:t>取水工程</w:t>
                  </w:r>
                </w:p>
              </w:tc>
              <w:tc>
                <w:tcPr>
                  <w:tcW w:w="309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kern w:val="2"/>
                      <w:sz w:val="21"/>
                      <w:szCs w:val="21"/>
                      <w:highlight w:val="none"/>
                      <w:lang w:val="en-US" w:eastAsia="zh-CN" w:bidi="ar"/>
                    </w:rPr>
                  </w:pPr>
                  <w:r>
                    <w:rPr>
                      <w:rFonts w:hint="default" w:ascii="Times New Roman" w:hAnsi="Times New Roman" w:eastAsia="宋体" w:cs="Times New Roman"/>
                      <w:color w:val="auto"/>
                      <w:spacing w:val="0"/>
                      <w:kern w:val="2"/>
                      <w:sz w:val="21"/>
                      <w:szCs w:val="21"/>
                      <w:highlight w:val="none"/>
                      <w:lang w:val="en-US" w:eastAsia="zh-CN" w:bidi="ar"/>
                    </w:rPr>
                    <w:t>取水口位于大坝右段，采用开敞式实用堰溢流，堰顶高程与气盾坝设计顶高程相同，进口宽度8.75m，采用气盾坝控制。</w:t>
                  </w:r>
                </w:p>
              </w:tc>
              <w:tc>
                <w:tcPr>
                  <w:tcW w:w="64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lang w:val="en-US" w:eastAsia="zh-CN"/>
                    </w:rPr>
                  </w:pPr>
                </w:p>
              </w:tc>
              <w:tc>
                <w:tcPr>
                  <w:tcW w:w="52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5"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lang w:bidi="ar"/>
                    </w:rPr>
                  </w:pPr>
                </w:p>
              </w:tc>
              <w:tc>
                <w:tcPr>
                  <w:tcW w:w="36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引水渠整治工程</w:t>
                  </w:r>
                </w:p>
              </w:tc>
              <w:tc>
                <w:tcPr>
                  <w:tcW w:w="3098"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ind w:left="0"/>
                    <w:jc w:val="both"/>
                    <w:rPr>
                      <w:rFonts w:hint="default" w:ascii="Times New Roman" w:hAnsi="Times New Roman" w:eastAsia="宋体" w:cs="Times New Roman"/>
                      <w:color w:val="auto"/>
                      <w:spacing w:val="0"/>
                      <w:kern w:val="2"/>
                      <w:sz w:val="21"/>
                      <w:szCs w:val="21"/>
                      <w:highlight w:val="none"/>
                      <w:lang w:val="en-US" w:eastAsia="zh-CN" w:bidi="ar"/>
                    </w:rPr>
                  </w:pPr>
                  <w:r>
                    <w:rPr>
                      <w:rFonts w:hint="default" w:ascii="Times New Roman" w:hAnsi="Times New Roman" w:eastAsia="宋体" w:cs="Times New Roman"/>
                      <w:color w:val="auto"/>
                      <w:spacing w:val="0"/>
                      <w:kern w:val="2"/>
                      <w:sz w:val="21"/>
                      <w:szCs w:val="21"/>
                      <w:highlight w:val="none"/>
                      <w:lang w:val="en-US" w:eastAsia="zh-CN" w:bidi="ar"/>
                    </w:rPr>
                    <w:t>整治安福堰输水渠进口段位于峨眉河右岸大坝下游，从取水口至下游650m为沿河道布置的引水渠道，其中310.6m由于冲毁严重，本次对其进行拆除重建，拆建的渠道采用C25砼进行衬砌，渠道采用梯形渠道，渠底宽4m，渠底板厚度20cm，渠道边坡系数1：2，厚度25cm，渠道纵向坡度根据原有渠道纵坡布置，坡比为13/10000。渠道靠岸一侧在过水断面以上采用钢筋砼框格内植草护坡。</w:t>
                  </w:r>
                </w:p>
              </w:tc>
              <w:tc>
                <w:tcPr>
                  <w:tcW w:w="64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lang w:val="en-US" w:eastAsia="zh-CN"/>
                    </w:rPr>
                  </w:pPr>
                </w:p>
              </w:tc>
              <w:tc>
                <w:tcPr>
                  <w:tcW w:w="52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5"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lang w:bidi="ar"/>
                    </w:rPr>
                  </w:pPr>
                </w:p>
              </w:tc>
              <w:tc>
                <w:tcPr>
                  <w:tcW w:w="36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消能工程</w:t>
                  </w:r>
                </w:p>
              </w:tc>
              <w:tc>
                <w:tcPr>
                  <w:tcW w:w="309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kern w:val="2"/>
                      <w:sz w:val="21"/>
                      <w:szCs w:val="21"/>
                      <w:highlight w:val="none"/>
                      <w:lang w:val="en-US" w:eastAsia="zh-CN" w:bidi="ar"/>
                    </w:rPr>
                  </w:pPr>
                  <w:r>
                    <w:rPr>
                      <w:rFonts w:hint="default" w:ascii="Times New Roman" w:hAnsi="Times New Roman" w:eastAsia="宋体" w:cs="Times New Roman"/>
                      <w:color w:val="auto"/>
                      <w:spacing w:val="0"/>
                      <w:kern w:val="2"/>
                      <w:sz w:val="21"/>
                      <w:szCs w:val="21"/>
                      <w:highlight w:val="none"/>
                      <w:lang w:val="en-US" w:eastAsia="zh-CN" w:bidi="ar"/>
                    </w:rPr>
                    <w:t>大坝下游设护坦，护坦后接跌水、底流消能设施及海漫。护坦长15.5m，高程370.2m，末端设消力坎（兼做过河超墩步），坎顶高程370.3m；鱼鳞跌水长度38m（含过河墩步），总宽105m；跌水后接消力池，宽105m，长23m；消力池后为43m海漫，海漫厚度0.7m，采用大块卵石砌筑。</w:t>
                  </w:r>
                </w:p>
              </w:tc>
              <w:tc>
                <w:tcPr>
                  <w:tcW w:w="64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lang w:val="en-US" w:eastAsia="zh-CN"/>
                    </w:rPr>
                  </w:pPr>
                </w:p>
              </w:tc>
              <w:tc>
                <w:tcPr>
                  <w:tcW w:w="52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5"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lang w:bidi="ar"/>
                    </w:rPr>
                  </w:pPr>
                </w:p>
              </w:tc>
              <w:tc>
                <w:tcPr>
                  <w:tcW w:w="36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val="en-US" w:eastAsia="zh-CN"/>
                    </w:rPr>
                    <w:t>护岸工程</w:t>
                  </w:r>
                </w:p>
              </w:tc>
              <w:tc>
                <w:tcPr>
                  <w:tcW w:w="309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kern w:val="2"/>
                      <w:sz w:val="21"/>
                      <w:szCs w:val="21"/>
                      <w:highlight w:val="none"/>
                      <w:lang w:val="en-US" w:eastAsia="zh-CN" w:bidi="ar"/>
                    </w:rPr>
                  </w:pPr>
                  <w:r>
                    <w:rPr>
                      <w:rFonts w:hint="default" w:ascii="Times New Roman" w:hAnsi="Times New Roman" w:eastAsia="宋体" w:cs="Times New Roman"/>
                      <w:color w:val="auto"/>
                      <w:spacing w:val="0"/>
                      <w:kern w:val="2"/>
                      <w:sz w:val="21"/>
                      <w:szCs w:val="21"/>
                      <w:highlight w:val="none"/>
                      <w:lang w:val="en-US" w:eastAsia="zh-CN" w:bidi="ar"/>
                    </w:rPr>
                    <w:t>护岸岸脚为衡重式挡墙护脚，挡墙建于基岩或中密砂卵石层上。跌水、消力池及海漫两侧设护岸，护岸岸脚为重力式挡墙护脚，挡墙建于基岩或中密砂卵石层上，挡墙迎水面为直墙，背坡采用土石回填。</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kern w:val="2"/>
                      <w:sz w:val="21"/>
                      <w:szCs w:val="21"/>
                      <w:highlight w:val="none"/>
                      <w:lang w:val="en-US" w:eastAsia="zh-CN" w:bidi="ar"/>
                    </w:rPr>
                  </w:pPr>
                  <w:r>
                    <w:rPr>
                      <w:rFonts w:hint="default" w:ascii="Times New Roman" w:hAnsi="Times New Roman" w:eastAsia="宋体" w:cs="Times New Roman"/>
                      <w:color w:val="auto"/>
                      <w:spacing w:val="0"/>
                      <w:kern w:val="2"/>
                      <w:sz w:val="21"/>
                      <w:szCs w:val="21"/>
                      <w:highlight w:val="none"/>
                      <w:lang w:val="en-US" w:eastAsia="zh-CN" w:bidi="ar"/>
                    </w:rPr>
                    <w:t>挡墙墙脚防冲齿墙深度1.4m，采用C25砼浇筑。</w:t>
                  </w:r>
                </w:p>
              </w:tc>
              <w:tc>
                <w:tcPr>
                  <w:tcW w:w="64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lang w:val="en-US" w:eastAsia="zh-CN"/>
                    </w:rPr>
                  </w:pPr>
                </w:p>
              </w:tc>
              <w:tc>
                <w:tcPr>
                  <w:tcW w:w="52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5"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lang w:bidi="ar"/>
                    </w:rPr>
                    <w:t>辅助工程</w:t>
                  </w:r>
                </w:p>
              </w:tc>
              <w:tc>
                <w:tcPr>
                  <w:tcW w:w="36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kern w:val="2"/>
                      <w:sz w:val="21"/>
                      <w:szCs w:val="21"/>
                      <w:highlight w:val="none"/>
                      <w:lang w:val="en-US" w:eastAsia="zh-CN" w:bidi="ar"/>
                    </w:rPr>
                  </w:pPr>
                  <w:r>
                    <w:rPr>
                      <w:rFonts w:hint="default" w:ascii="Times New Roman" w:hAnsi="Times New Roman" w:eastAsia="宋体" w:cs="Times New Roman"/>
                      <w:color w:val="auto"/>
                      <w:spacing w:val="0"/>
                      <w:kern w:val="2"/>
                      <w:sz w:val="21"/>
                      <w:szCs w:val="21"/>
                      <w:highlight w:val="none"/>
                      <w:lang w:val="en-US" w:eastAsia="zh-CN" w:bidi="ar"/>
                    </w:rPr>
                    <w:t>施工道路</w:t>
                  </w:r>
                </w:p>
              </w:tc>
              <w:tc>
                <w:tcPr>
                  <w:tcW w:w="309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kern w:val="2"/>
                      <w:sz w:val="21"/>
                      <w:szCs w:val="21"/>
                      <w:highlight w:val="none"/>
                      <w:lang w:val="en-US" w:eastAsia="zh-CN" w:bidi="ar"/>
                    </w:rPr>
                  </w:pPr>
                  <w:r>
                    <w:rPr>
                      <w:rFonts w:hint="default" w:ascii="Times New Roman" w:hAnsi="Times New Roman" w:eastAsia="宋体" w:cs="Times New Roman"/>
                      <w:color w:val="auto"/>
                      <w:spacing w:val="0"/>
                      <w:kern w:val="2"/>
                      <w:sz w:val="21"/>
                      <w:szCs w:val="21"/>
                      <w:highlight w:val="none"/>
                      <w:lang w:val="en-US" w:eastAsia="zh-CN" w:bidi="ar"/>
                    </w:rPr>
                    <w:t>利用周边已有道路，未新增施工道路</w:t>
                  </w:r>
                </w:p>
              </w:tc>
              <w:tc>
                <w:tcPr>
                  <w:tcW w:w="647"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w:t>
                  </w:r>
                </w:p>
              </w:tc>
              <w:tc>
                <w:tcPr>
                  <w:tcW w:w="52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5"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lang w:bidi="ar"/>
                    </w:rPr>
                  </w:pPr>
                </w:p>
              </w:tc>
              <w:tc>
                <w:tcPr>
                  <w:tcW w:w="36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kern w:val="2"/>
                      <w:sz w:val="21"/>
                      <w:szCs w:val="21"/>
                      <w:highlight w:val="none"/>
                      <w:lang w:val="en-US" w:eastAsia="zh-CN" w:bidi="ar"/>
                    </w:rPr>
                  </w:pPr>
                  <w:r>
                    <w:rPr>
                      <w:rFonts w:hint="eastAsia" w:ascii="Times New Roman" w:hAnsi="Times New Roman" w:eastAsia="宋体" w:cs="Times New Roman"/>
                      <w:color w:val="auto"/>
                      <w:spacing w:val="0"/>
                      <w:kern w:val="2"/>
                      <w:sz w:val="21"/>
                      <w:szCs w:val="21"/>
                      <w:highlight w:val="none"/>
                      <w:lang w:val="en-US" w:eastAsia="zh-CN" w:bidi="ar"/>
                    </w:rPr>
                    <w:t>施工导流</w:t>
                  </w:r>
                </w:p>
              </w:tc>
              <w:tc>
                <w:tcPr>
                  <w:tcW w:w="309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kern w:val="2"/>
                      <w:sz w:val="21"/>
                      <w:szCs w:val="21"/>
                      <w:highlight w:val="none"/>
                      <w:lang w:val="en-US" w:eastAsia="zh-CN" w:bidi="ar"/>
                    </w:rPr>
                  </w:pPr>
                  <w:r>
                    <w:rPr>
                      <w:rFonts w:hint="default" w:ascii="Times New Roman" w:hAnsi="Times New Roman" w:eastAsia="宋体" w:cs="Times New Roman"/>
                      <w:color w:val="auto"/>
                      <w:spacing w:val="0"/>
                      <w:kern w:val="2"/>
                      <w:sz w:val="21"/>
                      <w:szCs w:val="21"/>
                      <w:highlight w:val="none"/>
                      <w:lang w:val="en-US" w:eastAsia="zh-CN" w:bidi="ar"/>
                    </w:rPr>
                    <w:t>施工安排在枯期第一年11月至第二年3月分两期施工</w:t>
                  </w:r>
                  <w:r>
                    <w:rPr>
                      <w:rFonts w:hint="eastAsia" w:ascii="Times New Roman" w:hAnsi="Times New Roman" w:eastAsia="宋体" w:cs="Times New Roman"/>
                      <w:color w:val="auto"/>
                      <w:spacing w:val="0"/>
                      <w:kern w:val="2"/>
                      <w:sz w:val="21"/>
                      <w:szCs w:val="21"/>
                      <w:highlight w:val="none"/>
                      <w:lang w:val="en-US" w:eastAsia="zh-CN" w:bidi="ar"/>
                    </w:rPr>
                    <w:t>：</w:t>
                  </w:r>
                  <w:r>
                    <w:rPr>
                      <w:rFonts w:hint="default" w:ascii="Times New Roman" w:hAnsi="Times New Roman" w:eastAsia="宋体" w:cs="Times New Roman"/>
                      <w:color w:val="auto"/>
                      <w:spacing w:val="0"/>
                      <w:kern w:val="2"/>
                      <w:sz w:val="21"/>
                      <w:szCs w:val="21"/>
                      <w:highlight w:val="none"/>
                      <w:lang w:val="en-US" w:eastAsia="zh-CN" w:bidi="ar"/>
                    </w:rPr>
                    <w:t>一期围堰围主体工程右岸，围堰长319.74m，堰顶宽3m</w:t>
                  </w:r>
                  <w:r>
                    <w:rPr>
                      <w:rFonts w:hint="eastAsia" w:ascii="Times New Roman" w:hAnsi="Times New Roman" w:eastAsia="宋体" w:cs="Times New Roman"/>
                      <w:color w:val="auto"/>
                      <w:spacing w:val="0"/>
                      <w:kern w:val="2"/>
                      <w:sz w:val="21"/>
                      <w:szCs w:val="21"/>
                      <w:highlight w:val="none"/>
                      <w:lang w:val="en-US" w:eastAsia="zh-CN" w:bidi="ar"/>
                    </w:rPr>
                    <w:t>，</w:t>
                  </w:r>
                  <w:r>
                    <w:rPr>
                      <w:rFonts w:hint="default" w:ascii="Times New Roman" w:hAnsi="Times New Roman" w:eastAsia="宋体" w:cs="Times New Roman"/>
                      <w:color w:val="auto"/>
                      <w:spacing w:val="0"/>
                      <w:kern w:val="2"/>
                      <w:sz w:val="21"/>
                      <w:szCs w:val="21"/>
                      <w:highlight w:val="none"/>
                      <w:lang w:val="en-US" w:eastAsia="zh-CN" w:bidi="ar"/>
                    </w:rPr>
                    <w:t>堰体结构型式采用砂卵石填筑，迎水面采用编织袋装土方防冲，土工膜防渗</w:t>
                  </w:r>
                  <w:r>
                    <w:rPr>
                      <w:rFonts w:hint="eastAsia" w:ascii="Times New Roman" w:hAnsi="Times New Roman" w:eastAsia="宋体" w:cs="Times New Roman"/>
                      <w:color w:val="auto"/>
                      <w:spacing w:val="0"/>
                      <w:kern w:val="2"/>
                      <w:sz w:val="21"/>
                      <w:szCs w:val="21"/>
                      <w:highlight w:val="none"/>
                      <w:lang w:val="en-US" w:eastAsia="zh-CN" w:bidi="ar"/>
                    </w:rPr>
                    <w:t>；</w:t>
                  </w:r>
                  <w:r>
                    <w:rPr>
                      <w:rFonts w:hint="default" w:ascii="Times New Roman" w:hAnsi="Times New Roman" w:eastAsia="宋体" w:cs="Times New Roman"/>
                      <w:color w:val="auto"/>
                      <w:spacing w:val="0"/>
                      <w:kern w:val="2"/>
                      <w:sz w:val="21"/>
                      <w:szCs w:val="21"/>
                      <w:highlight w:val="none"/>
                      <w:lang w:val="en-US" w:eastAsia="zh-CN" w:bidi="ar"/>
                    </w:rPr>
                    <w:t>二期导墙在一期基坑内完成，导墙堰顶长</w:t>
                  </w:r>
                  <w:r>
                    <w:rPr>
                      <w:rFonts w:hint="eastAsia" w:ascii="Times New Roman" w:hAnsi="Times New Roman" w:eastAsia="宋体" w:cs="Times New Roman"/>
                      <w:color w:val="auto"/>
                      <w:spacing w:val="0"/>
                      <w:kern w:val="2"/>
                      <w:sz w:val="21"/>
                      <w:szCs w:val="21"/>
                      <w:highlight w:val="none"/>
                      <w:lang w:val="en-US" w:eastAsia="zh-CN" w:bidi="ar"/>
                    </w:rPr>
                    <w:t>228</w:t>
                  </w:r>
                  <w:r>
                    <w:rPr>
                      <w:rFonts w:hint="default" w:ascii="Times New Roman" w:hAnsi="Times New Roman" w:eastAsia="宋体" w:cs="Times New Roman"/>
                      <w:color w:val="auto"/>
                      <w:spacing w:val="0"/>
                      <w:kern w:val="2"/>
                      <w:sz w:val="21"/>
                      <w:szCs w:val="21"/>
                      <w:highlight w:val="none"/>
                      <w:lang w:val="en-US" w:eastAsia="zh-CN" w:bidi="ar"/>
                    </w:rPr>
                    <w:t>m，堰顶宽0.5m</w:t>
                  </w:r>
                  <w:r>
                    <w:rPr>
                      <w:rFonts w:hint="eastAsia" w:ascii="Times New Roman" w:hAnsi="Times New Roman" w:eastAsia="宋体" w:cs="Times New Roman"/>
                      <w:color w:val="auto"/>
                      <w:spacing w:val="0"/>
                      <w:kern w:val="2"/>
                      <w:sz w:val="21"/>
                      <w:szCs w:val="21"/>
                      <w:highlight w:val="none"/>
                      <w:lang w:val="en-US" w:eastAsia="zh-CN" w:bidi="ar"/>
                    </w:rPr>
                    <w:t>，</w:t>
                  </w:r>
                  <w:r>
                    <w:rPr>
                      <w:rFonts w:hint="default" w:ascii="Times New Roman" w:hAnsi="Times New Roman" w:eastAsia="宋体" w:cs="Times New Roman"/>
                      <w:color w:val="auto"/>
                      <w:spacing w:val="0"/>
                      <w:kern w:val="2"/>
                      <w:sz w:val="21"/>
                      <w:szCs w:val="21"/>
                      <w:highlight w:val="none"/>
                      <w:lang w:val="en-US" w:eastAsia="zh-CN" w:bidi="ar"/>
                    </w:rPr>
                    <w:t>堰体结构型式采用M7.5浆砌卵石</w:t>
                  </w:r>
                  <w:r>
                    <w:rPr>
                      <w:rFonts w:hint="eastAsia" w:ascii="Times New Roman" w:hAnsi="Times New Roman" w:eastAsia="宋体" w:cs="Times New Roman"/>
                      <w:color w:val="auto"/>
                      <w:spacing w:val="0"/>
                      <w:kern w:val="2"/>
                      <w:sz w:val="21"/>
                      <w:szCs w:val="21"/>
                      <w:highlight w:val="none"/>
                      <w:lang w:val="en-US" w:eastAsia="zh-CN" w:bidi="ar"/>
                    </w:rPr>
                    <w:t>；</w:t>
                  </w:r>
                  <w:r>
                    <w:rPr>
                      <w:rFonts w:hint="default" w:ascii="Times New Roman" w:hAnsi="Times New Roman" w:eastAsia="宋体" w:cs="Times New Roman"/>
                      <w:color w:val="auto"/>
                      <w:spacing w:val="0"/>
                      <w:kern w:val="2"/>
                      <w:sz w:val="21"/>
                      <w:szCs w:val="21"/>
                      <w:highlight w:val="none"/>
                      <w:lang w:val="en-US" w:eastAsia="zh-CN" w:bidi="ar"/>
                    </w:rPr>
                    <w:t>二期上游围堰长约</w:t>
                  </w:r>
                  <w:r>
                    <w:rPr>
                      <w:rFonts w:hint="eastAsia" w:ascii="Times New Roman" w:hAnsi="Times New Roman" w:eastAsia="宋体" w:cs="Times New Roman"/>
                      <w:color w:val="auto"/>
                      <w:spacing w:val="0"/>
                      <w:kern w:val="2"/>
                      <w:sz w:val="21"/>
                      <w:szCs w:val="21"/>
                      <w:highlight w:val="none"/>
                      <w:lang w:val="en-US" w:eastAsia="zh-CN" w:bidi="ar"/>
                    </w:rPr>
                    <w:t>224.05</w:t>
                  </w:r>
                  <w:r>
                    <w:rPr>
                      <w:rFonts w:hint="default" w:ascii="Times New Roman" w:hAnsi="Times New Roman" w:eastAsia="宋体" w:cs="Times New Roman"/>
                      <w:color w:val="auto"/>
                      <w:spacing w:val="0"/>
                      <w:kern w:val="2"/>
                      <w:sz w:val="21"/>
                      <w:szCs w:val="21"/>
                      <w:highlight w:val="none"/>
                      <w:lang w:val="en-US" w:eastAsia="zh-CN" w:bidi="ar"/>
                    </w:rPr>
                    <w:t>m，堰顶宽</w:t>
                  </w:r>
                  <w:r>
                    <w:rPr>
                      <w:rFonts w:hint="eastAsia" w:ascii="Times New Roman" w:hAnsi="Times New Roman" w:eastAsia="宋体" w:cs="Times New Roman"/>
                      <w:color w:val="auto"/>
                      <w:spacing w:val="0"/>
                      <w:kern w:val="2"/>
                      <w:sz w:val="21"/>
                      <w:szCs w:val="21"/>
                      <w:highlight w:val="none"/>
                      <w:lang w:val="en-US" w:eastAsia="zh-CN" w:bidi="ar"/>
                    </w:rPr>
                    <w:t>3</w:t>
                  </w:r>
                  <w:r>
                    <w:rPr>
                      <w:rFonts w:hint="default" w:ascii="Times New Roman" w:hAnsi="Times New Roman" w:eastAsia="宋体" w:cs="Times New Roman"/>
                      <w:color w:val="auto"/>
                      <w:spacing w:val="0"/>
                      <w:kern w:val="2"/>
                      <w:sz w:val="21"/>
                      <w:szCs w:val="21"/>
                      <w:highlight w:val="none"/>
                      <w:lang w:val="en-US" w:eastAsia="zh-CN" w:bidi="ar"/>
                    </w:rPr>
                    <w:t>m，二期下游围堰长约</w:t>
                  </w:r>
                  <w:r>
                    <w:rPr>
                      <w:rFonts w:hint="eastAsia" w:ascii="Times New Roman" w:hAnsi="Times New Roman" w:eastAsia="宋体" w:cs="Times New Roman"/>
                      <w:color w:val="auto"/>
                      <w:spacing w:val="0"/>
                      <w:kern w:val="2"/>
                      <w:sz w:val="21"/>
                      <w:szCs w:val="21"/>
                      <w:highlight w:val="none"/>
                      <w:lang w:val="en-US" w:eastAsia="zh-CN" w:bidi="ar"/>
                    </w:rPr>
                    <w:t>75.62</w:t>
                  </w:r>
                  <w:r>
                    <w:rPr>
                      <w:rFonts w:hint="default" w:ascii="Times New Roman" w:hAnsi="Times New Roman" w:eastAsia="宋体" w:cs="Times New Roman"/>
                      <w:color w:val="auto"/>
                      <w:spacing w:val="0"/>
                      <w:kern w:val="2"/>
                      <w:sz w:val="21"/>
                      <w:szCs w:val="21"/>
                      <w:highlight w:val="none"/>
                      <w:lang w:val="en-US" w:eastAsia="zh-CN" w:bidi="ar"/>
                    </w:rPr>
                    <w:t>m，堰顶宽</w:t>
                  </w:r>
                  <w:r>
                    <w:rPr>
                      <w:rFonts w:hint="eastAsia" w:ascii="Times New Roman" w:hAnsi="Times New Roman" w:eastAsia="宋体" w:cs="Times New Roman"/>
                      <w:color w:val="auto"/>
                      <w:spacing w:val="0"/>
                      <w:kern w:val="2"/>
                      <w:sz w:val="21"/>
                      <w:szCs w:val="21"/>
                      <w:highlight w:val="none"/>
                      <w:lang w:val="en-US" w:eastAsia="zh-CN" w:bidi="ar"/>
                    </w:rPr>
                    <w:t>3</w:t>
                  </w:r>
                  <w:r>
                    <w:rPr>
                      <w:rFonts w:hint="default" w:ascii="Times New Roman" w:hAnsi="Times New Roman" w:eastAsia="宋体" w:cs="Times New Roman"/>
                      <w:color w:val="auto"/>
                      <w:spacing w:val="0"/>
                      <w:kern w:val="2"/>
                      <w:sz w:val="21"/>
                      <w:szCs w:val="21"/>
                      <w:highlight w:val="none"/>
                      <w:lang w:val="en-US" w:eastAsia="zh-CN" w:bidi="ar"/>
                    </w:rPr>
                    <w:t>m</w:t>
                  </w:r>
                  <w:r>
                    <w:rPr>
                      <w:rFonts w:hint="eastAsia" w:ascii="Times New Roman" w:hAnsi="Times New Roman" w:eastAsia="宋体" w:cs="Times New Roman"/>
                      <w:color w:val="auto"/>
                      <w:spacing w:val="0"/>
                      <w:kern w:val="2"/>
                      <w:sz w:val="21"/>
                      <w:szCs w:val="21"/>
                      <w:highlight w:val="none"/>
                      <w:lang w:val="en-US" w:eastAsia="zh-CN" w:bidi="ar"/>
                    </w:rPr>
                    <w:t>，</w:t>
                  </w:r>
                  <w:r>
                    <w:rPr>
                      <w:rFonts w:hint="default" w:ascii="Times New Roman" w:hAnsi="Times New Roman" w:eastAsia="宋体" w:cs="Times New Roman"/>
                      <w:color w:val="auto"/>
                      <w:spacing w:val="0"/>
                      <w:kern w:val="2"/>
                      <w:sz w:val="21"/>
                      <w:szCs w:val="21"/>
                      <w:highlight w:val="none"/>
                      <w:lang w:val="en-US" w:eastAsia="zh-CN" w:bidi="ar"/>
                    </w:rPr>
                    <w:t>堰体结构型式采用砂卵石填筑，迎水面采用编织袋装土方防冲，土工膜防渗。</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kern w:val="2"/>
                      <w:sz w:val="21"/>
                      <w:szCs w:val="21"/>
                      <w:highlight w:val="none"/>
                      <w:lang w:val="en-US" w:eastAsia="zh-CN" w:bidi="ar"/>
                    </w:rPr>
                  </w:pPr>
                  <w:r>
                    <w:rPr>
                      <w:rFonts w:hint="eastAsia" w:ascii="Times New Roman" w:hAnsi="Times New Roman" w:eastAsia="宋体" w:cs="Times New Roman"/>
                      <w:color w:val="auto"/>
                      <w:spacing w:val="0"/>
                      <w:kern w:val="2"/>
                      <w:sz w:val="21"/>
                      <w:szCs w:val="21"/>
                      <w:highlight w:val="none"/>
                      <w:lang w:val="en-US" w:eastAsia="zh-CN" w:bidi="ar"/>
                    </w:rPr>
                    <w:t>河道内施工完毕后，拆除所有围堰。</w:t>
                  </w:r>
                </w:p>
              </w:tc>
              <w:tc>
                <w:tcPr>
                  <w:tcW w:w="64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lang w:val="en-US" w:eastAsia="zh-CN"/>
                    </w:rPr>
                  </w:pPr>
                </w:p>
              </w:tc>
              <w:tc>
                <w:tcPr>
                  <w:tcW w:w="52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eastAsia" w:ascii="Times New Roman" w:hAnsi="Times New Roman" w:eastAsia="宋体" w:cs="Times New Roman"/>
                      <w:color w:val="auto"/>
                      <w:spacing w:val="0"/>
                      <w:sz w:val="21"/>
                      <w:szCs w:val="21"/>
                      <w:highlight w:val="none"/>
                      <w:lang w:val="en-US" w:eastAsia="zh-CN"/>
                    </w:rPr>
                  </w:pPr>
                  <w:r>
                    <w:rPr>
                      <w:rFonts w:hint="eastAsia" w:ascii="Times New Roman" w:hAnsi="Times New Roman" w:eastAsia="宋体" w:cs="Times New Roman"/>
                      <w:color w:val="auto"/>
                      <w:spacing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5"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rPr>
                  </w:pPr>
                </w:p>
              </w:tc>
              <w:tc>
                <w:tcPr>
                  <w:tcW w:w="36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color w:val="auto"/>
                      <w:spacing w:val="0"/>
                      <w:sz w:val="21"/>
                      <w:szCs w:val="21"/>
                      <w:highlight w:val="none"/>
                      <w:lang w:eastAsia="zh-CN"/>
                    </w:rPr>
                    <w:t>供水供电及通信</w:t>
                  </w:r>
                </w:p>
              </w:tc>
              <w:tc>
                <w:tcPr>
                  <w:tcW w:w="309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spacing w:val="9"/>
                      <w:sz w:val="21"/>
                      <w:szCs w:val="21"/>
                    </w:rPr>
                    <w:t>工程区附近已有的降压站能满足施工</w:t>
                  </w:r>
                  <w:r>
                    <w:rPr>
                      <w:rFonts w:hint="default" w:ascii="Times New Roman" w:hAnsi="Times New Roman" w:eastAsia="宋体" w:cs="Times New Roman"/>
                      <w:spacing w:val="9"/>
                      <w:sz w:val="21"/>
                      <w:szCs w:val="21"/>
                      <w:lang w:val="en-US" w:eastAsia="zh-CN"/>
                    </w:rPr>
                    <w:t>用电</w:t>
                  </w:r>
                  <w:r>
                    <w:rPr>
                      <w:rFonts w:hint="default" w:ascii="Times New Roman" w:hAnsi="Times New Roman" w:eastAsia="宋体" w:cs="Times New Roman"/>
                      <w:spacing w:val="9"/>
                      <w:sz w:val="21"/>
                      <w:szCs w:val="21"/>
                    </w:rPr>
                    <w:t>需要</w:t>
                  </w:r>
                  <w:r>
                    <w:rPr>
                      <w:rFonts w:hint="default" w:ascii="Times New Roman" w:hAnsi="Times New Roman" w:eastAsia="宋体" w:cs="Times New Roman"/>
                      <w:spacing w:val="9"/>
                      <w:sz w:val="21"/>
                      <w:szCs w:val="21"/>
                      <w:lang w:eastAsia="zh-CN"/>
                    </w:rPr>
                    <w:t>；</w:t>
                  </w:r>
                  <w:r>
                    <w:rPr>
                      <w:rFonts w:hint="default" w:ascii="Times New Roman" w:hAnsi="Times New Roman" w:eastAsia="宋体" w:cs="Times New Roman"/>
                      <w:spacing w:val="9"/>
                      <w:sz w:val="21"/>
                      <w:szCs w:val="21"/>
                    </w:rPr>
                    <w:t>利用水泵，抽取河水解决</w:t>
                  </w:r>
                </w:p>
              </w:tc>
              <w:tc>
                <w:tcPr>
                  <w:tcW w:w="647"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rPr>
                  </w:pPr>
                </w:p>
              </w:tc>
              <w:tc>
                <w:tcPr>
                  <w:tcW w:w="52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rPr>
                  </w:pPr>
                  <w:r>
                    <w:rPr>
                      <w:rFonts w:hint="default" w:ascii="Times New Roman" w:hAnsi="Times New Roman" w:eastAsia="宋体" w:cs="Times New Roman"/>
                      <w:color w:val="auto"/>
                      <w:spacing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5"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color w:val="auto"/>
                      <w:spacing w:val="0"/>
                      <w:sz w:val="21"/>
                      <w:szCs w:val="21"/>
                      <w:highlight w:val="none"/>
                      <w:lang w:eastAsia="zh-CN"/>
                    </w:rPr>
                    <w:t>临时工程</w:t>
                  </w:r>
                </w:p>
              </w:tc>
              <w:tc>
                <w:tcPr>
                  <w:tcW w:w="36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color w:val="auto"/>
                      <w:spacing w:val="0"/>
                      <w:sz w:val="21"/>
                      <w:szCs w:val="21"/>
                      <w:highlight w:val="none"/>
                      <w:lang w:eastAsia="zh-CN"/>
                    </w:rPr>
                    <w:t>施工场地</w:t>
                  </w:r>
                </w:p>
              </w:tc>
              <w:tc>
                <w:tcPr>
                  <w:tcW w:w="3098"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ind w:left="0" w:right="0"/>
                    <w:jc w:val="center"/>
                    <w:rPr>
                      <w:rFonts w:hint="default" w:ascii="Times New Roman" w:hAnsi="Times New Roman" w:eastAsia="宋体" w:cs="Times New Roman"/>
                      <w:color w:val="auto"/>
                      <w:spacing w:val="0"/>
                      <w:sz w:val="21"/>
                      <w:szCs w:val="21"/>
                      <w:highlight w:val="none"/>
                      <w:vertAlign w:val="baseline"/>
                      <w:lang w:val="en-US" w:eastAsia="zh-CN"/>
                    </w:rPr>
                  </w:pPr>
                  <w:r>
                    <w:rPr>
                      <w:rFonts w:hint="default" w:ascii="Times New Roman" w:hAnsi="Times New Roman" w:eastAsia="宋体" w:cs="Times New Roman"/>
                      <w:color w:val="auto"/>
                      <w:spacing w:val="0"/>
                      <w:sz w:val="21"/>
                      <w:szCs w:val="21"/>
                      <w:highlight w:val="none"/>
                      <w:lang w:val="en-US" w:eastAsia="zh-CN"/>
                    </w:rPr>
                    <w:t>项目设置2个施工场地，均为河滩地，占地面积约1500m</w:t>
                  </w:r>
                  <w:r>
                    <w:rPr>
                      <w:rFonts w:hint="default" w:ascii="Times New Roman" w:hAnsi="Times New Roman" w:eastAsia="宋体" w:cs="Times New Roman"/>
                      <w:color w:val="auto"/>
                      <w:spacing w:val="0"/>
                      <w:sz w:val="21"/>
                      <w:szCs w:val="21"/>
                      <w:highlight w:val="none"/>
                      <w:vertAlign w:val="superscript"/>
                      <w:lang w:val="en-US" w:eastAsia="zh-CN"/>
                    </w:rPr>
                    <w:t>2</w:t>
                  </w:r>
                  <w:r>
                    <w:rPr>
                      <w:rFonts w:hint="default" w:ascii="Times New Roman" w:hAnsi="Times New Roman" w:eastAsia="宋体" w:cs="Times New Roman"/>
                      <w:color w:val="auto"/>
                      <w:spacing w:val="0"/>
                      <w:sz w:val="21"/>
                      <w:szCs w:val="21"/>
                      <w:highlight w:val="none"/>
                      <w:lang w:val="en-US" w:eastAsia="zh-CN"/>
                    </w:rPr>
                    <w:t>，左岸工区占地面积500m</w:t>
                  </w:r>
                  <w:r>
                    <w:rPr>
                      <w:rFonts w:hint="default" w:ascii="Times New Roman" w:hAnsi="Times New Roman" w:eastAsia="宋体" w:cs="Times New Roman"/>
                      <w:color w:val="auto"/>
                      <w:spacing w:val="0"/>
                      <w:sz w:val="21"/>
                      <w:szCs w:val="21"/>
                      <w:highlight w:val="none"/>
                      <w:vertAlign w:val="superscript"/>
                      <w:lang w:val="en-US" w:eastAsia="zh-CN"/>
                    </w:rPr>
                    <w:t>2</w:t>
                  </w:r>
                  <w:r>
                    <w:rPr>
                      <w:rFonts w:hint="default" w:ascii="Times New Roman" w:hAnsi="Times New Roman" w:eastAsia="宋体" w:cs="Times New Roman"/>
                      <w:color w:val="auto"/>
                      <w:spacing w:val="0"/>
                      <w:sz w:val="21"/>
                      <w:szCs w:val="21"/>
                      <w:highlight w:val="none"/>
                      <w:lang w:val="en-US" w:eastAsia="zh-CN"/>
                    </w:rPr>
                    <w:t>，右岸工区占地面积1000m</w:t>
                  </w:r>
                  <w:r>
                    <w:rPr>
                      <w:rFonts w:hint="default" w:ascii="Times New Roman" w:hAnsi="Times New Roman" w:eastAsia="宋体" w:cs="Times New Roman"/>
                      <w:color w:val="auto"/>
                      <w:spacing w:val="0"/>
                      <w:sz w:val="21"/>
                      <w:szCs w:val="21"/>
                      <w:highlight w:val="none"/>
                      <w:vertAlign w:val="superscript"/>
                      <w:lang w:val="en-US" w:eastAsia="zh-CN"/>
                    </w:rPr>
                    <w:t>2</w:t>
                  </w:r>
                  <w:r>
                    <w:rPr>
                      <w:rFonts w:hint="default" w:ascii="Times New Roman" w:hAnsi="Times New Roman" w:eastAsia="宋体" w:cs="Times New Roman"/>
                      <w:color w:val="auto"/>
                      <w:spacing w:val="0"/>
                      <w:sz w:val="21"/>
                      <w:szCs w:val="21"/>
                      <w:highlight w:val="none"/>
                      <w:lang w:val="en-US" w:eastAsia="zh-CN"/>
                    </w:rPr>
                    <w:t>，施工区不设置砂石加工及商混站，仅作为砼结构制造场地、机械堆放场地</w:t>
                  </w:r>
                  <w:r>
                    <w:rPr>
                      <w:rFonts w:hint="eastAsia" w:ascii="Times New Roman" w:hAnsi="Times New Roman" w:eastAsia="宋体" w:cs="Times New Roman"/>
                      <w:color w:val="auto"/>
                      <w:spacing w:val="0"/>
                      <w:sz w:val="21"/>
                      <w:szCs w:val="21"/>
                      <w:highlight w:val="none"/>
                      <w:lang w:val="en-US" w:eastAsia="zh-CN"/>
                    </w:rPr>
                    <w:t>等临时堆场</w:t>
                  </w:r>
                </w:p>
              </w:tc>
              <w:tc>
                <w:tcPr>
                  <w:tcW w:w="64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噪声、扬尘、汽车尾气</w:t>
                  </w:r>
                </w:p>
              </w:tc>
              <w:tc>
                <w:tcPr>
                  <w:tcW w:w="52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5"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lang w:eastAsia="zh-CN"/>
                    </w:rPr>
                  </w:pPr>
                </w:p>
              </w:tc>
              <w:tc>
                <w:tcPr>
                  <w:tcW w:w="36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color w:val="auto"/>
                      <w:sz w:val="21"/>
                      <w:szCs w:val="21"/>
                      <w:lang w:val="en-US" w:eastAsia="zh-CN"/>
                    </w:rPr>
                    <w:t>施工营地</w:t>
                  </w:r>
                </w:p>
              </w:tc>
              <w:tc>
                <w:tcPr>
                  <w:tcW w:w="309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项目不设置施工营地，施工人员就近租用民房</w:t>
                  </w:r>
                </w:p>
              </w:tc>
              <w:tc>
                <w:tcPr>
                  <w:tcW w:w="64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生活污水</w:t>
                  </w:r>
                </w:p>
              </w:tc>
              <w:tc>
                <w:tcPr>
                  <w:tcW w:w="52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5"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lang w:eastAsia="zh-CN"/>
                    </w:rPr>
                  </w:pPr>
                </w:p>
              </w:tc>
              <w:tc>
                <w:tcPr>
                  <w:tcW w:w="36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b w:val="0"/>
                      <w:bCs w:val="0"/>
                      <w:color w:val="auto"/>
                      <w:spacing w:val="0"/>
                      <w:sz w:val="21"/>
                      <w:szCs w:val="21"/>
                      <w:highlight w:val="none"/>
                      <w:lang w:val="en-US" w:eastAsia="zh-CN"/>
                    </w:rPr>
                    <w:t>弃土场</w:t>
                  </w:r>
                </w:p>
              </w:tc>
              <w:tc>
                <w:tcPr>
                  <w:tcW w:w="3098" w:type="pct"/>
                  <w:tcBorders>
                    <w:tl2br w:val="nil"/>
                    <w:tr2bl w:val="nil"/>
                  </w:tcBorders>
                  <w:noWrap w:val="0"/>
                  <w:vAlign w:val="center"/>
                </w:tcPr>
                <w:p>
                  <w:pPr>
                    <w:snapToGrid w:val="0"/>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本工程主体土石开挖总量</w:t>
                  </w:r>
                  <w:r>
                    <w:rPr>
                      <w:rFonts w:hint="eastAsia" w:ascii="Times New Roman" w:hAnsi="Times New Roman" w:eastAsia="宋体" w:cs="Times New Roman"/>
                      <w:color w:val="auto"/>
                      <w:spacing w:val="0"/>
                      <w:sz w:val="21"/>
                      <w:szCs w:val="21"/>
                      <w:highlight w:val="none"/>
                      <w:lang w:val="en-US" w:eastAsia="zh-CN"/>
                    </w:rPr>
                    <w:t>4.32</w:t>
                  </w:r>
                  <w:r>
                    <w:rPr>
                      <w:rFonts w:hint="default" w:ascii="Times New Roman" w:hAnsi="Times New Roman" w:eastAsia="宋体" w:cs="Times New Roman"/>
                      <w:color w:val="auto"/>
                      <w:spacing w:val="0"/>
                      <w:sz w:val="21"/>
                      <w:szCs w:val="21"/>
                      <w:highlight w:val="none"/>
                      <w:lang w:val="en-US" w:eastAsia="zh-CN"/>
                    </w:rPr>
                    <w:t>万m</w:t>
                  </w:r>
                  <w:r>
                    <w:rPr>
                      <w:rFonts w:hint="default" w:ascii="Times New Roman" w:hAnsi="Times New Roman" w:eastAsia="宋体" w:cs="Times New Roman"/>
                      <w:color w:val="auto"/>
                      <w:spacing w:val="0"/>
                      <w:sz w:val="21"/>
                      <w:szCs w:val="21"/>
                      <w:highlight w:val="none"/>
                      <w:vertAlign w:val="superscript"/>
                      <w:lang w:val="en-US" w:eastAsia="zh-CN"/>
                    </w:rPr>
                    <w:t>3</w:t>
                  </w:r>
                  <w:r>
                    <w:rPr>
                      <w:rFonts w:hint="default" w:ascii="Times New Roman" w:hAnsi="Times New Roman" w:eastAsia="宋体" w:cs="Times New Roman"/>
                      <w:color w:val="auto"/>
                      <w:spacing w:val="0"/>
                      <w:sz w:val="21"/>
                      <w:szCs w:val="21"/>
                      <w:highlight w:val="none"/>
                      <w:lang w:val="en-US" w:eastAsia="zh-CN"/>
                    </w:rPr>
                    <w:t>（自然方，含</w:t>
                  </w:r>
                  <w:r>
                    <w:rPr>
                      <w:rFonts w:hint="eastAsia" w:ascii="Times New Roman" w:hAnsi="Times New Roman" w:eastAsia="宋体" w:cs="Times New Roman"/>
                      <w:color w:val="auto"/>
                      <w:spacing w:val="0"/>
                      <w:sz w:val="21"/>
                      <w:szCs w:val="21"/>
                      <w:highlight w:val="none"/>
                      <w:lang w:val="en-US" w:eastAsia="zh-CN"/>
                    </w:rPr>
                    <w:t>表土剥离量0.14万</w:t>
                  </w:r>
                  <w:r>
                    <w:rPr>
                      <w:rFonts w:hint="default" w:ascii="Times New Roman" w:hAnsi="Times New Roman" w:eastAsia="宋体" w:cs="Times New Roman"/>
                      <w:color w:val="auto"/>
                      <w:spacing w:val="0"/>
                      <w:sz w:val="21"/>
                      <w:szCs w:val="21"/>
                      <w:highlight w:val="none"/>
                      <w:lang w:val="en-US" w:eastAsia="zh-CN"/>
                    </w:rPr>
                    <w:t>m</w:t>
                  </w:r>
                  <w:r>
                    <w:rPr>
                      <w:rFonts w:hint="default" w:ascii="Times New Roman" w:hAnsi="Times New Roman" w:eastAsia="宋体" w:cs="Times New Roman"/>
                      <w:color w:val="auto"/>
                      <w:spacing w:val="0"/>
                      <w:sz w:val="21"/>
                      <w:szCs w:val="21"/>
                      <w:highlight w:val="none"/>
                      <w:vertAlign w:val="superscript"/>
                      <w:lang w:val="en-US" w:eastAsia="zh-CN"/>
                    </w:rPr>
                    <w:t>3</w:t>
                  </w:r>
                  <w:r>
                    <w:rPr>
                      <w:rFonts w:hint="default" w:ascii="Times New Roman" w:hAnsi="Times New Roman" w:eastAsia="宋体" w:cs="Times New Roman"/>
                      <w:color w:val="auto"/>
                      <w:spacing w:val="0"/>
                      <w:sz w:val="21"/>
                      <w:szCs w:val="21"/>
                      <w:highlight w:val="none"/>
                      <w:lang w:val="en-US" w:eastAsia="zh-CN"/>
                    </w:rPr>
                    <w:t>），</w:t>
                  </w:r>
                  <w:r>
                    <w:rPr>
                      <w:rFonts w:hint="eastAsia" w:ascii="Times New Roman" w:hAnsi="Times New Roman" w:eastAsia="宋体" w:cs="Times New Roman"/>
                      <w:color w:val="auto"/>
                      <w:spacing w:val="0"/>
                      <w:sz w:val="21"/>
                      <w:szCs w:val="21"/>
                      <w:highlight w:val="none"/>
                      <w:lang w:val="en-US" w:eastAsia="zh-CN"/>
                    </w:rPr>
                    <w:t>总回填量1.47</w:t>
                  </w:r>
                  <w:r>
                    <w:rPr>
                      <w:rFonts w:hint="default" w:ascii="Times New Roman" w:hAnsi="Times New Roman" w:eastAsia="宋体" w:cs="Times New Roman"/>
                      <w:color w:val="auto"/>
                      <w:spacing w:val="0"/>
                      <w:sz w:val="21"/>
                      <w:szCs w:val="21"/>
                      <w:highlight w:val="none"/>
                      <w:lang w:val="en-US" w:eastAsia="zh-CN"/>
                    </w:rPr>
                    <w:t>万m</w:t>
                  </w:r>
                  <w:r>
                    <w:rPr>
                      <w:rFonts w:hint="default" w:ascii="Times New Roman" w:hAnsi="Times New Roman" w:eastAsia="宋体" w:cs="Times New Roman"/>
                      <w:color w:val="auto"/>
                      <w:spacing w:val="0"/>
                      <w:sz w:val="21"/>
                      <w:szCs w:val="21"/>
                      <w:highlight w:val="none"/>
                      <w:vertAlign w:val="superscript"/>
                      <w:lang w:val="en-US" w:eastAsia="zh-CN"/>
                    </w:rPr>
                    <w:t>3</w:t>
                  </w:r>
                  <w:r>
                    <w:rPr>
                      <w:rFonts w:hint="eastAsia" w:ascii="Times New Roman" w:hAnsi="Times New Roman" w:eastAsia="宋体" w:cs="Times New Roman"/>
                      <w:color w:val="auto"/>
                      <w:spacing w:val="0"/>
                      <w:sz w:val="21"/>
                      <w:szCs w:val="21"/>
                      <w:highlight w:val="none"/>
                      <w:lang w:val="en-US" w:eastAsia="zh-CN"/>
                    </w:rPr>
                    <w:t>（其中</w:t>
                  </w:r>
                  <w:r>
                    <w:rPr>
                      <w:rFonts w:hint="default" w:ascii="Times New Roman" w:hAnsi="Times New Roman" w:eastAsia="宋体" w:cs="Times New Roman"/>
                      <w:color w:val="auto"/>
                      <w:spacing w:val="0"/>
                      <w:sz w:val="21"/>
                      <w:szCs w:val="21"/>
                      <w:highlight w:val="none"/>
                      <w:lang w:val="en-US" w:eastAsia="zh-CN"/>
                    </w:rPr>
                    <w:t>用于主体工程</w:t>
                  </w:r>
                  <w:r>
                    <w:rPr>
                      <w:rFonts w:hint="eastAsia" w:ascii="Times New Roman" w:hAnsi="Times New Roman" w:eastAsia="宋体" w:cs="Times New Roman"/>
                      <w:color w:val="auto"/>
                      <w:spacing w:val="0"/>
                      <w:sz w:val="21"/>
                      <w:szCs w:val="21"/>
                      <w:highlight w:val="none"/>
                      <w:lang w:val="en-US" w:eastAsia="zh-CN"/>
                    </w:rPr>
                    <w:t>土石方回</w:t>
                  </w:r>
                  <w:r>
                    <w:rPr>
                      <w:rFonts w:hint="default" w:ascii="Times New Roman" w:hAnsi="Times New Roman" w:eastAsia="宋体" w:cs="Times New Roman"/>
                      <w:color w:val="auto"/>
                      <w:spacing w:val="0"/>
                      <w:sz w:val="21"/>
                      <w:szCs w:val="21"/>
                      <w:highlight w:val="none"/>
                      <w:lang w:val="en-US" w:eastAsia="zh-CN"/>
                    </w:rPr>
                    <w:t>填</w:t>
                  </w:r>
                  <w:r>
                    <w:rPr>
                      <w:rFonts w:hint="eastAsia" w:ascii="Times New Roman" w:hAnsi="Times New Roman" w:eastAsia="宋体" w:cs="Times New Roman"/>
                      <w:color w:val="auto"/>
                      <w:spacing w:val="0"/>
                      <w:sz w:val="21"/>
                      <w:szCs w:val="21"/>
                      <w:highlight w:val="none"/>
                      <w:lang w:val="en-US" w:eastAsia="zh-CN"/>
                    </w:rPr>
                    <w:t>0.93</w:t>
                  </w:r>
                  <w:r>
                    <w:rPr>
                      <w:rFonts w:hint="default" w:ascii="Times New Roman" w:hAnsi="Times New Roman" w:eastAsia="宋体" w:cs="Times New Roman"/>
                      <w:color w:val="auto"/>
                      <w:spacing w:val="0"/>
                      <w:sz w:val="21"/>
                      <w:szCs w:val="21"/>
                      <w:highlight w:val="none"/>
                      <w:lang w:val="en-US" w:eastAsia="zh-CN"/>
                    </w:rPr>
                    <w:t>万m</w:t>
                  </w:r>
                  <w:r>
                    <w:rPr>
                      <w:rFonts w:hint="default" w:ascii="Times New Roman" w:hAnsi="Times New Roman" w:eastAsia="宋体" w:cs="Times New Roman"/>
                      <w:color w:val="auto"/>
                      <w:spacing w:val="0"/>
                      <w:sz w:val="21"/>
                      <w:szCs w:val="21"/>
                      <w:highlight w:val="none"/>
                      <w:vertAlign w:val="superscript"/>
                      <w:lang w:val="en-US" w:eastAsia="zh-CN"/>
                    </w:rPr>
                    <w:t>3</w:t>
                  </w:r>
                  <w:r>
                    <w:rPr>
                      <w:rFonts w:hint="default" w:ascii="Times New Roman" w:hAnsi="Times New Roman" w:eastAsia="宋体" w:cs="Times New Roman"/>
                      <w:color w:val="auto"/>
                      <w:spacing w:val="0"/>
                      <w:sz w:val="21"/>
                      <w:szCs w:val="21"/>
                      <w:highlight w:val="none"/>
                      <w:lang w:val="en-US" w:eastAsia="zh-CN"/>
                    </w:rPr>
                    <w:t>，用于</w:t>
                  </w:r>
                  <w:r>
                    <w:rPr>
                      <w:rFonts w:hint="eastAsia" w:ascii="Times New Roman" w:hAnsi="Times New Roman" w:eastAsia="宋体" w:cs="Times New Roman"/>
                      <w:color w:val="auto"/>
                      <w:spacing w:val="0"/>
                      <w:sz w:val="21"/>
                      <w:szCs w:val="21"/>
                      <w:highlight w:val="none"/>
                      <w:lang w:val="en-US" w:eastAsia="zh-CN"/>
                    </w:rPr>
                    <w:t>大卵石海漫0.40</w:t>
                  </w:r>
                  <w:r>
                    <w:rPr>
                      <w:rFonts w:hint="default" w:ascii="Times New Roman" w:hAnsi="Times New Roman" w:eastAsia="宋体" w:cs="Times New Roman"/>
                      <w:color w:val="auto"/>
                      <w:spacing w:val="0"/>
                      <w:sz w:val="21"/>
                      <w:szCs w:val="21"/>
                      <w:highlight w:val="none"/>
                      <w:lang w:val="en-US" w:eastAsia="zh-CN"/>
                    </w:rPr>
                    <w:t>万m</w:t>
                  </w:r>
                  <w:r>
                    <w:rPr>
                      <w:rFonts w:hint="default" w:ascii="Times New Roman" w:hAnsi="Times New Roman" w:eastAsia="宋体" w:cs="Times New Roman"/>
                      <w:color w:val="auto"/>
                      <w:spacing w:val="0"/>
                      <w:sz w:val="21"/>
                      <w:szCs w:val="21"/>
                      <w:highlight w:val="none"/>
                      <w:vertAlign w:val="superscript"/>
                      <w:lang w:val="en-US" w:eastAsia="zh-CN"/>
                    </w:rPr>
                    <w:t>3</w:t>
                  </w:r>
                  <w:r>
                    <w:rPr>
                      <w:rFonts w:hint="default" w:ascii="Times New Roman" w:hAnsi="Times New Roman" w:eastAsia="宋体" w:cs="Times New Roman"/>
                      <w:color w:val="auto"/>
                      <w:spacing w:val="0"/>
                      <w:sz w:val="21"/>
                      <w:szCs w:val="21"/>
                      <w:highlight w:val="none"/>
                      <w:lang w:val="en-US" w:eastAsia="zh-CN"/>
                    </w:rPr>
                    <w:t>，</w:t>
                  </w:r>
                  <w:r>
                    <w:rPr>
                      <w:rFonts w:hint="eastAsia" w:ascii="Times New Roman" w:hAnsi="Times New Roman" w:eastAsia="宋体" w:cs="Times New Roman"/>
                      <w:color w:val="auto"/>
                      <w:spacing w:val="0"/>
                      <w:sz w:val="21"/>
                      <w:szCs w:val="21"/>
                      <w:highlight w:val="none"/>
                      <w:lang w:val="en-US" w:eastAsia="zh-CN"/>
                    </w:rPr>
                    <w:t>覆土0.14</w:t>
                  </w:r>
                  <w:r>
                    <w:rPr>
                      <w:rFonts w:hint="default" w:ascii="Times New Roman" w:hAnsi="Times New Roman" w:eastAsia="宋体" w:cs="Times New Roman"/>
                      <w:color w:val="auto"/>
                      <w:spacing w:val="0"/>
                      <w:sz w:val="21"/>
                      <w:szCs w:val="21"/>
                      <w:highlight w:val="none"/>
                      <w:lang w:val="en-US" w:eastAsia="zh-CN"/>
                    </w:rPr>
                    <w:t>万m</w:t>
                  </w:r>
                  <w:r>
                    <w:rPr>
                      <w:rFonts w:hint="default" w:ascii="Times New Roman" w:hAnsi="Times New Roman" w:eastAsia="宋体" w:cs="Times New Roman"/>
                      <w:color w:val="auto"/>
                      <w:spacing w:val="0"/>
                      <w:sz w:val="21"/>
                      <w:szCs w:val="21"/>
                      <w:highlight w:val="none"/>
                      <w:vertAlign w:val="superscript"/>
                      <w:lang w:val="en-US" w:eastAsia="zh-CN"/>
                    </w:rPr>
                    <w:t>3</w:t>
                  </w:r>
                  <w:r>
                    <w:rPr>
                      <w:rFonts w:hint="eastAsia" w:ascii="Times New Roman" w:hAnsi="Times New Roman" w:eastAsia="宋体" w:cs="Times New Roman"/>
                      <w:color w:val="auto"/>
                      <w:spacing w:val="0"/>
                      <w:sz w:val="21"/>
                      <w:szCs w:val="21"/>
                      <w:highlight w:val="none"/>
                      <w:lang w:val="en-US" w:eastAsia="zh-CN"/>
                    </w:rPr>
                    <w:t>），余方2.85万m</w:t>
                  </w:r>
                  <w:r>
                    <w:rPr>
                      <w:rFonts w:hint="eastAsia" w:ascii="Times New Roman" w:hAnsi="Times New Roman" w:eastAsia="宋体" w:cs="Times New Roman"/>
                      <w:color w:val="auto"/>
                      <w:spacing w:val="0"/>
                      <w:sz w:val="21"/>
                      <w:szCs w:val="21"/>
                      <w:highlight w:val="none"/>
                      <w:vertAlign w:val="superscript"/>
                      <w:lang w:val="en-US" w:eastAsia="zh-CN"/>
                    </w:rPr>
                    <w:t>3</w:t>
                  </w:r>
                  <w:r>
                    <w:rPr>
                      <w:rFonts w:hint="eastAsia" w:ascii="Times New Roman" w:hAnsi="Times New Roman" w:eastAsia="宋体" w:cs="Times New Roman"/>
                      <w:color w:val="auto"/>
                      <w:spacing w:val="0"/>
                      <w:sz w:val="21"/>
                      <w:szCs w:val="21"/>
                      <w:highlight w:val="none"/>
                      <w:lang w:val="en-US" w:eastAsia="zh-CN"/>
                    </w:rPr>
                    <w:t>砂卵石</w:t>
                  </w:r>
                  <w:r>
                    <w:rPr>
                      <w:rFonts w:hint="default" w:ascii="Times New Roman" w:hAnsi="Times New Roman" w:eastAsia="宋体" w:cs="Times New Roman"/>
                      <w:color w:val="auto"/>
                      <w:spacing w:val="0"/>
                      <w:sz w:val="21"/>
                      <w:szCs w:val="21"/>
                      <w:highlight w:val="none"/>
                      <w:lang w:val="en-US" w:eastAsia="zh-CN"/>
                    </w:rPr>
                    <w:t>，</w:t>
                  </w:r>
                  <w:r>
                    <w:rPr>
                      <w:rFonts w:hint="eastAsia" w:ascii="Times New Roman" w:hAnsi="Times New Roman" w:eastAsia="宋体" w:cs="Times New Roman"/>
                      <w:color w:val="auto"/>
                      <w:spacing w:val="0"/>
                      <w:sz w:val="21"/>
                      <w:szCs w:val="21"/>
                      <w:highlight w:val="none"/>
                      <w:lang w:val="en-US" w:eastAsia="zh-CN"/>
                    </w:rPr>
                    <w:t>运往苏稽镇石鼓寺村老鸦滩堆料场堆放，后期由乐山市市中区国有资产监督管理局统一拍卖或利用</w:t>
                  </w:r>
                  <w:r>
                    <w:rPr>
                      <w:rFonts w:hint="default" w:ascii="Times New Roman" w:hAnsi="Times New Roman" w:eastAsia="宋体" w:cs="Times New Roman"/>
                      <w:color w:val="auto"/>
                      <w:spacing w:val="0"/>
                      <w:sz w:val="21"/>
                      <w:szCs w:val="21"/>
                      <w:highlight w:val="none"/>
                      <w:lang w:val="en-US" w:eastAsia="zh-CN"/>
                    </w:rPr>
                    <w:t>。</w:t>
                  </w:r>
                  <w:r>
                    <w:rPr>
                      <w:rFonts w:hint="default" w:ascii="Times New Roman" w:hAnsi="Times New Roman" w:eastAsia="宋体" w:cs="Times New Roman"/>
                      <w:color w:val="auto"/>
                      <w:sz w:val="21"/>
                      <w:szCs w:val="21"/>
                      <w:lang w:val="en-US" w:eastAsia="zh-CN"/>
                    </w:rPr>
                    <w:t>不再单独设置弃渣场。</w:t>
                  </w:r>
                </w:p>
              </w:tc>
              <w:tc>
                <w:tcPr>
                  <w:tcW w:w="64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噪声、扬尘、汽车尾气</w:t>
                  </w:r>
                </w:p>
              </w:tc>
              <w:tc>
                <w:tcPr>
                  <w:tcW w:w="52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5"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rPr>
                  </w:pPr>
                </w:p>
              </w:tc>
              <w:tc>
                <w:tcPr>
                  <w:tcW w:w="36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color w:val="auto"/>
                      <w:spacing w:val="0"/>
                      <w:sz w:val="21"/>
                      <w:szCs w:val="21"/>
                      <w:highlight w:val="none"/>
                      <w:lang w:eastAsia="zh-CN"/>
                    </w:rPr>
                    <w:t>料场</w:t>
                  </w:r>
                </w:p>
              </w:tc>
              <w:tc>
                <w:tcPr>
                  <w:tcW w:w="309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color w:val="auto"/>
                      <w:spacing w:val="0"/>
                      <w:sz w:val="21"/>
                      <w:szCs w:val="21"/>
                      <w:highlight w:val="none"/>
                      <w:lang w:eastAsia="zh-CN"/>
                    </w:rPr>
                    <w:t>本项目不设置料场，采用商品混凝土</w:t>
                  </w:r>
                </w:p>
              </w:tc>
              <w:tc>
                <w:tcPr>
                  <w:tcW w:w="64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lang w:eastAsia="zh-CN"/>
                    </w:rPr>
                  </w:pPr>
                  <w:r>
                    <w:rPr>
                      <w:rFonts w:hint="default" w:ascii="Times New Roman" w:hAnsi="Times New Roman" w:eastAsia="宋体" w:cs="Times New Roman"/>
                      <w:color w:val="auto"/>
                      <w:spacing w:val="0"/>
                      <w:sz w:val="21"/>
                      <w:szCs w:val="21"/>
                      <w:highlight w:val="none"/>
                      <w:lang w:val="en-US" w:eastAsia="zh-CN"/>
                    </w:rPr>
                    <w:t>/</w:t>
                  </w:r>
                </w:p>
              </w:tc>
              <w:tc>
                <w:tcPr>
                  <w:tcW w:w="52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lang w:val="en-US" w:eastAsia="zh-CN"/>
                    </w:rPr>
                  </w:pPr>
                  <w:r>
                    <w:rPr>
                      <w:rFonts w:hint="default" w:ascii="Times New Roman" w:hAnsi="Times New Roman" w:eastAsia="宋体" w:cs="Times New Roman"/>
                      <w:color w:val="auto"/>
                      <w:spacing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5"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lang w:bidi="ar"/>
                    </w:rPr>
                  </w:pPr>
                  <w:r>
                    <w:rPr>
                      <w:rFonts w:hint="default" w:ascii="Times New Roman" w:hAnsi="Times New Roman" w:eastAsia="宋体" w:cs="Times New Roman"/>
                      <w:color w:val="auto"/>
                      <w:spacing w:val="0"/>
                      <w:sz w:val="21"/>
                      <w:szCs w:val="21"/>
                      <w:highlight w:val="none"/>
                      <w:lang w:bidi="ar"/>
                    </w:rPr>
                    <w:t>环保工程</w:t>
                  </w:r>
                </w:p>
              </w:tc>
              <w:tc>
                <w:tcPr>
                  <w:tcW w:w="36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lang w:val="en-US" w:eastAsia="zh-CN" w:bidi="ar"/>
                    </w:rPr>
                  </w:pPr>
                  <w:r>
                    <w:rPr>
                      <w:rFonts w:hint="default" w:ascii="Times New Roman" w:hAnsi="Times New Roman" w:eastAsia="宋体" w:cs="Times New Roman"/>
                      <w:color w:val="auto"/>
                      <w:spacing w:val="0"/>
                      <w:sz w:val="21"/>
                      <w:szCs w:val="21"/>
                      <w:highlight w:val="none"/>
                      <w:lang w:val="en-US" w:eastAsia="zh-CN" w:bidi="ar"/>
                    </w:rPr>
                    <w:t>废水治理</w:t>
                  </w:r>
                </w:p>
              </w:tc>
              <w:tc>
                <w:tcPr>
                  <w:tcW w:w="30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bCs/>
                      <w:color w:val="auto"/>
                      <w:sz w:val="21"/>
                      <w:szCs w:val="21"/>
                      <w:lang w:eastAsia="zh-CN"/>
                    </w:rPr>
                    <w:t>车辆设备冲洗废水</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施工</w:t>
                  </w:r>
                  <w:r>
                    <w:rPr>
                      <w:rFonts w:hint="default" w:ascii="Times New Roman" w:hAnsi="Times New Roman" w:eastAsia="宋体" w:cs="Times New Roman"/>
                      <w:color w:val="auto"/>
                      <w:sz w:val="21"/>
                      <w:szCs w:val="21"/>
                      <w:lang w:eastAsia="zh-CN"/>
                    </w:rPr>
                    <w:t>场地</w:t>
                  </w:r>
                  <w:r>
                    <w:rPr>
                      <w:rFonts w:hint="default" w:ascii="Times New Roman" w:hAnsi="Times New Roman" w:eastAsia="宋体" w:cs="Times New Roman"/>
                      <w:color w:val="auto"/>
                      <w:sz w:val="21"/>
                      <w:szCs w:val="21"/>
                    </w:rPr>
                    <w:t>修建1</w:t>
                  </w:r>
                  <w:r>
                    <w:rPr>
                      <w:rFonts w:hint="default" w:ascii="Times New Roman" w:hAnsi="Times New Roman" w:eastAsia="宋体" w:cs="Times New Roman"/>
                      <w:color w:val="auto"/>
                      <w:sz w:val="21"/>
                      <w:szCs w:val="21"/>
                      <w:lang w:val="en-US" w:eastAsia="zh-CN"/>
                    </w:rPr>
                    <w:t>个隔油</w:t>
                  </w:r>
                  <w:r>
                    <w:rPr>
                      <w:rFonts w:hint="default" w:ascii="Times New Roman" w:hAnsi="Times New Roman" w:eastAsia="宋体" w:cs="Times New Roman"/>
                      <w:color w:val="auto"/>
                      <w:sz w:val="21"/>
                      <w:szCs w:val="21"/>
                    </w:rPr>
                    <w:t>沉淀池（</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，车辆设备冲洗废水</w:t>
                  </w:r>
                  <w:r>
                    <w:rPr>
                      <w:rFonts w:hint="default" w:ascii="Times New Roman" w:hAnsi="Times New Roman" w:eastAsia="宋体" w:cs="Times New Roman"/>
                      <w:color w:val="auto"/>
                      <w:sz w:val="21"/>
                      <w:szCs w:val="21"/>
                    </w:rPr>
                    <w:t>经沉淀池处理后回用</w:t>
                  </w:r>
                </w:p>
                <w:p>
                  <w:pPr>
                    <w:keepNext w:val="0"/>
                    <w:keepLines w:val="0"/>
                    <w:pageBreakBefore w:val="0"/>
                    <w:widowControl w:val="0"/>
                    <w:kinsoku/>
                    <w:wordWrap/>
                    <w:overflowPunct/>
                    <w:topLinePunct w:val="0"/>
                    <w:autoSpaceDE/>
                    <w:autoSpaceDN/>
                    <w:bidi w:val="0"/>
                    <w:adjustRightInd w:val="0"/>
                    <w:snapToGrid w:val="0"/>
                    <w:spacing w:line="240" w:lineRule="auto"/>
                    <w:ind w:lef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bCs/>
                      <w:color w:val="auto"/>
                      <w:sz w:val="21"/>
                      <w:szCs w:val="21"/>
                      <w:lang w:val="en-US" w:eastAsia="zh-CN"/>
                    </w:rPr>
                    <w:t>施工</w:t>
                  </w:r>
                  <w:r>
                    <w:rPr>
                      <w:rFonts w:hint="default" w:ascii="Times New Roman" w:hAnsi="Times New Roman" w:eastAsia="宋体" w:cs="Times New Roman"/>
                      <w:b/>
                      <w:bCs/>
                      <w:color w:val="auto"/>
                      <w:sz w:val="21"/>
                      <w:szCs w:val="21"/>
                    </w:rPr>
                    <w:t>生活污水</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color w:val="auto"/>
                      <w:sz w:val="21"/>
                      <w:szCs w:val="21"/>
                      <w:lang w:eastAsia="zh-CN"/>
                    </w:rPr>
                    <w:t>施工人员生活污水依托租用周边民房内已有的生活污水处理设施处理</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b/>
                      <w:bCs/>
                      <w:spacing w:val="9"/>
                      <w:sz w:val="21"/>
                      <w:szCs w:val="21"/>
                    </w:rPr>
                  </w:pPr>
                  <w:r>
                    <w:rPr>
                      <w:rFonts w:hint="default" w:ascii="Times New Roman" w:hAnsi="Times New Roman" w:eastAsia="宋体" w:cs="Times New Roman"/>
                      <w:b/>
                      <w:bCs/>
                      <w:spacing w:val="18"/>
                      <w:sz w:val="21"/>
                      <w:szCs w:val="21"/>
                    </w:rPr>
                    <w:t>施</w:t>
                  </w:r>
                  <w:r>
                    <w:rPr>
                      <w:rFonts w:hint="default" w:ascii="Times New Roman" w:hAnsi="Times New Roman" w:eastAsia="宋体" w:cs="Times New Roman"/>
                      <w:b/>
                      <w:bCs/>
                      <w:spacing w:val="16"/>
                      <w:sz w:val="21"/>
                      <w:szCs w:val="21"/>
                    </w:rPr>
                    <w:t>工</w:t>
                  </w:r>
                  <w:r>
                    <w:rPr>
                      <w:rFonts w:hint="default" w:ascii="Times New Roman" w:hAnsi="Times New Roman" w:eastAsia="宋体" w:cs="Times New Roman"/>
                      <w:b/>
                      <w:bCs/>
                      <w:spacing w:val="9"/>
                      <w:sz w:val="21"/>
                      <w:szCs w:val="21"/>
                    </w:rPr>
                    <w:t>期基坑废水</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lang w:val="en-US" w:eastAsia="zh-CN" w:bidi="ar"/>
                    </w:rPr>
                  </w:pPr>
                  <w:r>
                    <w:rPr>
                      <w:rFonts w:hint="default" w:ascii="Times New Roman" w:hAnsi="Times New Roman" w:eastAsia="宋体" w:cs="Times New Roman"/>
                      <w:spacing w:val="9"/>
                      <w:sz w:val="21"/>
                      <w:szCs w:val="21"/>
                    </w:rPr>
                    <w:t>通过在基坑内静置一段时</w:t>
                  </w:r>
                  <w:r>
                    <w:rPr>
                      <w:rFonts w:hint="default" w:ascii="Times New Roman" w:hAnsi="Times New Roman" w:eastAsia="宋体" w:cs="Times New Roman"/>
                      <w:spacing w:val="10"/>
                      <w:sz w:val="21"/>
                      <w:szCs w:val="21"/>
                    </w:rPr>
                    <w:t>间</w:t>
                  </w:r>
                  <w:r>
                    <w:rPr>
                      <w:rFonts w:hint="default" w:ascii="Times New Roman" w:hAnsi="Times New Roman" w:eastAsia="宋体" w:cs="Times New Roman"/>
                      <w:spacing w:val="7"/>
                      <w:sz w:val="21"/>
                      <w:szCs w:val="21"/>
                    </w:rPr>
                    <w:t>，沉淀后用水泵排</w:t>
                  </w:r>
                  <w:r>
                    <w:rPr>
                      <w:rFonts w:hint="eastAsia" w:ascii="Times New Roman" w:hAnsi="Times New Roman" w:eastAsia="宋体" w:cs="Times New Roman"/>
                      <w:spacing w:val="7"/>
                      <w:sz w:val="21"/>
                      <w:szCs w:val="21"/>
                      <w:lang w:val="en-US" w:eastAsia="zh-CN"/>
                    </w:rPr>
                    <w:t>至下游</w:t>
                  </w:r>
                  <w:r>
                    <w:rPr>
                      <w:rFonts w:hint="default" w:ascii="Times New Roman" w:hAnsi="Times New Roman" w:eastAsia="宋体" w:cs="Times New Roman"/>
                      <w:spacing w:val="9"/>
                      <w:sz w:val="21"/>
                      <w:szCs w:val="21"/>
                      <w:lang w:val="en-US" w:eastAsia="zh-CN"/>
                    </w:rPr>
                    <w:t>。</w:t>
                  </w:r>
                </w:p>
              </w:tc>
              <w:tc>
                <w:tcPr>
                  <w:tcW w:w="64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lang w:eastAsia="zh-CN" w:bidi="ar"/>
                    </w:rPr>
                  </w:pPr>
                  <w:r>
                    <w:rPr>
                      <w:rFonts w:hint="default" w:ascii="Times New Roman" w:hAnsi="Times New Roman" w:eastAsia="宋体" w:cs="Times New Roman"/>
                      <w:color w:val="auto"/>
                      <w:spacing w:val="0"/>
                      <w:sz w:val="21"/>
                      <w:szCs w:val="21"/>
                      <w:highlight w:val="none"/>
                      <w:lang w:eastAsia="zh-CN" w:bidi="ar"/>
                    </w:rPr>
                    <w:t>水污染</w:t>
                  </w:r>
                </w:p>
              </w:tc>
              <w:tc>
                <w:tcPr>
                  <w:tcW w:w="526"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lang w:val="en-US" w:eastAsia="zh-CN" w:bidi="ar"/>
                    </w:rPr>
                  </w:pPr>
                  <w:r>
                    <w:rPr>
                      <w:rFonts w:hint="default" w:ascii="Times New Roman" w:hAnsi="Times New Roman" w:eastAsia="宋体" w:cs="Times New Roman"/>
                      <w:color w:val="auto"/>
                      <w:spacing w:val="0"/>
                      <w:sz w:val="21"/>
                      <w:szCs w:val="21"/>
                      <w:highlight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5"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lang w:bidi="ar"/>
                    </w:rPr>
                  </w:pPr>
                </w:p>
              </w:tc>
              <w:tc>
                <w:tcPr>
                  <w:tcW w:w="36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lang w:val="en-US" w:eastAsia="zh-CN" w:bidi="ar"/>
                    </w:rPr>
                  </w:pPr>
                  <w:r>
                    <w:rPr>
                      <w:rFonts w:hint="default" w:ascii="Times New Roman" w:hAnsi="Times New Roman" w:eastAsia="宋体" w:cs="Times New Roman"/>
                      <w:color w:val="auto"/>
                      <w:spacing w:val="0"/>
                      <w:sz w:val="21"/>
                      <w:szCs w:val="21"/>
                      <w:highlight w:val="none"/>
                      <w:lang w:val="en-US" w:eastAsia="zh-CN" w:bidi="ar"/>
                    </w:rPr>
                    <w:t>废气治理</w:t>
                  </w:r>
                </w:p>
              </w:tc>
              <w:tc>
                <w:tcPr>
                  <w:tcW w:w="3098"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ind w:left="0"/>
                    <w:jc w:val="center"/>
                    <w:rPr>
                      <w:rFonts w:hint="default" w:ascii="Times New Roman" w:hAnsi="Times New Roman" w:eastAsia="宋体" w:cs="Times New Roman"/>
                      <w:color w:val="auto"/>
                      <w:spacing w:val="0"/>
                      <w:sz w:val="21"/>
                      <w:szCs w:val="21"/>
                      <w:highlight w:val="none"/>
                      <w:lang w:eastAsia="zh-CN" w:bidi="ar"/>
                    </w:rPr>
                  </w:pPr>
                  <w:r>
                    <w:rPr>
                      <w:rFonts w:hint="default" w:ascii="Times New Roman" w:hAnsi="Times New Roman" w:eastAsia="宋体" w:cs="Times New Roman"/>
                      <w:spacing w:val="18"/>
                      <w:sz w:val="21"/>
                      <w:szCs w:val="21"/>
                    </w:rPr>
                    <w:t>施</w:t>
                  </w:r>
                  <w:r>
                    <w:rPr>
                      <w:rFonts w:hint="default" w:ascii="Times New Roman" w:hAnsi="Times New Roman" w:eastAsia="宋体" w:cs="Times New Roman"/>
                      <w:spacing w:val="16"/>
                      <w:sz w:val="21"/>
                      <w:szCs w:val="21"/>
                    </w:rPr>
                    <w:t>工</w:t>
                  </w:r>
                  <w:r>
                    <w:rPr>
                      <w:rFonts w:hint="default" w:ascii="Times New Roman" w:hAnsi="Times New Roman" w:eastAsia="宋体" w:cs="Times New Roman"/>
                      <w:spacing w:val="9"/>
                      <w:sz w:val="21"/>
                      <w:szCs w:val="21"/>
                    </w:rPr>
                    <w:t>期设立隔离围栏，建筑材料覆盖，及时回填，运输</w:t>
                  </w:r>
                  <w:r>
                    <w:rPr>
                      <w:rFonts w:hint="default" w:ascii="Times New Roman" w:hAnsi="Times New Roman" w:eastAsia="宋体" w:cs="Times New Roman"/>
                      <w:spacing w:val="18"/>
                      <w:sz w:val="21"/>
                      <w:szCs w:val="21"/>
                    </w:rPr>
                    <w:t>机</w:t>
                  </w:r>
                  <w:r>
                    <w:rPr>
                      <w:rFonts w:hint="default" w:ascii="Times New Roman" w:hAnsi="Times New Roman" w:eastAsia="宋体" w:cs="Times New Roman"/>
                      <w:spacing w:val="14"/>
                      <w:sz w:val="21"/>
                      <w:szCs w:val="21"/>
                    </w:rPr>
                    <w:t>械</w:t>
                  </w:r>
                  <w:r>
                    <w:rPr>
                      <w:rFonts w:hint="default" w:ascii="Times New Roman" w:hAnsi="Times New Roman" w:eastAsia="宋体" w:cs="Times New Roman"/>
                      <w:spacing w:val="9"/>
                      <w:sz w:val="21"/>
                      <w:szCs w:val="21"/>
                    </w:rPr>
                    <w:t>和施工现场定期洒水，设置雾炮机，运输车辆采取</w:t>
                  </w:r>
                  <w:r>
                    <w:rPr>
                      <w:rFonts w:hint="default" w:ascii="Times New Roman" w:hAnsi="Times New Roman" w:eastAsia="宋体" w:cs="Times New Roman"/>
                      <w:spacing w:val="11"/>
                      <w:sz w:val="21"/>
                      <w:szCs w:val="21"/>
                    </w:rPr>
                    <w:t>覆</w:t>
                  </w:r>
                  <w:r>
                    <w:rPr>
                      <w:rFonts w:hint="default" w:ascii="Times New Roman" w:hAnsi="Times New Roman" w:eastAsia="宋体" w:cs="Times New Roman"/>
                      <w:spacing w:val="9"/>
                      <w:sz w:val="21"/>
                      <w:szCs w:val="21"/>
                    </w:rPr>
                    <w:t>盖措施</w:t>
                  </w:r>
                </w:p>
              </w:tc>
              <w:tc>
                <w:tcPr>
                  <w:tcW w:w="64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lang w:eastAsia="zh-CN" w:bidi="ar"/>
                    </w:rPr>
                  </w:pPr>
                  <w:r>
                    <w:rPr>
                      <w:rFonts w:hint="default" w:ascii="Times New Roman" w:hAnsi="Times New Roman" w:eastAsia="宋体" w:cs="Times New Roman"/>
                      <w:color w:val="auto"/>
                      <w:spacing w:val="0"/>
                      <w:sz w:val="21"/>
                      <w:szCs w:val="21"/>
                      <w:highlight w:val="none"/>
                      <w:lang w:eastAsia="zh-CN" w:bidi="ar"/>
                    </w:rPr>
                    <w:t>废气</w:t>
                  </w:r>
                </w:p>
              </w:tc>
              <w:tc>
                <w:tcPr>
                  <w:tcW w:w="526"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5"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lang w:bidi="ar"/>
                    </w:rPr>
                  </w:pPr>
                </w:p>
              </w:tc>
              <w:tc>
                <w:tcPr>
                  <w:tcW w:w="36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lang w:val="en-US" w:eastAsia="zh-CN" w:bidi="ar"/>
                    </w:rPr>
                  </w:pPr>
                  <w:r>
                    <w:rPr>
                      <w:rFonts w:hint="default" w:ascii="Times New Roman" w:hAnsi="Times New Roman" w:eastAsia="宋体" w:cs="Times New Roman"/>
                      <w:color w:val="auto"/>
                      <w:sz w:val="21"/>
                      <w:szCs w:val="21"/>
                    </w:rPr>
                    <w:t>噪声治理</w:t>
                  </w:r>
                </w:p>
              </w:tc>
              <w:tc>
                <w:tcPr>
                  <w:tcW w:w="309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lang w:eastAsia="zh-CN" w:bidi="ar"/>
                    </w:rPr>
                  </w:pPr>
                  <w:r>
                    <w:rPr>
                      <w:rFonts w:hint="default" w:ascii="Times New Roman" w:hAnsi="Times New Roman" w:eastAsia="宋体" w:cs="Times New Roman"/>
                      <w:color w:val="auto"/>
                      <w:spacing w:val="0"/>
                      <w:sz w:val="21"/>
                      <w:szCs w:val="21"/>
                      <w:highlight w:val="none"/>
                      <w:lang w:eastAsia="zh-CN" w:bidi="ar"/>
                    </w:rPr>
                    <w:t>选用低噪声机械、合理安排作业时间，定期对施工机械进行维护，防止高噪声运行</w:t>
                  </w:r>
                </w:p>
              </w:tc>
              <w:tc>
                <w:tcPr>
                  <w:tcW w:w="64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lang w:eastAsia="zh-CN" w:bidi="ar"/>
                    </w:rPr>
                  </w:pPr>
                  <w:r>
                    <w:rPr>
                      <w:rFonts w:hint="default" w:ascii="Times New Roman" w:hAnsi="Times New Roman" w:eastAsia="宋体" w:cs="Times New Roman"/>
                      <w:color w:val="auto"/>
                      <w:spacing w:val="0"/>
                      <w:sz w:val="21"/>
                      <w:szCs w:val="21"/>
                      <w:highlight w:val="none"/>
                      <w:lang w:eastAsia="zh-CN" w:bidi="ar"/>
                    </w:rPr>
                    <w:t>噪声</w:t>
                  </w:r>
                </w:p>
              </w:tc>
              <w:tc>
                <w:tcPr>
                  <w:tcW w:w="526"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5"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rPr>
                  </w:pPr>
                </w:p>
              </w:tc>
              <w:tc>
                <w:tcPr>
                  <w:tcW w:w="36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lang w:eastAsia="zh-CN" w:bidi="ar"/>
                    </w:rPr>
                  </w:pPr>
                  <w:r>
                    <w:rPr>
                      <w:rFonts w:hint="default" w:ascii="Times New Roman" w:hAnsi="Times New Roman" w:eastAsia="宋体" w:cs="Times New Roman"/>
                      <w:color w:val="auto"/>
                      <w:sz w:val="21"/>
                      <w:szCs w:val="21"/>
                    </w:rPr>
                    <w:t>固废治理</w:t>
                  </w:r>
                </w:p>
              </w:tc>
              <w:tc>
                <w:tcPr>
                  <w:tcW w:w="309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b/>
                      <w:bCs/>
                      <w:color w:val="auto"/>
                      <w:spacing w:val="0"/>
                      <w:sz w:val="21"/>
                      <w:szCs w:val="21"/>
                      <w:highlight w:val="none"/>
                      <w:lang w:eastAsia="zh-CN" w:bidi="ar"/>
                    </w:rPr>
                  </w:pPr>
                  <w:r>
                    <w:rPr>
                      <w:rFonts w:hint="default" w:ascii="Times New Roman" w:hAnsi="Times New Roman" w:eastAsia="宋体" w:cs="Times New Roman"/>
                      <w:b/>
                      <w:bCs/>
                      <w:color w:val="auto"/>
                      <w:spacing w:val="0"/>
                      <w:sz w:val="21"/>
                      <w:szCs w:val="21"/>
                      <w:highlight w:val="none"/>
                      <w:lang w:eastAsia="zh-CN" w:bidi="ar"/>
                    </w:rPr>
                    <w:t>项目施工区不设置机械维修点。</w:t>
                  </w:r>
                </w:p>
                <w:p>
                  <w:pPr>
                    <w:keepNext w:val="0"/>
                    <w:keepLines w:val="0"/>
                    <w:pageBreakBefore w:val="0"/>
                    <w:widowControl w:val="0"/>
                    <w:kinsoku/>
                    <w:wordWrap/>
                    <w:overflowPunct/>
                    <w:topLinePunct w:val="0"/>
                    <w:bidi w:val="0"/>
                    <w:spacing w:line="240" w:lineRule="auto"/>
                    <w:ind w:lef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pacing w:val="0"/>
                      <w:sz w:val="21"/>
                      <w:szCs w:val="21"/>
                      <w:highlight w:val="none"/>
                      <w:lang w:eastAsia="zh-CN" w:bidi="ar"/>
                    </w:rPr>
                    <w:t>生活垃圾：</w:t>
                  </w:r>
                  <w:r>
                    <w:rPr>
                      <w:rFonts w:hint="default" w:ascii="Times New Roman" w:hAnsi="Times New Roman" w:eastAsia="宋体" w:cs="Times New Roman"/>
                      <w:spacing w:val="9"/>
                      <w:sz w:val="21"/>
                      <w:szCs w:val="21"/>
                    </w:rPr>
                    <w:t>设置临时垃圾桶，垃圾由环卫部门清运。</w:t>
                  </w:r>
                  <w:r>
                    <w:rPr>
                      <w:rFonts w:hint="eastAsia" w:ascii="Times New Roman" w:hAnsi="Times New Roman" w:eastAsia="宋体" w:cs="Times New Roman"/>
                      <w:b/>
                      <w:bCs/>
                      <w:color w:val="000000"/>
                      <w:sz w:val="21"/>
                      <w:szCs w:val="21"/>
                      <w:highlight w:val="none"/>
                      <w:lang w:val="en-US" w:eastAsia="zh-CN" w:bidi="ar"/>
                    </w:rPr>
                    <w:t>沉淀池</w:t>
                  </w:r>
                  <w:r>
                    <w:rPr>
                      <w:rFonts w:hint="eastAsia" w:ascii="Times New Roman" w:hAnsi="Times New Roman" w:eastAsia="宋体" w:cs="Times New Roman"/>
                      <w:b/>
                      <w:bCs/>
                      <w:color w:val="auto"/>
                      <w:spacing w:val="0"/>
                      <w:kern w:val="2"/>
                      <w:sz w:val="24"/>
                      <w:szCs w:val="24"/>
                      <w:lang w:val="en-US" w:eastAsia="zh-CN" w:bidi="ar-SA"/>
                    </w:rPr>
                    <w:t>泥沙</w:t>
                  </w:r>
                  <w:r>
                    <w:rPr>
                      <w:rFonts w:hint="default" w:ascii="Times New Roman" w:hAnsi="Times New Roman" w:eastAsia="宋体" w:cs="Times New Roman"/>
                      <w:b/>
                      <w:bCs/>
                      <w:color w:val="000000"/>
                      <w:sz w:val="21"/>
                      <w:szCs w:val="21"/>
                      <w:highlight w:val="none"/>
                      <w:lang w:eastAsia="zh-CN" w:bidi="ar"/>
                    </w:rPr>
                    <w:t>：</w:t>
                  </w:r>
                  <w:r>
                    <w:rPr>
                      <w:rFonts w:hint="eastAsia" w:ascii="Times New Roman" w:hAnsi="Times New Roman" w:eastAsia="宋体" w:cs="Times New Roman"/>
                      <w:color w:val="auto"/>
                      <w:sz w:val="21"/>
                      <w:szCs w:val="21"/>
                      <w:lang w:val="en-US" w:eastAsia="zh-CN"/>
                    </w:rPr>
                    <w:t>运往苏稽镇石鼓寺村老鸦滩堆料场堆放。</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bCs/>
                      <w:color w:val="auto"/>
                      <w:spacing w:val="0"/>
                      <w:sz w:val="21"/>
                      <w:szCs w:val="21"/>
                      <w:highlight w:val="none"/>
                      <w:vertAlign w:val="baseline"/>
                      <w:lang w:val="en-US" w:eastAsia="zh-CN"/>
                    </w:rPr>
                    <w:t>建筑垃圾：</w:t>
                  </w:r>
                  <w:r>
                    <w:rPr>
                      <w:rFonts w:hint="default" w:ascii="Times New Roman" w:hAnsi="Times New Roman" w:eastAsia="宋体" w:cs="Times New Roman"/>
                      <w:color w:val="auto"/>
                      <w:spacing w:val="0"/>
                      <w:sz w:val="21"/>
                      <w:szCs w:val="21"/>
                      <w:highlight w:val="none"/>
                      <w:vertAlign w:val="baseline"/>
                      <w:lang w:val="en-US" w:eastAsia="zh-CN"/>
                    </w:rPr>
                    <w:t>能</w:t>
                  </w:r>
                  <w:r>
                    <w:rPr>
                      <w:rFonts w:hint="default" w:ascii="Times New Roman" w:hAnsi="Times New Roman" w:eastAsia="宋体" w:cs="Times New Roman"/>
                      <w:color w:val="auto"/>
                      <w:sz w:val="21"/>
                      <w:szCs w:val="21"/>
                      <w:lang w:eastAsia="zh-CN"/>
                    </w:rPr>
                    <w:t>回收利用的回收利用，不能回收的运至政府指定建筑垃圾堆场填埋</w:t>
                  </w:r>
                  <w:r>
                    <w:rPr>
                      <w:rFonts w:hint="eastAsia" w:ascii="Times New Roman" w:hAnsi="Times New Roman" w:eastAsia="宋体" w:cs="Times New Roman"/>
                      <w:color w:val="auto"/>
                      <w:sz w:val="21"/>
                      <w:szCs w:val="21"/>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lang w:eastAsia="zh-CN" w:bidi="ar"/>
                    </w:rPr>
                  </w:pPr>
                  <w:r>
                    <w:rPr>
                      <w:rFonts w:hint="default" w:ascii="Times New Roman" w:hAnsi="Times New Roman" w:eastAsia="宋体" w:cs="Times New Roman"/>
                      <w:b/>
                      <w:bCs/>
                      <w:color w:val="auto"/>
                      <w:sz w:val="21"/>
                      <w:szCs w:val="21"/>
                      <w:lang w:val="en-US" w:eastAsia="zh-CN"/>
                    </w:rPr>
                    <w:t>弃土：</w:t>
                  </w:r>
                  <w:r>
                    <w:rPr>
                      <w:rFonts w:hint="eastAsia" w:ascii="Times New Roman" w:hAnsi="Times New Roman" w:eastAsia="宋体" w:cs="Times New Roman"/>
                      <w:color w:val="auto"/>
                      <w:sz w:val="21"/>
                      <w:szCs w:val="21"/>
                      <w:lang w:val="en-US" w:eastAsia="zh-CN"/>
                    </w:rPr>
                    <w:t>及时往苏稽镇石鼓寺村老鸦滩堆料场堆放。</w:t>
                  </w:r>
                </w:p>
              </w:tc>
              <w:tc>
                <w:tcPr>
                  <w:tcW w:w="64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lang w:eastAsia="zh-CN" w:bidi="ar"/>
                    </w:rPr>
                  </w:pPr>
                  <w:r>
                    <w:rPr>
                      <w:rFonts w:hint="default" w:ascii="Times New Roman" w:hAnsi="Times New Roman" w:eastAsia="宋体" w:cs="Times New Roman"/>
                      <w:color w:val="auto"/>
                      <w:spacing w:val="0"/>
                      <w:sz w:val="21"/>
                      <w:szCs w:val="21"/>
                      <w:highlight w:val="none"/>
                      <w:lang w:eastAsia="zh-CN" w:bidi="ar"/>
                    </w:rPr>
                    <w:t>固体废物</w:t>
                  </w:r>
                </w:p>
              </w:tc>
              <w:tc>
                <w:tcPr>
                  <w:tcW w:w="526"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5" w:type="pct"/>
                  <w:vMerge w:val="continue"/>
                  <w:tcBorders>
                    <w:bottom w:val="single" w:color="000000" w:sz="4" w:space="0"/>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rPr>
                  </w:pPr>
                </w:p>
              </w:tc>
              <w:tc>
                <w:tcPr>
                  <w:tcW w:w="362" w:type="pct"/>
                  <w:tcBorders>
                    <w:bottom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生态环境保护</w:t>
                  </w:r>
                </w:p>
              </w:tc>
              <w:tc>
                <w:tcPr>
                  <w:tcW w:w="30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严禁</w:t>
                  </w:r>
                  <w:r>
                    <w:rPr>
                      <w:rFonts w:hint="default" w:ascii="Times New Roman" w:hAnsi="Times New Roman" w:eastAsia="宋体" w:cs="Times New Roman"/>
                      <w:color w:val="auto"/>
                      <w:sz w:val="21"/>
                      <w:szCs w:val="21"/>
                      <w:lang w:eastAsia="zh-CN"/>
                    </w:rPr>
                    <w:t>地表裸露，加强建设过程中的文明施工管理，禁止野蛮施工，做好施工现场的防尘和水土保持措施，优化施工工序，缩短材料堆放及施工时间。涉水工程的实施应避开水生生物繁殖季节，加强宣传，设置水生生物保护警示牌，增强施工人员的环保意识。工程施工结束后，对施工场地、堆料区沉淀池及导水渠进行填埋，压实平整，进行迹地恢复</w:t>
                  </w:r>
                </w:p>
              </w:tc>
              <w:tc>
                <w:tcPr>
                  <w:tcW w:w="64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lang w:eastAsia="zh-CN" w:bidi="ar"/>
                    </w:rPr>
                  </w:pPr>
                  <w:r>
                    <w:rPr>
                      <w:rFonts w:hint="default" w:ascii="Times New Roman" w:hAnsi="Times New Roman" w:eastAsia="宋体" w:cs="Times New Roman"/>
                      <w:color w:val="auto"/>
                      <w:spacing w:val="0"/>
                      <w:sz w:val="21"/>
                      <w:szCs w:val="21"/>
                      <w:highlight w:val="none"/>
                      <w:lang w:eastAsia="zh-CN" w:bidi="ar"/>
                    </w:rPr>
                    <w:t>生态环境</w:t>
                  </w:r>
                </w:p>
              </w:tc>
              <w:tc>
                <w:tcPr>
                  <w:tcW w:w="526"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5" w:type="pct"/>
                  <w:tcBorders>
                    <w:top w:val="single" w:color="000000" w:sz="4" w:space="0"/>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lang w:val="en-US" w:eastAsia="zh-CN" w:bidi="ar"/>
                    </w:rPr>
                  </w:pPr>
                  <w:r>
                    <w:rPr>
                      <w:rFonts w:hint="default" w:ascii="Times New Roman" w:hAnsi="Times New Roman" w:eastAsia="宋体" w:cs="Times New Roman"/>
                      <w:color w:val="auto"/>
                      <w:spacing w:val="0"/>
                      <w:sz w:val="21"/>
                      <w:szCs w:val="21"/>
                      <w:highlight w:val="none"/>
                      <w:lang w:val="en-US" w:eastAsia="zh-CN" w:bidi="ar"/>
                    </w:rPr>
                    <w:t>其他</w:t>
                  </w:r>
                </w:p>
              </w:tc>
              <w:tc>
                <w:tcPr>
                  <w:tcW w:w="362" w:type="pct"/>
                  <w:tcBorders>
                    <w:top w:val="single" w:color="000000" w:sz="4" w:space="0"/>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lang w:val="en-US" w:eastAsia="zh-CN" w:bidi="ar"/>
                    </w:rPr>
                  </w:pPr>
                  <w:r>
                    <w:rPr>
                      <w:rFonts w:hint="default" w:ascii="Times New Roman" w:hAnsi="Times New Roman" w:eastAsia="宋体" w:cs="Times New Roman"/>
                      <w:color w:val="auto"/>
                      <w:spacing w:val="0"/>
                      <w:sz w:val="21"/>
                      <w:szCs w:val="21"/>
                      <w:highlight w:val="none"/>
                      <w:lang w:val="en-US" w:eastAsia="zh-CN" w:bidi="ar"/>
                    </w:rPr>
                    <w:t>搬迁安置</w:t>
                  </w:r>
                </w:p>
              </w:tc>
              <w:tc>
                <w:tcPr>
                  <w:tcW w:w="309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lang w:eastAsia="zh-CN" w:bidi="ar"/>
                    </w:rPr>
                  </w:pPr>
                  <w:r>
                    <w:rPr>
                      <w:rFonts w:hint="default" w:ascii="Times New Roman" w:hAnsi="Times New Roman" w:eastAsia="宋体" w:cs="Times New Roman"/>
                      <w:spacing w:val="18"/>
                      <w:sz w:val="21"/>
                      <w:szCs w:val="21"/>
                    </w:rPr>
                    <w:t>本</w:t>
                  </w:r>
                  <w:r>
                    <w:rPr>
                      <w:rFonts w:hint="default" w:ascii="Times New Roman" w:hAnsi="Times New Roman" w:eastAsia="宋体" w:cs="Times New Roman"/>
                      <w:spacing w:val="12"/>
                      <w:sz w:val="21"/>
                      <w:szCs w:val="21"/>
                    </w:rPr>
                    <w:t>工</w:t>
                  </w:r>
                  <w:r>
                    <w:rPr>
                      <w:rFonts w:hint="default" w:ascii="Times New Roman" w:hAnsi="Times New Roman" w:eastAsia="宋体" w:cs="Times New Roman"/>
                      <w:spacing w:val="9"/>
                      <w:sz w:val="21"/>
                      <w:szCs w:val="21"/>
                    </w:rPr>
                    <w:t>程征地范围内不涉及人口和房屋拆迁，因此无搬迁</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7"/>
                      <w:sz w:val="21"/>
                      <w:szCs w:val="21"/>
                    </w:rPr>
                    <w:t>安</w:t>
                  </w:r>
                  <w:r>
                    <w:rPr>
                      <w:rFonts w:hint="default" w:ascii="Times New Roman" w:hAnsi="Times New Roman" w:eastAsia="宋体" w:cs="Times New Roman"/>
                      <w:spacing w:val="6"/>
                      <w:sz w:val="21"/>
                      <w:szCs w:val="21"/>
                    </w:rPr>
                    <w:t>置人口</w:t>
                  </w:r>
                </w:p>
              </w:tc>
              <w:tc>
                <w:tcPr>
                  <w:tcW w:w="64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lang w:eastAsia="zh-CN" w:bidi="ar"/>
                    </w:rPr>
                  </w:pPr>
                  <w:r>
                    <w:rPr>
                      <w:rFonts w:hint="default" w:ascii="Times New Roman" w:hAnsi="Times New Roman" w:eastAsia="宋体" w:cs="Times New Roman"/>
                      <w:color w:val="auto"/>
                      <w:spacing w:val="0"/>
                      <w:sz w:val="21"/>
                      <w:szCs w:val="21"/>
                      <w:highlight w:val="none"/>
                      <w:lang w:val="en-US" w:eastAsia="zh-CN" w:bidi="ar"/>
                    </w:rPr>
                    <w:t>/</w:t>
                  </w:r>
                </w:p>
              </w:tc>
              <w:tc>
                <w:tcPr>
                  <w:tcW w:w="526"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highlight w:val="none"/>
                      <w:lang w:bidi="ar"/>
                    </w:rPr>
                  </w:pPr>
                </w:p>
              </w:tc>
            </w:tr>
          </w:tbl>
          <w:p>
            <w:pPr>
              <w:spacing w:line="303" w:lineRule="exact"/>
              <w:ind w:left="648"/>
              <w:rPr>
                <w:rFonts w:ascii="宋体" w:hAnsi="宋体" w:eastAsia="宋体" w:cs="宋体"/>
                <w:b/>
                <w:bCs/>
                <w:sz w:val="23"/>
                <w:szCs w:val="23"/>
              </w:rPr>
            </w:pPr>
            <w:r>
              <w:rPr>
                <w:rFonts w:hint="eastAsia" w:ascii="Times New Roman" w:hAnsi="Times New Roman" w:eastAsia="宋体" w:cs="Times New Roman"/>
                <w:b/>
                <w:bCs/>
                <w:color w:val="auto"/>
                <w:spacing w:val="0"/>
                <w:sz w:val="24"/>
                <w:szCs w:val="24"/>
                <w:lang w:val="en-US" w:eastAsia="zh-CN"/>
              </w:rPr>
              <w:t>6、</w:t>
            </w:r>
            <w:r>
              <w:rPr>
                <w:rFonts w:ascii="宋体" w:hAnsi="宋体" w:eastAsia="宋体" w:cs="宋体"/>
                <w:b/>
                <w:bCs/>
                <w:spacing w:val="5"/>
                <w:position w:val="2"/>
                <w:sz w:val="23"/>
                <w:szCs w:val="23"/>
              </w:rPr>
              <w:t>主要原辅材料及能源消</w:t>
            </w:r>
            <w:r>
              <w:rPr>
                <w:rFonts w:ascii="宋体" w:hAnsi="宋体" w:eastAsia="宋体" w:cs="宋体"/>
                <w:b/>
                <w:bCs/>
                <w:spacing w:val="3"/>
                <w:position w:val="2"/>
                <w:sz w:val="23"/>
                <w:szCs w:val="23"/>
              </w:rPr>
              <w:t>耗</w:t>
            </w:r>
          </w:p>
          <w:p>
            <w:pPr>
              <w:spacing w:before="162" w:line="227" w:lineRule="auto"/>
              <w:ind w:left="588"/>
              <w:rPr>
                <w:rFonts w:ascii="Times New Roman" w:hAnsi="Times New Roman" w:eastAsia="Times New Roman" w:cs="Times New Roman"/>
                <w:spacing w:val="5"/>
                <w:sz w:val="23"/>
                <w:szCs w:val="23"/>
              </w:rPr>
            </w:pPr>
            <w:r>
              <w:rPr>
                <w:rFonts w:ascii="宋体" w:hAnsi="宋体" w:eastAsia="宋体" w:cs="宋体"/>
                <w:spacing w:val="7"/>
                <w:sz w:val="23"/>
                <w:szCs w:val="23"/>
              </w:rPr>
              <w:t>本</w:t>
            </w:r>
            <w:r>
              <w:rPr>
                <w:rFonts w:ascii="宋体" w:hAnsi="宋体" w:eastAsia="宋体" w:cs="宋体"/>
                <w:spacing w:val="5"/>
                <w:sz w:val="23"/>
                <w:szCs w:val="23"/>
              </w:rPr>
              <w:t>项目主要原辅材料及能源消耗见表</w:t>
            </w:r>
            <w:r>
              <w:rPr>
                <w:rFonts w:hint="eastAsia" w:ascii="Times New Roman" w:hAnsi="Times New Roman" w:eastAsia="Times New Roman" w:cs="Times New Roman"/>
                <w:spacing w:val="5"/>
                <w:sz w:val="23"/>
                <w:szCs w:val="23"/>
                <w:lang w:val="en-US" w:eastAsia="zh-CN"/>
              </w:rPr>
              <w:t>2-3</w:t>
            </w:r>
            <w:r>
              <w:rPr>
                <w:rFonts w:ascii="Times New Roman" w:hAnsi="Times New Roman" w:eastAsia="Times New Roman" w:cs="Times New Roman"/>
                <w:spacing w:val="5"/>
                <w:sz w:val="23"/>
                <w:szCs w:val="23"/>
              </w:rPr>
              <w:t>。</w:t>
            </w:r>
          </w:p>
          <w:p>
            <w:pPr>
              <w:spacing w:before="180" w:line="222" w:lineRule="auto"/>
              <w:ind w:firstLine="1349" w:firstLineChars="600"/>
              <w:jc w:val="both"/>
              <w:rPr>
                <w:rFonts w:ascii="宋体" w:hAnsi="宋体" w:eastAsia="宋体" w:cs="宋体"/>
                <w:b/>
                <w:bCs/>
                <w:sz w:val="21"/>
                <w:szCs w:val="21"/>
              </w:rPr>
            </w:pPr>
            <w:r>
              <w:rPr>
                <w:rFonts w:ascii="宋体" w:hAnsi="宋体" w:eastAsia="宋体" w:cs="宋体"/>
                <w:b/>
                <w:bCs/>
                <w:spacing w:val="7"/>
                <w:sz w:val="21"/>
                <w:szCs w:val="21"/>
              </w:rPr>
              <w:t>表</w:t>
            </w:r>
            <w:r>
              <w:rPr>
                <w:rFonts w:hint="eastAsia" w:ascii="Times New Roman" w:hAnsi="Times New Roman" w:eastAsia="宋体" w:cs="Times New Roman"/>
                <w:b/>
                <w:bCs/>
                <w:spacing w:val="6"/>
                <w:sz w:val="21"/>
                <w:szCs w:val="21"/>
                <w:lang w:val="en-US" w:eastAsia="zh-CN"/>
              </w:rPr>
              <w:t>2</w:t>
            </w:r>
            <w:r>
              <w:rPr>
                <w:rFonts w:ascii="Times New Roman" w:hAnsi="Times New Roman" w:eastAsia="Times New Roman" w:cs="Times New Roman"/>
                <w:b/>
                <w:bCs/>
                <w:spacing w:val="6"/>
                <w:sz w:val="21"/>
                <w:szCs w:val="21"/>
              </w:rPr>
              <w:t>-</w:t>
            </w:r>
            <w:r>
              <w:rPr>
                <w:rFonts w:hint="eastAsia" w:ascii="Times New Roman" w:hAnsi="Times New Roman" w:eastAsia="宋体" w:cs="Times New Roman"/>
                <w:b/>
                <w:bCs/>
                <w:spacing w:val="6"/>
                <w:sz w:val="21"/>
                <w:szCs w:val="21"/>
                <w:lang w:val="en-US" w:eastAsia="zh-CN"/>
              </w:rPr>
              <w:t>3</w:t>
            </w:r>
            <w:r>
              <w:rPr>
                <w:rFonts w:ascii="Times New Roman" w:hAnsi="Times New Roman" w:eastAsia="Times New Roman" w:cs="Times New Roman"/>
                <w:b/>
                <w:bCs/>
                <w:spacing w:val="6"/>
                <w:sz w:val="21"/>
                <w:szCs w:val="21"/>
              </w:rPr>
              <w:t xml:space="preserve">  </w:t>
            </w:r>
            <w:r>
              <w:rPr>
                <w:rFonts w:ascii="宋体" w:hAnsi="宋体" w:eastAsia="宋体" w:cs="宋体"/>
                <w:b/>
                <w:bCs/>
                <w:spacing w:val="6"/>
                <w:sz w:val="21"/>
                <w:szCs w:val="21"/>
              </w:rPr>
              <w:t>项目主要原辅材料及能源消耗一览表</w:t>
            </w:r>
          </w:p>
          <w:tbl>
            <w:tblPr>
              <w:tblStyle w:val="252"/>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530"/>
              <w:gridCol w:w="1791"/>
              <w:gridCol w:w="2029"/>
              <w:gridCol w:w="149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612" w:type="pct"/>
                  <w:tcBorders>
                    <w:tl2br w:val="nil"/>
                    <w:tr2bl w:val="nil"/>
                  </w:tcBorders>
                  <w:noWrap w:val="0"/>
                  <w:vAlign w:val="top"/>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jc w:val="center"/>
                    <w:textAlignment w:val="baseline"/>
                    <w:rPr>
                      <w:rFonts w:hint="eastAsia" w:ascii="宋体" w:hAnsi="宋体" w:eastAsia="宋体" w:cs="宋体"/>
                      <w:color w:val="000000"/>
                      <w:kern w:val="0"/>
                      <w:sz w:val="20"/>
                      <w:szCs w:val="20"/>
                    </w:rPr>
                  </w:pPr>
                  <w:r>
                    <w:rPr>
                      <w:rFonts w:hint="eastAsia" w:ascii="宋体" w:hAnsi="宋体" w:eastAsia="宋体" w:cs="宋体"/>
                      <w:snapToGrid/>
                      <w:color w:val="000000"/>
                      <w:spacing w:val="5"/>
                      <w:kern w:val="0"/>
                      <w:sz w:val="20"/>
                      <w:szCs w:val="20"/>
                      <w:lang w:val="en-US" w:eastAsia="zh-CN" w:bidi="ar"/>
                    </w:rPr>
                    <w:t>料</w:t>
                  </w:r>
                  <w:r>
                    <w:rPr>
                      <w:rFonts w:hint="eastAsia" w:ascii="宋体" w:hAnsi="宋体" w:eastAsia="宋体" w:cs="宋体"/>
                      <w:snapToGrid/>
                      <w:color w:val="000000"/>
                      <w:spacing w:val="4"/>
                      <w:kern w:val="0"/>
                      <w:sz w:val="20"/>
                      <w:szCs w:val="20"/>
                      <w:lang w:val="en-US" w:eastAsia="zh-CN" w:bidi="ar"/>
                    </w:rPr>
                    <w:t>名</w:t>
                  </w:r>
                </w:p>
              </w:tc>
              <w:tc>
                <w:tcPr>
                  <w:tcW w:w="1141" w:type="pct"/>
                  <w:tcBorders>
                    <w:tl2br w:val="nil"/>
                    <w:tr2bl w:val="nil"/>
                  </w:tcBorders>
                  <w:noWrap w:val="0"/>
                  <w:vAlign w:val="top"/>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jc w:val="center"/>
                    <w:textAlignment w:val="baseline"/>
                    <w:rPr>
                      <w:rFonts w:hint="eastAsia" w:ascii="宋体" w:hAnsi="宋体" w:eastAsia="宋体" w:cs="宋体"/>
                      <w:color w:val="000000"/>
                      <w:kern w:val="0"/>
                      <w:sz w:val="20"/>
                      <w:szCs w:val="20"/>
                    </w:rPr>
                  </w:pPr>
                  <w:r>
                    <w:rPr>
                      <w:rFonts w:hint="eastAsia" w:ascii="宋体" w:hAnsi="宋体" w:eastAsia="宋体" w:cs="宋体"/>
                      <w:snapToGrid/>
                      <w:color w:val="000000"/>
                      <w:spacing w:val="8"/>
                      <w:kern w:val="0"/>
                      <w:sz w:val="20"/>
                      <w:szCs w:val="20"/>
                      <w:lang w:val="en-US" w:eastAsia="zh-CN" w:bidi="ar"/>
                    </w:rPr>
                    <w:t>获</w:t>
                  </w:r>
                  <w:r>
                    <w:rPr>
                      <w:rFonts w:hint="eastAsia" w:ascii="宋体" w:hAnsi="宋体" w:eastAsia="宋体" w:cs="宋体"/>
                      <w:snapToGrid/>
                      <w:color w:val="000000"/>
                      <w:spacing w:val="6"/>
                      <w:kern w:val="0"/>
                      <w:sz w:val="20"/>
                      <w:szCs w:val="20"/>
                      <w:lang w:val="en-US" w:eastAsia="zh-CN" w:bidi="ar"/>
                    </w:rPr>
                    <w:t>取方式</w:t>
                  </w:r>
                </w:p>
              </w:tc>
              <w:tc>
                <w:tcPr>
                  <w:tcW w:w="1293" w:type="pct"/>
                  <w:tcBorders>
                    <w:tl2br w:val="nil"/>
                    <w:tr2bl w:val="nil"/>
                  </w:tcBorders>
                  <w:noWrap w:val="0"/>
                  <w:vAlign w:val="top"/>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jc w:val="center"/>
                    <w:textAlignment w:val="baseline"/>
                    <w:rPr>
                      <w:rFonts w:hint="eastAsia" w:ascii="宋体" w:hAnsi="宋体" w:eastAsia="宋体" w:cs="宋体"/>
                      <w:color w:val="000000"/>
                      <w:kern w:val="0"/>
                      <w:sz w:val="20"/>
                      <w:szCs w:val="20"/>
                    </w:rPr>
                  </w:pPr>
                  <w:r>
                    <w:rPr>
                      <w:rFonts w:hint="eastAsia" w:ascii="宋体" w:hAnsi="宋体" w:eastAsia="宋体" w:cs="宋体"/>
                      <w:snapToGrid/>
                      <w:color w:val="000000"/>
                      <w:spacing w:val="9"/>
                      <w:kern w:val="0"/>
                      <w:sz w:val="20"/>
                      <w:szCs w:val="20"/>
                      <w:lang w:val="en-US" w:eastAsia="zh-CN" w:bidi="ar"/>
                    </w:rPr>
                    <w:t>设</w:t>
                  </w:r>
                  <w:r>
                    <w:rPr>
                      <w:rFonts w:hint="eastAsia" w:ascii="宋体" w:hAnsi="宋体" w:eastAsia="宋体" w:cs="宋体"/>
                      <w:snapToGrid/>
                      <w:color w:val="000000"/>
                      <w:spacing w:val="7"/>
                      <w:kern w:val="0"/>
                      <w:sz w:val="20"/>
                      <w:szCs w:val="20"/>
                      <w:lang w:val="en-US" w:eastAsia="zh-CN" w:bidi="ar"/>
                    </w:rPr>
                    <w:t>计需用量</w:t>
                  </w:r>
                </w:p>
              </w:tc>
              <w:tc>
                <w:tcPr>
                  <w:tcW w:w="952" w:type="pct"/>
                  <w:tcBorders>
                    <w:tl2br w:val="nil"/>
                    <w:tr2bl w:val="nil"/>
                  </w:tcBorders>
                  <w:noWrap w:val="0"/>
                  <w:vAlign w:val="top"/>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jc w:val="center"/>
                    <w:textAlignment w:val="baseline"/>
                    <w:rPr>
                      <w:rFonts w:hint="eastAsia" w:ascii="宋体" w:hAnsi="宋体" w:eastAsia="宋体" w:cs="宋体"/>
                      <w:color w:val="000000"/>
                      <w:kern w:val="0"/>
                      <w:sz w:val="20"/>
                      <w:szCs w:val="20"/>
                    </w:rPr>
                  </w:pPr>
                  <w:r>
                    <w:rPr>
                      <w:rFonts w:hint="eastAsia" w:ascii="宋体" w:hAnsi="宋体" w:eastAsia="宋体" w:cs="宋体"/>
                      <w:snapToGrid/>
                      <w:color w:val="000000"/>
                      <w:spacing w:val="4"/>
                      <w:kern w:val="0"/>
                      <w:sz w:val="20"/>
                      <w:szCs w:val="20"/>
                      <w:lang w:val="en-US" w:eastAsia="zh-CN" w:bidi="ar"/>
                    </w:rPr>
                    <w:t>备</w:t>
                  </w:r>
                  <w:r>
                    <w:rPr>
                      <w:rFonts w:hint="eastAsia" w:ascii="宋体" w:hAnsi="宋体" w:eastAsia="宋体" w:cs="宋体"/>
                      <w:snapToGrid/>
                      <w:color w:val="000000"/>
                      <w:spacing w:val="3"/>
                      <w:kern w:val="0"/>
                      <w:sz w:val="20"/>
                      <w:szCs w:val="20"/>
                      <w:lang w:val="en-US" w:eastAsia="zh-CN" w:bidi="ar"/>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612" w:type="pct"/>
                  <w:tcBorders>
                    <w:tl2br w:val="nil"/>
                    <w:tr2bl w:val="nil"/>
                  </w:tcBorders>
                  <w:noWrap w:val="0"/>
                  <w:vAlign w:val="top"/>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jc w:val="center"/>
                    <w:textAlignment w:val="baseline"/>
                    <w:rPr>
                      <w:rFonts w:hint="eastAsia" w:ascii="宋体" w:hAnsi="宋体" w:eastAsia="宋体" w:cs="宋体"/>
                      <w:color w:val="000000"/>
                      <w:kern w:val="0"/>
                      <w:sz w:val="20"/>
                      <w:szCs w:val="20"/>
                    </w:rPr>
                  </w:pPr>
                  <w:r>
                    <w:rPr>
                      <w:rFonts w:hint="eastAsia" w:ascii="宋体" w:hAnsi="宋体" w:eastAsia="宋体" w:cs="宋体"/>
                      <w:snapToGrid/>
                      <w:color w:val="000000"/>
                      <w:spacing w:val="6"/>
                      <w:kern w:val="0"/>
                      <w:sz w:val="20"/>
                      <w:szCs w:val="20"/>
                      <w:lang w:val="en-US" w:eastAsia="zh-CN" w:bidi="ar"/>
                    </w:rPr>
                    <w:t>商</w:t>
                  </w:r>
                  <w:r>
                    <w:rPr>
                      <w:rFonts w:hint="eastAsia" w:ascii="宋体" w:hAnsi="宋体" w:eastAsia="宋体" w:cs="宋体"/>
                      <w:snapToGrid/>
                      <w:color w:val="000000"/>
                      <w:spacing w:val="5"/>
                      <w:kern w:val="0"/>
                      <w:sz w:val="20"/>
                      <w:szCs w:val="20"/>
                      <w:lang w:val="en-US" w:eastAsia="zh-CN" w:bidi="ar"/>
                    </w:rPr>
                    <w:t>品砼</w:t>
                  </w:r>
                </w:p>
              </w:tc>
              <w:tc>
                <w:tcPr>
                  <w:tcW w:w="1141" w:type="pct"/>
                  <w:tcBorders>
                    <w:tl2br w:val="nil"/>
                    <w:tr2bl w:val="nil"/>
                  </w:tcBorders>
                  <w:noWrap w:val="0"/>
                  <w:vAlign w:val="top"/>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jc w:val="center"/>
                    <w:textAlignment w:val="baseline"/>
                    <w:rPr>
                      <w:rFonts w:hint="eastAsia" w:ascii="宋体" w:hAnsi="宋体" w:eastAsia="宋体" w:cs="宋体"/>
                      <w:color w:val="000000"/>
                      <w:kern w:val="0"/>
                      <w:sz w:val="20"/>
                      <w:szCs w:val="20"/>
                    </w:rPr>
                  </w:pPr>
                  <w:r>
                    <w:rPr>
                      <w:rFonts w:hint="eastAsia" w:ascii="宋体" w:hAnsi="宋体" w:eastAsia="宋体" w:cs="宋体"/>
                      <w:snapToGrid/>
                      <w:color w:val="000000"/>
                      <w:spacing w:val="3"/>
                      <w:kern w:val="0"/>
                      <w:sz w:val="20"/>
                      <w:szCs w:val="20"/>
                      <w:lang w:val="en-US" w:eastAsia="zh-CN" w:bidi="ar"/>
                    </w:rPr>
                    <w:t>外</w:t>
                  </w:r>
                  <w:r>
                    <w:rPr>
                      <w:rFonts w:hint="eastAsia" w:ascii="宋体" w:hAnsi="宋体" w:eastAsia="宋体" w:cs="宋体"/>
                      <w:snapToGrid/>
                      <w:color w:val="000000"/>
                      <w:spacing w:val="2"/>
                      <w:kern w:val="0"/>
                      <w:sz w:val="20"/>
                      <w:szCs w:val="20"/>
                      <w:lang w:val="en-US" w:eastAsia="zh-CN" w:bidi="ar"/>
                    </w:rPr>
                    <w:t>购</w:t>
                  </w:r>
                </w:p>
              </w:tc>
              <w:tc>
                <w:tcPr>
                  <w:tcW w:w="1293" w:type="pct"/>
                  <w:tcBorders>
                    <w:tl2br w:val="nil"/>
                    <w:tr2bl w:val="nil"/>
                  </w:tcBorders>
                  <w:noWrap w:val="0"/>
                  <w:vAlign w:val="top"/>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jc w:val="center"/>
                    <w:textAlignment w:val="baseline"/>
                    <w:rPr>
                      <w:rFonts w:hint="default" w:ascii="Times New Roman" w:hAnsi="Times New Roman" w:cs="Times New Roman"/>
                      <w:color w:val="000000"/>
                      <w:kern w:val="0"/>
                      <w:sz w:val="13"/>
                      <w:szCs w:val="13"/>
                    </w:rPr>
                  </w:pPr>
                  <w:r>
                    <w:rPr>
                      <w:rFonts w:hint="eastAsia" w:ascii="Times New Roman" w:hAnsi="Times New Roman" w:cs="Times New Roman"/>
                      <w:snapToGrid/>
                      <w:color w:val="000000"/>
                      <w:spacing w:val="1"/>
                      <w:kern w:val="0"/>
                      <w:sz w:val="20"/>
                      <w:szCs w:val="20"/>
                      <w:lang w:val="en-US" w:eastAsia="zh-CN" w:bidi="ar"/>
                    </w:rPr>
                    <w:t>21855</w:t>
                  </w:r>
                  <w:r>
                    <w:rPr>
                      <w:rFonts w:hint="default" w:ascii="Times New Roman" w:hAnsi="Times New Roman" w:cs="Times New Roman"/>
                      <w:snapToGrid/>
                      <w:color w:val="000000"/>
                      <w:kern w:val="0"/>
                      <w:sz w:val="20"/>
                      <w:szCs w:val="20"/>
                      <w:lang w:val="en-US" w:eastAsia="zh-CN" w:bidi="ar"/>
                    </w:rPr>
                    <w:t>m</w:t>
                  </w:r>
                  <w:r>
                    <w:rPr>
                      <w:rFonts w:hint="default" w:ascii="Times New Roman" w:hAnsi="Times New Roman" w:cs="Times New Roman"/>
                      <w:snapToGrid/>
                      <w:color w:val="000000"/>
                      <w:kern w:val="0"/>
                      <w:position w:val="6"/>
                      <w:sz w:val="13"/>
                      <w:szCs w:val="13"/>
                      <w:lang w:val="en-US" w:eastAsia="zh-CN" w:bidi="ar"/>
                    </w:rPr>
                    <w:t>3</w:t>
                  </w:r>
                </w:p>
              </w:tc>
              <w:tc>
                <w:tcPr>
                  <w:tcW w:w="952" w:type="pct"/>
                  <w:vMerge w:val="restart"/>
                  <w:tcBorders>
                    <w:tl2br w:val="nil"/>
                    <w:tr2bl w:val="nil"/>
                  </w:tcBorders>
                  <w:noWrap w:val="0"/>
                  <w:vAlign w:val="top"/>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jc w:val="center"/>
                    <w:textAlignment w:val="baseline"/>
                    <w:rPr>
                      <w:rFonts w:hint="default" w:ascii="Arial" w:hAnsi="Arial" w:cs="Arial"/>
                      <w:color w:val="000000"/>
                      <w:kern w:val="0"/>
                      <w:sz w:val="21"/>
                      <w:szCs w:val="21"/>
                    </w:rPr>
                  </w:pPr>
                </w:p>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jc w:val="center"/>
                    <w:textAlignment w:val="baseline"/>
                    <w:rPr>
                      <w:rFonts w:hint="eastAsia" w:ascii="宋体" w:hAnsi="宋体" w:eastAsia="宋体" w:cs="宋体"/>
                      <w:color w:val="000000"/>
                      <w:kern w:val="0"/>
                      <w:sz w:val="20"/>
                      <w:szCs w:val="20"/>
                    </w:rPr>
                  </w:pPr>
                  <w:r>
                    <w:rPr>
                      <w:rFonts w:hint="eastAsia" w:ascii="宋体" w:hAnsi="宋体" w:eastAsia="宋体" w:cs="宋体"/>
                      <w:snapToGrid/>
                      <w:color w:val="000000"/>
                      <w:spacing w:val="8"/>
                      <w:kern w:val="0"/>
                      <w:sz w:val="20"/>
                      <w:szCs w:val="20"/>
                      <w:lang w:val="en-US" w:eastAsia="zh-CN" w:bidi="ar"/>
                    </w:rPr>
                    <w:t>质量及储</w:t>
                  </w:r>
                  <w:r>
                    <w:rPr>
                      <w:rFonts w:hint="eastAsia" w:ascii="宋体" w:hAnsi="宋体" w:eastAsia="宋体" w:cs="宋体"/>
                      <w:snapToGrid/>
                      <w:color w:val="000000"/>
                      <w:spacing w:val="7"/>
                      <w:kern w:val="0"/>
                      <w:sz w:val="20"/>
                      <w:szCs w:val="20"/>
                      <w:lang w:val="en-US" w:eastAsia="zh-CN" w:bidi="ar"/>
                    </w:rPr>
                    <w:t>量</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jc w:val="center"/>
                    <w:textAlignment w:val="baseline"/>
                    <w:rPr>
                      <w:rFonts w:hint="eastAsia" w:ascii="宋体" w:hAnsi="宋体" w:eastAsia="宋体" w:cs="宋体"/>
                      <w:color w:val="000000"/>
                      <w:kern w:val="0"/>
                      <w:sz w:val="20"/>
                      <w:szCs w:val="20"/>
                    </w:rPr>
                  </w:pPr>
                  <w:r>
                    <w:rPr>
                      <w:rFonts w:hint="eastAsia" w:ascii="宋体" w:hAnsi="宋体" w:eastAsia="宋体" w:cs="宋体"/>
                      <w:snapToGrid/>
                      <w:color w:val="000000"/>
                      <w:spacing w:val="8"/>
                      <w:kern w:val="0"/>
                      <w:sz w:val="20"/>
                      <w:szCs w:val="20"/>
                      <w:lang w:val="en-US" w:eastAsia="zh-CN" w:bidi="ar"/>
                    </w:rPr>
                    <w:t>基本满足工</w:t>
                  </w:r>
                </w:p>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jc w:val="center"/>
                    <w:textAlignment w:val="baseline"/>
                    <w:rPr>
                      <w:rFonts w:hint="eastAsia" w:ascii="宋体" w:hAnsi="宋体" w:eastAsia="宋体" w:cs="宋体"/>
                      <w:color w:val="000000"/>
                      <w:kern w:val="0"/>
                      <w:sz w:val="20"/>
                      <w:szCs w:val="20"/>
                    </w:rPr>
                  </w:pPr>
                  <w:r>
                    <w:rPr>
                      <w:rFonts w:hint="eastAsia" w:ascii="宋体" w:hAnsi="宋体" w:eastAsia="宋体" w:cs="宋体"/>
                      <w:snapToGrid/>
                      <w:color w:val="000000"/>
                      <w:spacing w:val="7"/>
                      <w:kern w:val="0"/>
                      <w:sz w:val="20"/>
                      <w:szCs w:val="20"/>
                      <w:lang w:val="en-US" w:eastAsia="zh-CN" w:bidi="ar"/>
                    </w:rPr>
                    <w:t>程需要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612" w:type="pct"/>
                  <w:tcBorders>
                    <w:tl2br w:val="nil"/>
                    <w:tr2bl w:val="nil"/>
                  </w:tcBorders>
                  <w:noWrap w:val="0"/>
                  <w:vAlign w:val="top"/>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jc w:val="center"/>
                    <w:textAlignment w:val="baseline"/>
                    <w:rPr>
                      <w:rFonts w:hint="eastAsia" w:ascii="宋体" w:hAnsi="宋体" w:eastAsia="宋体" w:cs="宋体"/>
                      <w:color w:val="000000"/>
                      <w:kern w:val="0"/>
                      <w:sz w:val="20"/>
                      <w:szCs w:val="20"/>
                    </w:rPr>
                  </w:pPr>
                  <w:r>
                    <w:rPr>
                      <w:rFonts w:hint="eastAsia" w:ascii="宋体" w:hAnsi="宋体" w:eastAsia="宋体" w:cs="宋体"/>
                      <w:snapToGrid/>
                      <w:color w:val="000000"/>
                      <w:spacing w:val="7"/>
                      <w:kern w:val="0"/>
                      <w:sz w:val="20"/>
                      <w:szCs w:val="20"/>
                      <w:lang w:val="en-US" w:eastAsia="zh-CN" w:bidi="ar"/>
                    </w:rPr>
                    <w:t>砂卵石</w:t>
                  </w:r>
                </w:p>
              </w:tc>
              <w:tc>
                <w:tcPr>
                  <w:tcW w:w="1141" w:type="pct"/>
                  <w:tcBorders>
                    <w:tl2br w:val="nil"/>
                    <w:tr2bl w:val="nil"/>
                  </w:tcBorders>
                  <w:noWrap w:val="0"/>
                  <w:vAlign w:val="top"/>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jc w:val="center"/>
                    <w:textAlignment w:val="baseline"/>
                    <w:rPr>
                      <w:rFonts w:hint="eastAsia" w:ascii="宋体" w:hAnsi="宋体" w:eastAsia="宋体" w:cs="宋体"/>
                      <w:color w:val="000000"/>
                      <w:kern w:val="0"/>
                      <w:sz w:val="20"/>
                      <w:szCs w:val="20"/>
                    </w:rPr>
                  </w:pPr>
                  <w:r>
                    <w:rPr>
                      <w:rFonts w:hint="eastAsia" w:ascii="宋体" w:hAnsi="宋体" w:eastAsia="宋体" w:cs="宋体"/>
                      <w:snapToGrid/>
                      <w:color w:val="000000"/>
                      <w:spacing w:val="3"/>
                      <w:kern w:val="0"/>
                      <w:sz w:val="20"/>
                      <w:szCs w:val="20"/>
                      <w:lang w:val="en-US" w:eastAsia="zh-CN" w:bidi="ar"/>
                    </w:rPr>
                    <w:t>外</w:t>
                  </w:r>
                  <w:r>
                    <w:rPr>
                      <w:rFonts w:hint="eastAsia" w:ascii="宋体" w:hAnsi="宋体" w:eastAsia="宋体" w:cs="宋体"/>
                      <w:snapToGrid/>
                      <w:color w:val="000000"/>
                      <w:spacing w:val="2"/>
                      <w:kern w:val="0"/>
                      <w:sz w:val="20"/>
                      <w:szCs w:val="20"/>
                      <w:lang w:val="en-US" w:eastAsia="zh-CN" w:bidi="ar"/>
                    </w:rPr>
                    <w:t>购</w:t>
                  </w:r>
                </w:p>
              </w:tc>
              <w:tc>
                <w:tcPr>
                  <w:tcW w:w="1293" w:type="pct"/>
                  <w:tcBorders>
                    <w:tl2br w:val="nil"/>
                    <w:tr2bl w:val="nil"/>
                  </w:tcBorders>
                  <w:noWrap w:val="0"/>
                  <w:vAlign w:val="top"/>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jc w:val="center"/>
                    <w:textAlignment w:val="baseline"/>
                    <w:rPr>
                      <w:rFonts w:hint="default" w:ascii="Times New Roman" w:hAnsi="Times New Roman" w:cs="Times New Roman"/>
                      <w:color w:val="000000"/>
                      <w:kern w:val="0"/>
                      <w:sz w:val="13"/>
                      <w:szCs w:val="13"/>
                    </w:rPr>
                  </w:pPr>
                  <w:r>
                    <w:rPr>
                      <w:rFonts w:hint="eastAsia" w:ascii="Times New Roman" w:hAnsi="Times New Roman" w:cs="Times New Roman"/>
                      <w:snapToGrid/>
                      <w:color w:val="000000"/>
                      <w:spacing w:val="7"/>
                      <w:kern w:val="0"/>
                      <w:sz w:val="20"/>
                      <w:szCs w:val="20"/>
                      <w:lang w:val="en-US" w:eastAsia="zh-CN" w:bidi="ar"/>
                    </w:rPr>
                    <w:t>10528</w:t>
                  </w:r>
                  <w:r>
                    <w:rPr>
                      <w:rFonts w:hint="default" w:ascii="Times New Roman" w:hAnsi="Times New Roman" w:cs="Times New Roman"/>
                      <w:snapToGrid/>
                      <w:color w:val="000000"/>
                      <w:kern w:val="0"/>
                      <w:sz w:val="20"/>
                      <w:szCs w:val="20"/>
                      <w:lang w:val="en-US" w:eastAsia="zh-CN" w:bidi="ar"/>
                    </w:rPr>
                    <w:t>m</w:t>
                  </w:r>
                  <w:r>
                    <w:rPr>
                      <w:rFonts w:hint="default" w:ascii="Times New Roman" w:hAnsi="Times New Roman" w:cs="Times New Roman"/>
                      <w:snapToGrid/>
                      <w:color w:val="000000"/>
                      <w:spacing w:val="4"/>
                      <w:kern w:val="0"/>
                      <w:position w:val="6"/>
                      <w:sz w:val="13"/>
                      <w:szCs w:val="13"/>
                      <w:lang w:val="en-US" w:eastAsia="zh-CN" w:bidi="ar"/>
                    </w:rPr>
                    <w:t>3</w:t>
                  </w:r>
                </w:p>
              </w:tc>
              <w:tc>
                <w:tcPr>
                  <w:tcW w:w="952" w:type="pct"/>
                  <w:vMerge w:val="continue"/>
                  <w:tcBorders>
                    <w:tl2br w:val="nil"/>
                    <w:tr2bl w:val="nil"/>
                  </w:tcBorders>
                  <w:noWrap w:val="0"/>
                  <w:vAlign w:val="top"/>
                </w:tcPr>
                <w:p>
                  <w:pPr>
                    <w:keepNext w:val="0"/>
                    <w:keepLines w:val="0"/>
                    <w:pageBreakBefore w:val="0"/>
                    <w:widowControl/>
                    <w:wordWrap/>
                    <w:overflowPunct/>
                    <w:topLinePunct w:val="0"/>
                    <w:bidi w:val="0"/>
                    <w:spacing w:before="0" w:line="240" w:lineRule="auto"/>
                    <w:ind w:left="0"/>
                    <w:jc w:val="center"/>
                    <w:rPr>
                      <w:rFonts w:hint="default" w:ascii="Times New Roman" w:hAnsi="Times New Roman" w:cs="Times New Roman"/>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1612" w:type="pct"/>
                  <w:tcBorders>
                    <w:tl2br w:val="nil"/>
                    <w:tr2bl w:val="nil"/>
                  </w:tcBorders>
                  <w:noWrap w:val="0"/>
                  <w:vAlign w:val="top"/>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jc w:val="center"/>
                    <w:textAlignment w:val="baseline"/>
                    <w:rPr>
                      <w:rFonts w:hint="eastAsia" w:ascii="宋体" w:hAnsi="宋体" w:eastAsia="宋体" w:cs="宋体"/>
                      <w:color w:val="000000"/>
                      <w:kern w:val="0"/>
                      <w:sz w:val="20"/>
                      <w:szCs w:val="20"/>
                    </w:rPr>
                  </w:pPr>
                  <w:r>
                    <w:rPr>
                      <w:rFonts w:hint="eastAsia" w:ascii="宋体" w:hAnsi="宋体" w:eastAsia="宋体" w:cs="宋体"/>
                      <w:snapToGrid/>
                      <w:color w:val="000000"/>
                      <w:spacing w:val="5"/>
                      <w:kern w:val="0"/>
                      <w:sz w:val="20"/>
                      <w:szCs w:val="20"/>
                      <w:lang w:val="en-US" w:eastAsia="zh-CN" w:bidi="ar"/>
                    </w:rPr>
                    <w:t>柴</w:t>
                  </w:r>
                  <w:r>
                    <w:rPr>
                      <w:rFonts w:hint="eastAsia" w:ascii="宋体" w:hAnsi="宋体" w:eastAsia="宋体" w:cs="宋体"/>
                      <w:snapToGrid/>
                      <w:color w:val="000000"/>
                      <w:spacing w:val="4"/>
                      <w:kern w:val="0"/>
                      <w:sz w:val="20"/>
                      <w:szCs w:val="20"/>
                      <w:lang w:val="en-US" w:eastAsia="zh-CN" w:bidi="ar"/>
                    </w:rPr>
                    <w:t>油</w:t>
                  </w:r>
                </w:p>
              </w:tc>
              <w:tc>
                <w:tcPr>
                  <w:tcW w:w="1141" w:type="pct"/>
                  <w:tcBorders>
                    <w:tl2br w:val="nil"/>
                    <w:tr2bl w:val="nil"/>
                  </w:tcBorders>
                  <w:noWrap w:val="0"/>
                  <w:vAlign w:val="top"/>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jc w:val="center"/>
                    <w:textAlignment w:val="baseline"/>
                    <w:rPr>
                      <w:rFonts w:hint="eastAsia" w:ascii="宋体" w:hAnsi="宋体" w:eastAsia="宋体" w:cs="宋体"/>
                      <w:color w:val="000000"/>
                      <w:kern w:val="0"/>
                      <w:sz w:val="20"/>
                      <w:szCs w:val="20"/>
                    </w:rPr>
                  </w:pPr>
                  <w:r>
                    <w:rPr>
                      <w:rFonts w:hint="eastAsia" w:ascii="宋体" w:hAnsi="宋体" w:eastAsia="宋体" w:cs="宋体"/>
                      <w:snapToGrid/>
                      <w:color w:val="000000"/>
                      <w:spacing w:val="3"/>
                      <w:kern w:val="0"/>
                      <w:sz w:val="20"/>
                      <w:szCs w:val="20"/>
                      <w:lang w:val="en-US" w:eastAsia="zh-CN" w:bidi="ar"/>
                    </w:rPr>
                    <w:t>外</w:t>
                  </w:r>
                  <w:r>
                    <w:rPr>
                      <w:rFonts w:hint="eastAsia" w:ascii="宋体" w:hAnsi="宋体" w:eastAsia="宋体" w:cs="宋体"/>
                      <w:snapToGrid/>
                      <w:color w:val="000000"/>
                      <w:spacing w:val="2"/>
                      <w:kern w:val="0"/>
                      <w:sz w:val="20"/>
                      <w:szCs w:val="20"/>
                      <w:lang w:val="en-US" w:eastAsia="zh-CN" w:bidi="ar"/>
                    </w:rPr>
                    <w:t>购</w:t>
                  </w:r>
                </w:p>
              </w:tc>
              <w:tc>
                <w:tcPr>
                  <w:tcW w:w="1293" w:type="pct"/>
                  <w:tcBorders>
                    <w:tl2br w:val="nil"/>
                    <w:tr2bl w:val="nil"/>
                  </w:tcBorders>
                  <w:noWrap w:val="0"/>
                  <w:vAlign w:val="top"/>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jc w:val="center"/>
                    <w:textAlignment w:val="baseline"/>
                    <w:rPr>
                      <w:rFonts w:hint="default" w:ascii="Times New Roman" w:hAnsi="Times New Roman" w:cs="Times New Roman"/>
                      <w:color w:val="000000"/>
                      <w:kern w:val="0"/>
                      <w:sz w:val="20"/>
                      <w:szCs w:val="20"/>
                    </w:rPr>
                  </w:pPr>
                  <w:r>
                    <w:rPr>
                      <w:rFonts w:hint="eastAsia" w:ascii="Times New Roman" w:hAnsi="Times New Roman" w:cs="Times New Roman"/>
                      <w:snapToGrid/>
                      <w:color w:val="000000"/>
                      <w:spacing w:val="-1"/>
                      <w:kern w:val="0"/>
                      <w:position w:val="2"/>
                      <w:sz w:val="20"/>
                      <w:szCs w:val="20"/>
                      <w:lang w:val="en-US" w:eastAsia="zh-CN" w:bidi="ar"/>
                    </w:rPr>
                    <w:t>107.71</w:t>
                  </w:r>
                  <w:r>
                    <w:rPr>
                      <w:rFonts w:hint="default" w:ascii="Times New Roman" w:hAnsi="Times New Roman" w:cs="Times New Roman"/>
                      <w:snapToGrid/>
                      <w:color w:val="000000"/>
                      <w:spacing w:val="-1"/>
                      <w:kern w:val="0"/>
                      <w:position w:val="2"/>
                      <w:sz w:val="20"/>
                      <w:szCs w:val="20"/>
                      <w:lang w:val="en-US" w:eastAsia="zh-CN" w:bidi="ar"/>
                    </w:rPr>
                    <w:t>t</w:t>
                  </w:r>
                </w:p>
              </w:tc>
              <w:tc>
                <w:tcPr>
                  <w:tcW w:w="952" w:type="pct"/>
                  <w:vMerge w:val="continue"/>
                  <w:tcBorders>
                    <w:tl2br w:val="nil"/>
                    <w:tr2bl w:val="nil"/>
                  </w:tcBorders>
                  <w:noWrap w:val="0"/>
                  <w:vAlign w:val="top"/>
                </w:tcPr>
                <w:p>
                  <w:pPr>
                    <w:keepNext w:val="0"/>
                    <w:keepLines w:val="0"/>
                    <w:pageBreakBefore w:val="0"/>
                    <w:widowControl/>
                    <w:wordWrap/>
                    <w:overflowPunct/>
                    <w:topLinePunct w:val="0"/>
                    <w:bidi w:val="0"/>
                    <w:spacing w:before="0" w:line="240" w:lineRule="auto"/>
                    <w:ind w:left="0"/>
                    <w:jc w:val="center"/>
                    <w:rPr>
                      <w:rFonts w:hint="default" w:ascii="Times New Roman" w:hAnsi="Times New Roman" w:cs="Times New Roman"/>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612" w:type="pct"/>
                  <w:tcBorders>
                    <w:tl2br w:val="nil"/>
                    <w:tr2bl w:val="nil"/>
                  </w:tcBorders>
                  <w:noWrap w:val="0"/>
                  <w:vAlign w:val="top"/>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jc w:val="center"/>
                    <w:textAlignment w:val="baseline"/>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钢筋</w:t>
                  </w:r>
                </w:p>
              </w:tc>
              <w:tc>
                <w:tcPr>
                  <w:tcW w:w="1141" w:type="pct"/>
                  <w:tcBorders>
                    <w:tl2br w:val="nil"/>
                    <w:tr2bl w:val="nil"/>
                  </w:tcBorders>
                  <w:noWrap w:val="0"/>
                  <w:vAlign w:val="top"/>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jc w:val="center"/>
                    <w:textAlignment w:val="baseline"/>
                    <w:rPr>
                      <w:rFonts w:hint="eastAsia" w:ascii="宋体" w:hAnsi="宋体" w:eastAsia="宋体" w:cs="宋体"/>
                      <w:color w:val="000000"/>
                      <w:kern w:val="0"/>
                      <w:sz w:val="20"/>
                      <w:szCs w:val="20"/>
                    </w:rPr>
                  </w:pPr>
                  <w:r>
                    <w:rPr>
                      <w:rFonts w:hint="eastAsia" w:ascii="宋体" w:hAnsi="宋体" w:eastAsia="宋体" w:cs="宋体"/>
                      <w:snapToGrid/>
                      <w:color w:val="000000"/>
                      <w:spacing w:val="3"/>
                      <w:kern w:val="0"/>
                      <w:sz w:val="20"/>
                      <w:szCs w:val="20"/>
                      <w:lang w:val="en-US" w:eastAsia="zh-CN" w:bidi="ar"/>
                    </w:rPr>
                    <w:t>外</w:t>
                  </w:r>
                  <w:r>
                    <w:rPr>
                      <w:rFonts w:hint="eastAsia" w:ascii="宋体" w:hAnsi="宋体" w:eastAsia="宋体" w:cs="宋体"/>
                      <w:snapToGrid/>
                      <w:color w:val="000000"/>
                      <w:spacing w:val="2"/>
                      <w:kern w:val="0"/>
                      <w:sz w:val="20"/>
                      <w:szCs w:val="20"/>
                      <w:lang w:val="en-US" w:eastAsia="zh-CN" w:bidi="ar"/>
                    </w:rPr>
                    <w:t>购</w:t>
                  </w:r>
                </w:p>
              </w:tc>
              <w:tc>
                <w:tcPr>
                  <w:tcW w:w="1293" w:type="pct"/>
                  <w:tcBorders>
                    <w:tl2br w:val="nil"/>
                    <w:tr2bl w:val="nil"/>
                  </w:tcBorders>
                  <w:noWrap w:val="0"/>
                  <w:vAlign w:val="top"/>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jc w:val="center"/>
                    <w:textAlignment w:val="baseline"/>
                    <w:rPr>
                      <w:rFonts w:hint="default" w:ascii="Times New Roman" w:hAnsi="Times New Roman" w:cs="Times New Roman"/>
                      <w:color w:val="000000"/>
                      <w:kern w:val="0"/>
                      <w:sz w:val="20"/>
                      <w:szCs w:val="20"/>
                    </w:rPr>
                  </w:pPr>
                  <w:r>
                    <w:rPr>
                      <w:rFonts w:hint="eastAsia" w:ascii="Times New Roman" w:hAnsi="Times New Roman" w:cs="Times New Roman"/>
                      <w:snapToGrid/>
                      <w:color w:val="000000"/>
                      <w:spacing w:val="3"/>
                      <w:kern w:val="0"/>
                      <w:position w:val="2"/>
                      <w:sz w:val="20"/>
                      <w:szCs w:val="20"/>
                      <w:lang w:val="en-US" w:eastAsia="zh-CN" w:bidi="ar"/>
                    </w:rPr>
                    <w:t>477.77</w:t>
                  </w:r>
                  <w:r>
                    <w:rPr>
                      <w:rFonts w:hint="default" w:ascii="Times New Roman" w:hAnsi="Times New Roman" w:cs="Times New Roman"/>
                      <w:snapToGrid/>
                      <w:color w:val="000000"/>
                      <w:kern w:val="0"/>
                      <w:position w:val="2"/>
                      <w:sz w:val="20"/>
                      <w:szCs w:val="20"/>
                      <w:lang w:val="en-US" w:eastAsia="zh-CN" w:bidi="ar"/>
                    </w:rPr>
                    <w:t>t</w:t>
                  </w:r>
                </w:p>
              </w:tc>
              <w:tc>
                <w:tcPr>
                  <w:tcW w:w="952" w:type="pct"/>
                  <w:vMerge w:val="continue"/>
                  <w:tcBorders>
                    <w:tl2br w:val="nil"/>
                    <w:tr2bl w:val="nil"/>
                  </w:tcBorders>
                  <w:noWrap w:val="0"/>
                  <w:vAlign w:val="top"/>
                </w:tcPr>
                <w:p>
                  <w:pPr>
                    <w:keepNext w:val="0"/>
                    <w:keepLines w:val="0"/>
                    <w:pageBreakBefore w:val="0"/>
                    <w:widowControl/>
                    <w:wordWrap/>
                    <w:overflowPunct/>
                    <w:topLinePunct w:val="0"/>
                    <w:bidi w:val="0"/>
                    <w:spacing w:before="0" w:line="240" w:lineRule="auto"/>
                    <w:ind w:left="0"/>
                    <w:jc w:val="center"/>
                    <w:rPr>
                      <w:rFonts w:hint="default" w:ascii="Times New Roman" w:hAnsi="Times New Roman" w:cs="Times New Roman"/>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1612" w:type="pct"/>
                  <w:tcBorders>
                    <w:tl2br w:val="nil"/>
                    <w:tr2bl w:val="nil"/>
                  </w:tcBorders>
                  <w:noWrap w:val="0"/>
                  <w:vAlign w:val="top"/>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jc w:val="center"/>
                    <w:textAlignment w:val="baseline"/>
                    <w:rPr>
                      <w:rFonts w:hint="eastAsia" w:ascii="宋体" w:hAnsi="宋体" w:eastAsia="宋体" w:cs="宋体"/>
                      <w:color w:val="000000"/>
                      <w:kern w:val="0"/>
                      <w:sz w:val="20"/>
                      <w:szCs w:val="20"/>
                    </w:rPr>
                  </w:pPr>
                  <w:r>
                    <w:rPr>
                      <w:rFonts w:hint="eastAsia" w:ascii="Times New Roman" w:hAnsi="Times New Roman" w:cs="Times New Roman"/>
                      <w:snapToGrid/>
                      <w:color w:val="000000"/>
                      <w:kern w:val="0"/>
                      <w:sz w:val="20"/>
                      <w:szCs w:val="20"/>
                      <w:lang w:val="en-US" w:eastAsia="zh-CN" w:bidi="ar"/>
                    </w:rPr>
                    <w:t>锯材</w:t>
                  </w:r>
                </w:p>
              </w:tc>
              <w:tc>
                <w:tcPr>
                  <w:tcW w:w="1141" w:type="pct"/>
                  <w:tcBorders>
                    <w:tl2br w:val="nil"/>
                    <w:tr2bl w:val="nil"/>
                  </w:tcBorders>
                  <w:noWrap w:val="0"/>
                  <w:vAlign w:val="top"/>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jc w:val="center"/>
                    <w:textAlignment w:val="baseline"/>
                    <w:rPr>
                      <w:rFonts w:hint="eastAsia" w:ascii="宋体" w:hAnsi="宋体" w:eastAsia="宋体" w:cs="宋体"/>
                      <w:color w:val="000000"/>
                      <w:kern w:val="0"/>
                      <w:sz w:val="20"/>
                      <w:szCs w:val="20"/>
                    </w:rPr>
                  </w:pPr>
                  <w:r>
                    <w:rPr>
                      <w:rFonts w:hint="eastAsia" w:ascii="宋体" w:hAnsi="宋体" w:eastAsia="宋体" w:cs="宋体"/>
                      <w:snapToGrid/>
                      <w:color w:val="000000"/>
                      <w:spacing w:val="3"/>
                      <w:kern w:val="0"/>
                      <w:sz w:val="20"/>
                      <w:szCs w:val="20"/>
                      <w:lang w:val="en-US" w:eastAsia="zh-CN" w:bidi="ar"/>
                    </w:rPr>
                    <w:t>外</w:t>
                  </w:r>
                  <w:r>
                    <w:rPr>
                      <w:rFonts w:hint="eastAsia" w:ascii="宋体" w:hAnsi="宋体" w:eastAsia="宋体" w:cs="宋体"/>
                      <w:snapToGrid/>
                      <w:color w:val="000000"/>
                      <w:spacing w:val="2"/>
                      <w:kern w:val="0"/>
                      <w:sz w:val="20"/>
                      <w:szCs w:val="20"/>
                      <w:lang w:val="en-US" w:eastAsia="zh-CN" w:bidi="ar"/>
                    </w:rPr>
                    <w:t>购</w:t>
                  </w:r>
                </w:p>
              </w:tc>
              <w:tc>
                <w:tcPr>
                  <w:tcW w:w="1293" w:type="pct"/>
                  <w:tcBorders>
                    <w:tl2br w:val="nil"/>
                    <w:tr2bl w:val="nil"/>
                  </w:tcBorders>
                  <w:noWrap w:val="0"/>
                  <w:vAlign w:val="top"/>
                </w:tcPr>
                <w:p>
                  <w:pPr>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0" w:afterAutospacing="0" w:line="240" w:lineRule="auto"/>
                    <w:ind w:left="0" w:right="0"/>
                    <w:jc w:val="center"/>
                    <w:textAlignment w:val="baseline"/>
                    <w:rPr>
                      <w:rFonts w:hint="default" w:ascii="Times New Roman" w:hAnsi="Times New Roman" w:cs="Times New Roman"/>
                      <w:color w:val="000000"/>
                      <w:kern w:val="0"/>
                      <w:sz w:val="20"/>
                      <w:szCs w:val="20"/>
                    </w:rPr>
                  </w:pPr>
                  <w:r>
                    <w:rPr>
                      <w:rFonts w:hint="eastAsia" w:ascii="Times New Roman" w:hAnsi="Times New Roman" w:cs="Times New Roman"/>
                      <w:snapToGrid/>
                      <w:color w:val="000000"/>
                      <w:spacing w:val="7"/>
                      <w:kern w:val="0"/>
                      <w:sz w:val="20"/>
                      <w:szCs w:val="20"/>
                      <w:lang w:val="en-US" w:eastAsia="zh-CN" w:bidi="ar"/>
                    </w:rPr>
                    <w:t>9.03</w:t>
                  </w:r>
                  <w:r>
                    <w:rPr>
                      <w:rFonts w:hint="default" w:ascii="Times New Roman" w:hAnsi="Times New Roman" w:cs="Times New Roman"/>
                      <w:snapToGrid/>
                      <w:color w:val="000000"/>
                      <w:kern w:val="0"/>
                      <w:sz w:val="20"/>
                      <w:szCs w:val="20"/>
                      <w:lang w:val="en-US" w:eastAsia="zh-CN" w:bidi="ar"/>
                    </w:rPr>
                    <w:t>m</w:t>
                  </w:r>
                  <w:r>
                    <w:rPr>
                      <w:rFonts w:hint="default" w:ascii="Times New Roman" w:hAnsi="Times New Roman" w:cs="Times New Roman"/>
                      <w:snapToGrid/>
                      <w:color w:val="000000"/>
                      <w:spacing w:val="4"/>
                      <w:kern w:val="0"/>
                      <w:position w:val="6"/>
                      <w:sz w:val="13"/>
                      <w:szCs w:val="13"/>
                      <w:lang w:val="en-US" w:eastAsia="zh-CN" w:bidi="ar"/>
                    </w:rPr>
                    <w:t>3</w:t>
                  </w:r>
                </w:p>
              </w:tc>
              <w:tc>
                <w:tcPr>
                  <w:tcW w:w="952" w:type="pct"/>
                  <w:vMerge w:val="continue"/>
                  <w:tcBorders>
                    <w:tl2br w:val="nil"/>
                    <w:tr2bl w:val="nil"/>
                  </w:tcBorders>
                  <w:noWrap w:val="0"/>
                  <w:vAlign w:val="top"/>
                </w:tcPr>
                <w:p>
                  <w:pPr>
                    <w:keepNext w:val="0"/>
                    <w:keepLines w:val="0"/>
                    <w:pageBreakBefore w:val="0"/>
                    <w:widowControl/>
                    <w:wordWrap/>
                    <w:overflowPunct/>
                    <w:topLinePunct w:val="0"/>
                    <w:bidi w:val="0"/>
                    <w:spacing w:before="0" w:line="240" w:lineRule="auto"/>
                    <w:ind w:left="0"/>
                    <w:jc w:val="center"/>
                    <w:rPr>
                      <w:rFonts w:hint="default" w:ascii="Times New Roman" w:hAnsi="Times New Roman" w:cs="Times New Roman"/>
                      <w:sz w:val="20"/>
                      <w:szCs w:val="20"/>
                    </w:rPr>
                  </w:pPr>
                </w:p>
              </w:tc>
            </w:tr>
          </w:tbl>
          <w:p>
            <w:pPr>
              <w:keepNext w:val="0"/>
              <w:keepLines w:val="0"/>
              <w:pageBreakBefore w:val="0"/>
              <w:widowControl w:val="0"/>
              <w:kinsoku/>
              <w:wordWrap/>
              <w:overflowPunct/>
              <w:topLinePunct w:val="0"/>
              <w:autoSpaceDE/>
              <w:autoSpaceDN/>
              <w:bidi w:val="0"/>
              <w:adjustRightInd/>
              <w:snapToGrid/>
              <w:spacing w:line="360" w:lineRule="auto"/>
              <w:ind w:left="0" w:right="0" w:firstLine="482"/>
              <w:textAlignment w:val="auto"/>
              <w:rPr>
                <w:rFonts w:ascii="宋体" w:hAnsi="宋体" w:eastAsia="宋体" w:cs="宋体"/>
                <w:b/>
                <w:bCs/>
                <w:sz w:val="21"/>
                <w:szCs w:val="21"/>
              </w:rPr>
            </w:pPr>
            <w:r>
              <w:rPr>
                <w:rFonts w:ascii="宋体" w:hAnsi="宋体" w:eastAsia="宋体" w:cs="宋体"/>
                <w:b/>
                <w:bCs/>
                <w:spacing w:val="16"/>
                <w:sz w:val="21"/>
                <w:szCs w:val="21"/>
              </w:rPr>
              <w:t>注</w:t>
            </w:r>
            <w:r>
              <w:rPr>
                <w:rFonts w:ascii="宋体" w:hAnsi="宋体" w:eastAsia="宋体" w:cs="宋体"/>
                <w:b/>
                <w:bCs/>
                <w:spacing w:val="14"/>
                <w:sz w:val="21"/>
                <w:szCs w:val="21"/>
              </w:rPr>
              <w:t>：</w:t>
            </w:r>
            <w:r>
              <w:rPr>
                <w:rFonts w:ascii="宋体" w:hAnsi="宋体" w:eastAsia="宋体" w:cs="宋体"/>
                <w:b/>
                <w:bCs/>
                <w:spacing w:val="8"/>
                <w:sz w:val="21"/>
                <w:szCs w:val="21"/>
              </w:rPr>
              <w:t>本项目商品砼采用罐车运输到现场直接使用，不设置储存设施，汽油、柴油通过当地加</w:t>
            </w:r>
            <w:r>
              <w:rPr>
                <w:rFonts w:ascii="宋体" w:hAnsi="宋体" w:eastAsia="宋体" w:cs="宋体"/>
                <w:b/>
                <w:bCs/>
                <w:spacing w:val="11"/>
                <w:sz w:val="21"/>
                <w:szCs w:val="21"/>
              </w:rPr>
              <w:t>油</w:t>
            </w:r>
            <w:r>
              <w:rPr>
                <w:rFonts w:ascii="宋体" w:hAnsi="宋体" w:eastAsia="宋体" w:cs="宋体"/>
                <w:b/>
                <w:bCs/>
                <w:spacing w:val="10"/>
                <w:sz w:val="21"/>
                <w:szCs w:val="21"/>
              </w:rPr>
              <w:t>站直接购买，不设置储存设施，仅少量砂卵石堆存在施工场地内。</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imes New Roman" w:hAnsi="Times New Roman" w:eastAsia="宋体" w:cs="Times New Roman"/>
                <w:b/>
                <w:bCs/>
                <w:color w:val="auto"/>
                <w:spacing w:val="0"/>
                <w:sz w:val="24"/>
                <w:szCs w:val="24"/>
                <w:lang w:val="en-US" w:eastAsia="zh-CN"/>
              </w:rPr>
            </w:pPr>
            <w:r>
              <w:rPr>
                <w:rFonts w:hint="eastAsia" w:ascii="Times New Roman" w:hAnsi="Times New Roman" w:eastAsia="宋体" w:cs="Times New Roman"/>
                <w:b/>
                <w:bCs/>
                <w:color w:val="auto"/>
                <w:spacing w:val="0"/>
                <w:sz w:val="24"/>
                <w:szCs w:val="24"/>
                <w:lang w:val="en-US" w:eastAsia="zh-CN"/>
              </w:rPr>
              <w:t>7、主要设备</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pacing w:val="0"/>
                <w:sz w:val="24"/>
                <w:szCs w:val="24"/>
                <w:lang w:val="en-US" w:eastAsia="zh-CN"/>
              </w:rPr>
            </w:pPr>
            <w:r>
              <w:rPr>
                <w:rFonts w:hint="eastAsia" w:ascii="Times New Roman" w:hAnsi="Times New Roman" w:eastAsia="宋体" w:cs="Times New Roman"/>
                <w:b w:val="0"/>
                <w:bCs w:val="0"/>
                <w:color w:val="auto"/>
                <w:spacing w:val="0"/>
                <w:sz w:val="24"/>
                <w:szCs w:val="24"/>
                <w:lang w:val="en-US" w:eastAsia="zh-CN"/>
              </w:rPr>
              <w:t>本项目主要设备一览表见下表。</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422" w:firstLineChars="200"/>
              <w:jc w:val="center"/>
              <w:textAlignment w:val="auto"/>
              <w:rPr>
                <w:rFonts w:hint="default" w:ascii="Times New Roman" w:hAnsi="Times New Roman" w:eastAsia="宋体" w:cs="Times New Roman"/>
                <w:b/>
                <w:bCs/>
                <w:color w:val="auto"/>
                <w:spacing w:val="0"/>
                <w:sz w:val="21"/>
                <w:szCs w:val="21"/>
                <w:lang w:val="en-US" w:eastAsia="zh-CN"/>
              </w:rPr>
            </w:pPr>
            <w:r>
              <w:rPr>
                <w:rFonts w:hint="eastAsia" w:ascii="Times New Roman" w:hAnsi="Times New Roman" w:eastAsia="宋体" w:cs="Times New Roman"/>
                <w:b/>
                <w:bCs/>
                <w:color w:val="auto"/>
                <w:spacing w:val="0"/>
                <w:sz w:val="21"/>
                <w:szCs w:val="21"/>
                <w:lang w:val="en-US" w:eastAsia="zh-CN"/>
              </w:rPr>
              <w:t>表2-4 工程主要施工设备一览表</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autofit"/>
              <w:tblCellMar>
                <w:top w:w="0" w:type="dxa"/>
                <w:left w:w="108" w:type="dxa"/>
                <w:bottom w:w="0" w:type="dxa"/>
                <w:right w:w="108" w:type="dxa"/>
              </w:tblCellMar>
            </w:tblPr>
            <w:tblGrid>
              <w:gridCol w:w="904"/>
              <w:gridCol w:w="3612"/>
              <w:gridCol w:w="1509"/>
              <w:gridCol w:w="907"/>
              <w:gridCol w:w="907"/>
            </w:tblGrid>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80" w:hRule="atLeast"/>
              </w:trPr>
              <w:tc>
                <w:tcPr>
                  <w:tcW w:w="57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序号</w:t>
                  </w:r>
                </w:p>
              </w:tc>
              <w:tc>
                <w:tcPr>
                  <w:tcW w:w="230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机械名称</w:t>
                  </w:r>
                </w:p>
              </w:tc>
              <w:tc>
                <w:tcPr>
                  <w:tcW w:w="96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规格型号</w:t>
                  </w:r>
                </w:p>
              </w:tc>
              <w:tc>
                <w:tcPr>
                  <w:tcW w:w="57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单位</w:t>
                  </w:r>
                </w:p>
              </w:tc>
              <w:tc>
                <w:tcPr>
                  <w:tcW w:w="57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数量</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80" w:hRule="atLeast"/>
              </w:trPr>
              <w:tc>
                <w:tcPr>
                  <w:tcW w:w="57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一</w:t>
                  </w:r>
                </w:p>
              </w:tc>
              <w:tc>
                <w:tcPr>
                  <w:tcW w:w="230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土石方开挖（回填）机械</w:t>
                  </w:r>
                </w:p>
              </w:tc>
              <w:tc>
                <w:tcPr>
                  <w:tcW w:w="96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p>
              </w:tc>
              <w:tc>
                <w:tcPr>
                  <w:tcW w:w="57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p>
              </w:tc>
              <w:tc>
                <w:tcPr>
                  <w:tcW w:w="57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80" w:hRule="atLeast"/>
              </w:trPr>
              <w:tc>
                <w:tcPr>
                  <w:tcW w:w="57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p>
              </w:tc>
              <w:tc>
                <w:tcPr>
                  <w:tcW w:w="230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蛙式打夯机</w:t>
                  </w:r>
                </w:p>
              </w:tc>
              <w:tc>
                <w:tcPr>
                  <w:tcW w:w="96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2.8kw</w:t>
                  </w:r>
                </w:p>
              </w:tc>
              <w:tc>
                <w:tcPr>
                  <w:tcW w:w="57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台</w:t>
                  </w:r>
                </w:p>
              </w:tc>
              <w:tc>
                <w:tcPr>
                  <w:tcW w:w="57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80" w:hRule="atLeast"/>
              </w:trPr>
              <w:tc>
                <w:tcPr>
                  <w:tcW w:w="57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p>
              </w:tc>
              <w:tc>
                <w:tcPr>
                  <w:tcW w:w="230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小型振动碾</w:t>
                  </w:r>
                </w:p>
              </w:tc>
              <w:tc>
                <w:tcPr>
                  <w:tcW w:w="96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p>
              </w:tc>
              <w:tc>
                <w:tcPr>
                  <w:tcW w:w="57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台</w:t>
                  </w:r>
                </w:p>
              </w:tc>
              <w:tc>
                <w:tcPr>
                  <w:tcW w:w="57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80" w:hRule="atLeast"/>
              </w:trPr>
              <w:tc>
                <w:tcPr>
                  <w:tcW w:w="57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p>
              </w:tc>
              <w:tc>
                <w:tcPr>
                  <w:tcW w:w="230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1.6m</w:t>
                  </w:r>
                  <w:r>
                    <w:rPr>
                      <w:rFonts w:hint="default" w:ascii="Times New Roman" w:hAnsi="Times New Roman" w:eastAsia="宋体" w:cs="Times New Roman"/>
                      <w:kern w:val="2"/>
                      <w:sz w:val="21"/>
                      <w:szCs w:val="21"/>
                      <w:vertAlign w:val="superscript"/>
                      <w:lang w:val="en-US" w:eastAsia="zh-CN" w:bidi="ar"/>
                    </w:rPr>
                    <w:t>3</w:t>
                  </w:r>
                  <w:r>
                    <w:rPr>
                      <w:rFonts w:hint="default" w:ascii="Times New Roman" w:hAnsi="Times New Roman" w:eastAsia="宋体" w:cs="Times New Roman"/>
                      <w:kern w:val="2"/>
                      <w:sz w:val="21"/>
                      <w:szCs w:val="21"/>
                      <w:lang w:val="en-US" w:eastAsia="zh-CN" w:bidi="ar"/>
                    </w:rPr>
                    <w:t>挖掘机</w:t>
                  </w:r>
                </w:p>
              </w:tc>
              <w:tc>
                <w:tcPr>
                  <w:tcW w:w="96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p>
              </w:tc>
              <w:tc>
                <w:tcPr>
                  <w:tcW w:w="57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台</w:t>
                  </w:r>
                </w:p>
              </w:tc>
              <w:tc>
                <w:tcPr>
                  <w:tcW w:w="57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80" w:hRule="atLeast"/>
              </w:trPr>
              <w:tc>
                <w:tcPr>
                  <w:tcW w:w="57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p>
              </w:tc>
              <w:tc>
                <w:tcPr>
                  <w:tcW w:w="230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88KW推土机</w:t>
                  </w:r>
                </w:p>
              </w:tc>
              <w:tc>
                <w:tcPr>
                  <w:tcW w:w="96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p>
              </w:tc>
              <w:tc>
                <w:tcPr>
                  <w:tcW w:w="57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台</w:t>
                  </w:r>
                </w:p>
              </w:tc>
              <w:tc>
                <w:tcPr>
                  <w:tcW w:w="57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80" w:hRule="atLeast"/>
              </w:trPr>
              <w:tc>
                <w:tcPr>
                  <w:tcW w:w="57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p>
              </w:tc>
              <w:tc>
                <w:tcPr>
                  <w:tcW w:w="230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轮胎碾</w:t>
                  </w:r>
                </w:p>
              </w:tc>
              <w:tc>
                <w:tcPr>
                  <w:tcW w:w="96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p>
              </w:tc>
              <w:tc>
                <w:tcPr>
                  <w:tcW w:w="57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台</w:t>
                  </w:r>
                </w:p>
              </w:tc>
              <w:tc>
                <w:tcPr>
                  <w:tcW w:w="57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80" w:hRule="atLeast"/>
              </w:trPr>
              <w:tc>
                <w:tcPr>
                  <w:tcW w:w="57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二</w:t>
                  </w:r>
                </w:p>
              </w:tc>
              <w:tc>
                <w:tcPr>
                  <w:tcW w:w="230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混凝土机械</w:t>
                  </w:r>
                </w:p>
              </w:tc>
              <w:tc>
                <w:tcPr>
                  <w:tcW w:w="96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p>
              </w:tc>
              <w:tc>
                <w:tcPr>
                  <w:tcW w:w="57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p>
              </w:tc>
              <w:tc>
                <w:tcPr>
                  <w:tcW w:w="57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80" w:hRule="atLeast"/>
              </w:trPr>
              <w:tc>
                <w:tcPr>
                  <w:tcW w:w="57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p>
              </w:tc>
              <w:tc>
                <w:tcPr>
                  <w:tcW w:w="230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插入式振捣器</w:t>
                  </w:r>
                </w:p>
              </w:tc>
              <w:tc>
                <w:tcPr>
                  <w:tcW w:w="96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软轴</w:t>
                  </w:r>
                </w:p>
              </w:tc>
              <w:tc>
                <w:tcPr>
                  <w:tcW w:w="57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台</w:t>
                  </w:r>
                </w:p>
              </w:tc>
              <w:tc>
                <w:tcPr>
                  <w:tcW w:w="57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80" w:hRule="atLeast"/>
              </w:trPr>
              <w:tc>
                <w:tcPr>
                  <w:tcW w:w="57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p>
              </w:tc>
              <w:tc>
                <w:tcPr>
                  <w:tcW w:w="230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插入式振捣器</w:t>
                  </w:r>
                </w:p>
              </w:tc>
              <w:tc>
                <w:tcPr>
                  <w:tcW w:w="96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ZN30</w:t>
                  </w:r>
                </w:p>
              </w:tc>
              <w:tc>
                <w:tcPr>
                  <w:tcW w:w="57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台</w:t>
                  </w:r>
                </w:p>
              </w:tc>
              <w:tc>
                <w:tcPr>
                  <w:tcW w:w="57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14</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80" w:hRule="atLeast"/>
              </w:trPr>
              <w:tc>
                <w:tcPr>
                  <w:tcW w:w="57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p>
              </w:tc>
              <w:tc>
                <w:tcPr>
                  <w:tcW w:w="230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风水砂枪</w:t>
                  </w:r>
                </w:p>
              </w:tc>
              <w:tc>
                <w:tcPr>
                  <w:tcW w:w="96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p>
              </w:tc>
              <w:tc>
                <w:tcPr>
                  <w:tcW w:w="57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台</w:t>
                  </w:r>
                </w:p>
              </w:tc>
              <w:tc>
                <w:tcPr>
                  <w:tcW w:w="57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80" w:hRule="atLeast"/>
              </w:trPr>
              <w:tc>
                <w:tcPr>
                  <w:tcW w:w="57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三</w:t>
                  </w:r>
                </w:p>
              </w:tc>
              <w:tc>
                <w:tcPr>
                  <w:tcW w:w="230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运输机械</w:t>
                  </w:r>
                </w:p>
              </w:tc>
              <w:tc>
                <w:tcPr>
                  <w:tcW w:w="96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p>
              </w:tc>
              <w:tc>
                <w:tcPr>
                  <w:tcW w:w="57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p>
              </w:tc>
              <w:tc>
                <w:tcPr>
                  <w:tcW w:w="57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80" w:hRule="atLeast"/>
              </w:trPr>
              <w:tc>
                <w:tcPr>
                  <w:tcW w:w="57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p>
              </w:tc>
              <w:tc>
                <w:tcPr>
                  <w:tcW w:w="230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载重汽车</w:t>
                  </w:r>
                </w:p>
              </w:tc>
              <w:tc>
                <w:tcPr>
                  <w:tcW w:w="96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10t/15t</w:t>
                  </w:r>
                </w:p>
              </w:tc>
              <w:tc>
                <w:tcPr>
                  <w:tcW w:w="57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辆</w:t>
                  </w:r>
                </w:p>
              </w:tc>
              <w:tc>
                <w:tcPr>
                  <w:tcW w:w="57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2/5</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80" w:hRule="atLeast"/>
              </w:trPr>
              <w:tc>
                <w:tcPr>
                  <w:tcW w:w="57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p>
              </w:tc>
              <w:tc>
                <w:tcPr>
                  <w:tcW w:w="230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自卸汽车</w:t>
                  </w:r>
                </w:p>
              </w:tc>
              <w:tc>
                <w:tcPr>
                  <w:tcW w:w="96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15t</w:t>
                  </w:r>
                </w:p>
              </w:tc>
              <w:tc>
                <w:tcPr>
                  <w:tcW w:w="57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辆</w:t>
                  </w:r>
                </w:p>
              </w:tc>
              <w:tc>
                <w:tcPr>
                  <w:tcW w:w="57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80" w:hRule="atLeast"/>
              </w:trPr>
              <w:tc>
                <w:tcPr>
                  <w:tcW w:w="57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p>
              </w:tc>
              <w:tc>
                <w:tcPr>
                  <w:tcW w:w="230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机动翻斗车</w:t>
                  </w:r>
                </w:p>
              </w:tc>
              <w:tc>
                <w:tcPr>
                  <w:tcW w:w="96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p>
              </w:tc>
              <w:tc>
                <w:tcPr>
                  <w:tcW w:w="57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辆</w:t>
                  </w:r>
                </w:p>
              </w:tc>
              <w:tc>
                <w:tcPr>
                  <w:tcW w:w="57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80" w:hRule="atLeast"/>
              </w:trPr>
              <w:tc>
                <w:tcPr>
                  <w:tcW w:w="57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p>
              </w:tc>
              <w:tc>
                <w:tcPr>
                  <w:tcW w:w="230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胶轮车</w:t>
                  </w:r>
                </w:p>
              </w:tc>
              <w:tc>
                <w:tcPr>
                  <w:tcW w:w="96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p>
              </w:tc>
              <w:tc>
                <w:tcPr>
                  <w:tcW w:w="57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辆</w:t>
                  </w:r>
                </w:p>
              </w:tc>
              <w:tc>
                <w:tcPr>
                  <w:tcW w:w="57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80" w:hRule="atLeast"/>
              </w:trPr>
              <w:tc>
                <w:tcPr>
                  <w:tcW w:w="57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四</w:t>
                  </w:r>
                </w:p>
              </w:tc>
              <w:tc>
                <w:tcPr>
                  <w:tcW w:w="230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风、水、电系统</w:t>
                  </w:r>
                </w:p>
              </w:tc>
              <w:tc>
                <w:tcPr>
                  <w:tcW w:w="96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p>
              </w:tc>
              <w:tc>
                <w:tcPr>
                  <w:tcW w:w="57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p>
              </w:tc>
              <w:tc>
                <w:tcPr>
                  <w:tcW w:w="57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80" w:hRule="atLeast"/>
              </w:trPr>
              <w:tc>
                <w:tcPr>
                  <w:tcW w:w="57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p>
              </w:tc>
              <w:tc>
                <w:tcPr>
                  <w:tcW w:w="230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空压机</w:t>
                  </w:r>
                </w:p>
              </w:tc>
              <w:tc>
                <w:tcPr>
                  <w:tcW w:w="96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3m</w:t>
                  </w:r>
                  <w:r>
                    <w:rPr>
                      <w:rFonts w:hint="default" w:ascii="Times New Roman" w:hAnsi="Times New Roman" w:eastAsia="宋体" w:cs="Times New Roman"/>
                      <w:kern w:val="2"/>
                      <w:sz w:val="21"/>
                      <w:szCs w:val="21"/>
                      <w:vertAlign w:val="superscript"/>
                      <w:lang w:val="en-US" w:eastAsia="zh-CN" w:bidi="ar"/>
                    </w:rPr>
                    <w:t>3</w:t>
                  </w:r>
                  <w:r>
                    <w:rPr>
                      <w:rFonts w:hint="default" w:ascii="Times New Roman" w:hAnsi="Times New Roman" w:eastAsia="宋体" w:cs="Times New Roman"/>
                      <w:kern w:val="2"/>
                      <w:sz w:val="21"/>
                      <w:szCs w:val="21"/>
                      <w:lang w:val="en-US" w:eastAsia="zh-CN" w:bidi="ar"/>
                    </w:rPr>
                    <w:t>/min</w:t>
                  </w:r>
                </w:p>
              </w:tc>
              <w:tc>
                <w:tcPr>
                  <w:tcW w:w="57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台</w:t>
                  </w:r>
                </w:p>
              </w:tc>
              <w:tc>
                <w:tcPr>
                  <w:tcW w:w="578" w:type="pct"/>
                  <w:tcBorders>
                    <w:tl2br w:val="nil"/>
                    <w:tr2bl w:val="nil"/>
                  </w:tcBorders>
                  <w:noWrap w:val="0"/>
                  <w:vAlign w:val="center"/>
                </w:tcPr>
                <w:p>
                  <w:pPr>
                    <w:pStyle w:val="93"/>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right="0"/>
                    <w:jc w:val="center"/>
                    <w:textAlignment w:val="auto"/>
                    <w:rPr>
                      <w:rFonts w:hint="default" w:ascii="Times New Roman" w:hAnsi="Times New Roman" w:eastAsia="宋体" w:cs="Times New Roman"/>
                      <w:b/>
                      <w:bCs/>
                      <w:kern w:val="2"/>
                      <w:sz w:val="21"/>
                      <w:szCs w:val="21"/>
                    </w:rPr>
                  </w:pPr>
                  <w:r>
                    <w:rPr>
                      <w:rFonts w:hint="default" w:ascii="Times New Roman" w:hAnsi="Times New Roman" w:eastAsia="宋体" w:cs="Times New Roman"/>
                      <w:b/>
                      <w:bCs/>
                      <w:kern w:val="2"/>
                      <w:sz w:val="21"/>
                      <w:szCs w:val="21"/>
                    </w:rPr>
                    <w:t>1</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80" w:hRule="atLeast"/>
              </w:trPr>
              <w:tc>
                <w:tcPr>
                  <w:tcW w:w="57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p>
              </w:tc>
              <w:tc>
                <w:tcPr>
                  <w:tcW w:w="230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150KVA降压站</w:t>
                  </w:r>
                </w:p>
              </w:tc>
              <w:tc>
                <w:tcPr>
                  <w:tcW w:w="96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p>
              </w:tc>
              <w:tc>
                <w:tcPr>
                  <w:tcW w:w="57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座</w:t>
                  </w:r>
                </w:p>
              </w:tc>
              <w:tc>
                <w:tcPr>
                  <w:tcW w:w="578" w:type="pct"/>
                  <w:tcBorders>
                    <w:tl2br w:val="nil"/>
                    <w:tr2bl w:val="nil"/>
                  </w:tcBorders>
                  <w:noWrap w:val="0"/>
                  <w:vAlign w:val="center"/>
                </w:tcPr>
                <w:p>
                  <w:pPr>
                    <w:pStyle w:val="93"/>
                    <w:keepNext w:val="0"/>
                    <w:keepLines w:val="0"/>
                    <w:pageBreakBefore w:val="0"/>
                    <w:widowControl/>
                    <w:kinsoku/>
                    <w:wordWrap/>
                    <w:overflowPunct/>
                    <w:topLinePunct w:val="0"/>
                    <w:autoSpaceDE/>
                    <w:autoSpaceDN/>
                    <w:bidi w:val="0"/>
                    <w:adjustRightInd/>
                    <w:snapToGrid/>
                    <w:spacing w:before="0" w:beforeLines="0" w:after="0" w:afterLines="0" w:line="240" w:lineRule="auto"/>
                    <w:ind w:left="0" w:right="0"/>
                    <w:jc w:val="center"/>
                    <w:textAlignment w:val="auto"/>
                    <w:rPr>
                      <w:rFonts w:hint="default" w:ascii="Times New Roman" w:hAnsi="Times New Roman" w:eastAsia="宋体" w:cs="Times New Roman"/>
                      <w:b/>
                      <w:bCs/>
                      <w:kern w:val="2"/>
                      <w:sz w:val="21"/>
                      <w:szCs w:val="21"/>
                    </w:rPr>
                  </w:pPr>
                  <w:r>
                    <w:rPr>
                      <w:rFonts w:hint="default" w:ascii="Times New Roman" w:hAnsi="Times New Roman" w:eastAsia="宋体" w:cs="Times New Roman"/>
                      <w:b/>
                      <w:bCs/>
                      <w:kern w:val="2"/>
                      <w:sz w:val="21"/>
                      <w:szCs w:val="21"/>
                    </w:rPr>
                    <w:t>1</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80" w:hRule="atLeast"/>
              </w:trPr>
              <w:tc>
                <w:tcPr>
                  <w:tcW w:w="57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p>
              </w:tc>
              <w:tc>
                <w:tcPr>
                  <w:tcW w:w="230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柴油发电机</w:t>
                  </w:r>
                </w:p>
              </w:tc>
              <w:tc>
                <w:tcPr>
                  <w:tcW w:w="96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50KW</w:t>
                  </w:r>
                </w:p>
              </w:tc>
              <w:tc>
                <w:tcPr>
                  <w:tcW w:w="57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台</w:t>
                  </w:r>
                </w:p>
              </w:tc>
              <w:tc>
                <w:tcPr>
                  <w:tcW w:w="57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80" w:hRule="atLeast"/>
              </w:trPr>
              <w:tc>
                <w:tcPr>
                  <w:tcW w:w="57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p>
              </w:tc>
              <w:tc>
                <w:tcPr>
                  <w:tcW w:w="230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钢筋加工机械</w:t>
                  </w:r>
                </w:p>
              </w:tc>
              <w:tc>
                <w:tcPr>
                  <w:tcW w:w="96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p>
              </w:tc>
              <w:tc>
                <w:tcPr>
                  <w:tcW w:w="57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台</w:t>
                  </w:r>
                </w:p>
              </w:tc>
              <w:tc>
                <w:tcPr>
                  <w:tcW w:w="57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80" w:hRule="atLeast"/>
              </w:trPr>
              <w:tc>
                <w:tcPr>
                  <w:tcW w:w="57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p>
              </w:tc>
              <w:tc>
                <w:tcPr>
                  <w:tcW w:w="2303"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100BJ15A型水泵</w:t>
                  </w:r>
                </w:p>
              </w:tc>
              <w:tc>
                <w:tcPr>
                  <w:tcW w:w="962"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p>
              </w:tc>
              <w:tc>
                <w:tcPr>
                  <w:tcW w:w="57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台</w:t>
                  </w:r>
                </w:p>
              </w:tc>
              <w:tc>
                <w:tcPr>
                  <w:tcW w:w="57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3</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imes New Roman" w:hAnsi="Times New Roman" w:eastAsia="宋体" w:cs="Times New Roman"/>
                <w:b/>
                <w:bCs/>
                <w:color w:val="auto"/>
                <w:spacing w:val="0"/>
                <w:sz w:val="24"/>
                <w:szCs w:val="24"/>
                <w:lang w:val="en-US" w:eastAsia="zh-CN"/>
              </w:rPr>
            </w:pPr>
            <w:r>
              <w:rPr>
                <w:rFonts w:hint="eastAsia" w:ascii="Times New Roman" w:hAnsi="Times New Roman" w:eastAsia="宋体" w:cs="Times New Roman"/>
                <w:b/>
                <w:bCs/>
                <w:color w:val="auto"/>
                <w:spacing w:val="0"/>
                <w:sz w:val="24"/>
                <w:szCs w:val="24"/>
                <w:lang w:val="en-US" w:eastAsia="zh-CN"/>
              </w:rPr>
              <w:t>8</w:t>
            </w:r>
            <w:r>
              <w:rPr>
                <w:rFonts w:hint="default" w:ascii="Times New Roman" w:hAnsi="Times New Roman" w:eastAsia="宋体" w:cs="Times New Roman"/>
                <w:b/>
                <w:bCs/>
                <w:color w:val="auto"/>
                <w:spacing w:val="0"/>
                <w:sz w:val="24"/>
                <w:szCs w:val="24"/>
                <w:lang w:val="en-US" w:eastAsia="zh-CN"/>
              </w:rPr>
              <w:t>、</w:t>
            </w:r>
            <w:r>
              <w:rPr>
                <w:rFonts w:hint="eastAsia" w:ascii="Times New Roman" w:hAnsi="Times New Roman" w:eastAsia="宋体" w:cs="Times New Roman"/>
                <w:b/>
                <w:bCs/>
                <w:color w:val="auto"/>
                <w:spacing w:val="0"/>
                <w:sz w:val="24"/>
                <w:szCs w:val="24"/>
                <w:lang w:val="en-US" w:eastAsia="zh-CN"/>
              </w:rPr>
              <w:t>挡水泄水建筑物</w:t>
            </w:r>
          </w:p>
          <w:p>
            <w:pPr>
              <w:pStyle w:val="40"/>
              <w:keepNext w:val="0"/>
              <w:keepLines w:val="0"/>
              <w:pageBreakBefore w:val="0"/>
              <w:widowControl w:val="0"/>
              <w:tabs>
                <w:tab w:val="left" w:pos="420"/>
                <w:tab w:val="left" w:pos="870"/>
                <w:tab w:val="left" w:pos="3150"/>
              </w:tabs>
              <w:kinsoku/>
              <w:wordWrap/>
              <w:overflowPunct/>
              <w:topLinePunct w:val="0"/>
              <w:autoSpaceDE w:val="0"/>
              <w:autoSpaceDN w:val="0"/>
              <w:bidi w:val="0"/>
              <w:adjustRightInd w:val="0"/>
              <w:snapToGrid w:val="0"/>
              <w:spacing w:after="0" w:line="360" w:lineRule="auto"/>
              <w:ind w:left="0" w:leftChars="0" w:right="0" w:firstLine="482" w:firstLineChars="200"/>
              <w:textAlignment w:val="baseline"/>
              <w:rPr>
                <w:rFonts w:hint="default" w:ascii="Times New Roman" w:hAnsi="Times New Roman" w:eastAsia="宋体" w:cs="Times New Roman"/>
                <w:b/>
                <w:bCs/>
                <w:color w:val="auto"/>
                <w:spacing w:val="0"/>
                <w:sz w:val="24"/>
                <w:szCs w:val="24"/>
                <w:lang w:val="en-US" w:eastAsia="zh-CN"/>
              </w:rPr>
            </w:pPr>
            <w:r>
              <w:rPr>
                <w:rFonts w:hint="eastAsia" w:ascii="Times New Roman" w:hAnsi="Times New Roman" w:eastAsia="宋体" w:cs="Times New Roman"/>
                <w:b/>
                <w:bCs/>
                <w:color w:val="auto"/>
                <w:spacing w:val="0"/>
                <w:sz w:val="24"/>
                <w:szCs w:val="24"/>
                <w:lang w:val="en-US" w:eastAsia="zh-CN"/>
              </w:rPr>
              <w:t>8.1挡水建筑物布置</w:t>
            </w:r>
          </w:p>
          <w:p>
            <w:pPr>
              <w:pStyle w:val="40"/>
              <w:keepNext w:val="0"/>
              <w:keepLines w:val="0"/>
              <w:pageBreakBefore w:val="0"/>
              <w:widowControl w:val="0"/>
              <w:tabs>
                <w:tab w:val="left" w:pos="420"/>
                <w:tab w:val="left" w:pos="870"/>
                <w:tab w:val="left" w:pos="3150"/>
              </w:tabs>
              <w:kinsoku/>
              <w:wordWrap/>
              <w:overflowPunct/>
              <w:topLinePunct w:val="0"/>
              <w:autoSpaceDE w:val="0"/>
              <w:autoSpaceDN w:val="0"/>
              <w:bidi w:val="0"/>
              <w:adjustRightInd w:val="0"/>
              <w:snapToGrid w:val="0"/>
              <w:spacing w:after="0" w:line="360" w:lineRule="auto"/>
              <w:ind w:left="0" w:leftChars="0" w:right="0" w:firstLine="480" w:firstLineChars="200"/>
              <w:textAlignment w:val="baseline"/>
              <w:rPr>
                <w:rFonts w:hint="eastAsia" w:ascii="Times New Roman" w:hAnsi="Times New Roman" w:eastAsia="Times New Roman" w:cs="Times New Roman"/>
                <w:b w:val="0"/>
                <w:bCs w:val="0"/>
                <w:color w:val="auto"/>
                <w:spacing w:val="0"/>
                <w:sz w:val="24"/>
                <w:szCs w:val="24"/>
              </w:rPr>
            </w:pPr>
            <w:r>
              <w:rPr>
                <w:rFonts w:hint="eastAsia" w:ascii="Times New Roman" w:hAnsi="Times New Roman" w:eastAsia="Times New Roman" w:cs="Times New Roman"/>
                <w:b w:val="0"/>
                <w:bCs w:val="0"/>
                <w:color w:val="auto"/>
                <w:spacing w:val="0"/>
                <w:sz w:val="24"/>
                <w:szCs w:val="24"/>
                <w:lang w:eastAsia="zh-CN"/>
              </w:rPr>
              <w:t>安福堰</w:t>
            </w:r>
            <w:r>
              <w:rPr>
                <w:rFonts w:hint="eastAsia" w:ascii="Times New Roman" w:hAnsi="Times New Roman" w:eastAsia="Times New Roman" w:cs="Times New Roman"/>
                <w:b w:val="0"/>
                <w:bCs w:val="0"/>
                <w:color w:val="auto"/>
                <w:spacing w:val="0"/>
                <w:sz w:val="24"/>
                <w:szCs w:val="24"/>
              </w:rPr>
              <w:t>正常蓄水位</w:t>
            </w:r>
            <w:r>
              <w:rPr>
                <w:rFonts w:hint="eastAsia" w:ascii="Times New Roman" w:hAnsi="Times New Roman" w:eastAsia="Times New Roman" w:cs="Times New Roman"/>
                <w:b w:val="0"/>
                <w:bCs w:val="0"/>
                <w:color w:val="auto"/>
                <w:spacing w:val="0"/>
                <w:sz w:val="24"/>
                <w:szCs w:val="24"/>
                <w:lang w:val="en-US" w:eastAsia="zh-CN"/>
              </w:rPr>
              <w:t>371.7</w:t>
            </w:r>
            <w:r>
              <w:rPr>
                <w:rFonts w:hint="eastAsia" w:ascii="Times New Roman" w:hAnsi="Times New Roman" w:eastAsia="Times New Roman" w:cs="Times New Roman"/>
                <w:b w:val="0"/>
                <w:bCs w:val="0"/>
                <w:color w:val="auto"/>
                <w:spacing w:val="0"/>
                <w:sz w:val="24"/>
                <w:szCs w:val="24"/>
              </w:rPr>
              <w:t>m，设计洪水位</w:t>
            </w:r>
            <w:r>
              <w:rPr>
                <w:rFonts w:hint="eastAsia" w:ascii="Times New Roman" w:hAnsi="Times New Roman" w:eastAsia="Times New Roman" w:cs="Times New Roman"/>
                <w:b w:val="0"/>
                <w:bCs w:val="0"/>
                <w:color w:val="auto"/>
                <w:spacing w:val="0"/>
                <w:sz w:val="24"/>
                <w:szCs w:val="24"/>
                <w:lang w:val="en-US" w:eastAsia="zh-CN"/>
              </w:rPr>
              <w:t>373.98</w:t>
            </w:r>
            <w:r>
              <w:rPr>
                <w:rFonts w:hint="eastAsia" w:ascii="Times New Roman" w:hAnsi="Times New Roman" w:eastAsia="Times New Roman" w:cs="Times New Roman"/>
                <w:b w:val="0"/>
                <w:bCs w:val="0"/>
                <w:color w:val="auto"/>
                <w:spacing w:val="0"/>
                <w:sz w:val="24"/>
                <w:szCs w:val="24"/>
              </w:rPr>
              <w:t>m，校核洪水位</w:t>
            </w:r>
            <w:r>
              <w:rPr>
                <w:rFonts w:hint="eastAsia" w:ascii="Times New Roman" w:hAnsi="Times New Roman" w:eastAsia="Times New Roman" w:cs="Times New Roman"/>
                <w:b w:val="0"/>
                <w:bCs w:val="0"/>
                <w:color w:val="auto"/>
                <w:spacing w:val="0"/>
                <w:sz w:val="24"/>
                <w:szCs w:val="24"/>
                <w:lang w:val="en-US" w:eastAsia="zh-CN"/>
              </w:rPr>
              <w:t>374.62</w:t>
            </w:r>
            <w:r>
              <w:rPr>
                <w:rFonts w:hint="eastAsia" w:ascii="Times New Roman" w:hAnsi="Times New Roman" w:eastAsia="Times New Roman" w:cs="Times New Roman"/>
                <w:b w:val="0"/>
                <w:bCs w:val="0"/>
                <w:color w:val="auto"/>
                <w:spacing w:val="0"/>
                <w:sz w:val="24"/>
                <w:szCs w:val="24"/>
              </w:rPr>
              <w:t>m，死水位</w:t>
            </w:r>
            <w:r>
              <w:rPr>
                <w:rFonts w:hint="eastAsia" w:ascii="Times New Roman" w:hAnsi="Times New Roman" w:eastAsia="Times New Roman" w:cs="Times New Roman"/>
                <w:b w:val="0"/>
                <w:bCs w:val="0"/>
                <w:color w:val="auto"/>
                <w:spacing w:val="0"/>
                <w:sz w:val="24"/>
                <w:szCs w:val="24"/>
                <w:lang w:val="en-US" w:eastAsia="zh-CN"/>
              </w:rPr>
              <w:t>370.7</w:t>
            </w:r>
            <w:r>
              <w:rPr>
                <w:rFonts w:hint="eastAsia" w:ascii="Times New Roman" w:hAnsi="Times New Roman" w:eastAsia="Times New Roman" w:cs="Times New Roman"/>
                <w:b w:val="0"/>
                <w:bCs w:val="0"/>
                <w:color w:val="auto"/>
                <w:spacing w:val="0"/>
                <w:sz w:val="24"/>
                <w:szCs w:val="24"/>
              </w:rPr>
              <w:t>m。大坝枢纽推荐方案为</w:t>
            </w:r>
            <w:r>
              <w:rPr>
                <w:rFonts w:hint="eastAsia" w:ascii="Times New Roman" w:hAnsi="Times New Roman" w:eastAsia="Times New Roman" w:cs="Times New Roman"/>
                <w:b w:val="0"/>
                <w:bCs w:val="0"/>
                <w:color w:val="auto"/>
                <w:spacing w:val="0"/>
                <w:sz w:val="24"/>
                <w:szCs w:val="24"/>
                <w:lang w:val="en-US" w:eastAsia="zh-CN"/>
              </w:rPr>
              <w:t>混凝土基础气盾坝</w:t>
            </w:r>
            <w:r>
              <w:rPr>
                <w:rFonts w:hint="eastAsia" w:ascii="Times New Roman" w:hAnsi="Times New Roman" w:eastAsia="Times New Roman" w:cs="Times New Roman"/>
                <w:b w:val="0"/>
                <w:bCs w:val="0"/>
                <w:color w:val="auto"/>
                <w:spacing w:val="0"/>
                <w:sz w:val="24"/>
                <w:szCs w:val="24"/>
              </w:rPr>
              <w:t>，大坝从</w:t>
            </w:r>
            <w:r>
              <w:rPr>
                <w:rFonts w:hint="eastAsia" w:ascii="Times New Roman" w:hAnsi="Times New Roman" w:eastAsia="Times New Roman" w:cs="Times New Roman"/>
                <w:b w:val="0"/>
                <w:bCs w:val="0"/>
                <w:color w:val="auto"/>
                <w:spacing w:val="0"/>
                <w:sz w:val="24"/>
                <w:szCs w:val="24"/>
                <w:lang w:val="en-US" w:eastAsia="zh-CN"/>
              </w:rPr>
              <w:t>左</w:t>
            </w:r>
            <w:r>
              <w:rPr>
                <w:rFonts w:hint="eastAsia" w:ascii="Times New Roman" w:hAnsi="Times New Roman" w:eastAsia="Times New Roman" w:cs="Times New Roman"/>
                <w:b w:val="0"/>
                <w:bCs w:val="0"/>
                <w:color w:val="auto"/>
                <w:spacing w:val="0"/>
                <w:sz w:val="24"/>
                <w:szCs w:val="24"/>
              </w:rPr>
              <w:t>到</w:t>
            </w:r>
            <w:r>
              <w:rPr>
                <w:rFonts w:hint="eastAsia" w:ascii="Times New Roman" w:hAnsi="Times New Roman" w:eastAsia="Times New Roman" w:cs="Times New Roman"/>
                <w:b w:val="0"/>
                <w:bCs w:val="0"/>
                <w:color w:val="auto"/>
                <w:spacing w:val="0"/>
                <w:sz w:val="24"/>
                <w:szCs w:val="24"/>
                <w:lang w:val="en-US" w:eastAsia="zh-CN"/>
              </w:rPr>
              <w:t>右</w:t>
            </w:r>
            <w:r>
              <w:rPr>
                <w:rFonts w:hint="eastAsia" w:ascii="Times New Roman" w:hAnsi="Times New Roman" w:eastAsia="Times New Roman" w:cs="Times New Roman"/>
                <w:b w:val="0"/>
                <w:bCs w:val="0"/>
                <w:color w:val="auto"/>
                <w:spacing w:val="0"/>
                <w:sz w:val="24"/>
                <w:szCs w:val="24"/>
              </w:rPr>
              <w:t>依次为</w:t>
            </w:r>
            <w:r>
              <w:rPr>
                <w:rFonts w:hint="eastAsia" w:ascii="Times New Roman" w:hAnsi="Times New Roman" w:eastAsia="Times New Roman" w:cs="Times New Roman"/>
                <w:b w:val="0"/>
                <w:bCs w:val="0"/>
                <w:color w:val="auto"/>
                <w:spacing w:val="0"/>
                <w:sz w:val="24"/>
                <w:szCs w:val="24"/>
                <w:lang w:val="en-US" w:eastAsia="zh-CN"/>
              </w:rPr>
              <w:t>左坝肩</w:t>
            </w:r>
            <w:r>
              <w:rPr>
                <w:rFonts w:hint="eastAsia" w:ascii="Times New Roman" w:hAnsi="Times New Roman" w:eastAsia="Times New Roman" w:cs="Times New Roman"/>
                <w:b w:val="0"/>
                <w:bCs w:val="0"/>
                <w:color w:val="auto"/>
                <w:spacing w:val="0"/>
                <w:sz w:val="24"/>
                <w:szCs w:val="24"/>
              </w:rPr>
              <w:t>、</w:t>
            </w:r>
            <w:r>
              <w:rPr>
                <w:rFonts w:hint="eastAsia" w:ascii="Times New Roman" w:hAnsi="Times New Roman" w:eastAsia="Times New Roman" w:cs="Times New Roman"/>
                <w:b w:val="0"/>
                <w:bCs w:val="0"/>
                <w:color w:val="auto"/>
                <w:spacing w:val="0"/>
                <w:sz w:val="24"/>
                <w:szCs w:val="24"/>
                <w:lang w:val="en-US" w:eastAsia="zh-CN"/>
              </w:rPr>
              <w:t>12</w:t>
            </w:r>
            <w:r>
              <w:rPr>
                <w:rFonts w:hint="eastAsia" w:ascii="Times New Roman" w:hAnsi="Times New Roman" w:eastAsia="Times New Roman" w:cs="Times New Roman"/>
                <w:b w:val="0"/>
                <w:bCs w:val="0"/>
                <w:color w:val="auto"/>
                <w:spacing w:val="0"/>
                <w:sz w:val="24"/>
                <w:szCs w:val="24"/>
              </w:rPr>
              <w:t>孔有闸门控制的</w:t>
            </w:r>
            <w:r>
              <w:rPr>
                <w:rFonts w:hint="eastAsia" w:ascii="Times New Roman" w:hAnsi="Times New Roman" w:eastAsia="Times New Roman" w:cs="Times New Roman"/>
                <w:b w:val="0"/>
                <w:bCs w:val="0"/>
                <w:color w:val="auto"/>
                <w:spacing w:val="0"/>
                <w:sz w:val="24"/>
                <w:szCs w:val="24"/>
                <w:lang w:val="en-US" w:eastAsia="zh-CN"/>
              </w:rPr>
              <w:t>泄水</w:t>
            </w:r>
            <w:r>
              <w:rPr>
                <w:rFonts w:hint="eastAsia" w:ascii="Times New Roman" w:hAnsi="Times New Roman" w:eastAsia="Times New Roman" w:cs="Times New Roman"/>
                <w:b w:val="0"/>
                <w:bCs w:val="0"/>
                <w:color w:val="auto"/>
                <w:spacing w:val="0"/>
                <w:sz w:val="24"/>
                <w:szCs w:val="24"/>
              </w:rPr>
              <w:t>坝段、</w:t>
            </w:r>
            <w:r>
              <w:rPr>
                <w:rFonts w:hint="eastAsia" w:ascii="Times New Roman" w:hAnsi="Times New Roman" w:eastAsia="Times New Roman" w:cs="Times New Roman"/>
                <w:b w:val="0"/>
                <w:bCs w:val="0"/>
                <w:color w:val="auto"/>
                <w:spacing w:val="0"/>
                <w:sz w:val="24"/>
                <w:szCs w:val="24"/>
                <w:lang w:val="en-US" w:eastAsia="zh-CN"/>
              </w:rPr>
              <w:t>闸墩、1孔取水泄水闸段</w:t>
            </w:r>
            <w:r>
              <w:rPr>
                <w:rFonts w:hint="eastAsia" w:ascii="Times New Roman" w:hAnsi="Times New Roman" w:eastAsia="Times New Roman" w:cs="Times New Roman"/>
                <w:b w:val="0"/>
                <w:bCs w:val="0"/>
                <w:color w:val="auto"/>
                <w:spacing w:val="0"/>
                <w:sz w:val="24"/>
                <w:szCs w:val="24"/>
              </w:rPr>
              <w:t>、</w:t>
            </w:r>
            <w:r>
              <w:rPr>
                <w:rFonts w:hint="eastAsia" w:ascii="Times New Roman" w:hAnsi="Times New Roman" w:eastAsia="Times New Roman" w:cs="Times New Roman"/>
                <w:b w:val="0"/>
                <w:bCs w:val="0"/>
                <w:color w:val="auto"/>
                <w:spacing w:val="0"/>
                <w:sz w:val="24"/>
                <w:szCs w:val="24"/>
                <w:lang w:val="en-US" w:eastAsia="zh-CN"/>
              </w:rPr>
              <w:t>右坝肩</w:t>
            </w:r>
            <w:r>
              <w:rPr>
                <w:rFonts w:hint="eastAsia" w:ascii="Times New Roman" w:hAnsi="Times New Roman" w:eastAsia="Times New Roman" w:cs="Times New Roman"/>
                <w:b w:val="0"/>
                <w:bCs w:val="0"/>
                <w:color w:val="auto"/>
                <w:spacing w:val="0"/>
                <w:sz w:val="24"/>
                <w:szCs w:val="24"/>
              </w:rPr>
              <w:t>。坝顶轴线总长</w:t>
            </w:r>
            <w:r>
              <w:rPr>
                <w:rFonts w:hint="eastAsia" w:ascii="Times New Roman" w:hAnsi="Times New Roman" w:eastAsia="Times New Roman" w:cs="Times New Roman"/>
                <w:b w:val="0"/>
                <w:bCs w:val="0"/>
                <w:color w:val="auto"/>
                <w:spacing w:val="0"/>
                <w:sz w:val="24"/>
                <w:szCs w:val="24"/>
                <w:lang w:val="en-US" w:eastAsia="zh-CN"/>
              </w:rPr>
              <w:t>130.828</w:t>
            </w:r>
            <w:r>
              <w:rPr>
                <w:rFonts w:hint="eastAsia" w:ascii="Times New Roman" w:hAnsi="Times New Roman" w:eastAsia="Times New Roman" w:cs="Times New Roman"/>
                <w:b w:val="0"/>
                <w:bCs w:val="0"/>
                <w:color w:val="auto"/>
                <w:spacing w:val="0"/>
                <w:sz w:val="24"/>
                <w:szCs w:val="24"/>
              </w:rPr>
              <w:t>m，各坝段总长依次为</w:t>
            </w:r>
            <w:r>
              <w:rPr>
                <w:rFonts w:hint="eastAsia" w:ascii="Times New Roman" w:hAnsi="Times New Roman" w:eastAsia="Times New Roman" w:cs="Times New Roman"/>
                <w:b w:val="0"/>
                <w:bCs w:val="0"/>
                <w:color w:val="auto"/>
                <w:spacing w:val="0"/>
                <w:sz w:val="24"/>
                <w:szCs w:val="24"/>
                <w:lang w:val="en-US" w:eastAsia="zh-CN"/>
              </w:rPr>
              <w:t>8.125</w:t>
            </w:r>
            <w:r>
              <w:rPr>
                <w:rFonts w:hint="eastAsia" w:ascii="Times New Roman" w:hAnsi="Times New Roman" w:eastAsia="Times New Roman" w:cs="Times New Roman"/>
                <w:b w:val="0"/>
                <w:bCs w:val="0"/>
                <w:color w:val="auto"/>
                <w:spacing w:val="0"/>
                <w:sz w:val="24"/>
                <w:szCs w:val="24"/>
              </w:rPr>
              <w:t>m</w:t>
            </w:r>
            <w:r>
              <w:rPr>
                <w:rFonts w:hint="eastAsia" w:ascii="Times New Roman" w:hAnsi="Times New Roman" w:eastAsia="Times New Roman" w:cs="Times New Roman"/>
                <w:b w:val="0"/>
                <w:bCs w:val="0"/>
                <w:color w:val="auto"/>
                <w:spacing w:val="0"/>
                <w:sz w:val="24"/>
                <w:szCs w:val="24"/>
                <w:lang w:eastAsia="zh-CN"/>
              </w:rPr>
              <w:t>、</w:t>
            </w:r>
            <w:r>
              <w:rPr>
                <w:rFonts w:hint="eastAsia" w:ascii="Times New Roman" w:hAnsi="Times New Roman" w:eastAsia="Times New Roman" w:cs="Times New Roman"/>
                <w:b w:val="0"/>
                <w:bCs w:val="0"/>
                <w:color w:val="auto"/>
                <w:spacing w:val="0"/>
                <w:sz w:val="24"/>
                <w:szCs w:val="24"/>
                <w:lang w:val="en-US" w:eastAsia="zh-CN"/>
              </w:rPr>
              <w:t>105</w:t>
            </w:r>
            <w:r>
              <w:rPr>
                <w:rFonts w:hint="eastAsia" w:ascii="Times New Roman" w:hAnsi="Times New Roman" w:eastAsia="Times New Roman" w:cs="Times New Roman"/>
                <w:b w:val="0"/>
                <w:bCs w:val="0"/>
                <w:color w:val="auto"/>
                <w:spacing w:val="0"/>
                <w:sz w:val="24"/>
                <w:szCs w:val="24"/>
              </w:rPr>
              <w:t>m</w:t>
            </w:r>
            <w:r>
              <w:rPr>
                <w:rFonts w:hint="eastAsia" w:ascii="Times New Roman" w:hAnsi="Times New Roman" w:eastAsia="Times New Roman" w:cs="Times New Roman"/>
                <w:b w:val="0"/>
                <w:bCs w:val="0"/>
                <w:color w:val="auto"/>
                <w:spacing w:val="0"/>
                <w:sz w:val="24"/>
                <w:szCs w:val="24"/>
                <w:lang w:eastAsia="zh-CN"/>
              </w:rPr>
              <w:t>、</w:t>
            </w:r>
            <w:r>
              <w:rPr>
                <w:rFonts w:hint="eastAsia" w:ascii="Times New Roman" w:hAnsi="Times New Roman" w:eastAsia="Times New Roman" w:cs="Times New Roman"/>
                <w:b w:val="0"/>
                <w:bCs w:val="0"/>
                <w:color w:val="auto"/>
                <w:spacing w:val="0"/>
                <w:sz w:val="24"/>
                <w:szCs w:val="24"/>
                <w:lang w:val="en-US" w:eastAsia="zh-CN"/>
              </w:rPr>
              <w:t>1.704</w:t>
            </w:r>
            <w:r>
              <w:rPr>
                <w:rFonts w:hint="eastAsia" w:ascii="Times New Roman" w:hAnsi="Times New Roman" w:eastAsia="Times New Roman" w:cs="Times New Roman"/>
                <w:b w:val="0"/>
                <w:bCs w:val="0"/>
                <w:color w:val="auto"/>
                <w:spacing w:val="0"/>
                <w:sz w:val="24"/>
                <w:szCs w:val="24"/>
              </w:rPr>
              <w:t>m</w:t>
            </w:r>
            <w:r>
              <w:rPr>
                <w:rFonts w:hint="eastAsia" w:ascii="Times New Roman" w:hAnsi="Times New Roman" w:eastAsia="Times New Roman" w:cs="Times New Roman"/>
                <w:b w:val="0"/>
                <w:bCs w:val="0"/>
                <w:color w:val="auto"/>
                <w:spacing w:val="0"/>
                <w:sz w:val="24"/>
                <w:szCs w:val="24"/>
                <w:lang w:eastAsia="zh-CN"/>
              </w:rPr>
              <w:t>、</w:t>
            </w:r>
            <w:r>
              <w:rPr>
                <w:rFonts w:hint="eastAsia" w:ascii="Times New Roman" w:hAnsi="Times New Roman" w:eastAsia="Times New Roman" w:cs="Times New Roman"/>
                <w:b w:val="0"/>
                <w:bCs w:val="0"/>
                <w:color w:val="auto"/>
                <w:spacing w:val="0"/>
                <w:sz w:val="24"/>
                <w:szCs w:val="24"/>
                <w:lang w:val="en-US" w:eastAsia="zh-CN"/>
              </w:rPr>
              <w:t>8.75m、7.25</w:t>
            </w:r>
            <w:r>
              <w:rPr>
                <w:rFonts w:hint="eastAsia" w:ascii="Times New Roman" w:hAnsi="Times New Roman" w:eastAsia="Times New Roman" w:cs="Times New Roman"/>
                <w:b w:val="0"/>
                <w:bCs w:val="0"/>
                <w:color w:val="auto"/>
                <w:spacing w:val="0"/>
                <w:sz w:val="24"/>
                <w:szCs w:val="24"/>
              </w:rPr>
              <w:t>m。大坝坝顶高程</w:t>
            </w:r>
            <w:r>
              <w:rPr>
                <w:rFonts w:hint="eastAsia" w:ascii="Times New Roman" w:hAnsi="Times New Roman" w:eastAsia="Times New Roman" w:cs="Times New Roman"/>
                <w:b w:val="0"/>
                <w:bCs w:val="0"/>
                <w:color w:val="auto"/>
                <w:spacing w:val="0"/>
                <w:sz w:val="24"/>
                <w:szCs w:val="24"/>
                <w:lang w:val="en-US" w:eastAsia="zh-CN"/>
              </w:rPr>
              <w:t>372.4</w:t>
            </w:r>
            <w:r>
              <w:rPr>
                <w:rFonts w:hint="eastAsia" w:ascii="Times New Roman" w:hAnsi="Times New Roman" w:eastAsia="Times New Roman" w:cs="Times New Roman"/>
                <w:b w:val="0"/>
                <w:bCs w:val="0"/>
                <w:color w:val="auto"/>
                <w:spacing w:val="0"/>
                <w:sz w:val="24"/>
                <w:szCs w:val="24"/>
              </w:rPr>
              <w:t>m，最大坝高</w:t>
            </w:r>
            <w:r>
              <w:rPr>
                <w:rFonts w:hint="eastAsia" w:ascii="Times New Roman" w:hAnsi="Times New Roman" w:eastAsia="Times New Roman" w:cs="Times New Roman"/>
                <w:b w:val="0"/>
                <w:bCs w:val="0"/>
                <w:color w:val="auto"/>
                <w:spacing w:val="0"/>
                <w:sz w:val="24"/>
                <w:szCs w:val="24"/>
                <w:lang w:val="en-US" w:eastAsia="zh-CN"/>
              </w:rPr>
              <w:t>4.7</w:t>
            </w:r>
            <w:r>
              <w:rPr>
                <w:rFonts w:hint="eastAsia" w:ascii="Times New Roman" w:hAnsi="Times New Roman" w:eastAsia="Times New Roman" w:cs="Times New Roman"/>
                <w:b w:val="0"/>
                <w:bCs w:val="0"/>
                <w:color w:val="auto"/>
                <w:spacing w:val="0"/>
                <w:sz w:val="24"/>
                <w:szCs w:val="24"/>
              </w:rPr>
              <w:t>m，坝顶宽度</w:t>
            </w:r>
            <w:r>
              <w:rPr>
                <w:rFonts w:hint="eastAsia" w:ascii="Times New Roman" w:hAnsi="Times New Roman" w:eastAsia="Times New Roman" w:cs="Times New Roman"/>
                <w:b w:val="0"/>
                <w:bCs w:val="0"/>
                <w:color w:val="auto"/>
                <w:spacing w:val="0"/>
                <w:sz w:val="24"/>
                <w:szCs w:val="24"/>
                <w:lang w:val="en-US" w:eastAsia="zh-CN"/>
              </w:rPr>
              <w:t>不</w:t>
            </w:r>
            <w:r>
              <w:rPr>
                <w:rFonts w:hint="eastAsia" w:ascii="Times New Roman" w:hAnsi="Times New Roman" w:eastAsia="Times New Roman" w:cs="Times New Roman"/>
                <w:b w:val="0"/>
                <w:bCs w:val="0"/>
                <w:color w:val="auto"/>
                <w:spacing w:val="0"/>
                <w:sz w:val="24"/>
                <w:szCs w:val="24"/>
              </w:rPr>
              <w:t>考虑今后的交通要求，最大坝体底部宽度</w:t>
            </w:r>
            <w:r>
              <w:rPr>
                <w:rFonts w:hint="eastAsia" w:ascii="Times New Roman" w:hAnsi="Times New Roman" w:eastAsia="Times New Roman" w:cs="Times New Roman"/>
                <w:b w:val="0"/>
                <w:bCs w:val="0"/>
                <w:color w:val="auto"/>
                <w:spacing w:val="0"/>
                <w:sz w:val="24"/>
                <w:szCs w:val="24"/>
                <w:lang w:val="en-US" w:eastAsia="zh-CN"/>
              </w:rPr>
              <w:t>9.5</w:t>
            </w:r>
            <w:r>
              <w:rPr>
                <w:rFonts w:hint="eastAsia" w:ascii="Times New Roman" w:hAnsi="Times New Roman" w:eastAsia="Times New Roman" w:cs="Times New Roman"/>
                <w:b w:val="0"/>
                <w:bCs w:val="0"/>
                <w:color w:val="auto"/>
                <w:spacing w:val="0"/>
                <w:sz w:val="24"/>
                <w:szCs w:val="24"/>
              </w:rPr>
              <w:t>m。</w:t>
            </w:r>
          </w:p>
          <w:p>
            <w:pPr>
              <w:pStyle w:val="40"/>
              <w:keepNext w:val="0"/>
              <w:keepLines w:val="0"/>
              <w:pageBreakBefore w:val="0"/>
              <w:widowControl w:val="0"/>
              <w:tabs>
                <w:tab w:val="left" w:pos="420"/>
                <w:tab w:val="left" w:pos="870"/>
                <w:tab w:val="left" w:pos="3150"/>
              </w:tabs>
              <w:kinsoku/>
              <w:wordWrap/>
              <w:overflowPunct/>
              <w:topLinePunct w:val="0"/>
              <w:autoSpaceDE w:val="0"/>
              <w:autoSpaceDN w:val="0"/>
              <w:bidi w:val="0"/>
              <w:adjustRightInd w:val="0"/>
              <w:snapToGrid w:val="0"/>
              <w:spacing w:after="0" w:line="360" w:lineRule="auto"/>
              <w:ind w:left="0" w:leftChars="0" w:right="0" w:firstLine="480" w:firstLineChars="200"/>
              <w:textAlignment w:val="baseline"/>
              <w:rPr>
                <w:rFonts w:hint="eastAsia" w:ascii="Times New Roman" w:hAnsi="Times New Roman" w:eastAsia="Times New Roman" w:cs="Times New Roman"/>
                <w:b w:val="0"/>
                <w:bCs w:val="0"/>
                <w:color w:val="auto"/>
                <w:spacing w:val="0"/>
                <w:sz w:val="24"/>
                <w:szCs w:val="24"/>
                <w:lang w:eastAsia="zh-CN"/>
              </w:rPr>
            </w:pPr>
            <w:r>
              <w:rPr>
                <w:rFonts w:hint="eastAsia" w:ascii="Times New Roman" w:hAnsi="Times New Roman" w:eastAsia="Times New Roman" w:cs="Times New Roman"/>
                <w:b w:val="0"/>
                <w:bCs w:val="0"/>
                <w:color w:val="auto"/>
                <w:spacing w:val="0"/>
                <w:sz w:val="24"/>
                <w:szCs w:val="24"/>
                <w:lang w:val="en-US" w:eastAsia="zh-CN"/>
              </w:rPr>
              <w:t>左</w:t>
            </w:r>
            <w:r>
              <w:rPr>
                <w:rFonts w:hint="eastAsia" w:ascii="Times New Roman" w:hAnsi="Times New Roman" w:eastAsia="Times New Roman" w:cs="Times New Roman"/>
                <w:b w:val="0"/>
                <w:bCs w:val="0"/>
                <w:color w:val="auto"/>
                <w:spacing w:val="0"/>
                <w:sz w:val="24"/>
                <w:szCs w:val="24"/>
              </w:rPr>
              <w:t>岸坝段桩号0+000.00～0+0</w:t>
            </w:r>
            <w:r>
              <w:rPr>
                <w:rFonts w:hint="eastAsia" w:ascii="Times New Roman" w:hAnsi="Times New Roman" w:eastAsia="Times New Roman" w:cs="Times New Roman"/>
                <w:b w:val="0"/>
                <w:bCs w:val="0"/>
                <w:color w:val="auto"/>
                <w:spacing w:val="0"/>
                <w:sz w:val="24"/>
                <w:szCs w:val="24"/>
                <w:lang w:val="en-US" w:eastAsia="zh-CN"/>
              </w:rPr>
              <w:t>08.125</w:t>
            </w:r>
            <w:r>
              <w:rPr>
                <w:rFonts w:hint="eastAsia" w:ascii="Times New Roman" w:hAnsi="Times New Roman" w:eastAsia="Times New Roman" w:cs="Times New Roman"/>
                <w:b w:val="0"/>
                <w:bCs w:val="0"/>
                <w:color w:val="auto"/>
                <w:spacing w:val="0"/>
                <w:sz w:val="24"/>
                <w:szCs w:val="24"/>
              </w:rPr>
              <w:t>m，坝顶长</w:t>
            </w:r>
            <w:r>
              <w:rPr>
                <w:rFonts w:hint="eastAsia" w:ascii="Times New Roman" w:hAnsi="Times New Roman" w:eastAsia="Times New Roman" w:cs="Times New Roman"/>
                <w:b w:val="0"/>
                <w:bCs w:val="0"/>
                <w:color w:val="auto"/>
                <w:spacing w:val="0"/>
                <w:sz w:val="24"/>
                <w:szCs w:val="24"/>
                <w:lang w:val="en-US" w:eastAsia="zh-CN"/>
              </w:rPr>
              <w:t>8.125</w:t>
            </w:r>
            <w:r>
              <w:rPr>
                <w:rFonts w:hint="eastAsia" w:ascii="Times New Roman" w:hAnsi="Times New Roman" w:eastAsia="Times New Roman" w:cs="Times New Roman"/>
                <w:b w:val="0"/>
                <w:bCs w:val="0"/>
                <w:color w:val="auto"/>
                <w:spacing w:val="0"/>
                <w:sz w:val="24"/>
                <w:szCs w:val="24"/>
              </w:rPr>
              <w:t>m；</w:t>
            </w:r>
            <w:r>
              <w:rPr>
                <w:rFonts w:hint="eastAsia" w:ascii="Times New Roman" w:hAnsi="Times New Roman" w:eastAsia="Times New Roman" w:cs="Times New Roman"/>
                <w:b w:val="0"/>
                <w:bCs w:val="0"/>
                <w:color w:val="auto"/>
                <w:spacing w:val="0"/>
                <w:sz w:val="24"/>
                <w:szCs w:val="24"/>
                <w:lang w:val="en-US" w:eastAsia="zh-CN"/>
              </w:rPr>
              <w:t>中部泄洪坝段</w:t>
            </w:r>
            <w:r>
              <w:rPr>
                <w:rFonts w:hint="eastAsia" w:ascii="Times New Roman" w:hAnsi="Times New Roman" w:eastAsia="Times New Roman" w:cs="Times New Roman"/>
                <w:b w:val="0"/>
                <w:bCs w:val="0"/>
                <w:color w:val="auto"/>
                <w:spacing w:val="0"/>
                <w:sz w:val="24"/>
                <w:szCs w:val="24"/>
              </w:rPr>
              <w:t>桩号0+0</w:t>
            </w:r>
            <w:r>
              <w:rPr>
                <w:rFonts w:hint="eastAsia" w:ascii="Times New Roman" w:hAnsi="Times New Roman" w:eastAsia="Times New Roman" w:cs="Times New Roman"/>
                <w:b w:val="0"/>
                <w:bCs w:val="0"/>
                <w:color w:val="auto"/>
                <w:spacing w:val="0"/>
                <w:sz w:val="24"/>
                <w:szCs w:val="24"/>
                <w:lang w:val="en-US" w:eastAsia="zh-CN"/>
              </w:rPr>
              <w:t>08.125</w:t>
            </w:r>
            <w:r>
              <w:rPr>
                <w:rFonts w:hint="eastAsia" w:ascii="Times New Roman" w:hAnsi="Times New Roman" w:eastAsia="Times New Roman" w:cs="Times New Roman"/>
                <w:b w:val="0"/>
                <w:bCs w:val="0"/>
                <w:color w:val="auto"/>
                <w:spacing w:val="0"/>
                <w:sz w:val="24"/>
                <w:szCs w:val="24"/>
              </w:rPr>
              <w:t>～0+</w:t>
            </w:r>
            <w:r>
              <w:rPr>
                <w:rFonts w:hint="eastAsia" w:ascii="Times New Roman" w:hAnsi="Times New Roman" w:eastAsia="Times New Roman" w:cs="Times New Roman"/>
                <w:b w:val="0"/>
                <w:bCs w:val="0"/>
                <w:color w:val="auto"/>
                <w:spacing w:val="0"/>
                <w:sz w:val="24"/>
                <w:szCs w:val="24"/>
                <w:lang w:val="en-US" w:eastAsia="zh-CN"/>
              </w:rPr>
              <w:t>113.125</w:t>
            </w:r>
            <w:r>
              <w:rPr>
                <w:rFonts w:hint="eastAsia" w:ascii="Times New Roman" w:hAnsi="Times New Roman" w:eastAsia="Times New Roman" w:cs="Times New Roman"/>
                <w:b w:val="0"/>
                <w:bCs w:val="0"/>
                <w:color w:val="auto"/>
                <w:spacing w:val="0"/>
                <w:sz w:val="24"/>
                <w:szCs w:val="24"/>
              </w:rPr>
              <w:t>m，</w:t>
            </w:r>
            <w:r>
              <w:rPr>
                <w:rFonts w:hint="eastAsia" w:ascii="Times New Roman" w:hAnsi="Times New Roman" w:eastAsia="Times New Roman" w:cs="Times New Roman"/>
                <w:b w:val="0"/>
                <w:bCs w:val="0"/>
                <w:color w:val="auto"/>
                <w:spacing w:val="0"/>
                <w:sz w:val="24"/>
                <w:szCs w:val="24"/>
                <w:lang w:val="en-US" w:eastAsia="zh-CN"/>
              </w:rPr>
              <w:t>长度105</w:t>
            </w:r>
            <w:r>
              <w:rPr>
                <w:rFonts w:hint="eastAsia" w:ascii="Times New Roman" w:hAnsi="Times New Roman" w:eastAsia="Times New Roman" w:cs="Times New Roman"/>
                <w:b w:val="0"/>
                <w:bCs w:val="0"/>
                <w:color w:val="auto"/>
                <w:spacing w:val="0"/>
                <w:sz w:val="24"/>
                <w:szCs w:val="24"/>
              </w:rPr>
              <w:t>m；</w:t>
            </w:r>
            <w:r>
              <w:rPr>
                <w:rFonts w:hint="eastAsia" w:ascii="Times New Roman" w:hAnsi="Times New Roman" w:eastAsia="Times New Roman" w:cs="Times New Roman"/>
                <w:b w:val="0"/>
                <w:bCs w:val="0"/>
                <w:color w:val="auto"/>
                <w:spacing w:val="0"/>
                <w:sz w:val="24"/>
                <w:szCs w:val="24"/>
                <w:lang w:val="en-US" w:eastAsia="zh-CN"/>
              </w:rPr>
              <w:t>右</w:t>
            </w:r>
            <w:r>
              <w:rPr>
                <w:rFonts w:hint="eastAsia" w:ascii="Times New Roman" w:hAnsi="Times New Roman" w:eastAsia="Times New Roman" w:cs="Times New Roman"/>
                <w:b w:val="0"/>
                <w:bCs w:val="0"/>
                <w:color w:val="auto"/>
                <w:spacing w:val="0"/>
                <w:sz w:val="24"/>
                <w:szCs w:val="24"/>
              </w:rPr>
              <w:t>岸坝段桩号0+</w:t>
            </w:r>
            <w:r>
              <w:rPr>
                <w:rFonts w:hint="eastAsia" w:ascii="Times New Roman" w:hAnsi="Times New Roman" w:eastAsia="Times New Roman" w:cs="Times New Roman"/>
                <w:b w:val="0"/>
                <w:bCs w:val="0"/>
                <w:color w:val="auto"/>
                <w:spacing w:val="0"/>
                <w:sz w:val="24"/>
                <w:szCs w:val="24"/>
                <w:lang w:val="en-US" w:eastAsia="zh-CN"/>
              </w:rPr>
              <w:t>113.125</w:t>
            </w:r>
            <w:r>
              <w:rPr>
                <w:rFonts w:hint="eastAsia" w:ascii="Times New Roman" w:hAnsi="Times New Roman" w:eastAsia="Times New Roman" w:cs="Times New Roman"/>
                <w:b w:val="0"/>
                <w:bCs w:val="0"/>
                <w:color w:val="auto"/>
                <w:spacing w:val="0"/>
                <w:sz w:val="24"/>
                <w:szCs w:val="24"/>
              </w:rPr>
              <w:t>～0+</w:t>
            </w:r>
            <w:r>
              <w:rPr>
                <w:rFonts w:hint="eastAsia" w:ascii="Times New Roman" w:hAnsi="Times New Roman" w:eastAsia="Times New Roman" w:cs="Times New Roman"/>
                <w:b w:val="0"/>
                <w:bCs w:val="0"/>
                <w:color w:val="auto"/>
                <w:spacing w:val="0"/>
                <w:sz w:val="24"/>
                <w:szCs w:val="24"/>
                <w:lang w:val="en-US" w:eastAsia="zh-CN"/>
              </w:rPr>
              <w:t>114.829</w:t>
            </w:r>
            <w:r>
              <w:rPr>
                <w:rFonts w:hint="eastAsia" w:ascii="Times New Roman" w:hAnsi="Times New Roman" w:eastAsia="Times New Roman" w:cs="Times New Roman"/>
                <w:b w:val="0"/>
                <w:bCs w:val="0"/>
                <w:color w:val="auto"/>
                <w:spacing w:val="0"/>
                <w:sz w:val="24"/>
                <w:szCs w:val="24"/>
              </w:rPr>
              <w:t>m，长</w:t>
            </w:r>
            <w:r>
              <w:rPr>
                <w:rFonts w:hint="eastAsia" w:ascii="Times New Roman" w:hAnsi="Times New Roman" w:eastAsia="Times New Roman" w:cs="Times New Roman"/>
                <w:b w:val="0"/>
                <w:bCs w:val="0"/>
                <w:color w:val="auto"/>
                <w:spacing w:val="0"/>
                <w:sz w:val="24"/>
                <w:szCs w:val="24"/>
                <w:lang w:val="en-US" w:eastAsia="zh-CN"/>
              </w:rPr>
              <w:t>度1.704</w:t>
            </w:r>
            <w:r>
              <w:rPr>
                <w:rFonts w:hint="eastAsia" w:ascii="Times New Roman" w:hAnsi="Times New Roman" w:eastAsia="Times New Roman" w:cs="Times New Roman"/>
                <w:b w:val="0"/>
                <w:bCs w:val="0"/>
                <w:color w:val="auto"/>
                <w:spacing w:val="0"/>
                <w:sz w:val="24"/>
                <w:szCs w:val="24"/>
              </w:rPr>
              <w:t>m，</w:t>
            </w:r>
            <w:r>
              <w:rPr>
                <w:rFonts w:hint="eastAsia" w:ascii="Times New Roman" w:hAnsi="Times New Roman" w:eastAsia="Times New Roman" w:cs="Times New Roman"/>
                <w:b w:val="0"/>
                <w:bCs w:val="0"/>
                <w:color w:val="auto"/>
                <w:spacing w:val="0"/>
                <w:sz w:val="24"/>
                <w:szCs w:val="24"/>
                <w:lang w:val="en-US" w:eastAsia="zh-CN"/>
              </w:rPr>
              <w:t>为闸墩，右</w:t>
            </w:r>
            <w:r>
              <w:rPr>
                <w:rFonts w:hint="eastAsia" w:ascii="Times New Roman" w:hAnsi="Times New Roman" w:eastAsia="Times New Roman" w:cs="Times New Roman"/>
                <w:b w:val="0"/>
                <w:bCs w:val="0"/>
                <w:color w:val="auto"/>
                <w:spacing w:val="0"/>
                <w:sz w:val="24"/>
                <w:szCs w:val="24"/>
              </w:rPr>
              <w:t>岸坝段桩号0+</w:t>
            </w:r>
            <w:r>
              <w:rPr>
                <w:rFonts w:hint="eastAsia" w:ascii="Times New Roman" w:hAnsi="Times New Roman" w:eastAsia="Times New Roman" w:cs="Times New Roman"/>
                <w:b w:val="0"/>
                <w:bCs w:val="0"/>
                <w:color w:val="auto"/>
                <w:spacing w:val="0"/>
                <w:sz w:val="24"/>
                <w:szCs w:val="24"/>
                <w:lang w:val="en-US" w:eastAsia="zh-CN"/>
              </w:rPr>
              <w:t>114.829</w:t>
            </w:r>
            <w:r>
              <w:rPr>
                <w:rFonts w:hint="eastAsia" w:ascii="Times New Roman" w:hAnsi="Times New Roman" w:eastAsia="Times New Roman" w:cs="Times New Roman"/>
                <w:b w:val="0"/>
                <w:bCs w:val="0"/>
                <w:color w:val="auto"/>
                <w:spacing w:val="0"/>
                <w:sz w:val="24"/>
                <w:szCs w:val="24"/>
              </w:rPr>
              <w:t>～0+</w:t>
            </w:r>
            <w:r>
              <w:rPr>
                <w:rFonts w:hint="eastAsia" w:ascii="Times New Roman" w:hAnsi="Times New Roman" w:eastAsia="Times New Roman" w:cs="Times New Roman"/>
                <w:b w:val="0"/>
                <w:bCs w:val="0"/>
                <w:color w:val="auto"/>
                <w:spacing w:val="0"/>
                <w:sz w:val="24"/>
                <w:szCs w:val="24"/>
                <w:lang w:val="en-US" w:eastAsia="zh-CN"/>
              </w:rPr>
              <w:t>123.579</w:t>
            </w:r>
            <w:r>
              <w:rPr>
                <w:rFonts w:hint="eastAsia" w:ascii="Times New Roman" w:hAnsi="Times New Roman" w:eastAsia="Times New Roman" w:cs="Times New Roman"/>
                <w:b w:val="0"/>
                <w:bCs w:val="0"/>
                <w:color w:val="auto"/>
                <w:spacing w:val="0"/>
                <w:sz w:val="24"/>
                <w:szCs w:val="24"/>
              </w:rPr>
              <w:t>m，长</w:t>
            </w:r>
            <w:r>
              <w:rPr>
                <w:rFonts w:hint="eastAsia" w:ascii="Times New Roman" w:hAnsi="Times New Roman" w:eastAsia="Times New Roman" w:cs="Times New Roman"/>
                <w:b w:val="0"/>
                <w:bCs w:val="0"/>
                <w:color w:val="auto"/>
                <w:spacing w:val="0"/>
                <w:sz w:val="24"/>
                <w:szCs w:val="24"/>
                <w:lang w:val="en-US" w:eastAsia="zh-CN"/>
              </w:rPr>
              <w:t>度8.75</w:t>
            </w:r>
            <w:r>
              <w:rPr>
                <w:rFonts w:hint="eastAsia" w:ascii="Times New Roman" w:hAnsi="Times New Roman" w:eastAsia="Times New Roman" w:cs="Times New Roman"/>
                <w:b w:val="0"/>
                <w:bCs w:val="0"/>
                <w:color w:val="auto"/>
                <w:spacing w:val="0"/>
                <w:sz w:val="24"/>
                <w:szCs w:val="24"/>
              </w:rPr>
              <w:t>m，</w:t>
            </w:r>
            <w:r>
              <w:rPr>
                <w:rFonts w:hint="eastAsia" w:ascii="Times New Roman" w:hAnsi="Times New Roman" w:eastAsia="Times New Roman" w:cs="Times New Roman"/>
                <w:b w:val="0"/>
                <w:bCs w:val="0"/>
                <w:color w:val="auto"/>
                <w:spacing w:val="0"/>
                <w:sz w:val="24"/>
                <w:szCs w:val="24"/>
                <w:lang w:val="en-US" w:eastAsia="zh-CN"/>
              </w:rPr>
              <w:t>为右岸取水口，右</w:t>
            </w:r>
            <w:r>
              <w:rPr>
                <w:rFonts w:hint="eastAsia" w:ascii="Times New Roman" w:hAnsi="Times New Roman" w:eastAsia="Times New Roman" w:cs="Times New Roman"/>
                <w:b w:val="0"/>
                <w:bCs w:val="0"/>
                <w:color w:val="auto"/>
                <w:spacing w:val="0"/>
                <w:sz w:val="24"/>
                <w:szCs w:val="24"/>
              </w:rPr>
              <w:t>岸坝段桩号0+</w:t>
            </w:r>
            <w:r>
              <w:rPr>
                <w:rFonts w:hint="eastAsia" w:ascii="Times New Roman" w:hAnsi="Times New Roman" w:eastAsia="Times New Roman" w:cs="Times New Roman"/>
                <w:b w:val="0"/>
                <w:bCs w:val="0"/>
                <w:color w:val="auto"/>
                <w:spacing w:val="0"/>
                <w:sz w:val="24"/>
                <w:szCs w:val="24"/>
                <w:lang w:val="en-US" w:eastAsia="zh-CN"/>
              </w:rPr>
              <w:t>123.579</w:t>
            </w:r>
            <w:r>
              <w:rPr>
                <w:rFonts w:hint="eastAsia" w:ascii="Times New Roman" w:hAnsi="Times New Roman" w:eastAsia="Times New Roman" w:cs="Times New Roman"/>
                <w:b w:val="0"/>
                <w:bCs w:val="0"/>
                <w:color w:val="auto"/>
                <w:spacing w:val="0"/>
                <w:sz w:val="24"/>
                <w:szCs w:val="24"/>
              </w:rPr>
              <w:t>～0+</w:t>
            </w:r>
            <w:r>
              <w:rPr>
                <w:rFonts w:hint="eastAsia" w:ascii="Times New Roman" w:hAnsi="Times New Roman" w:eastAsia="Times New Roman" w:cs="Times New Roman"/>
                <w:b w:val="0"/>
                <w:bCs w:val="0"/>
                <w:color w:val="auto"/>
                <w:spacing w:val="0"/>
                <w:sz w:val="24"/>
                <w:szCs w:val="24"/>
                <w:lang w:val="en-US" w:eastAsia="zh-CN"/>
              </w:rPr>
              <w:t>130.828</w:t>
            </w:r>
            <w:r>
              <w:rPr>
                <w:rFonts w:hint="eastAsia" w:ascii="Times New Roman" w:hAnsi="Times New Roman" w:eastAsia="Times New Roman" w:cs="Times New Roman"/>
                <w:b w:val="0"/>
                <w:bCs w:val="0"/>
                <w:color w:val="auto"/>
                <w:spacing w:val="0"/>
                <w:sz w:val="24"/>
                <w:szCs w:val="24"/>
              </w:rPr>
              <w:t>m，坝顶长</w:t>
            </w:r>
            <w:r>
              <w:rPr>
                <w:rFonts w:hint="eastAsia" w:ascii="Times New Roman" w:hAnsi="Times New Roman" w:eastAsia="Times New Roman" w:cs="Times New Roman"/>
                <w:b w:val="0"/>
                <w:bCs w:val="0"/>
                <w:color w:val="auto"/>
                <w:spacing w:val="0"/>
                <w:sz w:val="24"/>
                <w:szCs w:val="24"/>
                <w:lang w:val="en-US" w:eastAsia="zh-CN"/>
              </w:rPr>
              <w:t>7.25</w:t>
            </w:r>
            <w:r>
              <w:rPr>
                <w:rFonts w:hint="eastAsia" w:ascii="Times New Roman" w:hAnsi="Times New Roman" w:eastAsia="Times New Roman" w:cs="Times New Roman"/>
                <w:b w:val="0"/>
                <w:bCs w:val="0"/>
                <w:color w:val="auto"/>
                <w:spacing w:val="0"/>
                <w:sz w:val="24"/>
                <w:szCs w:val="24"/>
              </w:rPr>
              <w:t>m，坝体采用C</w:t>
            </w:r>
            <w:r>
              <w:rPr>
                <w:rFonts w:hint="eastAsia" w:ascii="Times New Roman" w:hAnsi="Times New Roman" w:eastAsia="Times New Roman" w:cs="Times New Roman"/>
                <w:b w:val="0"/>
                <w:bCs w:val="0"/>
                <w:color w:val="auto"/>
                <w:spacing w:val="0"/>
                <w:sz w:val="24"/>
                <w:szCs w:val="24"/>
                <w:lang w:val="en-US" w:eastAsia="zh-CN"/>
              </w:rPr>
              <w:t>25</w:t>
            </w:r>
            <w:r>
              <w:rPr>
                <w:rFonts w:hint="eastAsia" w:ascii="Times New Roman" w:hAnsi="Times New Roman" w:eastAsia="Times New Roman" w:cs="Times New Roman"/>
                <w:b w:val="0"/>
                <w:bCs w:val="0"/>
                <w:color w:val="auto"/>
                <w:spacing w:val="0"/>
                <w:sz w:val="24"/>
                <w:szCs w:val="24"/>
              </w:rPr>
              <w:t>砼进行浇筑</w:t>
            </w:r>
            <w:r>
              <w:rPr>
                <w:rFonts w:hint="eastAsia" w:ascii="Times New Roman" w:hAnsi="Times New Roman" w:eastAsia="Times New Roman" w:cs="Times New Roman"/>
                <w:b w:val="0"/>
                <w:bCs w:val="0"/>
                <w:color w:val="auto"/>
                <w:spacing w:val="0"/>
                <w:sz w:val="24"/>
                <w:szCs w:val="24"/>
                <w:lang w:eastAsia="zh-CN"/>
              </w:rPr>
              <w:t>，</w:t>
            </w:r>
            <w:r>
              <w:rPr>
                <w:rFonts w:hint="eastAsia" w:ascii="Times New Roman" w:hAnsi="Times New Roman" w:eastAsia="Times New Roman" w:cs="Times New Roman"/>
                <w:b w:val="0"/>
                <w:bCs w:val="0"/>
                <w:color w:val="auto"/>
                <w:spacing w:val="0"/>
                <w:sz w:val="24"/>
                <w:szCs w:val="24"/>
                <w:lang w:val="en-US" w:eastAsia="zh-CN"/>
              </w:rPr>
              <w:t>面层70cm采用</w:t>
            </w:r>
            <w:r>
              <w:rPr>
                <w:rFonts w:hint="eastAsia" w:ascii="Times New Roman" w:hAnsi="Times New Roman" w:eastAsia="Times New Roman" w:cs="Times New Roman"/>
                <w:b w:val="0"/>
                <w:bCs w:val="0"/>
                <w:color w:val="auto"/>
                <w:spacing w:val="0"/>
                <w:sz w:val="24"/>
                <w:szCs w:val="24"/>
              </w:rPr>
              <w:t>C40钢筋HF砼浇筑</w:t>
            </w:r>
            <w:r>
              <w:rPr>
                <w:rFonts w:hint="eastAsia" w:ascii="Times New Roman" w:hAnsi="Times New Roman" w:eastAsia="Times New Roman" w:cs="Times New Roman"/>
                <w:b w:val="0"/>
                <w:bCs w:val="0"/>
                <w:color w:val="auto"/>
                <w:spacing w:val="0"/>
                <w:sz w:val="24"/>
                <w:szCs w:val="24"/>
                <w:lang w:eastAsia="zh-CN"/>
              </w:rPr>
              <w:t>，</w:t>
            </w:r>
            <w:r>
              <w:rPr>
                <w:rFonts w:hint="eastAsia" w:ascii="Times New Roman" w:hAnsi="Times New Roman" w:eastAsia="Times New Roman" w:cs="Times New Roman"/>
                <w:b w:val="0"/>
                <w:bCs w:val="0"/>
                <w:color w:val="auto"/>
                <w:spacing w:val="0"/>
                <w:sz w:val="24"/>
                <w:szCs w:val="24"/>
                <w:lang w:val="en-US" w:eastAsia="zh-CN"/>
              </w:rPr>
              <w:t>大坝宽度9.5m，泄洪坝段长105m，溢流面顶高程（闸坝完全倒伏高程）为370.70m，坝基高程为367.70m，上下游均为直立墙面</w:t>
            </w:r>
            <w:r>
              <w:rPr>
                <w:rFonts w:hint="eastAsia" w:ascii="Times New Roman" w:hAnsi="Times New Roman" w:eastAsia="Times New Roman" w:cs="Times New Roman"/>
                <w:b w:val="0"/>
                <w:bCs w:val="0"/>
                <w:color w:val="auto"/>
                <w:spacing w:val="0"/>
                <w:sz w:val="24"/>
                <w:szCs w:val="24"/>
              </w:rPr>
              <w:t>。坝体建基面置于</w:t>
            </w:r>
            <w:r>
              <w:rPr>
                <w:rFonts w:hint="eastAsia" w:ascii="Times New Roman" w:hAnsi="Times New Roman" w:eastAsia="Times New Roman" w:cs="Times New Roman"/>
                <w:b w:val="0"/>
                <w:bCs w:val="0"/>
                <w:color w:val="auto"/>
                <w:spacing w:val="0"/>
                <w:sz w:val="24"/>
                <w:szCs w:val="24"/>
                <w:lang w:val="en-US" w:eastAsia="zh-CN"/>
              </w:rPr>
              <w:t>中密砂卵石层</w:t>
            </w:r>
            <w:r>
              <w:rPr>
                <w:rFonts w:hint="eastAsia" w:ascii="Times New Roman" w:hAnsi="Times New Roman" w:eastAsia="Times New Roman" w:cs="Times New Roman"/>
                <w:b w:val="0"/>
                <w:bCs w:val="0"/>
                <w:color w:val="auto"/>
                <w:spacing w:val="0"/>
                <w:sz w:val="24"/>
                <w:szCs w:val="24"/>
              </w:rPr>
              <w:t>上，左岸坝</w:t>
            </w:r>
            <w:r>
              <w:rPr>
                <w:rFonts w:hint="eastAsia" w:ascii="Times New Roman" w:hAnsi="Times New Roman" w:eastAsia="Times New Roman" w:cs="Times New Roman"/>
                <w:b w:val="0"/>
                <w:bCs w:val="0"/>
                <w:color w:val="auto"/>
                <w:spacing w:val="0"/>
                <w:sz w:val="24"/>
                <w:szCs w:val="24"/>
                <w:lang w:val="en-US" w:eastAsia="zh-CN"/>
              </w:rPr>
              <w:t>段</w:t>
            </w:r>
            <w:r>
              <w:rPr>
                <w:rFonts w:hint="eastAsia" w:ascii="Times New Roman" w:hAnsi="Times New Roman" w:eastAsia="Times New Roman" w:cs="Times New Roman"/>
                <w:b w:val="0"/>
                <w:bCs w:val="0"/>
                <w:color w:val="auto"/>
                <w:spacing w:val="0"/>
                <w:sz w:val="24"/>
                <w:szCs w:val="24"/>
              </w:rPr>
              <w:t>建基面高程36</w:t>
            </w:r>
            <w:r>
              <w:rPr>
                <w:rFonts w:hint="eastAsia" w:ascii="Times New Roman" w:hAnsi="Times New Roman" w:eastAsia="Times New Roman" w:cs="Times New Roman"/>
                <w:b w:val="0"/>
                <w:bCs w:val="0"/>
                <w:color w:val="auto"/>
                <w:spacing w:val="0"/>
                <w:sz w:val="24"/>
                <w:szCs w:val="24"/>
                <w:lang w:val="en-US" w:eastAsia="zh-CN"/>
              </w:rPr>
              <w:t>6.4m</w:t>
            </w:r>
            <w:r>
              <w:rPr>
                <w:rFonts w:hint="eastAsia" w:ascii="Times New Roman" w:hAnsi="Times New Roman" w:eastAsia="Times New Roman" w:cs="Times New Roman"/>
                <w:b w:val="0"/>
                <w:bCs w:val="0"/>
                <w:color w:val="auto"/>
                <w:spacing w:val="0"/>
                <w:sz w:val="24"/>
                <w:szCs w:val="24"/>
              </w:rPr>
              <w:t>～37</w:t>
            </w:r>
            <w:r>
              <w:rPr>
                <w:rFonts w:hint="eastAsia" w:ascii="Times New Roman" w:hAnsi="Times New Roman" w:eastAsia="Times New Roman" w:cs="Times New Roman"/>
                <w:b w:val="0"/>
                <w:bCs w:val="0"/>
                <w:color w:val="auto"/>
                <w:spacing w:val="0"/>
                <w:sz w:val="24"/>
                <w:szCs w:val="24"/>
                <w:lang w:val="en-US" w:eastAsia="zh-CN"/>
              </w:rPr>
              <w:t>2.15m</w:t>
            </w:r>
            <w:r>
              <w:rPr>
                <w:rFonts w:hint="eastAsia" w:ascii="Times New Roman" w:hAnsi="Times New Roman" w:eastAsia="Times New Roman" w:cs="Times New Roman"/>
                <w:b w:val="0"/>
                <w:bCs w:val="0"/>
                <w:color w:val="auto"/>
                <w:spacing w:val="0"/>
                <w:sz w:val="24"/>
                <w:szCs w:val="24"/>
                <w:lang w:eastAsia="zh-CN"/>
              </w:rPr>
              <w:t>，</w:t>
            </w:r>
            <w:r>
              <w:rPr>
                <w:rFonts w:hint="eastAsia" w:ascii="Times New Roman" w:hAnsi="Times New Roman" w:eastAsia="Times New Roman" w:cs="Times New Roman"/>
                <w:b w:val="0"/>
                <w:bCs w:val="0"/>
                <w:color w:val="auto"/>
                <w:spacing w:val="0"/>
                <w:sz w:val="24"/>
                <w:szCs w:val="24"/>
              </w:rPr>
              <w:t>右岸坝段建基面高程36</w:t>
            </w:r>
            <w:r>
              <w:rPr>
                <w:rFonts w:hint="eastAsia" w:ascii="Times New Roman" w:hAnsi="Times New Roman" w:eastAsia="Times New Roman" w:cs="Times New Roman"/>
                <w:b w:val="0"/>
                <w:bCs w:val="0"/>
                <w:color w:val="auto"/>
                <w:spacing w:val="0"/>
                <w:sz w:val="24"/>
                <w:szCs w:val="24"/>
                <w:lang w:val="en-US" w:eastAsia="zh-CN"/>
              </w:rPr>
              <w:t>6.4m</w:t>
            </w:r>
            <w:r>
              <w:rPr>
                <w:rFonts w:hint="eastAsia" w:ascii="Times New Roman" w:hAnsi="Times New Roman" w:eastAsia="Times New Roman" w:cs="Times New Roman"/>
                <w:b w:val="0"/>
                <w:bCs w:val="0"/>
                <w:color w:val="auto"/>
                <w:spacing w:val="0"/>
                <w:sz w:val="24"/>
                <w:szCs w:val="24"/>
              </w:rPr>
              <w:t>～37</w:t>
            </w:r>
            <w:r>
              <w:rPr>
                <w:rFonts w:hint="eastAsia" w:ascii="Times New Roman" w:hAnsi="Times New Roman" w:eastAsia="Times New Roman" w:cs="Times New Roman"/>
                <w:b w:val="0"/>
                <w:bCs w:val="0"/>
                <w:color w:val="auto"/>
                <w:spacing w:val="0"/>
                <w:sz w:val="24"/>
                <w:szCs w:val="24"/>
                <w:lang w:val="en-US" w:eastAsia="zh-CN"/>
              </w:rPr>
              <w:t>2.15m</w:t>
            </w:r>
            <w:r>
              <w:rPr>
                <w:rFonts w:hint="eastAsia" w:ascii="Times New Roman" w:hAnsi="Times New Roman" w:eastAsia="Times New Roman" w:cs="Times New Roman"/>
                <w:b w:val="0"/>
                <w:bCs w:val="0"/>
                <w:color w:val="auto"/>
                <w:spacing w:val="0"/>
                <w:sz w:val="24"/>
                <w:szCs w:val="24"/>
                <w:lang w:eastAsia="zh-CN"/>
              </w:rPr>
              <w:t>。</w:t>
            </w:r>
          </w:p>
          <w:p>
            <w:pPr>
              <w:pStyle w:val="40"/>
              <w:keepNext w:val="0"/>
              <w:keepLines w:val="0"/>
              <w:pageBreakBefore w:val="0"/>
              <w:widowControl w:val="0"/>
              <w:tabs>
                <w:tab w:val="left" w:pos="420"/>
                <w:tab w:val="left" w:pos="870"/>
                <w:tab w:val="left" w:pos="3150"/>
              </w:tabs>
              <w:kinsoku/>
              <w:wordWrap/>
              <w:overflowPunct/>
              <w:topLinePunct w:val="0"/>
              <w:autoSpaceDE w:val="0"/>
              <w:autoSpaceDN w:val="0"/>
              <w:bidi w:val="0"/>
              <w:adjustRightInd w:val="0"/>
              <w:snapToGrid w:val="0"/>
              <w:spacing w:after="0" w:line="360" w:lineRule="auto"/>
              <w:ind w:left="0" w:leftChars="0" w:right="0" w:firstLine="480" w:firstLineChars="200"/>
              <w:textAlignment w:val="baseline"/>
              <w:rPr>
                <w:rFonts w:hint="eastAsia" w:ascii="Times New Roman" w:hAnsi="Times New Roman" w:eastAsia="Times New Roman" w:cs="Times New Roman"/>
                <w:b w:val="0"/>
                <w:bCs w:val="0"/>
                <w:color w:val="auto"/>
                <w:spacing w:val="0"/>
                <w:sz w:val="24"/>
                <w:szCs w:val="24"/>
                <w:lang w:val="en-US" w:eastAsia="zh-CN"/>
              </w:rPr>
            </w:pPr>
            <w:r>
              <w:rPr>
                <w:rFonts w:hint="eastAsia" w:ascii="Times New Roman" w:hAnsi="Times New Roman" w:eastAsia="Times New Roman" w:cs="Times New Roman"/>
                <w:b w:val="0"/>
                <w:bCs w:val="0"/>
                <w:color w:val="auto"/>
                <w:spacing w:val="0"/>
                <w:sz w:val="24"/>
                <w:szCs w:val="24"/>
                <w:lang w:val="en-US" w:eastAsia="zh-CN"/>
              </w:rPr>
              <w:t>安福堰原堰顶高程为370.8m，由于年久失修改，冲毁严重，枯期难以达到取消要求，导致每年都要进行修护加固，增加工程安全隐患。为了不影响行洪安全，本次降低洪水期溢流坝面高程（提高洪水期行洪能力），加设枯水期可以升降的气盾坝，增设气盾坝不但可以满足安福堰枯期取水需要，同时也满足了苏稽古镇景观水域提升，最终确定溢流坝面为370.7m，气盾坝升起高度1m，即盾板溢流高程371.7m。</w:t>
            </w:r>
          </w:p>
          <w:p>
            <w:pPr>
              <w:pStyle w:val="40"/>
              <w:keepNext w:val="0"/>
              <w:keepLines w:val="0"/>
              <w:pageBreakBefore w:val="0"/>
              <w:widowControl w:val="0"/>
              <w:tabs>
                <w:tab w:val="left" w:pos="420"/>
                <w:tab w:val="left" w:pos="870"/>
                <w:tab w:val="left" w:pos="3150"/>
              </w:tabs>
              <w:kinsoku/>
              <w:wordWrap/>
              <w:overflowPunct/>
              <w:topLinePunct w:val="0"/>
              <w:autoSpaceDE w:val="0"/>
              <w:autoSpaceDN w:val="0"/>
              <w:bidi w:val="0"/>
              <w:adjustRightInd w:val="0"/>
              <w:snapToGrid w:val="0"/>
              <w:spacing w:after="0" w:line="360" w:lineRule="auto"/>
              <w:ind w:left="0" w:leftChars="0" w:right="0" w:firstLine="480" w:firstLineChars="200"/>
              <w:textAlignment w:val="baseline"/>
              <w:rPr>
                <w:rFonts w:hint="eastAsia" w:ascii="Times New Roman" w:hAnsi="Times New Roman" w:eastAsia="Times New Roman" w:cs="Times New Roman"/>
                <w:b w:val="0"/>
                <w:bCs w:val="0"/>
                <w:color w:val="auto"/>
                <w:spacing w:val="0"/>
                <w:sz w:val="24"/>
                <w:szCs w:val="24"/>
                <w:lang w:val="en-US" w:eastAsia="zh-CN"/>
              </w:rPr>
            </w:pPr>
            <w:r>
              <w:rPr>
                <w:rFonts w:hint="eastAsia" w:ascii="Times New Roman" w:hAnsi="Times New Roman" w:eastAsia="Times New Roman" w:cs="Times New Roman"/>
                <w:b w:val="0"/>
                <w:bCs w:val="0"/>
                <w:color w:val="auto"/>
                <w:spacing w:val="0"/>
                <w:sz w:val="24"/>
                <w:szCs w:val="24"/>
                <w:lang w:val="en-US" w:eastAsia="zh-CN"/>
              </w:rPr>
              <w:t>项目所在位置20年一遇规划洪水高程374.66m，本项目气盾所在位置为原安福堰位置，原安福堰堰顶高程370.8m，本次综合整治后，洪水情况气盾完全倒伏，在20年一遇洪水工况下，实施项目后洪水高程374.62m，低于现状河道洪水高程374.75m，且低于20年一遇规划洪水高程374.66m，因此项目建设未增加行洪压力，不影响规划的防洪标准。</w:t>
            </w:r>
          </w:p>
          <w:p>
            <w:pPr>
              <w:pStyle w:val="40"/>
              <w:keepNext w:val="0"/>
              <w:keepLines w:val="0"/>
              <w:pageBreakBefore w:val="0"/>
              <w:widowControl w:val="0"/>
              <w:tabs>
                <w:tab w:val="left" w:pos="420"/>
                <w:tab w:val="left" w:pos="870"/>
                <w:tab w:val="left" w:pos="3150"/>
              </w:tabs>
              <w:kinsoku/>
              <w:wordWrap/>
              <w:overflowPunct/>
              <w:topLinePunct w:val="0"/>
              <w:autoSpaceDE w:val="0"/>
              <w:autoSpaceDN w:val="0"/>
              <w:bidi w:val="0"/>
              <w:adjustRightInd w:val="0"/>
              <w:snapToGrid w:val="0"/>
              <w:spacing w:after="0" w:line="360" w:lineRule="auto"/>
              <w:ind w:left="0" w:leftChars="0" w:right="0" w:firstLine="480" w:firstLineChars="200"/>
              <w:textAlignment w:val="baseline"/>
              <w:rPr>
                <w:rFonts w:hint="eastAsia" w:ascii="Times New Roman" w:hAnsi="Times New Roman" w:eastAsia="Times New Roman" w:cs="Times New Roman"/>
                <w:b w:val="0"/>
                <w:bCs w:val="0"/>
                <w:color w:val="auto"/>
                <w:spacing w:val="0"/>
                <w:sz w:val="24"/>
                <w:szCs w:val="24"/>
                <w:lang w:val="en-US" w:eastAsia="zh-CN"/>
              </w:rPr>
            </w:pPr>
            <w:r>
              <w:rPr>
                <w:rFonts w:hint="eastAsia" w:ascii="Times New Roman" w:hAnsi="Times New Roman" w:eastAsia="Times New Roman" w:cs="Times New Roman"/>
                <w:b w:val="0"/>
                <w:bCs w:val="0"/>
                <w:color w:val="auto"/>
                <w:spacing w:val="0"/>
                <w:sz w:val="24"/>
                <w:szCs w:val="24"/>
                <w:lang w:val="en-US" w:eastAsia="zh-CN"/>
              </w:rPr>
              <w:t>气盾坝采用自动化控制设备，但在断电及失灵情况下，通过手动倒伏气盾闸，保证性高，因此本项目使用气盾闸是合理的。</w:t>
            </w:r>
          </w:p>
          <w:p>
            <w:pPr>
              <w:pStyle w:val="40"/>
              <w:keepNext w:val="0"/>
              <w:keepLines w:val="0"/>
              <w:pageBreakBefore w:val="0"/>
              <w:widowControl w:val="0"/>
              <w:tabs>
                <w:tab w:val="left" w:pos="420"/>
                <w:tab w:val="left" w:pos="870"/>
                <w:tab w:val="left" w:pos="3150"/>
              </w:tabs>
              <w:kinsoku/>
              <w:wordWrap/>
              <w:overflowPunct/>
              <w:topLinePunct w:val="0"/>
              <w:autoSpaceDE w:val="0"/>
              <w:autoSpaceDN w:val="0"/>
              <w:bidi w:val="0"/>
              <w:adjustRightInd w:val="0"/>
              <w:snapToGrid w:val="0"/>
              <w:spacing w:after="0" w:line="360" w:lineRule="auto"/>
              <w:ind w:left="0" w:leftChars="0" w:right="0" w:firstLine="482" w:firstLineChars="200"/>
              <w:textAlignment w:val="baseline"/>
              <w:rPr>
                <w:rFonts w:hint="default" w:ascii="Times New Roman" w:hAnsi="Times New Roman" w:eastAsia="宋体" w:cs="Times New Roman"/>
                <w:b/>
                <w:bCs/>
                <w:color w:val="auto"/>
                <w:spacing w:val="0"/>
                <w:sz w:val="24"/>
                <w:szCs w:val="24"/>
                <w:lang w:val="en-US" w:eastAsia="zh-CN"/>
              </w:rPr>
            </w:pPr>
            <w:r>
              <w:rPr>
                <w:rFonts w:hint="eastAsia" w:ascii="Times New Roman" w:hAnsi="Times New Roman" w:eastAsia="宋体" w:cs="Times New Roman"/>
                <w:b/>
                <w:bCs/>
                <w:color w:val="auto"/>
                <w:spacing w:val="0"/>
                <w:sz w:val="24"/>
                <w:szCs w:val="24"/>
                <w:lang w:val="en-US" w:eastAsia="zh-CN"/>
              </w:rPr>
              <w:t>8.2泄水建筑物</w:t>
            </w:r>
          </w:p>
          <w:p>
            <w:pPr>
              <w:keepNext w:val="0"/>
              <w:keepLines w:val="0"/>
              <w:pageBreakBefore w:val="0"/>
              <w:widowControl w:val="0"/>
              <w:kinsoku/>
              <w:wordWrap/>
              <w:overflowPunct/>
              <w:topLinePunct w:val="0"/>
              <w:bidi w:val="0"/>
              <w:spacing w:line="360" w:lineRule="auto"/>
              <w:ind w:right="0" w:firstLine="480" w:firstLineChars="200"/>
              <w:rPr>
                <w:rFonts w:hint="eastAsia" w:ascii="Times New Roman" w:hAnsi="Times New Roman" w:eastAsia="Times New Roman" w:cs="Times New Roman"/>
                <w:b w:val="0"/>
                <w:bCs w:val="0"/>
                <w:color w:val="auto"/>
                <w:spacing w:val="0"/>
                <w:kern w:val="2"/>
                <w:sz w:val="24"/>
                <w:szCs w:val="24"/>
                <w:lang w:val="en-US" w:eastAsia="zh-CN" w:bidi="ar-SA"/>
              </w:rPr>
            </w:pPr>
            <w:r>
              <w:rPr>
                <w:rFonts w:hint="eastAsia" w:ascii="Times New Roman" w:hAnsi="Times New Roman" w:eastAsia="Times New Roman" w:cs="Times New Roman"/>
                <w:b w:val="0"/>
                <w:bCs w:val="0"/>
                <w:color w:val="auto"/>
                <w:spacing w:val="0"/>
                <w:kern w:val="2"/>
                <w:sz w:val="24"/>
                <w:szCs w:val="24"/>
                <w:lang w:val="en-US" w:eastAsia="zh-CN" w:bidi="ar-SA"/>
              </w:rPr>
              <w:t>溢流坝段位于河槽中心位置，本工程大坝为气盾坝，大坝即为泄洪建筑。桩号坝0+008.125～0+113.125m，采用折线形实用堰型，坝段长105.00m，泄流净宽105m。溢流表面0.3~0.7m厚采用C40HF钢筋砼。堰顶高程370.70m，堰上采用气盾闸挡水，正常蓄水位371.7m，可通过调节气盾闸挡水高度维持正常蓄水位371.7m~371.9m，流量超过274m</w:t>
            </w:r>
            <w:r>
              <w:rPr>
                <w:rFonts w:hint="eastAsia" w:ascii="Times New Roman" w:hAnsi="Times New Roman" w:eastAsia="Times New Roman" w:cs="Times New Roman"/>
                <w:b w:val="0"/>
                <w:bCs w:val="0"/>
                <w:color w:val="auto"/>
                <w:spacing w:val="0"/>
                <w:kern w:val="2"/>
                <w:sz w:val="24"/>
                <w:szCs w:val="24"/>
                <w:vertAlign w:val="superscript"/>
                <w:lang w:val="en-US" w:eastAsia="zh-CN" w:bidi="ar-SA"/>
              </w:rPr>
              <w:t>3</w:t>
            </w:r>
            <w:r>
              <w:rPr>
                <w:rFonts w:hint="eastAsia" w:ascii="Times New Roman" w:hAnsi="Times New Roman" w:eastAsia="Times New Roman" w:cs="Times New Roman"/>
                <w:b w:val="0"/>
                <w:bCs w:val="0"/>
                <w:color w:val="auto"/>
                <w:spacing w:val="0"/>
                <w:kern w:val="2"/>
                <w:sz w:val="24"/>
                <w:szCs w:val="24"/>
                <w:lang w:val="en-US" w:eastAsia="zh-CN" w:bidi="ar-SA"/>
              </w:rPr>
              <w:t>/s时，气盾闸完全倒伏，方便河道行洪。</w:t>
            </w:r>
          </w:p>
          <w:p>
            <w:pPr>
              <w:keepNext w:val="0"/>
              <w:keepLines w:val="0"/>
              <w:pageBreakBefore w:val="0"/>
              <w:widowControl w:val="0"/>
              <w:kinsoku/>
              <w:wordWrap/>
              <w:overflowPunct/>
              <w:topLinePunct w:val="0"/>
              <w:bidi w:val="0"/>
              <w:spacing w:line="360" w:lineRule="auto"/>
              <w:ind w:right="0" w:firstLine="480" w:firstLineChars="200"/>
              <w:rPr>
                <w:rFonts w:hint="eastAsia" w:ascii="Times New Roman" w:hAnsi="Times New Roman" w:eastAsia="Times New Roman" w:cs="Times New Roman"/>
                <w:b w:val="0"/>
                <w:bCs w:val="0"/>
                <w:color w:val="auto"/>
                <w:spacing w:val="0"/>
                <w:kern w:val="2"/>
                <w:sz w:val="24"/>
                <w:szCs w:val="24"/>
                <w:lang w:val="en-US" w:eastAsia="zh-CN" w:bidi="ar-SA"/>
              </w:rPr>
            </w:pPr>
            <w:r>
              <w:rPr>
                <w:rFonts w:hint="eastAsia" w:ascii="Times New Roman" w:hAnsi="Times New Roman" w:eastAsia="Times New Roman" w:cs="Times New Roman"/>
                <w:b w:val="0"/>
                <w:bCs w:val="0"/>
                <w:color w:val="auto"/>
                <w:spacing w:val="0"/>
                <w:kern w:val="2"/>
                <w:sz w:val="24"/>
                <w:szCs w:val="24"/>
                <w:lang w:val="en-US" w:eastAsia="zh-CN" w:bidi="ar-SA"/>
              </w:rPr>
              <w:t>溢流坝建基面高程367.70m，堰体上下游面铅直，堰顶设长水平段以利于气盾闸安装，溢流坝顺水流向长度9.5m，堰体采用C25钢筋砼浇筑。溢流坝下游设计跌水及消力池消能，消力池后接海漫。</w:t>
            </w:r>
          </w:p>
          <w:p>
            <w:pPr>
              <w:pStyle w:val="40"/>
              <w:keepNext w:val="0"/>
              <w:keepLines w:val="0"/>
              <w:pageBreakBefore w:val="0"/>
              <w:widowControl w:val="0"/>
              <w:tabs>
                <w:tab w:val="left" w:pos="420"/>
                <w:tab w:val="left" w:pos="870"/>
                <w:tab w:val="left" w:pos="3150"/>
              </w:tabs>
              <w:kinsoku/>
              <w:wordWrap/>
              <w:overflowPunct/>
              <w:topLinePunct w:val="0"/>
              <w:autoSpaceDE w:val="0"/>
              <w:autoSpaceDN w:val="0"/>
              <w:bidi w:val="0"/>
              <w:adjustRightInd w:val="0"/>
              <w:snapToGrid w:val="0"/>
              <w:spacing w:after="0" w:line="360" w:lineRule="auto"/>
              <w:ind w:left="0" w:leftChars="0" w:right="0" w:firstLine="482" w:firstLineChars="200"/>
              <w:textAlignment w:val="baseline"/>
              <w:rPr>
                <w:rFonts w:hint="default" w:ascii="Times New Roman" w:hAnsi="Times New Roman" w:eastAsia="宋体" w:cs="Times New Roman"/>
                <w:b/>
                <w:bCs/>
                <w:color w:val="auto"/>
                <w:spacing w:val="0"/>
                <w:sz w:val="24"/>
                <w:szCs w:val="24"/>
                <w:lang w:val="en-US" w:eastAsia="zh-CN"/>
              </w:rPr>
            </w:pPr>
            <w:r>
              <w:rPr>
                <w:rFonts w:hint="eastAsia" w:ascii="Times New Roman" w:hAnsi="Times New Roman" w:eastAsia="宋体" w:cs="Times New Roman"/>
                <w:b/>
                <w:bCs/>
                <w:color w:val="auto"/>
                <w:spacing w:val="0"/>
                <w:sz w:val="24"/>
                <w:szCs w:val="24"/>
                <w:lang w:val="en-US" w:eastAsia="zh-CN"/>
              </w:rPr>
              <w:t>8.3整治后安福堰运行方式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Times New Roman" w:cs="Times New Roman"/>
                <w:b w:val="0"/>
                <w:bCs w:val="0"/>
                <w:color w:val="auto"/>
                <w:spacing w:val="0"/>
                <w:kern w:val="2"/>
                <w:sz w:val="24"/>
                <w:szCs w:val="24"/>
                <w:lang w:val="en-US" w:eastAsia="zh-CN" w:bidi="ar-SA"/>
              </w:rPr>
            </w:pPr>
            <w:r>
              <w:rPr>
                <w:rFonts w:hint="eastAsia" w:ascii="Times New Roman" w:hAnsi="Times New Roman" w:eastAsia="Times New Roman" w:cs="Times New Roman"/>
                <w:b w:val="0"/>
                <w:bCs w:val="0"/>
                <w:color w:val="auto"/>
                <w:spacing w:val="0"/>
                <w:kern w:val="2"/>
                <w:sz w:val="24"/>
                <w:szCs w:val="24"/>
                <w:lang w:val="en-US" w:eastAsia="zh-CN" w:bidi="ar-SA"/>
              </w:rPr>
              <w:t>安福堰工程任务是以农田灌溉为主兼顾河湖生态治理等功能。其综合利用要求是满足已成灌区范围的灌溉用水要求、苏稽古镇枯水期河床景观水位的要求。</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Times New Roman" w:cs="Times New Roman"/>
                <w:b w:val="0"/>
                <w:bCs w:val="0"/>
                <w:color w:val="auto"/>
                <w:spacing w:val="0"/>
                <w:kern w:val="2"/>
                <w:sz w:val="24"/>
                <w:szCs w:val="24"/>
                <w:lang w:val="en-US" w:eastAsia="zh-CN" w:bidi="ar-SA"/>
              </w:rPr>
            </w:pPr>
            <w:r>
              <w:rPr>
                <w:rFonts w:hint="eastAsia" w:ascii="Times New Roman" w:hAnsi="Times New Roman" w:eastAsia="Times New Roman" w:cs="Times New Roman"/>
                <w:b w:val="0"/>
                <w:bCs w:val="0"/>
                <w:color w:val="auto"/>
                <w:spacing w:val="0"/>
                <w:kern w:val="2"/>
                <w:sz w:val="24"/>
                <w:szCs w:val="24"/>
                <w:lang w:val="en-US" w:eastAsia="zh-CN" w:bidi="ar-SA"/>
              </w:rPr>
              <w:t>安福堰整治后，气盾坝盾板主要安装在河槽段及取水口，河槽段的气盾闸主要用于枯期景观挡水及洪期泄洪，取水口的气盾闸主要用于灌溉取水及气盾坝检修。其运行方式为：枯期（</w:t>
            </w:r>
            <w:r>
              <w:rPr>
                <w:rFonts w:hint="default" w:ascii="Times New Roman" w:hAnsi="Times New Roman" w:eastAsia="Times New Roman" w:cs="Times New Roman"/>
                <w:b w:val="0"/>
                <w:bCs w:val="0"/>
                <w:color w:val="auto"/>
                <w:spacing w:val="0"/>
                <w:kern w:val="2"/>
                <w:sz w:val="24"/>
                <w:szCs w:val="24"/>
                <w:lang w:val="en-US" w:eastAsia="zh-CN" w:bidi="ar-SA"/>
              </w:rPr>
              <w:t>10</w:t>
            </w:r>
            <w:r>
              <w:rPr>
                <w:rFonts w:hint="eastAsia" w:ascii="Times New Roman" w:hAnsi="Times New Roman" w:eastAsia="Times New Roman" w:cs="Times New Roman"/>
                <w:b w:val="0"/>
                <w:bCs w:val="0"/>
                <w:color w:val="auto"/>
                <w:spacing w:val="0"/>
                <w:kern w:val="2"/>
                <w:sz w:val="24"/>
                <w:szCs w:val="24"/>
                <w:lang w:val="en-US" w:eastAsia="zh-CN" w:bidi="ar-SA"/>
              </w:rPr>
              <w:t>月至次年</w:t>
            </w:r>
            <w:r>
              <w:rPr>
                <w:rFonts w:hint="default" w:ascii="Times New Roman" w:hAnsi="Times New Roman" w:eastAsia="Times New Roman" w:cs="Times New Roman"/>
                <w:b w:val="0"/>
                <w:bCs w:val="0"/>
                <w:color w:val="auto"/>
                <w:spacing w:val="0"/>
                <w:kern w:val="2"/>
                <w:sz w:val="24"/>
                <w:szCs w:val="24"/>
                <w:lang w:val="en-US" w:eastAsia="zh-CN" w:bidi="ar-SA"/>
              </w:rPr>
              <w:t>4</w:t>
            </w:r>
            <w:r>
              <w:rPr>
                <w:rFonts w:hint="eastAsia" w:ascii="Times New Roman" w:hAnsi="Times New Roman" w:eastAsia="Times New Roman" w:cs="Times New Roman"/>
                <w:b w:val="0"/>
                <w:bCs w:val="0"/>
                <w:color w:val="auto"/>
                <w:spacing w:val="0"/>
                <w:kern w:val="2"/>
                <w:sz w:val="24"/>
                <w:szCs w:val="24"/>
                <w:lang w:val="en-US" w:eastAsia="zh-CN" w:bidi="ar-SA"/>
              </w:rPr>
              <w:t>月），气盾闸采用智能化控制，气盾坝正常水位</w:t>
            </w:r>
            <w:r>
              <w:rPr>
                <w:rFonts w:hint="default" w:ascii="Times New Roman" w:hAnsi="Times New Roman" w:eastAsia="Times New Roman" w:cs="Times New Roman"/>
                <w:b w:val="0"/>
                <w:bCs w:val="0"/>
                <w:color w:val="auto"/>
                <w:spacing w:val="0"/>
                <w:kern w:val="2"/>
                <w:sz w:val="24"/>
                <w:szCs w:val="24"/>
                <w:lang w:val="en-US" w:eastAsia="zh-CN" w:bidi="ar-SA"/>
              </w:rPr>
              <w:t>371.70m</w:t>
            </w:r>
            <w:r>
              <w:rPr>
                <w:rFonts w:hint="eastAsia" w:ascii="Times New Roman" w:hAnsi="Times New Roman" w:eastAsia="Times New Roman" w:cs="Times New Roman"/>
                <w:b w:val="0"/>
                <w:bCs w:val="0"/>
                <w:color w:val="auto"/>
                <w:spacing w:val="0"/>
                <w:kern w:val="2"/>
                <w:sz w:val="24"/>
                <w:szCs w:val="24"/>
                <w:lang w:val="en-US" w:eastAsia="zh-CN" w:bidi="ar-SA"/>
              </w:rPr>
              <w:t>，当水位达到</w:t>
            </w:r>
            <w:r>
              <w:rPr>
                <w:rFonts w:hint="default" w:ascii="Times New Roman" w:hAnsi="Times New Roman" w:eastAsia="Times New Roman" w:cs="Times New Roman"/>
                <w:b w:val="0"/>
                <w:bCs w:val="0"/>
                <w:color w:val="auto"/>
                <w:spacing w:val="0"/>
                <w:kern w:val="2"/>
                <w:sz w:val="24"/>
                <w:szCs w:val="24"/>
                <w:lang w:val="en-US" w:eastAsia="zh-CN" w:bidi="ar-SA"/>
              </w:rPr>
              <w:t>371.9m</w:t>
            </w:r>
            <w:r>
              <w:rPr>
                <w:rFonts w:hint="eastAsia" w:ascii="Times New Roman" w:hAnsi="Times New Roman" w:eastAsia="Times New Roman" w:cs="Times New Roman"/>
                <w:b w:val="0"/>
                <w:bCs w:val="0"/>
                <w:color w:val="auto"/>
                <w:spacing w:val="0"/>
                <w:kern w:val="2"/>
                <w:sz w:val="24"/>
                <w:szCs w:val="24"/>
                <w:lang w:val="en-US" w:eastAsia="zh-CN" w:bidi="ar-SA"/>
              </w:rPr>
              <w:t>时，启动气盾闸，通过调节气盾坝升降来控制水位；当水位继续上升，控制气盾闸缓慢倒伏，坝顶水深达到</w:t>
            </w:r>
            <w:r>
              <w:rPr>
                <w:rFonts w:hint="default" w:ascii="Times New Roman" w:hAnsi="Times New Roman" w:eastAsia="Times New Roman" w:cs="Times New Roman"/>
                <w:b w:val="0"/>
                <w:bCs w:val="0"/>
                <w:color w:val="auto"/>
                <w:spacing w:val="0"/>
                <w:kern w:val="2"/>
                <w:sz w:val="24"/>
                <w:szCs w:val="24"/>
                <w:lang w:val="en-US" w:eastAsia="zh-CN" w:bidi="ar-SA"/>
              </w:rPr>
              <w:t>0.6m</w:t>
            </w:r>
            <w:r>
              <w:rPr>
                <w:rFonts w:hint="eastAsia" w:ascii="Times New Roman" w:hAnsi="Times New Roman" w:eastAsia="Times New Roman" w:cs="Times New Roman"/>
                <w:b w:val="0"/>
                <w:bCs w:val="0"/>
                <w:color w:val="auto"/>
                <w:spacing w:val="0"/>
                <w:kern w:val="2"/>
                <w:sz w:val="24"/>
                <w:szCs w:val="24"/>
                <w:lang w:val="en-US" w:eastAsia="zh-CN" w:bidi="ar-SA"/>
              </w:rPr>
              <w:t>时，则实施完全倒伏，洪水过后再升起气盾闸；汛期（</w:t>
            </w:r>
            <w:r>
              <w:rPr>
                <w:rFonts w:hint="default" w:ascii="Times New Roman" w:hAnsi="Times New Roman" w:eastAsia="Times New Roman" w:cs="Times New Roman"/>
                <w:b w:val="0"/>
                <w:bCs w:val="0"/>
                <w:color w:val="auto"/>
                <w:spacing w:val="0"/>
                <w:kern w:val="2"/>
                <w:sz w:val="24"/>
                <w:szCs w:val="24"/>
                <w:lang w:val="en-US" w:eastAsia="zh-CN" w:bidi="ar-SA"/>
              </w:rPr>
              <w:t xml:space="preserve">5~9 </w:t>
            </w:r>
            <w:r>
              <w:rPr>
                <w:rFonts w:hint="eastAsia" w:ascii="Times New Roman" w:hAnsi="Times New Roman" w:eastAsia="Times New Roman" w:cs="Times New Roman"/>
                <w:b w:val="0"/>
                <w:bCs w:val="0"/>
                <w:color w:val="auto"/>
                <w:spacing w:val="0"/>
                <w:kern w:val="2"/>
                <w:sz w:val="24"/>
                <w:szCs w:val="24"/>
                <w:lang w:val="en-US" w:eastAsia="zh-CN" w:bidi="ar-SA"/>
              </w:rPr>
              <w:t>月）气盾坝完全倒伏。</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4" w:type="dxa"/>
                  <w:noWrap w:val="0"/>
                  <w:vAlign w:val="top"/>
                </w:tcPr>
                <w:p>
                  <w:pPr>
                    <w:pStyle w:val="2"/>
                    <w:rPr>
                      <w:rFonts w:hint="eastAsia" w:ascii="Times New Roman" w:hAnsi="Times New Roman" w:eastAsia="Times New Roman" w:cs="Times New Roman"/>
                      <w:b w:val="0"/>
                      <w:bCs w:val="0"/>
                      <w:color w:val="auto"/>
                      <w:spacing w:val="0"/>
                      <w:kern w:val="2"/>
                      <w:sz w:val="24"/>
                      <w:szCs w:val="24"/>
                      <w:vertAlign w:val="baseline"/>
                      <w:lang w:val="en-US" w:eastAsia="zh-CN" w:bidi="ar-SA"/>
                    </w:rPr>
                  </w:pPr>
                  <w:r>
                    <w:drawing>
                      <wp:inline distT="0" distB="0" distL="114300" distR="114300">
                        <wp:extent cx="4909185" cy="2848610"/>
                        <wp:effectExtent l="0" t="0" r="5715" b="8890"/>
                        <wp:docPr id="20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14"/>
                                <pic:cNvPicPr>
                                  <a:picLocks noChangeAspect="1"/>
                                </pic:cNvPicPr>
                              </pic:nvPicPr>
                              <pic:blipFill>
                                <a:blip r:embed="rId36"/>
                                <a:stretch>
                                  <a:fillRect/>
                                </a:stretch>
                              </pic:blipFill>
                              <pic:spPr>
                                <a:xfrm>
                                  <a:off x="0" y="0"/>
                                  <a:ext cx="4909185" cy="28486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4" w:type="dxa"/>
                  <w:noWrap w:val="0"/>
                  <w:vAlign w:val="top"/>
                </w:tcPr>
                <w:p>
                  <w:pPr>
                    <w:pStyle w:val="2"/>
                    <w:jc w:val="center"/>
                    <w:rPr>
                      <w:rFonts w:hint="default" w:eastAsia="宋体"/>
                      <w:lang w:val="en-US" w:eastAsia="zh-CN"/>
                    </w:rPr>
                  </w:pPr>
                  <w:r>
                    <w:rPr>
                      <w:rFonts w:hint="default" w:ascii="Times New Roman" w:hAnsi="Times New Roman" w:cs="Times New Roman"/>
                      <w:b/>
                      <w:bCs/>
                      <w:sz w:val="21"/>
                      <w:szCs w:val="21"/>
                      <w:lang w:val="en-US" w:eastAsia="zh-CN"/>
                    </w:rPr>
                    <w:t>图</w:t>
                  </w:r>
                  <w:r>
                    <w:rPr>
                      <w:rFonts w:hint="eastAsia" w:ascii="Times New Roman" w:hAnsi="Times New Roman" w:cs="Times New Roman"/>
                      <w:b/>
                      <w:bCs/>
                      <w:sz w:val="21"/>
                      <w:szCs w:val="21"/>
                      <w:lang w:val="en-US" w:eastAsia="zh-CN"/>
                    </w:rPr>
                    <w:t>2-2</w:t>
                  </w:r>
                  <w:r>
                    <w:rPr>
                      <w:rFonts w:hint="default" w:ascii="Times New Roman" w:hAnsi="Times New Roman" w:cs="Times New Roman"/>
                      <w:b/>
                      <w:bCs/>
                      <w:sz w:val="21"/>
                      <w:szCs w:val="21"/>
                      <w:lang w:val="en-US" w:eastAsia="zh-CN"/>
                    </w:rPr>
                    <w:t xml:space="preserve">  气盾坝运行程序示意图</w:t>
                  </w:r>
                </w:p>
              </w:tc>
            </w:tr>
          </w:tbl>
          <w:p>
            <w:pPr>
              <w:pStyle w:val="40"/>
              <w:keepNext w:val="0"/>
              <w:keepLines w:val="0"/>
              <w:pageBreakBefore w:val="0"/>
              <w:widowControl w:val="0"/>
              <w:tabs>
                <w:tab w:val="left" w:pos="420"/>
                <w:tab w:val="left" w:pos="870"/>
                <w:tab w:val="left" w:pos="3150"/>
              </w:tabs>
              <w:kinsoku/>
              <w:wordWrap/>
              <w:overflowPunct/>
              <w:topLinePunct w:val="0"/>
              <w:autoSpaceDE w:val="0"/>
              <w:autoSpaceDN w:val="0"/>
              <w:bidi w:val="0"/>
              <w:adjustRightInd w:val="0"/>
              <w:snapToGrid w:val="0"/>
              <w:spacing w:after="0" w:line="360" w:lineRule="auto"/>
              <w:ind w:left="0" w:leftChars="0" w:right="0" w:firstLine="480" w:firstLineChars="200"/>
              <w:textAlignment w:val="baseline"/>
              <w:rPr>
                <w:rFonts w:hint="default" w:ascii="Times New Roman" w:hAnsi="Times New Roman" w:eastAsia="Times New Roman" w:cs="Times New Roman"/>
                <w:b/>
                <w:bCs/>
                <w:color w:val="auto"/>
                <w:spacing w:val="0"/>
                <w:kern w:val="2"/>
                <w:sz w:val="24"/>
                <w:szCs w:val="24"/>
                <w:lang w:val="en-US" w:eastAsia="zh-CN" w:bidi="ar-SA"/>
              </w:rPr>
            </w:pPr>
            <w:r>
              <w:rPr>
                <w:rFonts w:hint="eastAsia" w:ascii="Times New Roman" w:hAnsi="Times New Roman" w:eastAsia="Times New Roman" w:cs="Times New Roman"/>
                <w:b/>
                <w:bCs/>
                <w:color w:val="auto"/>
                <w:spacing w:val="0"/>
                <w:kern w:val="2"/>
                <w:sz w:val="24"/>
                <w:szCs w:val="24"/>
                <w:lang w:val="en-US" w:eastAsia="zh-CN" w:bidi="ar-SA"/>
              </w:rPr>
              <w:t>9、消能建筑物</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Times New Roman" w:hAnsi="Times New Roman" w:eastAsia="Times New Roman" w:cs="Times New Roman"/>
                <w:b w:val="0"/>
                <w:bCs w:val="0"/>
                <w:color w:val="auto"/>
                <w:spacing w:val="0"/>
                <w:kern w:val="2"/>
                <w:sz w:val="24"/>
                <w:szCs w:val="24"/>
                <w:lang w:val="en-US" w:eastAsia="zh-CN" w:bidi="ar-SA"/>
              </w:rPr>
            </w:pPr>
            <w:r>
              <w:rPr>
                <w:rFonts w:hint="eastAsia" w:ascii="Times New Roman" w:hAnsi="Times New Roman" w:eastAsia="Times New Roman" w:cs="Times New Roman"/>
                <w:b w:val="0"/>
                <w:bCs w:val="0"/>
                <w:color w:val="auto"/>
                <w:spacing w:val="0"/>
                <w:kern w:val="2"/>
                <w:sz w:val="24"/>
                <w:szCs w:val="24"/>
                <w:lang w:val="en-US" w:eastAsia="zh-CN" w:bidi="ar-SA"/>
              </w:rPr>
              <w:t>大坝下游设护坦，护坦后接跌水、底流消能设施及海漫。护坦长15.5m，高程370.2m，末端设消力坎（兼做过河超墩步），坎顶高程370.3m。护坦底板厚度0.7m，底板面层采用C40钢筋HF砼浇筑，底板下层采用C25钢筋砼浇筑，护坦宽105m，基础置于稍密砂卵石上。鱼鳞跌水长度38m（含过河墩步），总宽105m，墩步顶高程370.8m，溢流面起点高程370.3m，末端高程367.0m，鱼鳞尺寸为直径8m的圆弧，每4.13m设一片鱼鳞，每片鱼鳞落差为0.413m，鱼鳞形跌水池内水深深0.406m；鱼鳞跌水底板基础平均厚度0.78m，底板采用C40钢筋HF砼浇筑，基础置于稍密砂卵石上。跌水后接消力池，宽105m，长23m，基础置于稍密砂卵石上，消力池底板厚度1~0.7m，池尾设排水孔，消力池池深0.8m，采用C40钢筋HF砼浇筑。消力池后为43m海漫，海漫厚度0.7m，采用大块卵石砌筑。</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Times New Roman" w:hAnsi="Times New Roman" w:eastAsia="Times New Roman" w:cs="Times New Roman"/>
                <w:b w:val="0"/>
                <w:bCs w:val="0"/>
                <w:color w:val="auto"/>
                <w:spacing w:val="0"/>
                <w:kern w:val="2"/>
                <w:sz w:val="24"/>
                <w:szCs w:val="24"/>
                <w:lang w:val="en-US" w:eastAsia="zh-CN" w:bidi="ar-SA"/>
              </w:rPr>
            </w:pPr>
            <w:r>
              <w:rPr>
                <w:rFonts w:hint="eastAsia" w:ascii="Times New Roman" w:hAnsi="Times New Roman" w:eastAsia="Times New Roman" w:cs="Times New Roman"/>
                <w:b w:val="0"/>
                <w:bCs w:val="0"/>
                <w:color w:val="auto"/>
                <w:spacing w:val="0"/>
                <w:kern w:val="2"/>
                <w:sz w:val="24"/>
                <w:szCs w:val="24"/>
                <w:lang w:val="en-US" w:eastAsia="zh-CN" w:bidi="ar-SA"/>
              </w:rPr>
              <w:t>铺盖及护坦两侧设护岸，护岸岸脚为衡重式挡墙护脚，挡墙建于基岩或中密砂卵石层上。跌水、消力池及海漫两侧设护岸，护岸岸脚为重力式挡墙护脚，挡墙建于基岩或中密砂卵石层上，挡墙迎水面为直墙，背坡采用土石回填。</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Times New Roman" w:hAnsi="Times New Roman" w:eastAsia="Times New Roman" w:cs="Times New Roman"/>
                <w:b w:val="0"/>
                <w:bCs w:val="0"/>
                <w:color w:val="auto"/>
                <w:spacing w:val="0"/>
                <w:kern w:val="2"/>
                <w:sz w:val="24"/>
                <w:szCs w:val="24"/>
                <w:lang w:val="en-US" w:eastAsia="zh-CN" w:bidi="ar-SA"/>
              </w:rPr>
            </w:pPr>
            <w:r>
              <w:rPr>
                <w:rFonts w:hint="eastAsia" w:ascii="Times New Roman" w:hAnsi="Times New Roman" w:eastAsia="Times New Roman" w:cs="Times New Roman"/>
                <w:b w:val="0"/>
                <w:bCs w:val="0"/>
                <w:color w:val="auto"/>
                <w:spacing w:val="0"/>
                <w:kern w:val="2"/>
                <w:sz w:val="24"/>
                <w:szCs w:val="24"/>
                <w:lang w:val="en-US" w:eastAsia="zh-CN" w:bidi="ar-SA"/>
              </w:rPr>
              <w:t>挡墙墙脚防冲齿墙深度1.4m，采用C25砼浇筑。</w:t>
            </w:r>
          </w:p>
          <w:p>
            <w:pPr>
              <w:pStyle w:val="40"/>
              <w:keepNext w:val="0"/>
              <w:keepLines w:val="0"/>
              <w:pageBreakBefore w:val="0"/>
              <w:widowControl w:val="0"/>
              <w:tabs>
                <w:tab w:val="left" w:pos="420"/>
                <w:tab w:val="left" w:pos="870"/>
                <w:tab w:val="left" w:pos="3150"/>
              </w:tabs>
              <w:kinsoku/>
              <w:wordWrap/>
              <w:overflowPunct/>
              <w:topLinePunct w:val="0"/>
              <w:autoSpaceDE w:val="0"/>
              <w:autoSpaceDN w:val="0"/>
              <w:bidi w:val="0"/>
              <w:adjustRightInd w:val="0"/>
              <w:snapToGrid w:val="0"/>
              <w:spacing w:after="0" w:line="360" w:lineRule="auto"/>
              <w:ind w:left="0" w:leftChars="0" w:right="0" w:firstLine="482" w:firstLineChars="200"/>
              <w:textAlignment w:val="baseline"/>
              <w:rPr>
                <w:rFonts w:hint="default" w:ascii="Times New Roman" w:hAnsi="Times New Roman" w:eastAsia="宋体" w:cs="Times New Roman"/>
                <w:b/>
                <w:bCs/>
                <w:color w:val="auto"/>
                <w:spacing w:val="0"/>
                <w:sz w:val="24"/>
                <w:szCs w:val="24"/>
                <w:lang w:val="en-US" w:eastAsia="zh-CN"/>
              </w:rPr>
            </w:pPr>
            <w:r>
              <w:rPr>
                <w:rFonts w:hint="eastAsia" w:ascii="Times New Roman" w:hAnsi="Times New Roman" w:eastAsia="宋体" w:cs="Times New Roman"/>
                <w:b/>
                <w:bCs/>
                <w:color w:val="auto"/>
                <w:spacing w:val="0"/>
                <w:sz w:val="24"/>
                <w:szCs w:val="24"/>
                <w:lang w:val="en-US" w:eastAsia="zh-CN"/>
              </w:rPr>
              <w:t>10、放空建筑物</w:t>
            </w:r>
          </w:p>
          <w:p>
            <w:pPr>
              <w:pStyle w:val="39"/>
              <w:keepNext w:val="0"/>
              <w:keepLines w:val="0"/>
              <w:pageBreakBefore w:val="0"/>
              <w:kinsoku/>
              <w:wordWrap/>
              <w:overflowPunct/>
              <w:topLinePunct w:val="0"/>
              <w:bidi w:val="0"/>
              <w:spacing w:before="0" w:after="0" w:line="360" w:lineRule="auto"/>
              <w:ind w:right="0" w:firstLine="520" w:firstLineChars="200"/>
              <w:rPr>
                <w:rFonts w:hint="eastAsia" w:ascii="Times New Roman" w:hAnsi="Times New Roman" w:eastAsia="宋体" w:cs="Times New Roman"/>
                <w:b/>
                <w:bCs/>
                <w:color w:val="auto"/>
                <w:spacing w:val="0"/>
                <w:sz w:val="24"/>
                <w:szCs w:val="24"/>
                <w:lang w:val="en-US" w:eastAsia="zh-CN"/>
              </w:rPr>
            </w:pPr>
            <w:r>
              <w:rPr>
                <w:rFonts w:hint="eastAsia" w:ascii="Times New Roman" w:hAnsi="Times New Roman" w:eastAsia="宋体" w:cs="宋体"/>
                <w:color w:val="auto"/>
                <w:sz w:val="24"/>
                <w:highlight w:val="none"/>
                <w:lang w:val="en-US" w:eastAsia="zh-CN"/>
              </w:rPr>
              <w:t>本工程气盾板完全倒伏时与原河床同高，因此不设置放空建筑物。</w:t>
            </w:r>
          </w:p>
          <w:p>
            <w:pPr>
              <w:keepNext w:val="0"/>
              <w:keepLines w:val="0"/>
              <w:pageBreakBefore w:val="0"/>
              <w:kinsoku/>
              <w:wordWrap/>
              <w:overflowPunct/>
              <w:topLinePunct w:val="0"/>
              <w:bidi w:val="0"/>
              <w:spacing w:line="360" w:lineRule="auto"/>
              <w:ind w:right="0" w:firstLine="482" w:firstLineChars="200"/>
              <w:rPr>
                <w:rFonts w:hint="default" w:ascii="Times New Roman" w:hAnsi="Times New Roman" w:eastAsia="宋体" w:cs="Times New Roman"/>
                <w:b/>
                <w:bCs/>
                <w:color w:val="auto"/>
                <w:spacing w:val="0"/>
                <w:sz w:val="24"/>
                <w:szCs w:val="24"/>
                <w:lang w:val="en-US" w:eastAsia="zh-CN"/>
              </w:rPr>
            </w:pPr>
            <w:r>
              <w:rPr>
                <w:rFonts w:hint="eastAsia" w:ascii="Times New Roman" w:hAnsi="Times New Roman" w:eastAsia="宋体" w:cs="Times New Roman"/>
                <w:b/>
                <w:bCs/>
                <w:color w:val="auto"/>
                <w:spacing w:val="0"/>
                <w:sz w:val="24"/>
                <w:szCs w:val="24"/>
                <w:lang w:val="en-US" w:eastAsia="zh-CN"/>
              </w:rPr>
              <w:t>11、河岸防护工程</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Times New Roman" w:hAnsi="Times New Roman" w:eastAsia="Times New Roman" w:cs="Times New Roman"/>
                <w:b w:val="0"/>
                <w:bCs w:val="0"/>
                <w:color w:val="auto"/>
                <w:spacing w:val="0"/>
                <w:kern w:val="2"/>
                <w:sz w:val="24"/>
                <w:szCs w:val="24"/>
                <w:lang w:val="en-US" w:eastAsia="zh-CN" w:bidi="ar-SA"/>
              </w:rPr>
            </w:pPr>
            <w:r>
              <w:rPr>
                <w:rFonts w:hint="eastAsia" w:ascii="Times New Roman" w:hAnsi="Times New Roman" w:eastAsia="Times New Roman" w:cs="Times New Roman"/>
                <w:b w:val="0"/>
                <w:bCs w:val="0"/>
                <w:color w:val="auto"/>
                <w:spacing w:val="0"/>
                <w:kern w:val="2"/>
                <w:sz w:val="24"/>
                <w:szCs w:val="24"/>
                <w:lang w:val="en-US" w:eastAsia="zh-CN" w:bidi="ar-SA"/>
              </w:rPr>
              <w:t>消力池后为43m海漫，海漫厚度0.7m，采用大块卵石砌筑。海漫下游与下游已疏浚河床衔接。</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Times New Roman" w:hAnsi="Times New Roman" w:eastAsia="Times New Roman" w:cs="Times New Roman"/>
                <w:b w:val="0"/>
                <w:bCs w:val="0"/>
                <w:color w:val="auto"/>
                <w:spacing w:val="0"/>
                <w:kern w:val="2"/>
                <w:sz w:val="24"/>
                <w:szCs w:val="24"/>
                <w:lang w:val="en-US" w:eastAsia="zh-CN" w:bidi="ar-SA"/>
              </w:rPr>
            </w:pPr>
            <w:r>
              <w:rPr>
                <w:rFonts w:hint="eastAsia" w:ascii="Times New Roman" w:hAnsi="Times New Roman" w:eastAsia="Times New Roman" w:cs="Times New Roman"/>
                <w:b w:val="0"/>
                <w:bCs w:val="0"/>
                <w:color w:val="auto"/>
                <w:spacing w:val="0"/>
                <w:kern w:val="2"/>
                <w:sz w:val="24"/>
                <w:szCs w:val="24"/>
                <w:lang w:val="en-US" w:eastAsia="zh-CN" w:bidi="ar-SA"/>
              </w:rPr>
              <w:t>铺盖及护坦两侧设护岸，护岸岸脚为衡重式挡墙护脚，挡墙建于基岩或中密砂卵石层上。跌水、消力池及海漫两侧设护岸，护岸岸脚为重力式挡墙护脚，挡墙建于基岩或中密砂卵石层上，挡墙迎水面为直墙，背坡采用土石回填。</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Times New Roman" w:hAnsi="Times New Roman" w:eastAsia="Times New Roman" w:cs="Times New Roman"/>
                <w:b w:val="0"/>
                <w:bCs w:val="0"/>
                <w:color w:val="auto"/>
                <w:spacing w:val="0"/>
                <w:kern w:val="2"/>
                <w:sz w:val="24"/>
                <w:szCs w:val="24"/>
                <w:lang w:val="en-US" w:eastAsia="zh-CN" w:bidi="ar-SA"/>
              </w:rPr>
            </w:pPr>
            <w:r>
              <w:rPr>
                <w:rFonts w:hint="eastAsia" w:ascii="Times New Roman" w:hAnsi="Times New Roman" w:eastAsia="Times New Roman" w:cs="Times New Roman"/>
                <w:b w:val="0"/>
                <w:bCs w:val="0"/>
                <w:color w:val="auto"/>
                <w:spacing w:val="0"/>
                <w:kern w:val="2"/>
                <w:sz w:val="24"/>
                <w:szCs w:val="24"/>
                <w:lang w:val="en-US" w:eastAsia="zh-CN" w:bidi="ar-SA"/>
              </w:rPr>
              <w:t>挡墙墙脚防冲齿墙深度1.4m，采用C25砼浇筑。</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Times New Roman" w:cs="Times New Roman"/>
                <w:b/>
                <w:bCs/>
                <w:color w:val="auto"/>
                <w:spacing w:val="0"/>
                <w:kern w:val="2"/>
                <w:sz w:val="24"/>
                <w:szCs w:val="24"/>
                <w:lang w:val="en-US" w:eastAsia="zh-CN" w:bidi="ar-SA"/>
              </w:rPr>
            </w:pPr>
            <w:r>
              <w:rPr>
                <w:rFonts w:hint="eastAsia" w:ascii="Times New Roman" w:hAnsi="Times New Roman" w:eastAsia="Times New Roman" w:cs="Times New Roman"/>
                <w:b/>
                <w:bCs/>
                <w:color w:val="auto"/>
                <w:spacing w:val="0"/>
                <w:kern w:val="2"/>
                <w:sz w:val="24"/>
                <w:szCs w:val="24"/>
                <w:lang w:val="en-US" w:eastAsia="zh-CN" w:bidi="ar-SA"/>
              </w:rPr>
              <w:t>12、取水工程</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Times New Roman" w:hAnsi="Times New Roman" w:eastAsia="Times New Roman" w:cs="Times New Roman"/>
                <w:b w:val="0"/>
                <w:bCs w:val="0"/>
                <w:color w:val="auto"/>
                <w:spacing w:val="0"/>
                <w:kern w:val="2"/>
                <w:sz w:val="24"/>
                <w:szCs w:val="24"/>
                <w:lang w:val="en-US" w:eastAsia="zh-CN" w:bidi="ar-SA"/>
              </w:rPr>
            </w:pPr>
            <w:r>
              <w:rPr>
                <w:rFonts w:hint="eastAsia" w:ascii="Times New Roman" w:hAnsi="Times New Roman" w:eastAsia="Times New Roman" w:cs="Times New Roman"/>
                <w:b w:val="0"/>
                <w:bCs w:val="0"/>
                <w:color w:val="auto"/>
                <w:spacing w:val="0"/>
                <w:kern w:val="2"/>
                <w:sz w:val="24"/>
                <w:szCs w:val="24"/>
                <w:lang w:val="en-US" w:eastAsia="zh-CN" w:bidi="ar-SA"/>
              </w:rPr>
              <w:t>取水口采用开敞式实用堰溢流，堰顶高程与气盾坝设计顶高程相同，开口宽度与气盾坝长度比例根据各月需水量及相应月最小来水流量比例近似，并通过计算确定最小开口宽度。取水口河段（P=75%）最小来水量在1月，来水流量为1.81m</w:t>
            </w:r>
            <w:r>
              <w:rPr>
                <w:rFonts w:hint="eastAsia" w:ascii="Times New Roman" w:hAnsi="Times New Roman" w:eastAsia="Times New Roman" w:cs="Times New Roman"/>
                <w:b w:val="0"/>
                <w:bCs w:val="0"/>
                <w:color w:val="auto"/>
                <w:spacing w:val="0"/>
                <w:kern w:val="2"/>
                <w:sz w:val="24"/>
                <w:szCs w:val="24"/>
                <w:vertAlign w:val="superscript"/>
                <w:lang w:val="en-US" w:eastAsia="zh-CN" w:bidi="ar-SA"/>
              </w:rPr>
              <w:t>3</w:t>
            </w:r>
            <w:r>
              <w:rPr>
                <w:rFonts w:hint="eastAsia" w:ascii="Times New Roman" w:hAnsi="Times New Roman" w:eastAsia="Times New Roman" w:cs="Times New Roman"/>
                <w:b w:val="0"/>
                <w:bCs w:val="0"/>
                <w:color w:val="auto"/>
                <w:spacing w:val="0"/>
                <w:kern w:val="2"/>
                <w:sz w:val="24"/>
                <w:szCs w:val="24"/>
                <w:lang w:val="en-US" w:eastAsia="zh-CN" w:bidi="ar-SA"/>
              </w:rPr>
              <w:t>/s。根据灌水率的计算，1月灌溉需水流量为0.11m</w:t>
            </w:r>
            <w:r>
              <w:rPr>
                <w:rFonts w:hint="eastAsia" w:ascii="Times New Roman" w:hAnsi="Times New Roman" w:eastAsia="Times New Roman" w:cs="Times New Roman"/>
                <w:b w:val="0"/>
                <w:bCs w:val="0"/>
                <w:color w:val="auto"/>
                <w:spacing w:val="0"/>
                <w:kern w:val="2"/>
                <w:sz w:val="24"/>
                <w:szCs w:val="24"/>
                <w:vertAlign w:val="superscript"/>
                <w:lang w:val="en-US" w:eastAsia="zh-CN" w:bidi="ar-SA"/>
              </w:rPr>
              <w:t>3</w:t>
            </w:r>
            <w:r>
              <w:rPr>
                <w:rFonts w:hint="eastAsia" w:ascii="Times New Roman" w:hAnsi="Times New Roman" w:eastAsia="Times New Roman" w:cs="Times New Roman"/>
                <w:b w:val="0"/>
                <w:bCs w:val="0"/>
                <w:color w:val="auto"/>
                <w:spacing w:val="0"/>
                <w:kern w:val="2"/>
                <w:sz w:val="24"/>
                <w:szCs w:val="24"/>
                <w:lang w:val="en-US" w:eastAsia="zh-CN" w:bidi="ar-SA"/>
              </w:rPr>
              <w:t>/s，经计算取水口开口宽度为8.5m，设计开口宽度8.75m。</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pacing w:val="0"/>
                <w:sz w:val="24"/>
                <w:szCs w:val="24"/>
                <w:lang w:val="en-US" w:eastAsia="zh-CN"/>
              </w:rPr>
            </w:pPr>
            <w:r>
              <w:rPr>
                <w:rFonts w:hint="eastAsia" w:ascii="Times New Roman" w:hAnsi="Times New Roman" w:eastAsia="宋体" w:cs="Times New Roman"/>
                <w:b/>
                <w:bCs/>
                <w:color w:val="auto"/>
                <w:spacing w:val="0"/>
                <w:sz w:val="24"/>
                <w:szCs w:val="24"/>
                <w:lang w:val="en-US" w:eastAsia="zh-CN"/>
              </w:rPr>
              <w:t>13、引水渠道工程</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Times New Roman" w:cs="Times New Roman"/>
                <w:b w:val="0"/>
                <w:bCs w:val="0"/>
                <w:color w:val="auto"/>
                <w:spacing w:val="0"/>
                <w:kern w:val="2"/>
                <w:sz w:val="24"/>
                <w:szCs w:val="24"/>
                <w:lang w:val="en-US" w:eastAsia="zh-CN" w:bidi="ar-SA"/>
              </w:rPr>
            </w:pPr>
            <w:r>
              <w:rPr>
                <w:rFonts w:hint="eastAsia" w:ascii="Times New Roman" w:hAnsi="Times New Roman" w:eastAsia="Times New Roman" w:cs="Times New Roman"/>
                <w:b w:val="0"/>
                <w:bCs w:val="0"/>
                <w:color w:val="auto"/>
                <w:spacing w:val="0"/>
                <w:kern w:val="2"/>
                <w:sz w:val="24"/>
                <w:szCs w:val="24"/>
                <w:lang w:val="en-US" w:eastAsia="zh-CN" w:bidi="ar-SA"/>
              </w:rPr>
              <w:t>安福堰引水渠由于周边居民区密集，从取水口至下游650m为沿河道布置的引水渠道，其中310.6m由于冲毁严重，本次对其进行拆除重建，拆建的渠道采用C25砼进行衬砌，渠道采用梯形渠道，渠底宽4m，渠底板厚度20cm，渠道边坡系数1：2，厚度25cm，渠道纵向坡度根据原有渠道纵坡布置，坡比为13/10000。渠道靠岸一侧在过水断面以上采用钢筋砼框格内植草护坡。</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pacing w:val="0"/>
                <w:sz w:val="24"/>
                <w:szCs w:val="24"/>
                <w:lang w:val="en-US" w:eastAsia="zh-CN"/>
              </w:rPr>
            </w:pPr>
            <w:r>
              <w:rPr>
                <w:rFonts w:hint="eastAsia" w:ascii="Times New Roman" w:hAnsi="Times New Roman" w:eastAsia="宋体" w:cs="Times New Roman"/>
                <w:b/>
                <w:bCs/>
                <w:color w:val="auto"/>
                <w:spacing w:val="0"/>
                <w:sz w:val="24"/>
                <w:szCs w:val="24"/>
                <w:lang w:val="en-US" w:eastAsia="zh-CN"/>
              </w:rPr>
              <w:t>14、渠道溢流设施</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Times New Roman" w:hAnsi="Times New Roman" w:eastAsia="Times New Roman" w:cs="Times New Roman"/>
                <w:b w:val="0"/>
                <w:bCs w:val="0"/>
                <w:color w:val="auto"/>
                <w:spacing w:val="0"/>
                <w:kern w:val="2"/>
                <w:sz w:val="24"/>
                <w:szCs w:val="24"/>
                <w:lang w:val="en-US" w:eastAsia="zh-CN" w:bidi="ar-SA"/>
              </w:rPr>
            </w:pPr>
            <w:r>
              <w:rPr>
                <w:rFonts w:hint="eastAsia" w:ascii="Times New Roman" w:hAnsi="Times New Roman" w:eastAsia="Times New Roman" w:cs="Times New Roman"/>
                <w:b w:val="0"/>
                <w:bCs w:val="0"/>
                <w:color w:val="auto"/>
                <w:spacing w:val="0"/>
                <w:kern w:val="2"/>
                <w:sz w:val="24"/>
                <w:szCs w:val="24"/>
                <w:lang w:val="en-US" w:eastAsia="zh-CN" w:bidi="ar-SA"/>
              </w:rPr>
              <w:t>本工程正常运行情况泄流段闸顶高程等于或低于取水闸顶高程，项目灌溉引水量远小于河道最小流量，且可以通过调节取水闸高于泄洪闸，使取水口流量保持在设计引水流量范围。但当大坝处于检修或者突然遭遇较大洪水未及时泄放时，通过设置渠道非常溢流口（备用溢流口），即在渠道桩号渠0+054.765m的设溢流口溢出多余水量，避免渠道下游流量较大造成渠道损坏，水流通过取水口下游的溢流堰回到主河道。</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Times New Roman" w:hAnsi="Times New Roman" w:eastAsia="Times New Roman" w:cs="Times New Roman"/>
                <w:b w:val="0"/>
                <w:bCs w:val="0"/>
                <w:color w:val="auto"/>
                <w:spacing w:val="0"/>
                <w:kern w:val="2"/>
                <w:sz w:val="24"/>
                <w:szCs w:val="24"/>
                <w:lang w:val="en-US" w:eastAsia="zh-CN" w:bidi="ar-SA"/>
              </w:rPr>
            </w:pPr>
            <w:r>
              <w:rPr>
                <w:rFonts w:hint="eastAsia" w:ascii="Times New Roman" w:hAnsi="Times New Roman" w:eastAsia="Times New Roman" w:cs="Times New Roman"/>
                <w:b w:val="0"/>
                <w:bCs w:val="0"/>
                <w:color w:val="auto"/>
                <w:spacing w:val="0"/>
                <w:kern w:val="2"/>
                <w:sz w:val="24"/>
                <w:szCs w:val="24"/>
                <w:lang w:val="en-US" w:eastAsia="zh-CN" w:bidi="ar-SA"/>
              </w:rPr>
              <w:t>本工程进水渠为可淹没的渠道，考虑到渠道与河道之间兼做景观平台，在下游用水量减少的时候通过溢流设施避免平台淹没，溢流设施采用5孔箱涵结构，宽顶堰进口，箱涵每孔宽净宽2m，高0.5m，壁厚0.2m，C25钢筋砼结构，溢流口总宽10m，最大溢流量12.5m</w:t>
            </w:r>
            <w:r>
              <w:rPr>
                <w:rFonts w:hint="eastAsia" w:ascii="Times New Roman" w:hAnsi="Times New Roman" w:eastAsia="Times New Roman" w:cs="Times New Roman"/>
                <w:b w:val="0"/>
                <w:bCs w:val="0"/>
                <w:color w:val="auto"/>
                <w:spacing w:val="0"/>
                <w:kern w:val="2"/>
                <w:sz w:val="24"/>
                <w:szCs w:val="24"/>
                <w:vertAlign w:val="superscript"/>
                <w:lang w:val="en-US" w:eastAsia="zh-CN" w:bidi="ar-SA"/>
              </w:rPr>
              <w:t>3</w:t>
            </w:r>
            <w:r>
              <w:rPr>
                <w:rFonts w:hint="eastAsia" w:ascii="Times New Roman" w:hAnsi="Times New Roman" w:eastAsia="Times New Roman" w:cs="Times New Roman"/>
                <w:b w:val="0"/>
                <w:bCs w:val="0"/>
                <w:color w:val="auto"/>
                <w:spacing w:val="0"/>
                <w:kern w:val="2"/>
                <w:sz w:val="24"/>
                <w:szCs w:val="24"/>
                <w:lang w:val="en-US" w:eastAsia="zh-CN" w:bidi="ar-SA"/>
              </w:rPr>
              <w:t>/s。</w:t>
            </w:r>
          </w:p>
          <w:p>
            <w:pPr>
              <w:pStyle w:val="40"/>
              <w:keepNext w:val="0"/>
              <w:keepLines w:val="0"/>
              <w:pageBreakBefore w:val="0"/>
              <w:widowControl w:val="0"/>
              <w:tabs>
                <w:tab w:val="left" w:pos="420"/>
                <w:tab w:val="left" w:pos="870"/>
                <w:tab w:val="left" w:pos="3150"/>
              </w:tabs>
              <w:kinsoku/>
              <w:wordWrap/>
              <w:overflowPunct/>
              <w:topLinePunct w:val="0"/>
              <w:autoSpaceDE w:val="0"/>
              <w:autoSpaceDN w:val="0"/>
              <w:bidi w:val="0"/>
              <w:adjustRightInd w:val="0"/>
              <w:snapToGrid w:val="0"/>
              <w:spacing w:after="0" w:line="360" w:lineRule="auto"/>
              <w:ind w:left="0" w:leftChars="0" w:right="0" w:firstLine="482" w:firstLineChars="200"/>
              <w:textAlignment w:val="baseline"/>
              <w:rPr>
                <w:rFonts w:hint="default" w:ascii="Times New Roman" w:hAnsi="Times New Roman" w:eastAsia="宋体" w:cs="Times New Roman"/>
                <w:b/>
                <w:bCs/>
                <w:color w:val="auto"/>
                <w:spacing w:val="0"/>
                <w:sz w:val="24"/>
                <w:szCs w:val="24"/>
                <w:lang w:val="en-US" w:eastAsia="zh-CN"/>
              </w:rPr>
            </w:pPr>
            <w:r>
              <w:rPr>
                <w:rFonts w:hint="eastAsia" w:ascii="Times New Roman" w:hAnsi="Times New Roman" w:eastAsia="宋体" w:cs="Times New Roman"/>
                <w:b/>
                <w:bCs/>
                <w:color w:val="auto"/>
                <w:spacing w:val="0"/>
                <w:sz w:val="24"/>
                <w:szCs w:val="24"/>
                <w:lang w:val="en-US" w:eastAsia="zh-CN"/>
              </w:rPr>
              <w:t>15、安全监测设施</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Times New Roman" w:hAnsi="Times New Roman" w:eastAsia="Times New Roman" w:cs="Times New Roman"/>
                <w:b w:val="0"/>
                <w:bCs w:val="0"/>
                <w:color w:val="auto"/>
                <w:spacing w:val="0"/>
                <w:kern w:val="2"/>
                <w:sz w:val="24"/>
                <w:szCs w:val="24"/>
                <w:lang w:val="en-US" w:eastAsia="zh-CN" w:bidi="ar-SA"/>
              </w:rPr>
            </w:pPr>
            <w:r>
              <w:rPr>
                <w:rFonts w:hint="eastAsia" w:ascii="Times New Roman" w:hAnsi="Times New Roman" w:eastAsia="Times New Roman" w:cs="Times New Roman"/>
                <w:b w:val="0"/>
                <w:bCs w:val="0"/>
                <w:color w:val="auto"/>
                <w:spacing w:val="0"/>
                <w:kern w:val="2"/>
                <w:sz w:val="24"/>
                <w:szCs w:val="24"/>
                <w:lang w:val="en-US" w:eastAsia="zh-CN" w:bidi="ar-SA"/>
              </w:rPr>
              <w:t>（1）大坝坝面竖向位移和水平位移观测</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Times New Roman" w:hAnsi="Times New Roman" w:eastAsia="Times New Roman" w:cs="Times New Roman"/>
                <w:b w:val="0"/>
                <w:bCs w:val="0"/>
                <w:color w:val="auto"/>
                <w:spacing w:val="0"/>
                <w:kern w:val="2"/>
                <w:sz w:val="24"/>
                <w:szCs w:val="24"/>
                <w:lang w:val="en-US" w:eastAsia="zh-CN" w:bidi="ar-SA"/>
              </w:rPr>
            </w:pPr>
            <w:r>
              <w:rPr>
                <w:rFonts w:hint="eastAsia" w:ascii="Times New Roman" w:hAnsi="Times New Roman" w:eastAsia="Times New Roman" w:cs="Times New Roman"/>
                <w:b w:val="0"/>
                <w:bCs w:val="0"/>
                <w:color w:val="auto"/>
                <w:spacing w:val="0"/>
                <w:kern w:val="2"/>
                <w:sz w:val="24"/>
                <w:szCs w:val="24"/>
                <w:lang w:val="en-US" w:eastAsia="zh-CN" w:bidi="ar-SA"/>
              </w:rPr>
              <w:t>大坝坝顶长度为130.828m，根据大坝结构在横剖面最大断面处和左右两岸岸坡距最大断面45m处共3个观测剖面；在坝顶的上游侧设竖向和水平位移观测点。</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Times New Roman" w:hAnsi="Times New Roman" w:eastAsia="Times New Roman" w:cs="Times New Roman"/>
                <w:b w:val="0"/>
                <w:bCs w:val="0"/>
                <w:color w:val="auto"/>
                <w:spacing w:val="0"/>
                <w:kern w:val="2"/>
                <w:sz w:val="24"/>
                <w:szCs w:val="24"/>
                <w:lang w:val="en-US" w:eastAsia="zh-CN" w:bidi="ar-SA"/>
              </w:rPr>
            </w:pPr>
            <w:r>
              <w:rPr>
                <w:rFonts w:hint="eastAsia" w:ascii="Times New Roman" w:hAnsi="Times New Roman" w:eastAsia="Times New Roman" w:cs="Times New Roman"/>
                <w:b w:val="0"/>
                <w:bCs w:val="0"/>
                <w:color w:val="auto"/>
                <w:spacing w:val="0"/>
                <w:kern w:val="2"/>
                <w:sz w:val="24"/>
                <w:szCs w:val="24"/>
                <w:lang w:val="en-US" w:eastAsia="zh-CN" w:bidi="ar-SA"/>
              </w:rPr>
              <w:t>（2）水位观测</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Times New Roman" w:hAnsi="Times New Roman" w:eastAsia="Times New Roman" w:cs="Times New Roman"/>
                <w:b w:val="0"/>
                <w:bCs w:val="0"/>
                <w:color w:val="auto"/>
                <w:spacing w:val="0"/>
                <w:kern w:val="2"/>
                <w:sz w:val="24"/>
                <w:szCs w:val="24"/>
                <w:lang w:val="en-US" w:eastAsia="zh-CN" w:bidi="ar-SA"/>
              </w:rPr>
            </w:pPr>
            <w:r>
              <w:rPr>
                <w:rFonts w:hint="eastAsia" w:ascii="Times New Roman" w:hAnsi="Times New Roman" w:eastAsia="Times New Roman" w:cs="Times New Roman"/>
                <w:b w:val="0"/>
                <w:bCs w:val="0"/>
                <w:color w:val="auto"/>
                <w:spacing w:val="0"/>
                <w:kern w:val="2"/>
                <w:sz w:val="24"/>
                <w:szCs w:val="24"/>
                <w:lang w:val="en-US" w:eastAsia="zh-CN" w:bidi="ar-SA"/>
              </w:rPr>
              <w:t>为了观测大坝库内的水位变化情况，在大坝上游设置两组水尺。</w:t>
            </w:r>
            <w:bookmarkStart w:id="21" w:name="_Toc229714545"/>
            <w:bookmarkEnd w:id="21"/>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Times New Roman" w:cs="Times New Roman"/>
                <w:b/>
                <w:bCs/>
                <w:color w:val="auto"/>
                <w:spacing w:val="0"/>
                <w:kern w:val="2"/>
                <w:sz w:val="24"/>
                <w:szCs w:val="24"/>
                <w:lang w:val="en-US" w:eastAsia="zh-CN" w:bidi="ar-SA"/>
              </w:rPr>
            </w:pPr>
            <w:r>
              <w:rPr>
                <w:rFonts w:hint="eastAsia" w:ascii="Times New Roman" w:hAnsi="Times New Roman" w:eastAsia="Times New Roman" w:cs="Times New Roman"/>
                <w:b/>
                <w:bCs/>
                <w:color w:val="auto"/>
                <w:spacing w:val="0"/>
                <w:kern w:val="2"/>
                <w:sz w:val="24"/>
                <w:szCs w:val="24"/>
                <w:lang w:val="en-US" w:eastAsia="zh-CN" w:bidi="ar-SA"/>
              </w:rPr>
              <w:t>17、占地</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Times New Roman" w:cs="Times New Roman"/>
                <w:b w:val="0"/>
                <w:bCs w:val="0"/>
                <w:color w:val="auto"/>
                <w:spacing w:val="0"/>
                <w:kern w:val="2"/>
                <w:sz w:val="24"/>
                <w:szCs w:val="24"/>
                <w:lang w:val="en-US" w:eastAsia="zh-CN" w:bidi="ar-SA"/>
              </w:rPr>
            </w:pPr>
            <w:r>
              <w:rPr>
                <w:rFonts w:hint="default" w:ascii="Times New Roman" w:hAnsi="Times New Roman" w:eastAsia="Times New Roman" w:cs="Times New Roman"/>
                <w:b w:val="0"/>
                <w:bCs w:val="0"/>
                <w:color w:val="auto"/>
                <w:spacing w:val="0"/>
                <w:kern w:val="2"/>
                <w:sz w:val="24"/>
                <w:szCs w:val="24"/>
                <w:lang w:val="en-US" w:eastAsia="zh-CN" w:bidi="ar-SA"/>
              </w:rPr>
              <w:t>本次</w:t>
            </w:r>
            <w:r>
              <w:rPr>
                <w:rFonts w:hint="eastAsia" w:ascii="Times New Roman" w:hAnsi="Times New Roman" w:eastAsia="Times New Roman" w:cs="Times New Roman"/>
                <w:b w:val="0"/>
                <w:bCs w:val="0"/>
                <w:color w:val="auto"/>
                <w:spacing w:val="0"/>
                <w:kern w:val="2"/>
                <w:sz w:val="24"/>
                <w:szCs w:val="24"/>
                <w:lang w:val="en-US" w:eastAsia="zh-CN" w:bidi="ar-SA"/>
              </w:rPr>
              <w:t>新建拦河气盾坝、新建安福堰进水口、整治安福堰输水渠进口段、拦河坝段护岸工程</w:t>
            </w:r>
            <w:r>
              <w:rPr>
                <w:rFonts w:hint="default" w:ascii="Times New Roman" w:hAnsi="Times New Roman" w:eastAsia="Times New Roman" w:cs="Times New Roman"/>
                <w:b w:val="0"/>
                <w:bCs w:val="0"/>
                <w:color w:val="auto"/>
                <w:spacing w:val="0"/>
                <w:kern w:val="2"/>
                <w:sz w:val="24"/>
                <w:szCs w:val="24"/>
                <w:lang w:val="en-US" w:eastAsia="zh-CN" w:bidi="ar-SA"/>
              </w:rPr>
              <w:t>。永久占地总面积</w:t>
            </w:r>
            <w:r>
              <w:rPr>
                <w:rFonts w:hint="eastAsia" w:ascii="Times New Roman" w:hAnsi="Times New Roman" w:eastAsia="Times New Roman" w:cs="Times New Roman"/>
                <w:b w:val="0"/>
                <w:bCs w:val="0"/>
                <w:color w:val="auto"/>
                <w:spacing w:val="0"/>
                <w:kern w:val="2"/>
                <w:sz w:val="24"/>
                <w:szCs w:val="24"/>
                <w:lang w:val="en-US" w:eastAsia="zh-CN" w:bidi="ar-SA"/>
              </w:rPr>
              <w:t>41.4</w:t>
            </w:r>
            <w:r>
              <w:rPr>
                <w:rFonts w:hint="default" w:ascii="Times New Roman" w:hAnsi="Times New Roman" w:eastAsia="Times New Roman" w:cs="Times New Roman"/>
                <w:b w:val="0"/>
                <w:bCs w:val="0"/>
                <w:color w:val="auto"/>
                <w:spacing w:val="0"/>
                <w:kern w:val="2"/>
                <w:sz w:val="24"/>
                <w:szCs w:val="24"/>
                <w:lang w:val="en-US" w:eastAsia="zh-CN" w:bidi="ar-SA"/>
              </w:rPr>
              <w:t>亩，</w:t>
            </w:r>
            <w:r>
              <w:rPr>
                <w:rFonts w:hint="eastAsia" w:ascii="Times New Roman" w:hAnsi="Times New Roman" w:eastAsia="Times New Roman" w:cs="Times New Roman"/>
                <w:b w:val="0"/>
                <w:bCs w:val="0"/>
                <w:color w:val="auto"/>
                <w:spacing w:val="0"/>
                <w:kern w:val="2"/>
                <w:sz w:val="24"/>
                <w:szCs w:val="24"/>
                <w:lang w:val="en-US" w:eastAsia="zh-CN" w:bidi="ar-SA"/>
              </w:rPr>
              <w:t>临时占地1500m</w:t>
            </w:r>
            <w:r>
              <w:rPr>
                <w:rFonts w:hint="eastAsia" w:ascii="Times New Roman" w:hAnsi="Times New Roman" w:eastAsia="Times New Roman" w:cs="Times New Roman"/>
                <w:b w:val="0"/>
                <w:bCs w:val="0"/>
                <w:color w:val="auto"/>
                <w:spacing w:val="0"/>
                <w:kern w:val="2"/>
                <w:sz w:val="24"/>
                <w:szCs w:val="24"/>
                <w:vertAlign w:val="superscript"/>
                <w:lang w:val="en-US" w:eastAsia="zh-CN" w:bidi="ar-SA"/>
              </w:rPr>
              <w:t>2</w:t>
            </w:r>
            <w:r>
              <w:rPr>
                <w:rFonts w:hint="eastAsia" w:ascii="Times New Roman" w:hAnsi="Times New Roman" w:eastAsia="Times New Roman" w:cs="Times New Roman"/>
                <w:b w:val="0"/>
                <w:bCs w:val="0"/>
                <w:color w:val="auto"/>
                <w:spacing w:val="0"/>
                <w:kern w:val="2"/>
                <w:sz w:val="24"/>
                <w:szCs w:val="24"/>
                <w:lang w:val="en-US" w:eastAsia="zh-CN" w:bidi="ar-SA"/>
              </w:rPr>
              <w:t>，均在原有大坝红线范围内。主要占地类型为旱地、竹林地、其他草地、水域及水利设施用地和其他土地。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4" w:type="dxa"/>
            <w:noWrap w:val="0"/>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cs="Times New Roman"/>
                <w:kern w:val="0"/>
                <w:szCs w:val="21"/>
              </w:rPr>
            </w:pPr>
            <w:r>
              <w:rPr>
                <w:rFonts w:hint="default" w:ascii="Times New Roman" w:hAnsi="Times New Roman" w:cs="Times New Roman"/>
                <w:kern w:val="0"/>
                <w:szCs w:val="21"/>
              </w:rPr>
              <w:t>总平面及现场布置</w:t>
            </w:r>
          </w:p>
        </w:tc>
        <w:tc>
          <w:tcPr>
            <w:tcW w:w="7670" w:type="dxa"/>
            <w:noWrap w:val="0"/>
            <w:vAlign w:val="center"/>
          </w:tcPr>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before="0" w:after="0" w:line="360" w:lineRule="auto"/>
              <w:ind w:right="0" w:rightChars="0" w:firstLine="482" w:firstLineChars="200"/>
              <w:textAlignment w:val="baseline"/>
              <w:rPr>
                <w:rFonts w:hint="default" w:ascii="Times New Roman" w:hAnsi="Times New Roman" w:eastAsia="宋体" w:cs="Times New Roman"/>
                <w:b/>
                <w:bCs/>
                <w:color w:val="auto"/>
                <w:spacing w:val="0"/>
                <w:kern w:val="2"/>
                <w:sz w:val="24"/>
                <w:szCs w:val="24"/>
                <w:highlight w:val="none"/>
                <w:lang w:val="en-US" w:eastAsia="zh-CN" w:bidi="ar-SA"/>
              </w:rPr>
            </w:pPr>
            <w:r>
              <w:rPr>
                <w:rFonts w:hint="default" w:ascii="Times New Roman" w:hAnsi="Times New Roman" w:eastAsia="宋体" w:cs="Times New Roman"/>
                <w:b/>
                <w:bCs/>
                <w:color w:val="auto"/>
                <w:spacing w:val="0"/>
                <w:sz w:val="24"/>
                <w:szCs w:val="24"/>
                <w:lang w:val="en-US" w:eastAsia="zh-CN"/>
              </w:rPr>
              <w:t>1、施工布置</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before="0" w:after="0" w:line="360" w:lineRule="auto"/>
              <w:ind w:right="0" w:rightChars="0" w:firstLine="482" w:firstLineChars="200"/>
              <w:textAlignment w:val="baseline"/>
              <w:rPr>
                <w:rFonts w:hint="default" w:ascii="Times New Roman" w:hAnsi="Times New Roman" w:eastAsia="宋体" w:cs="Times New Roman"/>
                <w:b/>
                <w:bCs/>
                <w:color w:val="auto"/>
                <w:spacing w:val="0"/>
                <w:kern w:val="2"/>
                <w:sz w:val="24"/>
                <w:szCs w:val="24"/>
                <w:highlight w:val="none"/>
                <w:lang w:val="en-US" w:eastAsia="zh-CN" w:bidi="ar-SA"/>
              </w:rPr>
            </w:pPr>
            <w:r>
              <w:rPr>
                <w:rFonts w:hint="default" w:ascii="Times New Roman" w:hAnsi="Times New Roman" w:cs="Times New Roman"/>
                <w:b/>
                <w:bCs/>
                <w:color w:val="auto"/>
                <w:sz w:val="24"/>
                <w:szCs w:val="24"/>
              </w:rPr>
              <w:t>项目不设施工营地和设备维修站，工程建设所需设备维修、工人食宿均利用周边解决。</w:t>
            </w:r>
            <w:r>
              <w:rPr>
                <w:rFonts w:hint="default" w:ascii="Times New Roman" w:hAnsi="Times New Roman" w:cs="Times New Roman"/>
                <w:color w:val="auto"/>
                <w:sz w:val="24"/>
              </w:rPr>
              <w:t>项目</w:t>
            </w:r>
            <w:r>
              <w:rPr>
                <w:rFonts w:hint="default" w:ascii="Times New Roman" w:hAnsi="Times New Roman" w:cs="Times New Roman"/>
                <w:color w:val="auto"/>
                <w:sz w:val="24"/>
                <w:lang w:eastAsia="zh-CN"/>
              </w:rPr>
              <w:t>施工场地</w:t>
            </w:r>
            <w:r>
              <w:rPr>
                <w:rFonts w:hint="default" w:ascii="Times New Roman" w:hAnsi="Times New Roman" w:cs="Times New Roman"/>
                <w:color w:val="auto"/>
                <w:sz w:val="24"/>
                <w:szCs w:val="24"/>
              </w:rPr>
              <w:t>用于</w:t>
            </w:r>
            <w:r>
              <w:rPr>
                <w:rFonts w:hint="default" w:ascii="Times New Roman" w:hAnsi="Times New Roman" w:eastAsia="宋体" w:cs="Times New Roman"/>
                <w:color w:val="auto"/>
                <w:sz w:val="24"/>
                <w:szCs w:val="24"/>
              </w:rPr>
              <w:t>施工材料堆放、</w:t>
            </w:r>
            <w:r>
              <w:rPr>
                <w:rFonts w:hint="default" w:ascii="Times New Roman" w:hAnsi="Times New Roman" w:cs="Times New Roman"/>
                <w:color w:val="auto"/>
                <w:sz w:val="24"/>
                <w:szCs w:val="24"/>
              </w:rPr>
              <w:t>停放施工机械</w:t>
            </w:r>
            <w:r>
              <w:rPr>
                <w:rFonts w:hint="default" w:ascii="Times New Roman" w:hAnsi="Times New Roman" w:eastAsia="宋体" w:cs="Times New Roman"/>
                <w:color w:val="auto"/>
                <w:sz w:val="24"/>
                <w:szCs w:val="24"/>
              </w:rPr>
              <w:t>等</w:t>
            </w:r>
            <w:r>
              <w:rPr>
                <w:rFonts w:hint="default" w:ascii="Times New Roman" w:hAnsi="Times New Roman" w:cs="Times New Roman"/>
                <w:color w:val="auto"/>
                <w:sz w:val="24"/>
                <w:szCs w:val="24"/>
                <w:lang w:eastAsia="zh-CN"/>
              </w:rPr>
              <w:t>，不设置混凝土拌和站</w:t>
            </w:r>
            <w:r>
              <w:rPr>
                <w:rFonts w:hint="default" w:ascii="Times New Roman" w:hAnsi="Times New Roman" w:cs="Times New Roman"/>
                <w:color w:val="auto"/>
                <w:sz w:val="24"/>
                <w:szCs w:val="24"/>
              </w:rPr>
              <w:t>。</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before="0" w:after="0" w:line="360" w:lineRule="auto"/>
              <w:ind w:right="0" w:rightChars="0" w:firstLine="482" w:firstLineChars="200"/>
              <w:textAlignment w:val="baseline"/>
              <w:rPr>
                <w:rFonts w:hint="default" w:ascii="Times New Roman" w:hAnsi="Times New Roman" w:eastAsia="宋体" w:cs="Times New Roman"/>
                <w:b/>
                <w:bCs/>
                <w:color w:val="auto"/>
                <w:spacing w:val="0"/>
                <w:kern w:val="2"/>
                <w:sz w:val="24"/>
                <w:szCs w:val="24"/>
                <w:highlight w:val="none"/>
                <w:lang w:val="en-US" w:eastAsia="zh-CN" w:bidi="ar-SA"/>
              </w:rPr>
            </w:pPr>
            <w:r>
              <w:rPr>
                <w:rFonts w:hint="default" w:ascii="Times New Roman" w:hAnsi="Times New Roman" w:eastAsia="宋体" w:cs="Times New Roman"/>
                <w:b/>
                <w:bCs/>
                <w:color w:val="auto"/>
                <w:spacing w:val="0"/>
                <w:kern w:val="2"/>
                <w:sz w:val="24"/>
                <w:szCs w:val="24"/>
                <w:highlight w:val="none"/>
                <w:lang w:val="en-US" w:eastAsia="zh-CN" w:bidi="ar-SA"/>
              </w:rPr>
              <w:t>（1）</w:t>
            </w:r>
            <w:r>
              <w:rPr>
                <w:rFonts w:hint="eastAsia" w:ascii="Times New Roman" w:hAnsi="Times New Roman" w:eastAsia="宋体" w:cs="Times New Roman"/>
                <w:b/>
                <w:bCs/>
                <w:color w:val="auto"/>
                <w:spacing w:val="0"/>
                <w:kern w:val="2"/>
                <w:sz w:val="24"/>
                <w:szCs w:val="24"/>
                <w:highlight w:val="none"/>
                <w:lang w:val="en-US" w:eastAsia="zh-CN" w:bidi="ar-SA"/>
              </w:rPr>
              <w:t>施工场地</w:t>
            </w:r>
          </w:p>
          <w:p>
            <w:pPr>
              <w:keepNext w:val="0"/>
              <w:keepLines w:val="0"/>
              <w:pageBreakBefore w:val="0"/>
              <w:widowControl w:val="0"/>
              <w:kinsoku/>
              <w:wordWrap/>
              <w:overflowPunct/>
              <w:topLinePunct w:val="0"/>
              <w:autoSpaceDE/>
              <w:autoSpaceDN/>
              <w:bidi w:val="0"/>
              <w:adjustRightInd/>
              <w:snapToGrid/>
              <w:spacing w:line="360" w:lineRule="auto"/>
              <w:ind w:left="0" w:right="0" w:firstLine="482"/>
              <w:textAlignment w:val="auto"/>
              <w:rPr>
                <w:rFonts w:hint="default" w:ascii="Times New Roman" w:hAnsi="宋体" w:eastAsia="宋体" w:cs="Times New Roman"/>
                <w:snapToGrid w:val="0"/>
                <w:color w:val="auto"/>
                <w:kern w:val="0"/>
                <w:sz w:val="24"/>
                <w:highlight w:val="none"/>
                <w:lang w:eastAsia="zh-CN"/>
              </w:rPr>
            </w:pPr>
            <w:r>
              <w:rPr>
                <w:rFonts w:hint="default" w:ascii="Times New Roman" w:hAnsi="宋体" w:eastAsia="宋体" w:cs="Times New Roman"/>
                <w:snapToGrid w:val="0"/>
                <w:color w:val="auto"/>
                <w:kern w:val="0"/>
                <w:sz w:val="24"/>
                <w:szCs w:val="24"/>
                <w:highlight w:val="none"/>
                <w:lang w:eastAsia="zh-CN"/>
              </w:rPr>
              <w:t>临时占地主要为</w:t>
            </w:r>
            <w:r>
              <w:rPr>
                <w:rFonts w:hint="eastAsia" w:ascii="Times New Roman" w:hAnsi="宋体" w:eastAsia="宋体" w:cs="Times New Roman"/>
                <w:snapToGrid w:val="0"/>
                <w:color w:val="auto"/>
                <w:kern w:val="0"/>
                <w:sz w:val="24"/>
                <w:szCs w:val="24"/>
                <w:highlight w:val="none"/>
                <w:lang w:eastAsia="zh-CN"/>
              </w:rPr>
              <w:t>主体工程施工</w:t>
            </w:r>
            <w:r>
              <w:rPr>
                <w:rFonts w:hint="default" w:ascii="Times New Roman" w:hAnsi="宋体" w:eastAsia="宋体" w:cs="Times New Roman"/>
                <w:snapToGrid w:val="0"/>
                <w:color w:val="auto"/>
                <w:kern w:val="0"/>
                <w:sz w:val="24"/>
                <w:szCs w:val="24"/>
                <w:highlight w:val="none"/>
                <w:lang w:eastAsia="zh-CN"/>
              </w:rPr>
              <w:t>工区占地，</w:t>
            </w:r>
            <w:r>
              <w:rPr>
                <w:rFonts w:hint="eastAsia" w:ascii="Times New Roman" w:hAnsi="宋体" w:eastAsia="宋体" w:cs="Times New Roman"/>
                <w:snapToGrid w:val="0"/>
                <w:color w:val="auto"/>
                <w:kern w:val="0"/>
                <w:sz w:val="24"/>
                <w:szCs w:val="24"/>
                <w:highlight w:val="none"/>
                <w:lang w:val="en-US" w:eastAsia="zh-CN"/>
              </w:rPr>
              <w:t>在工程左右两岸分别设置一个施工工区，</w:t>
            </w:r>
            <w:r>
              <w:rPr>
                <w:rFonts w:hAnsi="宋体"/>
                <w:bCs/>
                <w:color w:val="auto"/>
                <w:sz w:val="24"/>
                <w:szCs w:val="24"/>
                <w:highlight w:val="none"/>
              </w:rPr>
              <w:t>左岸工区占地面积</w:t>
            </w:r>
            <w:r>
              <w:rPr>
                <w:rFonts w:hint="eastAsia"/>
                <w:bCs/>
                <w:color w:val="auto"/>
                <w:sz w:val="24"/>
                <w:szCs w:val="24"/>
                <w:highlight w:val="none"/>
                <w:lang w:val="en-US" w:eastAsia="zh-CN"/>
              </w:rPr>
              <w:t>500m</w:t>
            </w:r>
            <w:r>
              <w:rPr>
                <w:rFonts w:hint="eastAsia"/>
                <w:bCs/>
                <w:color w:val="auto"/>
                <w:sz w:val="24"/>
                <w:szCs w:val="24"/>
                <w:highlight w:val="none"/>
                <w:vertAlign w:val="superscript"/>
                <w:lang w:val="en-US" w:eastAsia="zh-CN"/>
              </w:rPr>
              <w:t>2</w:t>
            </w:r>
            <w:r>
              <w:rPr>
                <w:rFonts w:hAnsi="宋体"/>
                <w:bCs/>
                <w:color w:val="auto"/>
                <w:sz w:val="24"/>
                <w:szCs w:val="24"/>
                <w:highlight w:val="none"/>
              </w:rPr>
              <w:t>，右岸工区占地面积</w:t>
            </w:r>
            <w:r>
              <w:rPr>
                <w:bCs/>
                <w:color w:val="auto"/>
                <w:sz w:val="24"/>
                <w:szCs w:val="24"/>
                <w:highlight w:val="none"/>
              </w:rPr>
              <w:t>1</w:t>
            </w:r>
            <w:r>
              <w:rPr>
                <w:rFonts w:hint="eastAsia"/>
                <w:bCs/>
                <w:color w:val="auto"/>
                <w:sz w:val="24"/>
                <w:szCs w:val="24"/>
                <w:highlight w:val="none"/>
                <w:lang w:val="en-US" w:eastAsia="zh-CN"/>
              </w:rPr>
              <w:t>000m</w:t>
            </w:r>
            <w:r>
              <w:rPr>
                <w:rFonts w:hint="eastAsia"/>
                <w:bCs/>
                <w:color w:val="auto"/>
                <w:sz w:val="24"/>
                <w:szCs w:val="24"/>
                <w:highlight w:val="none"/>
                <w:vertAlign w:val="superscript"/>
                <w:lang w:val="en-US" w:eastAsia="zh-CN"/>
              </w:rPr>
              <w:t>2</w:t>
            </w:r>
            <w:r>
              <w:rPr>
                <w:rFonts w:hint="eastAsia"/>
                <w:bCs/>
                <w:color w:val="auto"/>
                <w:sz w:val="24"/>
                <w:szCs w:val="24"/>
                <w:highlight w:val="none"/>
                <w:lang w:eastAsia="zh-CN"/>
              </w:rPr>
              <w:t>，</w:t>
            </w:r>
            <w:r>
              <w:rPr>
                <w:rFonts w:hint="default" w:ascii="Times New Roman" w:hAnsi="宋体" w:eastAsia="宋体" w:cs="Times New Roman"/>
                <w:snapToGrid w:val="0"/>
                <w:color w:val="auto"/>
                <w:kern w:val="0"/>
                <w:sz w:val="24"/>
                <w:szCs w:val="24"/>
                <w:highlight w:val="none"/>
                <w:lang w:eastAsia="zh-CN"/>
              </w:rPr>
              <w:t>共计</w:t>
            </w:r>
            <w:r>
              <w:rPr>
                <w:rFonts w:hint="eastAsia" w:ascii="Times New Roman" w:hAnsi="宋体" w:eastAsia="宋体" w:cs="Times New Roman"/>
                <w:snapToGrid w:val="0"/>
                <w:color w:val="auto"/>
                <w:kern w:val="0"/>
                <w:sz w:val="24"/>
                <w:szCs w:val="24"/>
                <w:highlight w:val="none"/>
                <w:lang w:val="en-US" w:eastAsia="zh-CN"/>
              </w:rPr>
              <w:t>1500</w:t>
            </w:r>
            <w:r>
              <w:rPr>
                <w:rFonts w:hint="eastAsia"/>
                <w:bCs/>
                <w:color w:val="auto"/>
                <w:sz w:val="24"/>
                <w:szCs w:val="24"/>
                <w:highlight w:val="none"/>
                <w:lang w:val="en-US" w:eastAsia="zh-CN"/>
              </w:rPr>
              <w:t>m</w:t>
            </w:r>
            <w:r>
              <w:rPr>
                <w:rFonts w:hint="eastAsia"/>
                <w:bCs/>
                <w:color w:val="auto"/>
                <w:sz w:val="24"/>
                <w:szCs w:val="24"/>
                <w:highlight w:val="none"/>
                <w:vertAlign w:val="superscript"/>
                <w:lang w:val="en-US" w:eastAsia="zh-CN"/>
              </w:rPr>
              <w:t>2</w:t>
            </w:r>
            <w:r>
              <w:rPr>
                <w:rFonts w:hint="default" w:ascii="Times New Roman" w:hAnsi="宋体" w:eastAsia="宋体" w:cs="Times New Roman"/>
                <w:snapToGrid w:val="0"/>
                <w:color w:val="auto"/>
                <w:kern w:val="0"/>
                <w:sz w:val="24"/>
                <w:szCs w:val="24"/>
                <w:highlight w:val="none"/>
                <w:lang w:eastAsia="zh-CN"/>
              </w:rPr>
              <w:t>。</w:t>
            </w:r>
            <w:r>
              <w:rPr>
                <w:rFonts w:hint="eastAsia" w:ascii="Times New Roman" w:hAnsi="宋体" w:eastAsia="宋体" w:cs="Times New Roman"/>
                <w:snapToGrid w:val="0"/>
                <w:color w:val="auto"/>
                <w:kern w:val="0"/>
                <w:sz w:val="24"/>
                <w:szCs w:val="24"/>
                <w:highlight w:val="none"/>
                <w:lang w:val="en-US" w:eastAsia="zh-CN"/>
              </w:rPr>
              <w:t>施工场地雨污分流，设置隔油沉淀池，设置表土临时堆场，施工废水经隔油沉淀池处理后回用于生产或用作场地洒水降尘，不外排</w:t>
            </w:r>
            <w:r>
              <w:rPr>
                <w:rFonts w:ascii="宋体" w:hAnsi="宋体" w:eastAsia="宋体" w:cs="宋体"/>
                <w:spacing w:val="9"/>
                <w:sz w:val="24"/>
                <w:szCs w:val="24"/>
              </w:rPr>
              <w:t>，沿施工场地设置雨水沟，初期雨水</w:t>
            </w:r>
            <w:r>
              <w:rPr>
                <w:rFonts w:ascii="宋体" w:hAnsi="宋体" w:eastAsia="宋体" w:cs="宋体"/>
                <w:spacing w:val="18"/>
                <w:sz w:val="24"/>
                <w:szCs w:val="24"/>
              </w:rPr>
              <w:t>经雨</w:t>
            </w:r>
            <w:r>
              <w:rPr>
                <w:rFonts w:ascii="宋体" w:hAnsi="宋体" w:eastAsia="宋体" w:cs="宋体"/>
                <w:spacing w:val="15"/>
                <w:sz w:val="24"/>
                <w:szCs w:val="24"/>
              </w:rPr>
              <w:t>水</w:t>
            </w:r>
            <w:r>
              <w:rPr>
                <w:rFonts w:ascii="宋体" w:hAnsi="宋体" w:eastAsia="宋体" w:cs="宋体"/>
                <w:spacing w:val="9"/>
                <w:sz w:val="24"/>
                <w:szCs w:val="24"/>
              </w:rPr>
              <w:t>沟收集后引入隔油沉淀池处理后回用于生产或用于洒水降尘</w:t>
            </w:r>
            <w:r>
              <w:rPr>
                <w:rFonts w:hint="eastAsia" w:ascii="宋体" w:hAnsi="宋体" w:eastAsia="宋体" w:cs="宋体"/>
                <w:spacing w:val="9"/>
                <w:sz w:val="24"/>
                <w:szCs w:val="24"/>
                <w:lang w:eastAsia="zh-CN"/>
              </w:rPr>
              <w:t>；</w:t>
            </w:r>
            <w:r>
              <w:rPr>
                <w:rFonts w:ascii="宋体" w:hAnsi="宋体" w:eastAsia="宋体" w:cs="宋体"/>
                <w:spacing w:val="9"/>
                <w:sz w:val="24"/>
                <w:szCs w:val="24"/>
              </w:rPr>
              <w:t>沿施工场地设</w:t>
            </w:r>
            <w:r>
              <w:rPr>
                <w:rFonts w:ascii="宋体" w:hAnsi="宋体" w:eastAsia="宋体" w:cs="宋体"/>
                <w:spacing w:val="15"/>
                <w:sz w:val="24"/>
                <w:szCs w:val="24"/>
              </w:rPr>
              <w:t>置</w:t>
            </w:r>
            <w:r>
              <w:rPr>
                <w:rFonts w:ascii="宋体" w:hAnsi="宋体" w:eastAsia="宋体" w:cs="宋体"/>
                <w:spacing w:val="9"/>
                <w:sz w:val="24"/>
                <w:szCs w:val="24"/>
              </w:rPr>
              <w:t>围挡，堆场设置防尘网，进出口设置车辆冲洗装置。</w:t>
            </w:r>
            <w:r>
              <w:rPr>
                <w:rFonts w:hint="default" w:ascii="Times New Roman" w:hAnsi="Times New Roman" w:eastAsia="宋体" w:cs="Times New Roman"/>
                <w:b w:val="0"/>
                <w:bCs w:val="0"/>
                <w:color w:val="auto"/>
                <w:spacing w:val="0"/>
                <w:kern w:val="2"/>
                <w:sz w:val="24"/>
                <w:szCs w:val="24"/>
                <w:highlight w:val="none"/>
                <w:lang w:val="en-US" w:eastAsia="zh-CN" w:bidi="ar-SA"/>
              </w:rPr>
              <w:t>项目完成后，对临时占地进行有效的场地恢复。</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before="0" w:after="0" w:line="240" w:lineRule="auto"/>
              <w:ind w:right="0" w:rightChars="0" w:firstLine="422" w:firstLineChars="200"/>
              <w:jc w:val="center"/>
              <w:textAlignment w:val="baseline"/>
              <w:rPr>
                <w:rFonts w:hint="eastAsia" w:ascii="Times New Roman" w:hAnsi="Times New Roman" w:eastAsia="宋体" w:cs="Times New Roman"/>
                <w:b/>
                <w:bCs/>
                <w:color w:val="auto"/>
                <w:spacing w:val="0"/>
                <w:kern w:val="2"/>
                <w:sz w:val="21"/>
                <w:szCs w:val="21"/>
                <w:highlight w:val="none"/>
                <w:lang w:val="en-US" w:eastAsia="zh-CN" w:bidi="ar-SA"/>
              </w:rPr>
            </w:pPr>
            <w:r>
              <w:rPr>
                <w:rFonts w:hint="eastAsia" w:ascii="Times New Roman" w:hAnsi="Times New Roman" w:eastAsia="宋体" w:cs="Times New Roman"/>
                <w:b/>
                <w:bCs/>
                <w:color w:val="auto"/>
                <w:spacing w:val="0"/>
                <w:kern w:val="2"/>
                <w:sz w:val="21"/>
                <w:szCs w:val="21"/>
                <w:highlight w:val="none"/>
                <w:lang w:val="en-US" w:eastAsia="zh-CN" w:bidi="ar-SA"/>
              </w:rPr>
              <w:t>表2-5  工程占地特性表  单位：亩</w:t>
            </w:r>
          </w:p>
          <w:tbl>
            <w:tblPr>
              <w:tblStyle w:val="4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3"/>
              <w:gridCol w:w="861"/>
              <w:gridCol w:w="704"/>
              <w:gridCol w:w="740"/>
              <w:gridCol w:w="634"/>
              <w:gridCol w:w="678"/>
              <w:gridCol w:w="678"/>
              <w:gridCol w:w="634"/>
              <w:gridCol w:w="635"/>
              <w:gridCol w:w="638"/>
              <w:gridCol w:w="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080" w:type="pct"/>
                  <w:gridSpan w:val="2"/>
                  <w:vMerge w:val="restart"/>
                  <w:tcBorders>
                    <w:tl2br w:val="nil"/>
                    <w:tr2bl w:val="nil"/>
                  </w:tcBorders>
                  <w:noWrap w:val="0"/>
                  <w:vAlign w:val="center"/>
                </w:tcPr>
                <w:p>
                  <w:pPr>
                    <w:keepNext w:val="0"/>
                    <w:keepLines w:val="0"/>
                    <w:pageBreakBefore w:val="0"/>
                    <w:tabs>
                      <w:tab w:val="right" w:leader="dot" w:pos="8441"/>
                    </w:tabs>
                    <w:kinsoku/>
                    <w:wordWrap/>
                    <w:overflowPunct/>
                    <w:topLinePunct w:val="0"/>
                    <w:bidi w:val="0"/>
                    <w:snapToGrid w:val="0"/>
                    <w:spacing w:line="240" w:lineRule="auto"/>
                    <w:ind w:firstLine="0"/>
                    <w:jc w:val="center"/>
                    <w:rPr>
                      <w:rStyle w:val="255"/>
                      <w:rFonts w:hint="default" w:ascii="Times New Roman" w:hAnsi="Times New Roman" w:eastAsia="宋体" w:cs="Times New Roman"/>
                      <w:b w:val="0"/>
                      <w:color w:val="000000"/>
                      <w:sz w:val="21"/>
                      <w:szCs w:val="21"/>
                    </w:rPr>
                  </w:pPr>
                  <w:r>
                    <w:rPr>
                      <w:rFonts w:hint="default" w:ascii="Times New Roman" w:hAnsi="Times New Roman" w:eastAsia="宋体" w:cs="Times New Roman"/>
                      <w:color w:val="000000"/>
                      <w:sz w:val="21"/>
                      <w:szCs w:val="21"/>
                    </w:rPr>
                    <w:t>区域</w:t>
                  </w:r>
                </w:p>
              </w:tc>
              <w:tc>
                <w:tcPr>
                  <w:tcW w:w="449" w:type="pct"/>
                  <w:tcBorders>
                    <w:tl2br w:val="nil"/>
                    <w:tr2bl w:val="nil"/>
                  </w:tcBorders>
                  <w:noWrap w:val="0"/>
                  <w:vAlign w:val="center"/>
                </w:tcPr>
                <w:p>
                  <w:pPr>
                    <w:keepNext w:val="0"/>
                    <w:keepLines w:val="0"/>
                    <w:pageBreakBefore w:val="0"/>
                    <w:tabs>
                      <w:tab w:val="right" w:leader="dot" w:pos="8441"/>
                    </w:tabs>
                    <w:kinsoku/>
                    <w:wordWrap/>
                    <w:overflowPunct/>
                    <w:topLinePunct w:val="0"/>
                    <w:bidi w:val="0"/>
                    <w:snapToGrid w:val="0"/>
                    <w:spacing w:line="240" w:lineRule="auto"/>
                    <w:ind w:firstLine="0"/>
                    <w:jc w:val="center"/>
                    <w:rPr>
                      <w:rStyle w:val="255"/>
                      <w:rFonts w:hint="default" w:ascii="Times New Roman" w:hAnsi="Times New Roman" w:eastAsia="宋体" w:cs="Times New Roman"/>
                      <w:b w:val="0"/>
                      <w:color w:val="000000"/>
                      <w:sz w:val="21"/>
                      <w:szCs w:val="21"/>
                    </w:rPr>
                  </w:pPr>
                  <w:r>
                    <w:rPr>
                      <w:rStyle w:val="255"/>
                      <w:rFonts w:hint="default" w:ascii="Times New Roman" w:hAnsi="Times New Roman" w:eastAsia="宋体" w:cs="Times New Roman"/>
                      <w:b w:val="0"/>
                      <w:color w:val="000000"/>
                      <w:sz w:val="21"/>
                      <w:szCs w:val="21"/>
                    </w:rPr>
                    <w:t>耕地</w:t>
                  </w:r>
                </w:p>
              </w:tc>
              <w:tc>
                <w:tcPr>
                  <w:tcW w:w="472" w:type="pct"/>
                  <w:tcBorders>
                    <w:tl2br w:val="nil"/>
                    <w:tr2bl w:val="nil"/>
                  </w:tcBorders>
                  <w:noWrap w:val="0"/>
                  <w:vAlign w:val="center"/>
                </w:tcPr>
                <w:p>
                  <w:pPr>
                    <w:keepNext w:val="0"/>
                    <w:keepLines w:val="0"/>
                    <w:pageBreakBefore w:val="0"/>
                    <w:tabs>
                      <w:tab w:val="right" w:leader="dot" w:pos="8441"/>
                    </w:tabs>
                    <w:kinsoku/>
                    <w:wordWrap/>
                    <w:overflowPunct/>
                    <w:topLinePunct w:val="0"/>
                    <w:bidi w:val="0"/>
                    <w:snapToGrid w:val="0"/>
                    <w:spacing w:line="240" w:lineRule="auto"/>
                    <w:ind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林地</w:t>
                  </w:r>
                </w:p>
              </w:tc>
              <w:tc>
                <w:tcPr>
                  <w:tcW w:w="404" w:type="pct"/>
                  <w:tcBorders>
                    <w:tl2br w:val="nil"/>
                    <w:tr2bl w:val="nil"/>
                  </w:tcBorders>
                  <w:noWrap w:val="0"/>
                  <w:vAlign w:val="center"/>
                </w:tcPr>
                <w:p>
                  <w:pPr>
                    <w:keepNext w:val="0"/>
                    <w:keepLines w:val="0"/>
                    <w:pageBreakBefore w:val="0"/>
                    <w:tabs>
                      <w:tab w:val="right" w:leader="dot" w:pos="8441"/>
                    </w:tabs>
                    <w:kinsoku/>
                    <w:wordWrap/>
                    <w:overflowPunct/>
                    <w:topLinePunct w:val="0"/>
                    <w:bidi w:val="0"/>
                    <w:snapToGrid w:val="0"/>
                    <w:spacing w:line="240" w:lineRule="auto"/>
                    <w:ind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草地</w:t>
                  </w:r>
                </w:p>
              </w:tc>
              <w:tc>
                <w:tcPr>
                  <w:tcW w:w="432" w:type="pct"/>
                  <w:tcBorders>
                    <w:tl2br w:val="nil"/>
                    <w:tr2bl w:val="nil"/>
                  </w:tcBorders>
                  <w:noWrap w:val="0"/>
                  <w:vAlign w:val="center"/>
                </w:tcPr>
                <w:p>
                  <w:pPr>
                    <w:keepNext w:val="0"/>
                    <w:keepLines w:val="0"/>
                    <w:pageBreakBefore w:val="0"/>
                    <w:tabs>
                      <w:tab w:val="right" w:leader="dot" w:pos="8441"/>
                    </w:tabs>
                    <w:kinsoku/>
                    <w:wordWrap/>
                    <w:overflowPunct/>
                    <w:topLinePunct w:val="0"/>
                    <w:bidi w:val="0"/>
                    <w:snapToGrid w:val="0"/>
                    <w:spacing w:line="240" w:lineRule="auto"/>
                    <w:ind w:firstLine="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其他</w:t>
                  </w:r>
                </w:p>
                <w:p>
                  <w:pPr>
                    <w:keepNext w:val="0"/>
                    <w:keepLines w:val="0"/>
                    <w:pageBreakBefore w:val="0"/>
                    <w:tabs>
                      <w:tab w:val="right" w:leader="dot" w:pos="8441"/>
                    </w:tabs>
                    <w:kinsoku/>
                    <w:wordWrap/>
                    <w:overflowPunct/>
                    <w:topLinePunct w:val="0"/>
                    <w:bidi w:val="0"/>
                    <w:snapToGrid w:val="0"/>
                    <w:spacing w:line="240" w:lineRule="auto"/>
                    <w:ind w:firstLine="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土地</w:t>
                  </w:r>
                </w:p>
              </w:tc>
              <w:tc>
                <w:tcPr>
                  <w:tcW w:w="1241" w:type="pct"/>
                  <w:gridSpan w:val="3"/>
                  <w:tcBorders>
                    <w:tl2br w:val="nil"/>
                    <w:tr2bl w:val="nil"/>
                  </w:tcBorders>
                  <w:noWrap w:val="0"/>
                  <w:vAlign w:val="center"/>
                </w:tcPr>
                <w:p>
                  <w:pPr>
                    <w:keepNext w:val="0"/>
                    <w:keepLines w:val="0"/>
                    <w:pageBreakBefore w:val="0"/>
                    <w:tabs>
                      <w:tab w:val="right" w:leader="dot" w:pos="8441"/>
                    </w:tabs>
                    <w:kinsoku/>
                    <w:wordWrap/>
                    <w:overflowPunct/>
                    <w:topLinePunct w:val="0"/>
                    <w:bidi w:val="0"/>
                    <w:snapToGrid w:val="0"/>
                    <w:spacing w:line="240" w:lineRule="auto"/>
                    <w:ind w:firstLine="0"/>
                    <w:jc w:val="center"/>
                    <w:rPr>
                      <w:rStyle w:val="255"/>
                      <w:rFonts w:hint="default" w:ascii="Times New Roman" w:hAnsi="Times New Roman" w:eastAsia="宋体" w:cs="Times New Roman"/>
                      <w:b w:val="0"/>
                      <w:color w:val="000000"/>
                      <w:sz w:val="21"/>
                      <w:szCs w:val="21"/>
                    </w:rPr>
                  </w:pPr>
                  <w:r>
                    <w:rPr>
                      <w:rFonts w:hint="default" w:ascii="Times New Roman" w:hAnsi="Times New Roman" w:eastAsia="宋体" w:cs="Times New Roman"/>
                      <w:color w:val="000000"/>
                      <w:sz w:val="21"/>
                      <w:szCs w:val="21"/>
                    </w:rPr>
                    <w:t>水域及水利设施用地</w:t>
                  </w:r>
                </w:p>
              </w:tc>
              <w:tc>
                <w:tcPr>
                  <w:tcW w:w="407" w:type="pct"/>
                  <w:vMerge w:val="restart"/>
                  <w:tcBorders>
                    <w:tl2br w:val="nil"/>
                    <w:tr2bl w:val="nil"/>
                  </w:tcBorders>
                  <w:noWrap w:val="0"/>
                  <w:vAlign w:val="center"/>
                </w:tcPr>
                <w:p>
                  <w:pPr>
                    <w:keepNext w:val="0"/>
                    <w:keepLines w:val="0"/>
                    <w:pageBreakBefore w:val="0"/>
                    <w:tabs>
                      <w:tab w:val="right" w:leader="dot" w:pos="8441"/>
                    </w:tabs>
                    <w:kinsoku/>
                    <w:wordWrap/>
                    <w:overflowPunct/>
                    <w:topLinePunct w:val="0"/>
                    <w:bidi w:val="0"/>
                    <w:snapToGrid w:val="0"/>
                    <w:spacing w:line="240" w:lineRule="auto"/>
                    <w:ind w:firstLine="0"/>
                    <w:jc w:val="center"/>
                    <w:rPr>
                      <w:rStyle w:val="255"/>
                      <w:rFonts w:hint="default" w:ascii="Times New Roman" w:hAnsi="Times New Roman" w:eastAsia="宋体" w:cs="Times New Roman"/>
                      <w:b w:val="0"/>
                      <w:color w:val="000000"/>
                      <w:sz w:val="21"/>
                      <w:szCs w:val="21"/>
                    </w:rPr>
                  </w:pPr>
                  <w:r>
                    <w:rPr>
                      <w:rFonts w:hint="default" w:ascii="Times New Roman" w:hAnsi="Times New Roman" w:eastAsia="宋体" w:cs="Times New Roman"/>
                      <w:color w:val="000000"/>
                      <w:sz w:val="21"/>
                      <w:szCs w:val="21"/>
                    </w:rPr>
                    <w:t>合计</w:t>
                  </w:r>
                </w:p>
              </w:tc>
              <w:tc>
                <w:tcPr>
                  <w:tcW w:w="511" w:type="pct"/>
                  <w:vMerge w:val="restart"/>
                  <w:tcBorders>
                    <w:tl2br w:val="nil"/>
                    <w:tr2bl w:val="nil"/>
                  </w:tcBorders>
                  <w:noWrap w:val="0"/>
                  <w:vAlign w:val="center"/>
                </w:tcPr>
                <w:p>
                  <w:pPr>
                    <w:keepNext w:val="0"/>
                    <w:keepLines w:val="0"/>
                    <w:pageBreakBefore w:val="0"/>
                    <w:tabs>
                      <w:tab w:val="right" w:leader="dot" w:pos="8441"/>
                    </w:tabs>
                    <w:kinsoku/>
                    <w:wordWrap/>
                    <w:overflowPunct/>
                    <w:topLinePunct w:val="0"/>
                    <w:bidi w:val="0"/>
                    <w:snapToGrid w:val="0"/>
                    <w:spacing w:line="240" w:lineRule="auto"/>
                    <w:ind w:firstLine="0"/>
                    <w:jc w:val="center"/>
                    <w:rPr>
                      <w:rStyle w:val="255"/>
                      <w:rFonts w:hint="default" w:ascii="Times New Roman" w:hAnsi="Times New Roman" w:eastAsia="宋体" w:cs="Times New Roman"/>
                      <w:b w:val="0"/>
                      <w:color w:val="000000"/>
                      <w:sz w:val="21"/>
                      <w:szCs w:val="21"/>
                    </w:rPr>
                  </w:pPr>
                  <w:r>
                    <w:rPr>
                      <w:rFonts w:hint="default" w:ascii="Times New Roman" w:hAnsi="Times New Roman" w:eastAsia="宋体" w:cs="Times New Roman"/>
                      <w:color w:val="000000"/>
                      <w:sz w:val="21"/>
                      <w:szCs w:val="21"/>
                    </w:rPr>
                    <w:t>占地性质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080" w:type="pct"/>
                  <w:gridSpan w:val="2"/>
                  <w:vMerge w:val="continue"/>
                  <w:tcBorders>
                    <w:tl2br w:val="nil"/>
                    <w:tr2bl w:val="nil"/>
                  </w:tcBorders>
                  <w:noWrap w:val="0"/>
                  <w:vAlign w:val="center"/>
                </w:tcPr>
                <w:p>
                  <w:pPr>
                    <w:keepNext w:val="0"/>
                    <w:keepLines w:val="0"/>
                    <w:pageBreakBefore w:val="0"/>
                    <w:tabs>
                      <w:tab w:val="right" w:leader="dot" w:pos="8441"/>
                    </w:tabs>
                    <w:kinsoku/>
                    <w:wordWrap/>
                    <w:overflowPunct/>
                    <w:topLinePunct w:val="0"/>
                    <w:bidi w:val="0"/>
                    <w:snapToGrid w:val="0"/>
                    <w:spacing w:line="240" w:lineRule="auto"/>
                    <w:ind w:firstLine="0"/>
                    <w:jc w:val="center"/>
                    <w:rPr>
                      <w:rStyle w:val="255"/>
                      <w:rFonts w:hint="default" w:ascii="Times New Roman" w:hAnsi="Times New Roman" w:eastAsia="宋体" w:cs="Times New Roman"/>
                      <w:b w:val="0"/>
                      <w:color w:val="000000"/>
                      <w:sz w:val="21"/>
                      <w:szCs w:val="21"/>
                    </w:rPr>
                  </w:pPr>
                </w:p>
              </w:tc>
              <w:tc>
                <w:tcPr>
                  <w:tcW w:w="449" w:type="pct"/>
                  <w:tcBorders>
                    <w:tl2br w:val="nil"/>
                    <w:tr2bl w:val="nil"/>
                  </w:tcBorders>
                  <w:noWrap w:val="0"/>
                  <w:vAlign w:val="center"/>
                </w:tcPr>
                <w:p>
                  <w:pPr>
                    <w:keepNext w:val="0"/>
                    <w:keepLines w:val="0"/>
                    <w:pageBreakBefore w:val="0"/>
                    <w:tabs>
                      <w:tab w:val="right" w:leader="dot" w:pos="8441"/>
                    </w:tabs>
                    <w:kinsoku/>
                    <w:wordWrap/>
                    <w:overflowPunct/>
                    <w:topLinePunct w:val="0"/>
                    <w:bidi w:val="0"/>
                    <w:snapToGrid w:val="0"/>
                    <w:spacing w:line="240" w:lineRule="auto"/>
                    <w:ind w:firstLine="0"/>
                    <w:jc w:val="center"/>
                    <w:rPr>
                      <w:rStyle w:val="255"/>
                      <w:rFonts w:hint="default" w:ascii="Times New Roman" w:hAnsi="Times New Roman" w:eastAsia="宋体" w:cs="Times New Roman"/>
                      <w:b w:val="0"/>
                      <w:color w:val="000000"/>
                      <w:sz w:val="21"/>
                      <w:szCs w:val="21"/>
                    </w:rPr>
                  </w:pPr>
                  <w:r>
                    <w:rPr>
                      <w:rStyle w:val="255"/>
                      <w:rFonts w:hint="default" w:ascii="Times New Roman" w:hAnsi="Times New Roman" w:eastAsia="宋体" w:cs="Times New Roman"/>
                      <w:b w:val="0"/>
                      <w:color w:val="000000"/>
                      <w:sz w:val="21"/>
                      <w:szCs w:val="21"/>
                    </w:rPr>
                    <w:t>旱地</w:t>
                  </w:r>
                </w:p>
              </w:tc>
              <w:tc>
                <w:tcPr>
                  <w:tcW w:w="472" w:type="pct"/>
                  <w:tcBorders>
                    <w:tl2br w:val="nil"/>
                    <w:tr2bl w:val="nil"/>
                  </w:tcBorders>
                  <w:noWrap w:val="0"/>
                  <w:vAlign w:val="center"/>
                </w:tcPr>
                <w:p>
                  <w:pPr>
                    <w:keepNext w:val="0"/>
                    <w:keepLines w:val="0"/>
                    <w:pageBreakBefore w:val="0"/>
                    <w:tabs>
                      <w:tab w:val="right" w:leader="dot" w:pos="8441"/>
                    </w:tabs>
                    <w:kinsoku/>
                    <w:wordWrap/>
                    <w:overflowPunct/>
                    <w:topLinePunct w:val="0"/>
                    <w:bidi w:val="0"/>
                    <w:snapToGrid w:val="0"/>
                    <w:spacing w:line="240" w:lineRule="auto"/>
                    <w:ind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竹林地</w:t>
                  </w:r>
                </w:p>
              </w:tc>
              <w:tc>
                <w:tcPr>
                  <w:tcW w:w="404" w:type="pct"/>
                  <w:tcBorders>
                    <w:tl2br w:val="nil"/>
                    <w:tr2bl w:val="nil"/>
                  </w:tcBorders>
                  <w:noWrap w:val="0"/>
                  <w:vAlign w:val="center"/>
                </w:tcPr>
                <w:p>
                  <w:pPr>
                    <w:keepNext w:val="0"/>
                    <w:keepLines w:val="0"/>
                    <w:pageBreakBefore w:val="0"/>
                    <w:tabs>
                      <w:tab w:val="right" w:leader="dot" w:pos="8441"/>
                    </w:tabs>
                    <w:kinsoku/>
                    <w:wordWrap/>
                    <w:overflowPunct/>
                    <w:topLinePunct w:val="0"/>
                    <w:bidi w:val="0"/>
                    <w:snapToGrid w:val="0"/>
                    <w:spacing w:line="240" w:lineRule="auto"/>
                    <w:ind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其他</w:t>
                  </w:r>
                </w:p>
                <w:p>
                  <w:pPr>
                    <w:keepNext w:val="0"/>
                    <w:keepLines w:val="0"/>
                    <w:pageBreakBefore w:val="0"/>
                    <w:tabs>
                      <w:tab w:val="right" w:leader="dot" w:pos="8441"/>
                    </w:tabs>
                    <w:kinsoku/>
                    <w:wordWrap/>
                    <w:overflowPunct/>
                    <w:topLinePunct w:val="0"/>
                    <w:bidi w:val="0"/>
                    <w:snapToGrid w:val="0"/>
                    <w:spacing w:line="240" w:lineRule="auto"/>
                    <w:ind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草地</w:t>
                  </w:r>
                </w:p>
              </w:tc>
              <w:tc>
                <w:tcPr>
                  <w:tcW w:w="432" w:type="pct"/>
                  <w:tcBorders>
                    <w:tl2br w:val="nil"/>
                    <w:tr2bl w:val="nil"/>
                  </w:tcBorders>
                  <w:noWrap w:val="0"/>
                  <w:vAlign w:val="center"/>
                </w:tcPr>
                <w:p>
                  <w:pPr>
                    <w:keepNext w:val="0"/>
                    <w:keepLines w:val="0"/>
                    <w:pageBreakBefore w:val="0"/>
                    <w:tabs>
                      <w:tab w:val="right" w:leader="dot" w:pos="8441"/>
                    </w:tabs>
                    <w:kinsoku/>
                    <w:wordWrap/>
                    <w:overflowPunct/>
                    <w:topLinePunct w:val="0"/>
                    <w:bidi w:val="0"/>
                    <w:snapToGrid w:val="0"/>
                    <w:spacing w:line="240" w:lineRule="auto"/>
                    <w:ind w:firstLine="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空闲地</w:t>
                  </w:r>
                </w:p>
              </w:tc>
              <w:tc>
                <w:tcPr>
                  <w:tcW w:w="432" w:type="pct"/>
                  <w:tcBorders>
                    <w:tl2br w:val="nil"/>
                    <w:tr2bl w:val="nil"/>
                  </w:tcBorders>
                  <w:noWrap w:val="0"/>
                  <w:vAlign w:val="center"/>
                </w:tcPr>
                <w:p>
                  <w:pPr>
                    <w:keepNext w:val="0"/>
                    <w:keepLines w:val="0"/>
                    <w:pageBreakBefore w:val="0"/>
                    <w:tabs>
                      <w:tab w:val="right" w:leader="dot" w:pos="8441"/>
                    </w:tabs>
                    <w:kinsoku/>
                    <w:wordWrap/>
                    <w:overflowPunct/>
                    <w:topLinePunct w:val="0"/>
                    <w:bidi w:val="0"/>
                    <w:snapToGrid w:val="0"/>
                    <w:spacing w:line="240" w:lineRule="auto"/>
                    <w:ind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内陆</w:t>
                  </w:r>
                </w:p>
                <w:p>
                  <w:pPr>
                    <w:keepNext w:val="0"/>
                    <w:keepLines w:val="0"/>
                    <w:pageBreakBefore w:val="0"/>
                    <w:tabs>
                      <w:tab w:val="right" w:leader="dot" w:pos="8441"/>
                    </w:tabs>
                    <w:kinsoku/>
                    <w:wordWrap/>
                    <w:overflowPunct/>
                    <w:topLinePunct w:val="0"/>
                    <w:bidi w:val="0"/>
                    <w:snapToGrid w:val="0"/>
                    <w:spacing w:line="240" w:lineRule="auto"/>
                    <w:ind w:firstLine="0"/>
                    <w:jc w:val="center"/>
                    <w:rPr>
                      <w:rStyle w:val="255"/>
                      <w:rFonts w:hint="default" w:ascii="Times New Roman" w:hAnsi="Times New Roman" w:eastAsia="宋体" w:cs="Times New Roman"/>
                      <w:b w:val="0"/>
                      <w:color w:val="000000"/>
                      <w:sz w:val="21"/>
                      <w:szCs w:val="21"/>
                    </w:rPr>
                  </w:pPr>
                  <w:r>
                    <w:rPr>
                      <w:rFonts w:hint="default" w:ascii="Times New Roman" w:hAnsi="Times New Roman" w:eastAsia="宋体" w:cs="Times New Roman"/>
                      <w:color w:val="000000"/>
                      <w:sz w:val="21"/>
                      <w:szCs w:val="21"/>
                    </w:rPr>
                    <w:t>滩涂</w:t>
                  </w:r>
                </w:p>
              </w:tc>
              <w:tc>
                <w:tcPr>
                  <w:tcW w:w="404" w:type="pct"/>
                  <w:tcBorders>
                    <w:tl2br w:val="nil"/>
                    <w:tr2bl w:val="nil"/>
                  </w:tcBorders>
                  <w:noWrap w:val="0"/>
                  <w:vAlign w:val="center"/>
                </w:tcPr>
                <w:p>
                  <w:pPr>
                    <w:keepNext w:val="0"/>
                    <w:keepLines w:val="0"/>
                    <w:pageBreakBefore w:val="0"/>
                    <w:tabs>
                      <w:tab w:val="right" w:leader="dot" w:pos="8441"/>
                    </w:tabs>
                    <w:kinsoku/>
                    <w:wordWrap/>
                    <w:overflowPunct/>
                    <w:topLinePunct w:val="0"/>
                    <w:bidi w:val="0"/>
                    <w:snapToGrid w:val="0"/>
                    <w:spacing w:line="240" w:lineRule="auto"/>
                    <w:ind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水面面积</w:t>
                  </w:r>
                </w:p>
              </w:tc>
              <w:tc>
                <w:tcPr>
                  <w:tcW w:w="404" w:type="pct"/>
                  <w:tcBorders>
                    <w:tl2br w:val="nil"/>
                    <w:tr2bl w:val="nil"/>
                  </w:tcBorders>
                  <w:noWrap w:val="0"/>
                  <w:vAlign w:val="center"/>
                </w:tcPr>
                <w:p>
                  <w:pPr>
                    <w:keepNext w:val="0"/>
                    <w:keepLines w:val="0"/>
                    <w:pageBreakBefore w:val="0"/>
                    <w:tabs>
                      <w:tab w:val="right" w:leader="dot" w:pos="8441"/>
                    </w:tabs>
                    <w:kinsoku/>
                    <w:wordWrap/>
                    <w:overflowPunct/>
                    <w:topLinePunct w:val="0"/>
                    <w:bidi w:val="0"/>
                    <w:snapToGrid w:val="0"/>
                    <w:spacing w:line="240" w:lineRule="auto"/>
                    <w:ind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沟渠</w:t>
                  </w:r>
                </w:p>
              </w:tc>
              <w:tc>
                <w:tcPr>
                  <w:tcW w:w="407" w:type="pct"/>
                  <w:vMerge w:val="continue"/>
                  <w:tcBorders>
                    <w:tl2br w:val="nil"/>
                    <w:tr2bl w:val="nil"/>
                  </w:tcBorders>
                  <w:noWrap w:val="0"/>
                  <w:vAlign w:val="center"/>
                </w:tcPr>
                <w:p>
                  <w:pPr>
                    <w:keepNext w:val="0"/>
                    <w:keepLines w:val="0"/>
                    <w:pageBreakBefore w:val="0"/>
                    <w:tabs>
                      <w:tab w:val="right" w:leader="dot" w:pos="8441"/>
                    </w:tabs>
                    <w:kinsoku/>
                    <w:wordWrap/>
                    <w:overflowPunct/>
                    <w:topLinePunct w:val="0"/>
                    <w:bidi w:val="0"/>
                    <w:snapToGrid w:val="0"/>
                    <w:spacing w:line="240" w:lineRule="auto"/>
                    <w:ind w:firstLine="0"/>
                    <w:jc w:val="center"/>
                    <w:rPr>
                      <w:rStyle w:val="255"/>
                      <w:rFonts w:hint="default" w:ascii="Times New Roman" w:hAnsi="Times New Roman" w:eastAsia="宋体" w:cs="Times New Roman"/>
                      <w:b w:val="0"/>
                      <w:color w:val="000000"/>
                      <w:sz w:val="21"/>
                      <w:szCs w:val="21"/>
                    </w:rPr>
                  </w:pPr>
                </w:p>
              </w:tc>
              <w:tc>
                <w:tcPr>
                  <w:tcW w:w="511" w:type="pct"/>
                  <w:vMerge w:val="continue"/>
                  <w:tcBorders>
                    <w:tl2br w:val="nil"/>
                    <w:tr2bl w:val="nil"/>
                  </w:tcBorders>
                  <w:noWrap w:val="0"/>
                  <w:vAlign w:val="center"/>
                </w:tcPr>
                <w:p>
                  <w:pPr>
                    <w:keepNext w:val="0"/>
                    <w:keepLines w:val="0"/>
                    <w:pageBreakBefore w:val="0"/>
                    <w:tabs>
                      <w:tab w:val="right" w:leader="dot" w:pos="8441"/>
                    </w:tabs>
                    <w:kinsoku/>
                    <w:wordWrap/>
                    <w:overflowPunct/>
                    <w:topLinePunct w:val="0"/>
                    <w:bidi w:val="0"/>
                    <w:snapToGrid w:val="0"/>
                    <w:spacing w:line="240" w:lineRule="auto"/>
                    <w:ind w:firstLine="0"/>
                    <w:jc w:val="center"/>
                    <w:rPr>
                      <w:rStyle w:val="255"/>
                      <w:rFonts w:hint="default" w:ascii="Times New Roman" w:hAnsi="Times New Roman" w:eastAsia="宋体" w:cs="Times New Roman"/>
                      <w:b w:val="0"/>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531" w:type="pct"/>
                  <w:vMerge w:val="restart"/>
                  <w:tcBorders>
                    <w:tl2br w:val="nil"/>
                    <w:tr2bl w:val="nil"/>
                  </w:tcBorders>
                  <w:noWrap w:val="0"/>
                  <w:vAlign w:val="center"/>
                </w:tcPr>
                <w:p>
                  <w:pPr>
                    <w:keepNext w:val="0"/>
                    <w:keepLines w:val="0"/>
                    <w:pageBreakBefore w:val="0"/>
                    <w:tabs>
                      <w:tab w:val="right" w:leader="dot" w:pos="8441"/>
                    </w:tabs>
                    <w:kinsoku/>
                    <w:wordWrap/>
                    <w:overflowPunct/>
                    <w:topLinePunct w:val="0"/>
                    <w:bidi w:val="0"/>
                    <w:snapToGrid w:val="0"/>
                    <w:spacing w:line="240" w:lineRule="auto"/>
                    <w:ind w:firstLine="0"/>
                    <w:jc w:val="center"/>
                    <w:rPr>
                      <w:rStyle w:val="255"/>
                      <w:rFonts w:hint="default" w:ascii="Times New Roman" w:hAnsi="Times New Roman" w:eastAsia="宋体" w:cs="Times New Roman"/>
                      <w:b w:val="0"/>
                      <w:color w:val="000000"/>
                      <w:sz w:val="21"/>
                      <w:szCs w:val="21"/>
                    </w:rPr>
                  </w:pPr>
                  <w:r>
                    <w:rPr>
                      <w:rFonts w:hint="default" w:ascii="Times New Roman" w:hAnsi="Times New Roman" w:eastAsia="宋体" w:cs="Times New Roman"/>
                      <w:color w:val="000000"/>
                      <w:sz w:val="21"/>
                      <w:szCs w:val="21"/>
                    </w:rPr>
                    <w:t>主体工程区</w:t>
                  </w:r>
                </w:p>
              </w:tc>
              <w:tc>
                <w:tcPr>
                  <w:tcW w:w="549" w:type="pct"/>
                  <w:tcBorders>
                    <w:tl2br w:val="nil"/>
                    <w:tr2bl w:val="nil"/>
                  </w:tcBorders>
                  <w:noWrap w:val="0"/>
                  <w:vAlign w:val="center"/>
                </w:tcPr>
                <w:p>
                  <w:pPr>
                    <w:keepNext w:val="0"/>
                    <w:keepLines w:val="0"/>
                    <w:pageBreakBefore w:val="0"/>
                    <w:tabs>
                      <w:tab w:val="right" w:leader="dot" w:pos="8441"/>
                    </w:tabs>
                    <w:kinsoku/>
                    <w:wordWrap/>
                    <w:overflowPunct/>
                    <w:topLinePunct w:val="0"/>
                    <w:bidi w:val="0"/>
                    <w:snapToGrid w:val="0"/>
                    <w:spacing w:line="240" w:lineRule="auto"/>
                    <w:ind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枢纽工程区</w:t>
                  </w:r>
                </w:p>
              </w:tc>
              <w:tc>
                <w:tcPr>
                  <w:tcW w:w="449"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Style w:val="255"/>
                      <w:rFonts w:hint="default" w:ascii="Times New Roman" w:hAnsi="Times New Roman" w:eastAsia="宋体" w:cs="Times New Roman"/>
                      <w:b w:val="0"/>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472"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Style w:val="255"/>
                      <w:rFonts w:hint="default" w:ascii="Times New Roman" w:hAnsi="Times New Roman" w:eastAsia="宋体" w:cs="Times New Roman"/>
                      <w:b w:val="0"/>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0.07</w:t>
                  </w:r>
                </w:p>
              </w:tc>
              <w:tc>
                <w:tcPr>
                  <w:tcW w:w="404"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Style w:val="255"/>
                      <w:rFonts w:hint="default" w:ascii="Times New Roman" w:hAnsi="Times New Roman" w:eastAsia="宋体" w:cs="Times New Roman"/>
                      <w:b w:val="0"/>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0.65</w:t>
                  </w:r>
                </w:p>
              </w:tc>
              <w:tc>
                <w:tcPr>
                  <w:tcW w:w="432"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432"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Style w:val="255"/>
                      <w:rFonts w:hint="default" w:ascii="Times New Roman" w:hAnsi="Times New Roman" w:eastAsia="宋体" w:cs="Times New Roman"/>
                      <w:b w:val="0"/>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0.32</w:t>
                  </w:r>
                </w:p>
              </w:tc>
              <w:tc>
                <w:tcPr>
                  <w:tcW w:w="404"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Style w:val="255"/>
                      <w:rFonts w:hint="default" w:ascii="Times New Roman" w:hAnsi="Times New Roman" w:eastAsia="宋体" w:cs="Times New Roman"/>
                      <w:b w:val="0"/>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1.19</w:t>
                  </w:r>
                </w:p>
              </w:tc>
              <w:tc>
                <w:tcPr>
                  <w:tcW w:w="404"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Style w:val="255"/>
                      <w:rFonts w:hint="default" w:ascii="Times New Roman" w:hAnsi="Times New Roman" w:eastAsia="宋体" w:cs="Times New Roman"/>
                      <w:b w:val="0"/>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407"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Style w:val="255"/>
                      <w:rFonts w:hint="default" w:ascii="Times New Roman" w:hAnsi="Times New Roman" w:eastAsia="宋体" w:cs="Times New Roman"/>
                      <w:b w:val="0"/>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2.23</w:t>
                  </w:r>
                </w:p>
              </w:tc>
              <w:tc>
                <w:tcPr>
                  <w:tcW w:w="511" w:type="pct"/>
                  <w:tcBorders>
                    <w:tl2br w:val="nil"/>
                    <w:tr2bl w:val="nil"/>
                  </w:tcBorders>
                  <w:noWrap w:val="0"/>
                  <w:vAlign w:val="center"/>
                </w:tcPr>
                <w:p>
                  <w:pPr>
                    <w:keepNext w:val="0"/>
                    <w:keepLines w:val="0"/>
                    <w:pageBreakBefore w:val="0"/>
                    <w:tabs>
                      <w:tab w:val="right" w:leader="dot" w:pos="8441"/>
                    </w:tabs>
                    <w:kinsoku/>
                    <w:wordWrap/>
                    <w:overflowPunct/>
                    <w:topLinePunct w:val="0"/>
                    <w:bidi w:val="0"/>
                    <w:snapToGrid w:val="0"/>
                    <w:spacing w:line="240" w:lineRule="auto"/>
                    <w:ind w:firstLine="0"/>
                    <w:jc w:val="center"/>
                    <w:rPr>
                      <w:rStyle w:val="255"/>
                      <w:rFonts w:hint="default" w:ascii="Times New Roman" w:hAnsi="Times New Roman" w:eastAsia="宋体" w:cs="Times New Roman"/>
                      <w:b w:val="0"/>
                      <w:color w:val="000000"/>
                      <w:sz w:val="21"/>
                      <w:szCs w:val="21"/>
                    </w:rPr>
                  </w:pPr>
                  <w:r>
                    <w:rPr>
                      <w:rStyle w:val="255"/>
                      <w:rFonts w:hint="default" w:ascii="Times New Roman" w:hAnsi="Times New Roman" w:eastAsia="宋体" w:cs="Times New Roman"/>
                      <w:b w:val="0"/>
                      <w:color w:val="000000"/>
                      <w:sz w:val="21"/>
                      <w:szCs w:val="21"/>
                    </w:rPr>
                    <w:t>永久占地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531" w:type="pct"/>
                  <w:vMerge w:val="continue"/>
                  <w:tcBorders>
                    <w:tl2br w:val="nil"/>
                    <w:tr2bl w:val="nil"/>
                  </w:tcBorders>
                  <w:noWrap w:val="0"/>
                  <w:vAlign w:val="center"/>
                </w:tcPr>
                <w:p>
                  <w:pPr>
                    <w:keepNext w:val="0"/>
                    <w:keepLines w:val="0"/>
                    <w:pageBreakBefore w:val="0"/>
                    <w:tabs>
                      <w:tab w:val="right" w:leader="dot" w:pos="8441"/>
                    </w:tabs>
                    <w:kinsoku/>
                    <w:wordWrap/>
                    <w:overflowPunct/>
                    <w:topLinePunct w:val="0"/>
                    <w:bidi w:val="0"/>
                    <w:snapToGrid w:val="0"/>
                    <w:spacing w:line="240" w:lineRule="auto"/>
                    <w:ind w:firstLine="0"/>
                    <w:jc w:val="center"/>
                    <w:rPr>
                      <w:rFonts w:hint="default" w:ascii="Times New Roman" w:hAnsi="Times New Roman" w:eastAsia="宋体" w:cs="Times New Roman"/>
                      <w:color w:val="000000"/>
                      <w:sz w:val="21"/>
                      <w:szCs w:val="21"/>
                    </w:rPr>
                  </w:pPr>
                </w:p>
              </w:tc>
              <w:tc>
                <w:tcPr>
                  <w:tcW w:w="549" w:type="pct"/>
                  <w:tcBorders>
                    <w:tl2br w:val="nil"/>
                    <w:tr2bl w:val="nil"/>
                  </w:tcBorders>
                  <w:noWrap w:val="0"/>
                  <w:vAlign w:val="center"/>
                </w:tcPr>
                <w:p>
                  <w:pPr>
                    <w:keepNext w:val="0"/>
                    <w:keepLines w:val="0"/>
                    <w:pageBreakBefore w:val="0"/>
                    <w:tabs>
                      <w:tab w:val="right" w:leader="dot" w:pos="8441"/>
                    </w:tabs>
                    <w:kinsoku/>
                    <w:wordWrap/>
                    <w:overflowPunct/>
                    <w:topLinePunct w:val="0"/>
                    <w:bidi w:val="0"/>
                    <w:snapToGrid w:val="0"/>
                    <w:spacing w:line="240" w:lineRule="auto"/>
                    <w:ind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渠道工程区</w:t>
                  </w:r>
                </w:p>
              </w:tc>
              <w:tc>
                <w:tcPr>
                  <w:tcW w:w="449"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Style w:val="255"/>
                      <w:rFonts w:hint="default" w:ascii="Times New Roman" w:hAnsi="Times New Roman" w:eastAsia="宋体" w:cs="Times New Roman"/>
                      <w:b w:val="0"/>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472"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Style w:val="255"/>
                      <w:rFonts w:hint="default" w:ascii="Times New Roman" w:hAnsi="Times New Roman" w:eastAsia="宋体" w:cs="Times New Roman"/>
                      <w:b w:val="0"/>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0.14</w:t>
                  </w:r>
                </w:p>
              </w:tc>
              <w:tc>
                <w:tcPr>
                  <w:tcW w:w="404"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Style w:val="255"/>
                      <w:rFonts w:hint="default" w:ascii="Times New Roman" w:hAnsi="Times New Roman" w:eastAsia="宋体" w:cs="Times New Roman"/>
                      <w:b w:val="0"/>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432"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432"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Style w:val="255"/>
                      <w:rFonts w:hint="default" w:ascii="Times New Roman" w:hAnsi="Times New Roman" w:eastAsia="宋体" w:cs="Times New Roman"/>
                      <w:b w:val="0"/>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404"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Style w:val="255"/>
                      <w:rFonts w:hint="default" w:ascii="Times New Roman" w:hAnsi="Times New Roman" w:eastAsia="宋体" w:cs="Times New Roman"/>
                      <w:b w:val="0"/>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404"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Style w:val="255"/>
                      <w:rFonts w:hint="default" w:ascii="Times New Roman" w:hAnsi="Times New Roman" w:eastAsia="宋体" w:cs="Times New Roman"/>
                      <w:b w:val="0"/>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0.39</w:t>
                  </w:r>
                </w:p>
              </w:tc>
              <w:tc>
                <w:tcPr>
                  <w:tcW w:w="407"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Style w:val="255"/>
                      <w:rFonts w:hint="default" w:ascii="Times New Roman" w:hAnsi="Times New Roman" w:eastAsia="宋体" w:cs="Times New Roman"/>
                      <w:b w:val="0"/>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0.53</w:t>
                  </w:r>
                </w:p>
              </w:tc>
              <w:tc>
                <w:tcPr>
                  <w:tcW w:w="511" w:type="pct"/>
                  <w:tcBorders>
                    <w:tl2br w:val="nil"/>
                    <w:tr2bl w:val="nil"/>
                  </w:tcBorders>
                  <w:noWrap w:val="0"/>
                  <w:vAlign w:val="center"/>
                </w:tcPr>
                <w:p>
                  <w:pPr>
                    <w:keepNext w:val="0"/>
                    <w:keepLines w:val="0"/>
                    <w:pageBreakBefore w:val="0"/>
                    <w:tabs>
                      <w:tab w:val="right" w:leader="dot" w:pos="8441"/>
                    </w:tabs>
                    <w:kinsoku/>
                    <w:wordWrap/>
                    <w:overflowPunct/>
                    <w:topLinePunct w:val="0"/>
                    <w:bidi w:val="0"/>
                    <w:snapToGrid w:val="0"/>
                    <w:spacing w:line="240" w:lineRule="auto"/>
                    <w:ind w:firstLine="0"/>
                    <w:jc w:val="center"/>
                    <w:rPr>
                      <w:rStyle w:val="255"/>
                      <w:rFonts w:hint="default" w:ascii="Times New Roman" w:hAnsi="Times New Roman" w:eastAsia="宋体" w:cs="Times New Roman"/>
                      <w:b w:val="0"/>
                      <w:color w:val="000000"/>
                      <w:sz w:val="21"/>
                      <w:szCs w:val="21"/>
                    </w:rPr>
                  </w:pPr>
                  <w:r>
                    <w:rPr>
                      <w:rStyle w:val="255"/>
                      <w:rFonts w:hint="default" w:ascii="Times New Roman" w:hAnsi="Times New Roman" w:eastAsia="宋体" w:cs="Times New Roman"/>
                      <w:b w:val="0"/>
                      <w:color w:val="000000"/>
                      <w:sz w:val="21"/>
                      <w:szCs w:val="21"/>
                    </w:rPr>
                    <w:t>永久占地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080" w:type="pct"/>
                  <w:gridSpan w:val="2"/>
                  <w:tcBorders>
                    <w:tl2br w:val="nil"/>
                    <w:tr2bl w:val="nil"/>
                  </w:tcBorders>
                  <w:noWrap w:val="0"/>
                  <w:vAlign w:val="center"/>
                </w:tcPr>
                <w:p>
                  <w:pPr>
                    <w:keepNext w:val="0"/>
                    <w:keepLines w:val="0"/>
                    <w:pageBreakBefore w:val="0"/>
                    <w:tabs>
                      <w:tab w:val="right" w:leader="dot" w:pos="8441"/>
                    </w:tabs>
                    <w:kinsoku/>
                    <w:wordWrap/>
                    <w:overflowPunct/>
                    <w:topLinePunct w:val="0"/>
                    <w:bidi w:val="0"/>
                    <w:snapToGrid w:val="0"/>
                    <w:spacing w:line="240" w:lineRule="auto"/>
                    <w:ind w:firstLine="0"/>
                    <w:jc w:val="center"/>
                    <w:rPr>
                      <w:rStyle w:val="255"/>
                      <w:rFonts w:hint="default" w:ascii="Times New Roman" w:hAnsi="Times New Roman" w:eastAsia="宋体" w:cs="Times New Roman"/>
                      <w:b w:val="0"/>
                      <w:color w:val="000000"/>
                      <w:sz w:val="21"/>
                      <w:szCs w:val="21"/>
                    </w:rPr>
                  </w:pPr>
                  <w:r>
                    <w:rPr>
                      <w:rFonts w:hint="default" w:ascii="Times New Roman" w:hAnsi="Times New Roman" w:eastAsia="宋体" w:cs="Times New Roman"/>
                      <w:color w:val="000000"/>
                      <w:sz w:val="21"/>
                      <w:szCs w:val="21"/>
                    </w:rPr>
                    <w:t>施工工区</w:t>
                  </w:r>
                </w:p>
              </w:tc>
              <w:tc>
                <w:tcPr>
                  <w:tcW w:w="449"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Style w:val="255"/>
                      <w:rFonts w:hint="default" w:ascii="Times New Roman" w:hAnsi="Times New Roman" w:eastAsia="宋体" w:cs="Times New Roman"/>
                      <w:b w:val="0"/>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472"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Style w:val="255"/>
                      <w:rFonts w:hint="default" w:ascii="Times New Roman" w:hAnsi="Times New Roman" w:eastAsia="宋体" w:cs="Times New Roman"/>
                      <w:b w:val="0"/>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404"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Style w:val="255"/>
                      <w:rFonts w:hint="default" w:ascii="Times New Roman" w:hAnsi="Times New Roman" w:eastAsia="宋体" w:cs="Times New Roman"/>
                      <w:b w:val="0"/>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0.05</w:t>
                  </w:r>
                </w:p>
              </w:tc>
              <w:tc>
                <w:tcPr>
                  <w:tcW w:w="432"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432"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Style w:val="255"/>
                      <w:rFonts w:hint="default" w:ascii="Times New Roman" w:hAnsi="Times New Roman" w:eastAsia="宋体" w:cs="Times New Roman"/>
                      <w:b w:val="0"/>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404"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404"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407"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Style w:val="255"/>
                      <w:rFonts w:hint="default" w:ascii="Times New Roman" w:hAnsi="Times New Roman" w:eastAsia="宋体" w:cs="Times New Roman"/>
                      <w:b w:val="0"/>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0.15</w:t>
                  </w:r>
                </w:p>
              </w:tc>
              <w:tc>
                <w:tcPr>
                  <w:tcW w:w="511" w:type="pct"/>
                  <w:tcBorders>
                    <w:tl2br w:val="nil"/>
                    <w:tr2bl w:val="nil"/>
                  </w:tcBorders>
                  <w:noWrap w:val="0"/>
                  <w:vAlign w:val="center"/>
                </w:tcPr>
                <w:p>
                  <w:pPr>
                    <w:keepNext w:val="0"/>
                    <w:keepLines w:val="0"/>
                    <w:pageBreakBefore w:val="0"/>
                    <w:tabs>
                      <w:tab w:val="right" w:leader="dot" w:pos="8441"/>
                    </w:tabs>
                    <w:kinsoku/>
                    <w:wordWrap/>
                    <w:overflowPunct/>
                    <w:topLinePunct w:val="0"/>
                    <w:bidi w:val="0"/>
                    <w:snapToGrid w:val="0"/>
                    <w:spacing w:line="240" w:lineRule="auto"/>
                    <w:ind w:firstLine="0"/>
                    <w:jc w:val="center"/>
                    <w:rPr>
                      <w:rStyle w:val="255"/>
                      <w:rFonts w:hint="default" w:ascii="Times New Roman" w:hAnsi="Times New Roman" w:eastAsia="宋体" w:cs="Times New Roman"/>
                      <w:b w:val="0"/>
                      <w:color w:val="000000"/>
                      <w:sz w:val="21"/>
                      <w:szCs w:val="21"/>
                    </w:rPr>
                  </w:pPr>
                  <w:r>
                    <w:rPr>
                      <w:rFonts w:hint="default" w:ascii="Times New Roman" w:hAnsi="Times New Roman" w:eastAsia="宋体" w:cs="Times New Roman"/>
                      <w:color w:val="000000"/>
                      <w:sz w:val="21"/>
                      <w:szCs w:val="21"/>
                    </w:rPr>
                    <w:t>临时占地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080" w:type="pct"/>
                  <w:gridSpan w:val="2"/>
                  <w:tcBorders>
                    <w:tl2br w:val="nil"/>
                    <w:tr2bl w:val="nil"/>
                  </w:tcBorders>
                  <w:noWrap w:val="0"/>
                  <w:vAlign w:val="center"/>
                </w:tcPr>
                <w:p>
                  <w:pPr>
                    <w:keepNext w:val="0"/>
                    <w:keepLines w:val="0"/>
                    <w:pageBreakBefore w:val="0"/>
                    <w:tabs>
                      <w:tab w:val="right" w:leader="dot" w:pos="8441"/>
                    </w:tabs>
                    <w:kinsoku/>
                    <w:wordWrap/>
                    <w:overflowPunct/>
                    <w:topLinePunct w:val="0"/>
                    <w:bidi w:val="0"/>
                    <w:snapToGrid w:val="0"/>
                    <w:spacing w:line="240" w:lineRule="auto"/>
                    <w:ind w:firstLine="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砂石堆放场</w:t>
                  </w:r>
                </w:p>
              </w:tc>
              <w:tc>
                <w:tcPr>
                  <w:tcW w:w="449"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472"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404"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432"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432"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404"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404"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407"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511" w:type="pct"/>
                  <w:tcBorders>
                    <w:tl2br w:val="nil"/>
                    <w:tr2bl w:val="nil"/>
                  </w:tcBorders>
                  <w:noWrap w:val="0"/>
                  <w:vAlign w:val="center"/>
                </w:tcPr>
                <w:p>
                  <w:pPr>
                    <w:keepNext w:val="0"/>
                    <w:keepLines w:val="0"/>
                    <w:pageBreakBefore w:val="0"/>
                    <w:tabs>
                      <w:tab w:val="right" w:leader="dot" w:pos="8441"/>
                    </w:tabs>
                    <w:kinsoku/>
                    <w:wordWrap/>
                    <w:overflowPunct/>
                    <w:topLinePunct w:val="0"/>
                    <w:bidi w:val="0"/>
                    <w:snapToGrid w:val="0"/>
                    <w:spacing w:line="240" w:lineRule="auto"/>
                    <w:ind w:firstLine="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临时占地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080" w:type="pct"/>
                  <w:gridSpan w:val="2"/>
                  <w:tcBorders>
                    <w:tl2br w:val="nil"/>
                    <w:tr2bl w:val="nil"/>
                  </w:tcBorders>
                  <w:noWrap w:val="0"/>
                  <w:vAlign w:val="center"/>
                </w:tcPr>
                <w:p>
                  <w:pPr>
                    <w:keepNext w:val="0"/>
                    <w:keepLines w:val="0"/>
                    <w:pageBreakBefore w:val="0"/>
                    <w:tabs>
                      <w:tab w:val="right" w:leader="dot" w:pos="8441"/>
                    </w:tabs>
                    <w:kinsoku/>
                    <w:wordWrap/>
                    <w:overflowPunct/>
                    <w:topLinePunct w:val="0"/>
                    <w:bidi w:val="0"/>
                    <w:snapToGrid w:val="0"/>
                    <w:spacing w:line="240" w:lineRule="auto"/>
                    <w:ind w:firstLine="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合计</w:t>
                  </w:r>
                </w:p>
              </w:tc>
              <w:tc>
                <w:tcPr>
                  <w:tcW w:w="449"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Style w:val="255"/>
                      <w:rFonts w:hint="default" w:ascii="Times New Roman" w:hAnsi="Times New Roman" w:eastAsia="宋体" w:cs="Times New Roman"/>
                      <w:b w:val="0"/>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472"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Style w:val="255"/>
                      <w:rFonts w:hint="default" w:ascii="Times New Roman" w:hAnsi="Times New Roman" w:eastAsia="宋体" w:cs="Times New Roman"/>
                      <w:b w:val="0"/>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0.21</w:t>
                  </w:r>
                </w:p>
              </w:tc>
              <w:tc>
                <w:tcPr>
                  <w:tcW w:w="404"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Style w:val="255"/>
                      <w:rFonts w:hint="default" w:ascii="Times New Roman" w:hAnsi="Times New Roman" w:eastAsia="宋体" w:cs="Times New Roman"/>
                      <w:b w:val="0"/>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0.7</w:t>
                  </w:r>
                </w:p>
              </w:tc>
              <w:tc>
                <w:tcPr>
                  <w:tcW w:w="432"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432"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Style w:val="255"/>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0.32</w:t>
                  </w:r>
                </w:p>
              </w:tc>
              <w:tc>
                <w:tcPr>
                  <w:tcW w:w="404"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Style w:val="255"/>
                      <w:rFonts w:hint="default" w:ascii="Times New Roman" w:hAnsi="Times New Roman" w:eastAsia="宋体" w:cs="Times New Roman"/>
                      <w:b w:val="0"/>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1.19</w:t>
                  </w:r>
                </w:p>
              </w:tc>
              <w:tc>
                <w:tcPr>
                  <w:tcW w:w="404"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Style w:val="255"/>
                      <w:rFonts w:hint="default" w:ascii="Times New Roman" w:hAnsi="Times New Roman" w:eastAsia="宋体" w:cs="Times New Roman"/>
                      <w:b w:val="0"/>
                      <w:color w:val="000000"/>
                      <w:sz w:val="21"/>
                      <w:szCs w:val="21"/>
                    </w:rPr>
                  </w:pPr>
                  <w:r>
                    <w:rPr>
                      <w:rFonts w:hint="default" w:ascii="Times New Roman" w:hAnsi="Times New Roman" w:eastAsia="宋体" w:cs="Times New Roman"/>
                      <w:i w:val="0"/>
                      <w:iCs w:val="0"/>
                      <w:color w:val="000000"/>
                      <w:kern w:val="0"/>
                      <w:sz w:val="21"/>
                      <w:szCs w:val="21"/>
                      <w:u w:val="none"/>
                      <w:lang w:val="en-US" w:eastAsia="zh-CN" w:bidi="ar"/>
                    </w:rPr>
                    <w:t>0.39</w:t>
                  </w:r>
                </w:p>
              </w:tc>
              <w:tc>
                <w:tcPr>
                  <w:tcW w:w="407"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line="240" w:lineRule="auto"/>
                    <w:ind w:firstLine="0" w:firstLineChars="0"/>
                    <w:jc w:val="center"/>
                    <w:textAlignment w:val="center"/>
                    <w:rPr>
                      <w:rStyle w:val="255"/>
                      <w:rFonts w:hint="default" w:ascii="Times New Roman" w:hAnsi="Times New Roman" w:eastAsia="宋体" w:cs="Times New Roman"/>
                      <w:b w:val="0"/>
                      <w:color w:val="000000"/>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3.91</w:t>
                  </w:r>
                </w:p>
              </w:tc>
              <w:tc>
                <w:tcPr>
                  <w:tcW w:w="511" w:type="pct"/>
                  <w:tcBorders>
                    <w:tl2br w:val="nil"/>
                    <w:tr2bl w:val="nil"/>
                  </w:tcBorders>
                  <w:noWrap w:val="0"/>
                  <w:vAlign w:val="center"/>
                </w:tcPr>
                <w:p>
                  <w:pPr>
                    <w:keepNext w:val="0"/>
                    <w:keepLines w:val="0"/>
                    <w:pageBreakBefore w:val="0"/>
                    <w:tabs>
                      <w:tab w:val="right" w:leader="dot" w:pos="8441"/>
                    </w:tabs>
                    <w:kinsoku/>
                    <w:wordWrap/>
                    <w:overflowPunct/>
                    <w:topLinePunct w:val="0"/>
                    <w:bidi w:val="0"/>
                    <w:snapToGrid w:val="0"/>
                    <w:spacing w:line="240" w:lineRule="auto"/>
                    <w:ind w:firstLine="0"/>
                    <w:jc w:val="center"/>
                    <w:rPr>
                      <w:rStyle w:val="255"/>
                      <w:rFonts w:hint="default" w:ascii="Times New Roman" w:hAnsi="Times New Roman" w:eastAsia="宋体" w:cs="Times New Roman"/>
                      <w:b w:val="0"/>
                      <w:color w:val="000000"/>
                      <w:sz w:val="21"/>
                      <w:szCs w:val="21"/>
                    </w:rPr>
                  </w:pPr>
                </w:p>
              </w:tc>
            </w:tr>
          </w:tbl>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before="0" w:after="0" w:line="240" w:lineRule="auto"/>
              <w:ind w:right="0" w:rightChars="0" w:firstLine="422" w:firstLineChars="200"/>
              <w:jc w:val="center"/>
              <w:textAlignment w:val="baseline"/>
              <w:rPr>
                <w:rFonts w:hint="default" w:ascii="Times New Roman" w:hAnsi="Times New Roman" w:eastAsia="宋体" w:cs="Times New Roman"/>
                <w:b/>
                <w:bCs/>
                <w:color w:val="auto"/>
                <w:spacing w:val="0"/>
                <w:kern w:val="2"/>
                <w:sz w:val="21"/>
                <w:szCs w:val="21"/>
                <w:highlight w:val="none"/>
                <w:lang w:val="en-US" w:eastAsia="zh-CN" w:bidi="ar-SA"/>
              </w:rPr>
            </w:pPr>
          </w:p>
          <w:p>
            <w:pPr>
              <w:pStyle w:val="2"/>
              <w:keepNext w:val="0"/>
              <w:keepLines w:val="0"/>
              <w:pageBreakBefore w:val="0"/>
              <w:kinsoku/>
              <w:wordWrap/>
              <w:overflowPunct/>
              <w:topLinePunct w:val="0"/>
              <w:bidi w:val="0"/>
              <w:adjustRightInd w:val="0"/>
              <w:snapToGrid w:val="0"/>
              <w:spacing w:before="0" w:after="0" w:line="360" w:lineRule="auto"/>
              <w:ind w:left="0" w:leftChars="0" w:right="0" w:firstLine="482" w:firstLineChars="200"/>
              <w:rPr>
                <w:rFonts w:hint="default" w:ascii="Times New Roman" w:hAnsi="Times New Roman" w:eastAsia="宋体" w:cs="Times New Roman"/>
                <w:b/>
                <w:bCs/>
                <w:color w:val="auto"/>
                <w:spacing w:val="0"/>
                <w:kern w:val="2"/>
                <w:sz w:val="24"/>
                <w:szCs w:val="24"/>
                <w:highlight w:val="none"/>
                <w:lang w:val="en-US" w:eastAsia="zh-CN" w:bidi="ar-SA"/>
              </w:rPr>
            </w:pPr>
            <w:r>
              <w:rPr>
                <w:rFonts w:hint="default" w:ascii="Times New Roman" w:hAnsi="Times New Roman" w:eastAsia="宋体" w:cs="Times New Roman"/>
                <w:b/>
                <w:bCs/>
                <w:color w:val="auto"/>
                <w:spacing w:val="0"/>
                <w:kern w:val="2"/>
                <w:sz w:val="24"/>
                <w:szCs w:val="24"/>
                <w:highlight w:val="none"/>
                <w:lang w:val="en-US" w:eastAsia="zh-CN" w:bidi="ar-SA"/>
              </w:rPr>
              <w:t>（</w:t>
            </w:r>
            <w:r>
              <w:rPr>
                <w:rFonts w:hint="eastAsia" w:ascii="Times New Roman" w:hAnsi="Times New Roman" w:eastAsia="宋体" w:cs="Times New Roman"/>
                <w:b/>
                <w:bCs/>
                <w:color w:val="auto"/>
                <w:spacing w:val="0"/>
                <w:kern w:val="2"/>
                <w:sz w:val="24"/>
                <w:szCs w:val="24"/>
                <w:highlight w:val="none"/>
                <w:lang w:val="en-US" w:eastAsia="zh-CN" w:bidi="ar-SA"/>
              </w:rPr>
              <w:t>2</w:t>
            </w:r>
            <w:r>
              <w:rPr>
                <w:rFonts w:hint="default" w:ascii="Times New Roman" w:hAnsi="Times New Roman" w:eastAsia="宋体" w:cs="Times New Roman"/>
                <w:b/>
                <w:bCs/>
                <w:color w:val="auto"/>
                <w:spacing w:val="0"/>
                <w:kern w:val="2"/>
                <w:sz w:val="24"/>
                <w:szCs w:val="24"/>
                <w:highlight w:val="none"/>
                <w:lang w:val="en-US" w:eastAsia="zh-CN" w:bidi="ar-SA"/>
              </w:rPr>
              <w:t>）砂石加工系统、</w:t>
            </w:r>
            <w:r>
              <w:rPr>
                <w:rFonts w:hint="default" w:ascii="Times New Roman" w:hAnsi="Times New Roman" w:cs="Times New Roman"/>
                <w:b/>
                <w:bCs/>
                <w:color w:val="auto"/>
                <w:spacing w:val="0"/>
                <w:sz w:val="24"/>
                <w:szCs w:val="24"/>
              </w:rPr>
              <w:t>混凝土生产系统</w:t>
            </w:r>
            <w:r>
              <w:rPr>
                <w:rFonts w:hint="default" w:ascii="Times New Roman" w:hAnsi="Times New Roman" w:cs="Times New Roman"/>
                <w:b/>
                <w:bCs/>
                <w:color w:val="auto"/>
                <w:spacing w:val="0"/>
                <w:sz w:val="24"/>
                <w:szCs w:val="24"/>
                <w:lang w:eastAsia="zh-CN"/>
              </w:rPr>
              <w:t>、机械修配系统</w:t>
            </w:r>
          </w:p>
          <w:p>
            <w:pPr>
              <w:pStyle w:val="2"/>
              <w:keepNext w:val="0"/>
              <w:keepLines w:val="0"/>
              <w:pageBreakBefore w:val="0"/>
              <w:kinsoku/>
              <w:wordWrap/>
              <w:overflowPunct/>
              <w:topLinePunct w:val="0"/>
              <w:bidi w:val="0"/>
              <w:adjustRightInd w:val="0"/>
              <w:snapToGrid w:val="0"/>
              <w:spacing w:before="0" w:after="0" w:line="360" w:lineRule="auto"/>
              <w:ind w:left="0" w:leftChars="0" w:right="0" w:firstLine="480" w:firstLineChars="200"/>
              <w:rPr>
                <w:rFonts w:hint="default" w:ascii="Times New Roman" w:hAnsi="Times New Roman" w:eastAsia="宋体" w:cs="Times New Roman"/>
                <w:b w:val="0"/>
                <w:bCs w:val="0"/>
                <w:color w:val="auto"/>
                <w:spacing w:val="0"/>
                <w:kern w:val="2"/>
                <w:sz w:val="24"/>
                <w:szCs w:val="24"/>
                <w:highlight w:val="none"/>
                <w:lang w:val="en-US" w:eastAsia="zh-CN" w:bidi="ar-SA"/>
              </w:rPr>
            </w:pPr>
            <w:r>
              <w:rPr>
                <w:rFonts w:hint="default" w:ascii="Times New Roman" w:hAnsi="Times New Roman" w:eastAsia="宋体" w:cs="Times New Roman"/>
                <w:b w:val="0"/>
                <w:bCs w:val="0"/>
                <w:color w:val="auto"/>
                <w:spacing w:val="0"/>
                <w:kern w:val="2"/>
                <w:sz w:val="24"/>
                <w:szCs w:val="24"/>
                <w:highlight w:val="none"/>
                <w:lang w:val="en-US" w:eastAsia="zh-CN" w:bidi="ar-SA"/>
              </w:rPr>
              <w:t>本项目不设立砂石加工系统、</w:t>
            </w:r>
            <w:r>
              <w:rPr>
                <w:rFonts w:hint="default" w:ascii="Times New Roman" w:hAnsi="Times New Roman" w:cs="Times New Roman"/>
                <w:b w:val="0"/>
                <w:bCs w:val="0"/>
                <w:color w:val="auto"/>
                <w:spacing w:val="0"/>
                <w:sz w:val="24"/>
                <w:szCs w:val="24"/>
              </w:rPr>
              <w:t>混凝土生产系统</w:t>
            </w:r>
            <w:r>
              <w:rPr>
                <w:rFonts w:hint="default" w:ascii="Times New Roman" w:hAnsi="Times New Roman" w:cs="Times New Roman"/>
                <w:b w:val="0"/>
                <w:bCs w:val="0"/>
                <w:color w:val="auto"/>
                <w:spacing w:val="0"/>
                <w:sz w:val="24"/>
                <w:szCs w:val="24"/>
                <w:lang w:eastAsia="zh-CN"/>
              </w:rPr>
              <w:t>，机械修配系统，施工场地内仅涉及堆放区，采用商品混凝土。</w:t>
            </w:r>
          </w:p>
          <w:p>
            <w:pPr>
              <w:pStyle w:val="2"/>
              <w:keepNext w:val="0"/>
              <w:keepLines w:val="0"/>
              <w:pageBreakBefore w:val="0"/>
              <w:kinsoku/>
              <w:wordWrap/>
              <w:overflowPunct/>
              <w:topLinePunct w:val="0"/>
              <w:bidi w:val="0"/>
              <w:adjustRightInd w:val="0"/>
              <w:snapToGrid w:val="0"/>
              <w:spacing w:before="0" w:after="0" w:line="360" w:lineRule="auto"/>
              <w:ind w:left="0" w:leftChars="0" w:right="0" w:firstLine="482" w:firstLineChars="200"/>
              <w:rPr>
                <w:rFonts w:hint="default" w:ascii="Times New Roman" w:hAnsi="Times New Roman" w:eastAsia="宋体" w:cs="Times New Roman"/>
                <w:b/>
                <w:bCs/>
                <w:color w:val="auto"/>
                <w:spacing w:val="0"/>
                <w:kern w:val="2"/>
                <w:sz w:val="24"/>
                <w:szCs w:val="24"/>
                <w:highlight w:val="none"/>
                <w:lang w:val="en-US" w:eastAsia="zh-CN" w:bidi="ar-SA"/>
              </w:rPr>
            </w:pPr>
            <w:r>
              <w:rPr>
                <w:rFonts w:hint="default" w:ascii="Times New Roman" w:hAnsi="Times New Roman" w:eastAsia="宋体" w:cs="Times New Roman"/>
                <w:b/>
                <w:bCs/>
                <w:color w:val="auto"/>
                <w:spacing w:val="0"/>
                <w:kern w:val="2"/>
                <w:sz w:val="24"/>
                <w:szCs w:val="24"/>
                <w:highlight w:val="none"/>
                <w:lang w:val="en-US" w:eastAsia="zh-CN" w:bidi="ar-SA"/>
              </w:rPr>
              <w:t>（</w:t>
            </w:r>
            <w:r>
              <w:rPr>
                <w:rFonts w:hint="eastAsia" w:ascii="Times New Roman" w:hAnsi="Times New Roman" w:eastAsia="宋体" w:cs="Times New Roman"/>
                <w:b/>
                <w:bCs/>
                <w:color w:val="auto"/>
                <w:spacing w:val="0"/>
                <w:kern w:val="2"/>
                <w:sz w:val="24"/>
                <w:szCs w:val="24"/>
                <w:highlight w:val="none"/>
                <w:lang w:val="en-US" w:eastAsia="zh-CN" w:bidi="ar-SA"/>
              </w:rPr>
              <w:t>3</w:t>
            </w:r>
            <w:r>
              <w:rPr>
                <w:rFonts w:hint="default" w:ascii="Times New Roman" w:hAnsi="Times New Roman" w:eastAsia="宋体" w:cs="Times New Roman"/>
                <w:b/>
                <w:bCs/>
                <w:color w:val="auto"/>
                <w:spacing w:val="0"/>
                <w:kern w:val="2"/>
                <w:sz w:val="24"/>
                <w:szCs w:val="24"/>
                <w:highlight w:val="none"/>
                <w:lang w:val="en-US" w:eastAsia="zh-CN" w:bidi="ar-SA"/>
              </w:rPr>
              <w:t>）料场</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before="0" w:after="0" w:line="360" w:lineRule="auto"/>
              <w:ind w:left="0" w:leftChars="0" w:right="0" w:rightChars="0" w:firstLine="480" w:firstLineChars="200"/>
              <w:jc w:val="both"/>
              <w:textAlignment w:val="baseline"/>
              <w:rPr>
                <w:rFonts w:hint="default" w:ascii="Times New Roman" w:hAnsi="Times New Roman" w:eastAsia="宋体" w:cs="Times New Roman"/>
                <w:b w:val="0"/>
                <w:bCs w:val="0"/>
                <w:color w:val="auto"/>
                <w:spacing w:val="0"/>
                <w:kern w:val="2"/>
                <w:sz w:val="24"/>
                <w:szCs w:val="24"/>
                <w:highlight w:val="none"/>
                <w:lang w:val="en-US" w:eastAsia="zh-CN" w:bidi="ar-SA"/>
              </w:rPr>
            </w:pPr>
            <w:r>
              <w:rPr>
                <w:rFonts w:hint="default" w:ascii="Times New Roman" w:hAnsi="Times New Roman" w:eastAsia="宋体" w:cs="Times New Roman"/>
                <w:b w:val="0"/>
                <w:bCs w:val="0"/>
                <w:color w:val="auto"/>
                <w:spacing w:val="0"/>
                <w:kern w:val="2"/>
                <w:sz w:val="24"/>
                <w:szCs w:val="24"/>
                <w:highlight w:val="none"/>
                <w:lang w:val="en-US" w:eastAsia="zh-CN" w:bidi="ar-SA"/>
              </w:rPr>
              <w:t>本项目采用商品混凝土，不设料场。</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before="0" w:after="0" w:line="360" w:lineRule="auto"/>
              <w:ind w:left="0" w:leftChars="0" w:right="0" w:rightChars="0" w:firstLine="482" w:firstLineChars="200"/>
              <w:jc w:val="both"/>
              <w:textAlignment w:val="baseline"/>
              <w:rPr>
                <w:rFonts w:hint="default" w:ascii="Times New Roman" w:hAnsi="Times New Roman" w:eastAsia="宋体" w:cs="Times New Roman"/>
                <w:b/>
                <w:bCs/>
                <w:color w:val="auto"/>
                <w:spacing w:val="0"/>
                <w:kern w:val="2"/>
                <w:sz w:val="24"/>
                <w:szCs w:val="24"/>
                <w:highlight w:val="none"/>
                <w:lang w:val="en-US" w:eastAsia="zh-CN" w:bidi="ar-SA"/>
              </w:rPr>
            </w:pPr>
            <w:r>
              <w:rPr>
                <w:rFonts w:hint="eastAsia" w:ascii="Times New Roman" w:hAnsi="Times New Roman" w:eastAsia="宋体" w:cs="Times New Roman"/>
                <w:b/>
                <w:bCs/>
                <w:color w:val="auto"/>
                <w:spacing w:val="0"/>
                <w:kern w:val="2"/>
                <w:sz w:val="24"/>
                <w:szCs w:val="24"/>
                <w:highlight w:val="none"/>
                <w:lang w:val="en-US" w:eastAsia="zh-CN" w:bidi="ar-SA"/>
              </w:rPr>
              <w:t>（4）施工便道</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before="0" w:after="0" w:line="360" w:lineRule="auto"/>
              <w:ind w:left="0" w:leftChars="0" w:right="0" w:rightChars="0" w:firstLine="480" w:firstLineChars="200"/>
              <w:jc w:val="both"/>
              <w:textAlignment w:val="baseline"/>
              <w:rPr>
                <w:rFonts w:hint="eastAsia" w:ascii="Times New Roman" w:hAnsi="Times New Roman" w:eastAsia="宋体" w:cs="Times New Roman"/>
                <w:b w:val="0"/>
                <w:bCs w:val="0"/>
                <w:color w:val="auto"/>
                <w:spacing w:val="0"/>
                <w:kern w:val="2"/>
                <w:sz w:val="24"/>
                <w:szCs w:val="24"/>
                <w:highlight w:val="none"/>
                <w:lang w:val="en-US" w:eastAsia="zh-CN" w:bidi="ar-SA"/>
              </w:rPr>
            </w:pPr>
            <w:r>
              <w:rPr>
                <w:rFonts w:hint="eastAsia" w:ascii="Times New Roman" w:hAnsi="Times New Roman" w:eastAsia="宋体" w:cs="Times New Roman"/>
                <w:b w:val="0"/>
                <w:bCs w:val="0"/>
                <w:color w:val="auto"/>
                <w:spacing w:val="0"/>
                <w:kern w:val="2"/>
                <w:sz w:val="24"/>
                <w:szCs w:val="24"/>
                <w:highlight w:val="none"/>
                <w:lang w:val="en-US" w:eastAsia="zh-CN" w:bidi="ar-SA"/>
              </w:rPr>
              <w:t>本项目利用周边已有道路，本工程不再新建施工便道。</w:t>
            </w:r>
          </w:p>
          <w:p>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before="0" w:after="0" w:line="360" w:lineRule="auto"/>
              <w:ind w:left="0" w:leftChars="0" w:right="0" w:rightChars="0" w:firstLine="482" w:firstLineChars="200"/>
              <w:jc w:val="both"/>
              <w:textAlignment w:val="baseline"/>
              <w:rPr>
                <w:rFonts w:hint="default" w:ascii="Times New Roman" w:hAnsi="Times New Roman" w:eastAsia="宋体" w:cs="Times New Roman"/>
                <w:b/>
                <w:bCs/>
                <w:color w:val="auto"/>
                <w:spacing w:val="0"/>
                <w:kern w:val="2"/>
                <w:sz w:val="24"/>
                <w:szCs w:val="24"/>
                <w:highlight w:val="none"/>
                <w:lang w:val="en-US" w:eastAsia="zh-CN" w:bidi="ar-SA"/>
              </w:rPr>
            </w:pPr>
            <w:r>
              <w:rPr>
                <w:rFonts w:hint="eastAsia" w:ascii="Times New Roman" w:hAnsi="Times New Roman" w:eastAsia="宋体" w:cs="Times New Roman"/>
                <w:b/>
                <w:bCs/>
                <w:color w:val="auto"/>
                <w:spacing w:val="0"/>
                <w:kern w:val="2"/>
                <w:sz w:val="24"/>
                <w:szCs w:val="24"/>
                <w:highlight w:val="none"/>
                <w:lang w:val="en-US" w:eastAsia="zh-CN" w:bidi="ar-SA"/>
              </w:rPr>
              <w:t>（5）弃土场</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rPr>
                <w:rFonts w:hAnsi="宋体"/>
                <w:bCs/>
                <w:color w:val="auto"/>
                <w:sz w:val="24"/>
                <w:highlight w:val="none"/>
              </w:rPr>
            </w:pPr>
            <w:r>
              <w:rPr>
                <w:rFonts w:ascii="Times New Roman" w:hAnsi="宋体" w:eastAsia="宋体" w:cs="Times New Roman"/>
                <w:bCs/>
                <w:color w:val="auto"/>
                <w:sz w:val="24"/>
                <w:highlight w:val="none"/>
              </w:rPr>
              <w:t>本工程主体土石开挖总量</w:t>
            </w:r>
            <w:r>
              <w:rPr>
                <w:rFonts w:hint="eastAsia" w:ascii="Times New Roman" w:hAnsi="宋体" w:eastAsia="宋体" w:cs="Times New Roman"/>
                <w:bCs/>
                <w:color w:val="auto"/>
                <w:sz w:val="24"/>
                <w:highlight w:val="none"/>
              </w:rPr>
              <w:t>4.32</w:t>
            </w:r>
            <w:r>
              <w:rPr>
                <w:rFonts w:ascii="Times New Roman" w:hAnsi="宋体" w:eastAsia="宋体" w:cs="Times New Roman"/>
                <w:bCs/>
                <w:color w:val="auto"/>
                <w:sz w:val="24"/>
                <w:highlight w:val="none"/>
              </w:rPr>
              <w:t>万m</w:t>
            </w:r>
            <w:r>
              <w:rPr>
                <w:rFonts w:ascii="Times New Roman" w:hAnsi="宋体" w:eastAsia="宋体" w:cs="Times New Roman"/>
                <w:bCs/>
                <w:color w:val="auto"/>
                <w:sz w:val="24"/>
                <w:highlight w:val="none"/>
                <w:vertAlign w:val="superscript"/>
              </w:rPr>
              <w:t>3</w:t>
            </w:r>
            <w:r>
              <w:rPr>
                <w:rFonts w:ascii="Times New Roman" w:hAnsi="宋体" w:eastAsia="宋体" w:cs="Times New Roman"/>
                <w:bCs/>
                <w:color w:val="auto"/>
                <w:sz w:val="24"/>
                <w:highlight w:val="none"/>
              </w:rPr>
              <w:t>（自然方，含</w:t>
            </w:r>
            <w:r>
              <w:rPr>
                <w:rFonts w:hint="eastAsia" w:ascii="Times New Roman" w:hAnsi="宋体" w:eastAsia="宋体" w:cs="Times New Roman"/>
                <w:bCs/>
                <w:color w:val="auto"/>
                <w:sz w:val="24"/>
                <w:highlight w:val="none"/>
              </w:rPr>
              <w:t>表土剥离量0.14万</w:t>
            </w:r>
            <w:r>
              <w:rPr>
                <w:rFonts w:ascii="Times New Roman" w:hAnsi="宋体" w:eastAsia="宋体" w:cs="Times New Roman"/>
                <w:bCs/>
                <w:color w:val="auto"/>
                <w:sz w:val="24"/>
                <w:highlight w:val="none"/>
              </w:rPr>
              <w:t>m</w:t>
            </w:r>
            <w:r>
              <w:rPr>
                <w:rFonts w:ascii="Times New Roman" w:hAnsi="宋体" w:eastAsia="宋体" w:cs="Times New Roman"/>
                <w:bCs/>
                <w:color w:val="auto"/>
                <w:sz w:val="24"/>
                <w:highlight w:val="none"/>
                <w:vertAlign w:val="superscript"/>
              </w:rPr>
              <w:t>3</w:t>
            </w:r>
            <w:r>
              <w:rPr>
                <w:rFonts w:ascii="Times New Roman" w:hAnsi="宋体" w:eastAsia="宋体" w:cs="Times New Roman"/>
                <w:bCs/>
                <w:color w:val="auto"/>
                <w:sz w:val="24"/>
                <w:highlight w:val="none"/>
              </w:rPr>
              <w:t>），</w:t>
            </w:r>
            <w:r>
              <w:rPr>
                <w:rFonts w:hint="eastAsia" w:ascii="Times New Roman" w:hAnsi="宋体" w:eastAsia="宋体" w:cs="Times New Roman"/>
                <w:bCs/>
                <w:color w:val="auto"/>
                <w:sz w:val="24"/>
                <w:highlight w:val="none"/>
                <w:lang w:eastAsia="zh-CN"/>
              </w:rPr>
              <w:t>总回填量</w:t>
            </w:r>
            <w:r>
              <w:rPr>
                <w:rFonts w:hint="eastAsia" w:ascii="Times New Roman" w:hAnsi="宋体" w:eastAsia="宋体" w:cs="Times New Roman"/>
                <w:bCs/>
                <w:color w:val="auto"/>
                <w:sz w:val="24"/>
                <w:highlight w:val="none"/>
                <w:lang w:val="en-US" w:eastAsia="zh-CN"/>
              </w:rPr>
              <w:t>1.47</w:t>
            </w:r>
            <w:r>
              <w:rPr>
                <w:rFonts w:ascii="Times New Roman" w:hAnsi="宋体" w:eastAsia="宋体" w:cs="Times New Roman"/>
                <w:bCs/>
                <w:color w:val="auto"/>
                <w:sz w:val="24"/>
                <w:highlight w:val="none"/>
              </w:rPr>
              <w:t>万m</w:t>
            </w:r>
            <w:r>
              <w:rPr>
                <w:rFonts w:ascii="Times New Roman" w:hAnsi="宋体" w:eastAsia="宋体" w:cs="Times New Roman"/>
                <w:bCs/>
                <w:color w:val="auto"/>
                <w:sz w:val="24"/>
                <w:highlight w:val="none"/>
                <w:vertAlign w:val="superscript"/>
              </w:rPr>
              <w:t>3</w:t>
            </w:r>
            <w:r>
              <w:rPr>
                <w:rFonts w:hint="eastAsia" w:ascii="Times New Roman" w:hAnsi="宋体" w:eastAsia="宋体" w:cs="Times New Roman"/>
                <w:bCs/>
                <w:color w:val="auto"/>
                <w:sz w:val="24"/>
                <w:highlight w:val="none"/>
                <w:lang w:val="en-US" w:eastAsia="zh-CN"/>
              </w:rPr>
              <w:t>（其中</w:t>
            </w:r>
            <w:r>
              <w:rPr>
                <w:rFonts w:ascii="Times New Roman" w:hAnsi="宋体" w:eastAsia="宋体" w:cs="Times New Roman"/>
                <w:bCs/>
                <w:color w:val="auto"/>
                <w:sz w:val="24"/>
                <w:highlight w:val="none"/>
              </w:rPr>
              <w:t>用于主体工程</w:t>
            </w:r>
            <w:r>
              <w:rPr>
                <w:rFonts w:hint="eastAsia" w:ascii="Times New Roman" w:hAnsi="宋体" w:eastAsia="宋体" w:cs="Times New Roman"/>
                <w:bCs/>
                <w:color w:val="auto"/>
                <w:sz w:val="24"/>
                <w:highlight w:val="none"/>
              </w:rPr>
              <w:t>土石方回</w:t>
            </w:r>
            <w:r>
              <w:rPr>
                <w:rFonts w:ascii="Times New Roman" w:hAnsi="宋体" w:eastAsia="宋体" w:cs="Times New Roman"/>
                <w:bCs/>
                <w:color w:val="auto"/>
                <w:sz w:val="24"/>
                <w:highlight w:val="none"/>
              </w:rPr>
              <w:t>填</w:t>
            </w:r>
            <w:r>
              <w:rPr>
                <w:rFonts w:hint="eastAsia" w:ascii="Times New Roman" w:hAnsi="宋体" w:eastAsia="宋体" w:cs="Times New Roman"/>
                <w:bCs/>
                <w:color w:val="auto"/>
                <w:sz w:val="24"/>
                <w:highlight w:val="none"/>
              </w:rPr>
              <w:t>0.93</w:t>
            </w:r>
            <w:r>
              <w:rPr>
                <w:rFonts w:ascii="Times New Roman" w:hAnsi="宋体" w:eastAsia="宋体" w:cs="Times New Roman"/>
                <w:bCs/>
                <w:color w:val="auto"/>
                <w:sz w:val="24"/>
                <w:highlight w:val="none"/>
              </w:rPr>
              <w:t>万m</w:t>
            </w:r>
            <w:r>
              <w:rPr>
                <w:rFonts w:ascii="Times New Roman" w:hAnsi="宋体" w:eastAsia="宋体" w:cs="Times New Roman"/>
                <w:bCs/>
                <w:color w:val="auto"/>
                <w:sz w:val="24"/>
                <w:highlight w:val="none"/>
                <w:vertAlign w:val="superscript"/>
              </w:rPr>
              <w:t>3</w:t>
            </w:r>
            <w:r>
              <w:rPr>
                <w:rFonts w:ascii="Times New Roman" w:hAnsi="宋体" w:eastAsia="宋体" w:cs="Times New Roman"/>
                <w:bCs/>
                <w:color w:val="auto"/>
                <w:sz w:val="24"/>
                <w:highlight w:val="none"/>
              </w:rPr>
              <w:t>，用于</w:t>
            </w:r>
            <w:r>
              <w:rPr>
                <w:rFonts w:hint="eastAsia" w:ascii="Times New Roman" w:hAnsi="宋体" w:eastAsia="宋体" w:cs="Times New Roman"/>
                <w:bCs/>
                <w:color w:val="auto"/>
                <w:sz w:val="24"/>
                <w:highlight w:val="none"/>
              </w:rPr>
              <w:t>大卵石海漫0.40</w:t>
            </w:r>
            <w:r>
              <w:rPr>
                <w:rFonts w:ascii="Times New Roman" w:hAnsi="宋体" w:eastAsia="宋体" w:cs="Times New Roman"/>
                <w:bCs/>
                <w:color w:val="auto"/>
                <w:sz w:val="24"/>
                <w:highlight w:val="none"/>
              </w:rPr>
              <w:t>万m</w:t>
            </w:r>
            <w:r>
              <w:rPr>
                <w:rFonts w:ascii="Times New Roman" w:hAnsi="宋体" w:eastAsia="宋体" w:cs="Times New Roman"/>
                <w:bCs/>
                <w:color w:val="auto"/>
                <w:sz w:val="24"/>
                <w:highlight w:val="none"/>
                <w:vertAlign w:val="superscript"/>
              </w:rPr>
              <w:t>3</w:t>
            </w:r>
            <w:r>
              <w:rPr>
                <w:rFonts w:ascii="Times New Roman" w:hAnsi="宋体" w:eastAsia="宋体" w:cs="Times New Roman"/>
                <w:bCs/>
                <w:color w:val="auto"/>
                <w:sz w:val="24"/>
                <w:highlight w:val="none"/>
              </w:rPr>
              <w:t>，</w:t>
            </w:r>
            <w:r>
              <w:rPr>
                <w:rFonts w:hint="eastAsia" w:ascii="Times New Roman" w:hAnsi="宋体" w:eastAsia="宋体" w:cs="Times New Roman"/>
                <w:bCs/>
                <w:color w:val="auto"/>
                <w:sz w:val="24"/>
                <w:highlight w:val="none"/>
              </w:rPr>
              <w:t>覆土0.14</w:t>
            </w:r>
            <w:r>
              <w:rPr>
                <w:rFonts w:ascii="Times New Roman" w:hAnsi="宋体" w:eastAsia="宋体" w:cs="Times New Roman"/>
                <w:bCs/>
                <w:color w:val="auto"/>
                <w:sz w:val="24"/>
                <w:highlight w:val="none"/>
              </w:rPr>
              <w:t>万m</w:t>
            </w:r>
            <w:r>
              <w:rPr>
                <w:rFonts w:ascii="Times New Roman" w:hAnsi="宋体" w:eastAsia="宋体" w:cs="Times New Roman"/>
                <w:bCs/>
                <w:color w:val="auto"/>
                <w:sz w:val="24"/>
                <w:highlight w:val="none"/>
                <w:vertAlign w:val="superscript"/>
              </w:rPr>
              <w:t>3</w:t>
            </w:r>
            <w:r>
              <w:rPr>
                <w:rFonts w:hint="eastAsia" w:ascii="Times New Roman" w:hAnsi="宋体" w:eastAsia="宋体" w:cs="Times New Roman"/>
                <w:bCs/>
                <w:color w:val="auto"/>
                <w:sz w:val="24"/>
                <w:highlight w:val="none"/>
                <w:lang w:val="en-US" w:eastAsia="zh-CN"/>
              </w:rPr>
              <w:t>）</w:t>
            </w:r>
            <w:r>
              <w:rPr>
                <w:rFonts w:hint="eastAsia" w:ascii="Times New Roman" w:hAnsi="宋体" w:eastAsia="宋体" w:cs="Times New Roman"/>
                <w:bCs/>
                <w:color w:val="auto"/>
                <w:sz w:val="24"/>
                <w:highlight w:val="none"/>
              </w:rPr>
              <w:t>，余方2.85万m</w:t>
            </w:r>
            <w:r>
              <w:rPr>
                <w:rFonts w:hint="eastAsia" w:ascii="Times New Roman" w:hAnsi="宋体" w:eastAsia="宋体" w:cs="Times New Roman"/>
                <w:bCs/>
                <w:color w:val="auto"/>
                <w:sz w:val="24"/>
                <w:highlight w:val="none"/>
                <w:vertAlign w:val="superscript"/>
              </w:rPr>
              <w:t>3</w:t>
            </w:r>
            <w:r>
              <w:rPr>
                <w:rFonts w:hint="eastAsia" w:ascii="Times New Roman" w:hAnsi="宋体" w:eastAsia="宋体" w:cs="Times New Roman"/>
                <w:bCs/>
                <w:color w:val="auto"/>
                <w:sz w:val="24"/>
                <w:highlight w:val="none"/>
              </w:rPr>
              <w:t>砂卵石</w:t>
            </w:r>
            <w:r>
              <w:rPr>
                <w:rFonts w:ascii="Times New Roman" w:hAnsi="宋体" w:eastAsia="宋体" w:cs="Times New Roman"/>
                <w:bCs/>
                <w:color w:val="auto"/>
                <w:sz w:val="24"/>
                <w:highlight w:val="none"/>
              </w:rPr>
              <w:t>，</w:t>
            </w:r>
            <w:r>
              <w:rPr>
                <w:rFonts w:hint="eastAsia" w:ascii="Times New Roman" w:hAnsi="宋体" w:eastAsia="宋体" w:cs="Times New Roman"/>
                <w:bCs/>
                <w:color w:val="auto"/>
                <w:sz w:val="24"/>
                <w:highlight w:val="none"/>
              </w:rPr>
              <w:t>运往</w:t>
            </w:r>
            <w:r>
              <w:rPr>
                <w:rFonts w:hint="eastAsia" w:ascii="Times New Roman" w:hAnsi="宋体" w:eastAsia="宋体" w:cs="Times New Roman"/>
                <w:bCs/>
                <w:color w:val="auto"/>
                <w:sz w:val="24"/>
                <w:highlight w:val="none"/>
                <w:lang w:eastAsia="zh-CN"/>
              </w:rPr>
              <w:t>苏稽镇石鼓寺村老鸦滩砂石堆放场堆放，后期由乐山市市中区国有资产监督管理局</w:t>
            </w:r>
            <w:r>
              <w:rPr>
                <w:rFonts w:hint="eastAsia" w:ascii="Times New Roman" w:hAnsi="宋体" w:eastAsia="宋体" w:cs="Times New Roman"/>
                <w:bCs/>
                <w:color w:val="auto"/>
                <w:sz w:val="24"/>
                <w:highlight w:val="none"/>
              </w:rPr>
              <w:t>统一</w:t>
            </w:r>
            <w:r>
              <w:rPr>
                <w:rFonts w:hint="eastAsia" w:ascii="Times New Roman" w:hAnsi="宋体" w:eastAsia="宋体" w:cs="Times New Roman"/>
                <w:bCs/>
                <w:color w:val="auto"/>
                <w:sz w:val="24"/>
                <w:highlight w:val="none"/>
                <w:lang w:eastAsia="zh-CN"/>
              </w:rPr>
              <w:t>拍卖或利</w:t>
            </w:r>
            <w:r>
              <w:rPr>
                <w:rFonts w:hint="eastAsia" w:ascii="Times New Roman" w:hAnsi="宋体" w:eastAsia="宋体" w:cs="Times New Roman"/>
                <w:bCs/>
                <w:color w:val="auto"/>
                <w:sz w:val="24"/>
                <w:highlight w:val="none"/>
              </w:rPr>
              <w:t>用</w:t>
            </w:r>
            <w:r>
              <w:rPr>
                <w:rFonts w:ascii="Times New Roman" w:hAnsi="宋体" w:eastAsia="宋体" w:cs="Times New Roman"/>
                <w:bCs/>
                <w:color w:val="auto"/>
                <w:sz w:val="24"/>
                <w:highlight w:val="none"/>
              </w:rPr>
              <w:t>。</w:t>
            </w:r>
            <w:r>
              <w:rPr>
                <w:rFonts w:hint="eastAsia" w:ascii="Times New Roman" w:hAnsi="宋体" w:eastAsia="宋体" w:cs="Times New Roman"/>
                <w:bCs/>
                <w:color w:val="auto"/>
                <w:sz w:val="24"/>
                <w:highlight w:val="none"/>
                <w:lang w:val="en-US" w:eastAsia="zh-CN"/>
              </w:rPr>
              <w:t>本项目</w:t>
            </w:r>
            <w:r>
              <w:rPr>
                <w:rFonts w:hAnsi="宋体"/>
                <w:bCs/>
                <w:color w:val="auto"/>
                <w:sz w:val="24"/>
                <w:highlight w:val="none"/>
              </w:rPr>
              <w:t>不再单独设置弃渣场。</w:t>
            </w: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hAnsi="宋体" w:eastAsia="宋体"/>
                <w:b/>
                <w:bCs w:val="0"/>
                <w:color w:val="auto"/>
                <w:sz w:val="21"/>
                <w:szCs w:val="21"/>
                <w:highlight w:val="none"/>
                <w:lang w:val="en-US" w:eastAsia="zh-CN"/>
              </w:rPr>
            </w:pPr>
            <w:r>
              <w:rPr>
                <w:rFonts w:hint="eastAsia" w:hAnsi="宋体"/>
                <w:b/>
                <w:bCs w:val="0"/>
                <w:color w:val="auto"/>
                <w:sz w:val="21"/>
                <w:szCs w:val="21"/>
                <w:highlight w:val="none"/>
                <w:lang w:val="en-US" w:eastAsia="zh-CN"/>
              </w:rPr>
              <w:t>表2-6  工程土石方平衡表  单位：</w:t>
            </w:r>
            <w:r>
              <w:rPr>
                <w:rFonts w:ascii="Times New Roman" w:hAnsi="宋体" w:eastAsia="宋体" w:cs="Times New Roman"/>
                <w:b/>
                <w:bCs w:val="0"/>
                <w:color w:val="auto"/>
                <w:sz w:val="21"/>
                <w:szCs w:val="21"/>
                <w:highlight w:val="none"/>
              </w:rPr>
              <w:t>万m</w:t>
            </w:r>
            <w:r>
              <w:rPr>
                <w:rFonts w:ascii="Times New Roman" w:hAnsi="宋体" w:eastAsia="宋体" w:cs="Times New Roman"/>
                <w:b/>
                <w:bCs w:val="0"/>
                <w:color w:val="auto"/>
                <w:sz w:val="21"/>
                <w:szCs w:val="21"/>
                <w:highlight w:val="none"/>
                <w:vertAlign w:val="superscript"/>
              </w:rPr>
              <w:t>3</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6"/>
              <w:gridCol w:w="367"/>
              <w:gridCol w:w="479"/>
              <w:gridCol w:w="480"/>
              <w:gridCol w:w="480"/>
              <w:gridCol w:w="479"/>
              <w:gridCol w:w="479"/>
              <w:gridCol w:w="480"/>
              <w:gridCol w:w="480"/>
              <w:gridCol w:w="480"/>
              <w:gridCol w:w="479"/>
              <w:gridCol w:w="367"/>
              <w:gridCol w:w="480"/>
              <w:gridCol w:w="367"/>
              <w:gridCol w:w="366"/>
              <w:gridCol w:w="366"/>
              <w:gridCol w:w="480"/>
              <w:gridCol w:w="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620" w:type="dxa"/>
                  <w:gridSpan w:val="2"/>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r>
                    <w:rPr>
                      <w:rFonts w:hint="default" w:ascii="Times New Roman" w:hAnsi="Times New Roman" w:eastAsia="宋体" w:cs="Times New Roman"/>
                      <w:sz w:val="15"/>
                      <w:szCs w:val="15"/>
                      <w:lang w:bidi="ar"/>
                    </w:rPr>
                    <w:t>区域</w:t>
                  </w:r>
                </w:p>
              </w:tc>
              <w:tc>
                <w:tcPr>
                  <w:tcW w:w="2919"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r>
                    <w:rPr>
                      <w:rFonts w:hint="default" w:ascii="Times New Roman" w:hAnsi="Times New Roman" w:eastAsia="宋体" w:cs="Times New Roman"/>
                      <w:sz w:val="15"/>
                      <w:szCs w:val="15"/>
                      <w:lang w:bidi="ar"/>
                    </w:rPr>
                    <w:t>开挖</w:t>
                  </w:r>
                </w:p>
              </w:tc>
              <w:tc>
                <w:tcPr>
                  <w:tcW w:w="3060"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r>
                    <w:rPr>
                      <w:rFonts w:hint="default" w:ascii="Times New Roman" w:hAnsi="Times New Roman" w:eastAsia="宋体" w:cs="Times New Roman"/>
                      <w:sz w:val="15"/>
                      <w:szCs w:val="15"/>
                      <w:lang w:bidi="ar"/>
                    </w:rPr>
                    <w:t>回填</w:t>
                  </w:r>
                </w:p>
              </w:tc>
              <w:tc>
                <w:tcPr>
                  <w:tcW w:w="1845"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r>
                    <w:rPr>
                      <w:rFonts w:hint="default" w:ascii="Times New Roman" w:hAnsi="Times New Roman" w:eastAsia="宋体" w:cs="Times New Roman"/>
                      <w:sz w:val="15"/>
                      <w:szCs w:val="15"/>
                      <w:lang w:bidi="ar"/>
                    </w:rPr>
                    <w:t>调入</w:t>
                  </w:r>
                </w:p>
              </w:tc>
              <w:tc>
                <w:tcPr>
                  <w:tcW w:w="186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r>
                    <w:rPr>
                      <w:rFonts w:hint="default" w:ascii="Times New Roman" w:hAnsi="Times New Roman" w:eastAsia="宋体" w:cs="Times New Roman"/>
                      <w:sz w:val="15"/>
                      <w:szCs w:val="15"/>
                      <w:lang w:bidi="ar"/>
                    </w:rPr>
                    <w:t>调出</w:t>
                  </w:r>
                </w:p>
              </w:tc>
              <w:tc>
                <w:tcPr>
                  <w:tcW w:w="1275"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r>
                    <w:rPr>
                      <w:rFonts w:hint="default" w:ascii="Times New Roman" w:hAnsi="Times New Roman" w:eastAsia="宋体" w:cs="Times New Roman"/>
                      <w:sz w:val="15"/>
                      <w:szCs w:val="15"/>
                      <w:lang w:bidi="ar"/>
                    </w:rPr>
                    <w:t>外借</w:t>
                  </w:r>
                </w:p>
              </w:tc>
              <w:tc>
                <w:tcPr>
                  <w:tcW w:w="1791"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r>
                    <w:rPr>
                      <w:rFonts w:hint="default" w:ascii="Times New Roman" w:hAnsi="Times New Roman" w:eastAsia="宋体" w:cs="Times New Roman"/>
                      <w:sz w:val="15"/>
                      <w:szCs w:val="15"/>
                      <w:lang w:bidi="ar"/>
                    </w:rPr>
                    <w:t>余方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620" w:type="dxa"/>
                  <w:gridSpan w:val="2"/>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p>
              </w:tc>
              <w:tc>
                <w:tcPr>
                  <w:tcW w:w="6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r>
                    <w:rPr>
                      <w:rFonts w:hint="default" w:ascii="Times New Roman" w:hAnsi="Times New Roman" w:eastAsia="宋体" w:cs="Times New Roman"/>
                      <w:sz w:val="15"/>
                      <w:szCs w:val="15"/>
                      <w:lang w:bidi="ar"/>
                    </w:rPr>
                    <w:t>表土</w:t>
                  </w:r>
                </w:p>
              </w:tc>
              <w:tc>
                <w:tcPr>
                  <w:tcW w:w="8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r>
                    <w:rPr>
                      <w:rFonts w:hint="default" w:ascii="Times New Roman" w:hAnsi="Times New Roman" w:eastAsia="宋体" w:cs="Times New Roman"/>
                      <w:sz w:val="15"/>
                      <w:szCs w:val="15"/>
                      <w:lang w:bidi="ar"/>
                    </w:rPr>
                    <w:t>土石方</w:t>
                  </w:r>
                </w:p>
              </w:tc>
              <w:tc>
                <w:tcPr>
                  <w:tcW w:w="8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r>
                    <w:rPr>
                      <w:rFonts w:hint="default" w:ascii="Times New Roman" w:hAnsi="Times New Roman" w:eastAsia="宋体" w:cs="Times New Roman"/>
                      <w:sz w:val="15"/>
                      <w:szCs w:val="15"/>
                      <w:lang w:bidi="ar"/>
                    </w:rPr>
                    <w:t>砂卵石</w:t>
                  </w:r>
                </w:p>
              </w:tc>
              <w:tc>
                <w:tcPr>
                  <w:tcW w:w="64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r>
                    <w:rPr>
                      <w:rFonts w:hint="default" w:ascii="Times New Roman" w:hAnsi="Times New Roman" w:eastAsia="宋体" w:cs="Times New Roman"/>
                      <w:sz w:val="15"/>
                      <w:szCs w:val="15"/>
                      <w:lang w:bidi="ar"/>
                    </w:rPr>
                    <w:t>小计</w:t>
                  </w:r>
                </w:p>
              </w:tc>
              <w:tc>
                <w:tcPr>
                  <w:tcW w:w="64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r>
                    <w:rPr>
                      <w:rFonts w:hint="default" w:ascii="Times New Roman" w:hAnsi="Times New Roman" w:eastAsia="宋体" w:cs="Times New Roman"/>
                      <w:sz w:val="15"/>
                      <w:szCs w:val="15"/>
                      <w:lang w:bidi="ar"/>
                    </w:rPr>
                    <w:t>表土</w:t>
                  </w:r>
                </w:p>
              </w:tc>
              <w:tc>
                <w:tcPr>
                  <w:tcW w:w="8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r>
                    <w:rPr>
                      <w:rFonts w:hint="default" w:ascii="Times New Roman" w:hAnsi="Times New Roman" w:eastAsia="宋体" w:cs="Times New Roman"/>
                      <w:sz w:val="15"/>
                      <w:szCs w:val="15"/>
                    </w:rPr>
                    <w:t>土石方</w:t>
                  </w:r>
                </w:p>
              </w:tc>
              <w:tc>
                <w:tcPr>
                  <w:tcW w:w="7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r>
                    <w:rPr>
                      <w:rFonts w:hint="default" w:ascii="Times New Roman" w:hAnsi="Times New Roman" w:eastAsia="宋体" w:cs="Times New Roman"/>
                      <w:sz w:val="15"/>
                      <w:szCs w:val="15"/>
                      <w:lang w:bidi="ar"/>
                    </w:rPr>
                    <w:t>大卵石</w:t>
                  </w:r>
                </w:p>
              </w:tc>
              <w:tc>
                <w:tcPr>
                  <w:tcW w:w="81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r>
                    <w:rPr>
                      <w:rFonts w:hint="default" w:ascii="Times New Roman" w:hAnsi="Times New Roman" w:eastAsia="宋体" w:cs="Times New Roman"/>
                      <w:sz w:val="15"/>
                      <w:szCs w:val="15"/>
                      <w:lang w:bidi="ar"/>
                    </w:rPr>
                    <w:t>小计</w:t>
                  </w:r>
                </w:p>
              </w:tc>
              <w:tc>
                <w:tcPr>
                  <w:tcW w:w="70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r>
                    <w:rPr>
                      <w:rFonts w:hint="default" w:ascii="Times New Roman" w:hAnsi="Times New Roman" w:eastAsia="宋体" w:cs="Times New Roman"/>
                      <w:sz w:val="15"/>
                      <w:szCs w:val="15"/>
                      <w:lang w:bidi="ar"/>
                    </w:rPr>
                    <w:t>数量</w:t>
                  </w:r>
                </w:p>
              </w:tc>
              <w:tc>
                <w:tcPr>
                  <w:tcW w:w="11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r>
                    <w:rPr>
                      <w:rFonts w:hint="default" w:ascii="Times New Roman" w:hAnsi="Times New Roman" w:eastAsia="宋体" w:cs="Times New Roman"/>
                      <w:sz w:val="15"/>
                      <w:szCs w:val="15"/>
                      <w:lang w:bidi="ar"/>
                    </w:rPr>
                    <w:t>来源</w:t>
                  </w:r>
                </w:p>
              </w:tc>
              <w:tc>
                <w:tcPr>
                  <w:tcW w:w="7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r>
                    <w:rPr>
                      <w:rFonts w:hint="default" w:ascii="Times New Roman" w:hAnsi="Times New Roman" w:eastAsia="宋体" w:cs="Times New Roman"/>
                      <w:sz w:val="15"/>
                      <w:szCs w:val="15"/>
                      <w:lang w:bidi="ar"/>
                    </w:rPr>
                    <w:t>数量</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r>
                    <w:rPr>
                      <w:rFonts w:hint="default" w:ascii="Times New Roman" w:hAnsi="Times New Roman" w:eastAsia="宋体" w:cs="Times New Roman"/>
                      <w:sz w:val="15"/>
                      <w:szCs w:val="15"/>
                      <w:lang w:bidi="ar"/>
                    </w:rPr>
                    <w:t>去向</w:t>
                  </w:r>
                </w:p>
              </w:tc>
              <w:tc>
                <w:tcPr>
                  <w:tcW w:w="6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r>
                    <w:rPr>
                      <w:rFonts w:hint="default" w:ascii="Times New Roman" w:hAnsi="Times New Roman" w:eastAsia="宋体" w:cs="Times New Roman"/>
                      <w:sz w:val="15"/>
                      <w:szCs w:val="15"/>
                      <w:lang w:bidi="ar"/>
                    </w:rPr>
                    <w:t>数量</w:t>
                  </w:r>
                </w:p>
              </w:tc>
              <w:tc>
                <w:tcPr>
                  <w:tcW w:w="61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r>
                    <w:rPr>
                      <w:rFonts w:hint="default" w:ascii="Times New Roman" w:hAnsi="Times New Roman" w:eastAsia="宋体" w:cs="Times New Roman"/>
                      <w:sz w:val="15"/>
                      <w:szCs w:val="15"/>
                      <w:lang w:bidi="ar"/>
                    </w:rPr>
                    <w:t>来源</w:t>
                  </w:r>
                </w:p>
              </w:tc>
              <w:tc>
                <w:tcPr>
                  <w:tcW w:w="8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jc w:val="center"/>
                    <w:textAlignment w:val="top"/>
                    <w:rPr>
                      <w:rFonts w:hint="default" w:ascii="Times New Roman" w:hAnsi="Times New Roman" w:eastAsia="宋体" w:cs="Times New Roman"/>
                      <w:color w:val="auto"/>
                      <w:sz w:val="15"/>
                      <w:szCs w:val="15"/>
                      <w:highlight w:val="yellow"/>
                      <w:lang w:bidi="ar"/>
                    </w:rPr>
                  </w:pPr>
                  <w:r>
                    <w:rPr>
                      <w:rFonts w:hint="default" w:ascii="Times New Roman" w:hAnsi="Times New Roman" w:eastAsia="宋体" w:cs="Times New Roman"/>
                      <w:color w:val="auto"/>
                      <w:sz w:val="15"/>
                      <w:szCs w:val="15"/>
                      <w:lang w:bidi="ar"/>
                    </w:rPr>
                    <w:t>砂卵石</w:t>
                  </w:r>
                </w:p>
              </w:tc>
              <w:tc>
                <w:tcPr>
                  <w:tcW w:w="9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jc w:val="center"/>
                    <w:textAlignment w:val="top"/>
                    <w:rPr>
                      <w:rFonts w:hint="default" w:ascii="Times New Roman" w:hAnsi="Times New Roman" w:eastAsia="宋体" w:cs="Times New Roman"/>
                      <w:color w:val="auto"/>
                      <w:sz w:val="15"/>
                      <w:szCs w:val="15"/>
                      <w:lang w:bidi="ar"/>
                    </w:rPr>
                  </w:pPr>
                  <w:r>
                    <w:rPr>
                      <w:rFonts w:hint="default" w:ascii="Times New Roman" w:hAnsi="Times New Roman" w:eastAsia="宋体" w:cs="Times New Roman"/>
                      <w:color w:val="auto"/>
                      <w:sz w:val="15"/>
                      <w:szCs w:val="15"/>
                      <w:lang w:bidi="ar"/>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393"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r>
                    <w:rPr>
                      <w:rFonts w:hint="default" w:ascii="Times New Roman" w:hAnsi="Times New Roman" w:eastAsia="宋体" w:cs="Times New Roman"/>
                      <w:sz w:val="15"/>
                      <w:szCs w:val="15"/>
                      <w:lang w:bidi="ar"/>
                    </w:rPr>
                    <w:t>项目区</w:t>
                  </w:r>
                </w:p>
              </w:tc>
              <w:tc>
                <w:tcPr>
                  <w:tcW w:w="122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r>
                    <w:rPr>
                      <w:rFonts w:hint="default" w:ascii="Times New Roman" w:hAnsi="Times New Roman" w:eastAsia="宋体" w:cs="Times New Roman"/>
                      <w:sz w:val="15"/>
                      <w:szCs w:val="15"/>
                      <w:lang w:bidi="ar"/>
                    </w:rPr>
                    <w:t>主体工程区</w:t>
                  </w:r>
                </w:p>
              </w:tc>
              <w:tc>
                <w:tcPr>
                  <w:tcW w:w="6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r>
                    <w:rPr>
                      <w:rFonts w:hint="default" w:ascii="Times New Roman" w:hAnsi="Times New Roman" w:eastAsia="宋体" w:cs="Times New Roman"/>
                      <w:sz w:val="15"/>
                      <w:szCs w:val="15"/>
                      <w:lang w:bidi="ar"/>
                    </w:rPr>
                    <w:t>0.10</w:t>
                  </w:r>
                </w:p>
              </w:tc>
              <w:tc>
                <w:tcPr>
                  <w:tcW w:w="8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r>
                    <w:rPr>
                      <w:rFonts w:hint="default" w:ascii="Times New Roman" w:hAnsi="Times New Roman" w:eastAsia="宋体" w:cs="Times New Roman"/>
                      <w:sz w:val="15"/>
                      <w:szCs w:val="15"/>
                      <w:lang w:bidi="ar"/>
                    </w:rPr>
                    <w:t>1.03</w:t>
                  </w:r>
                </w:p>
              </w:tc>
              <w:tc>
                <w:tcPr>
                  <w:tcW w:w="8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r>
                    <w:rPr>
                      <w:rFonts w:hint="default" w:ascii="Times New Roman" w:hAnsi="Times New Roman" w:eastAsia="宋体" w:cs="Times New Roman"/>
                      <w:sz w:val="15"/>
                      <w:szCs w:val="15"/>
                      <w:lang w:bidi="ar"/>
                    </w:rPr>
                    <w:t>3.15</w:t>
                  </w:r>
                </w:p>
              </w:tc>
              <w:tc>
                <w:tcPr>
                  <w:tcW w:w="64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r>
                    <w:rPr>
                      <w:rFonts w:hint="default" w:ascii="Times New Roman" w:hAnsi="Times New Roman" w:eastAsia="宋体" w:cs="Times New Roman"/>
                      <w:sz w:val="15"/>
                      <w:szCs w:val="15"/>
                      <w:lang w:bidi="ar"/>
                    </w:rPr>
                    <w:t>4.28</w:t>
                  </w:r>
                </w:p>
              </w:tc>
              <w:tc>
                <w:tcPr>
                  <w:tcW w:w="64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r>
                    <w:rPr>
                      <w:rFonts w:hint="default" w:ascii="Times New Roman" w:hAnsi="Times New Roman" w:eastAsia="宋体" w:cs="Times New Roman"/>
                      <w:sz w:val="15"/>
                      <w:szCs w:val="15"/>
                      <w:lang w:bidi="ar"/>
                    </w:rPr>
                    <w:t>0.10</w:t>
                  </w:r>
                </w:p>
              </w:tc>
              <w:tc>
                <w:tcPr>
                  <w:tcW w:w="8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r>
                    <w:rPr>
                      <w:rFonts w:hint="default" w:ascii="Times New Roman" w:hAnsi="Times New Roman" w:eastAsia="宋体" w:cs="Times New Roman"/>
                      <w:sz w:val="15"/>
                      <w:szCs w:val="15"/>
                      <w:lang w:bidi="ar"/>
                    </w:rPr>
                    <w:t>0.93</w:t>
                  </w:r>
                </w:p>
              </w:tc>
              <w:tc>
                <w:tcPr>
                  <w:tcW w:w="7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r>
                    <w:rPr>
                      <w:rFonts w:hint="default" w:ascii="Times New Roman" w:hAnsi="Times New Roman" w:eastAsia="宋体" w:cs="Times New Roman"/>
                      <w:sz w:val="15"/>
                      <w:szCs w:val="15"/>
                      <w:lang w:bidi="ar"/>
                    </w:rPr>
                    <w:t>0.40</w:t>
                  </w:r>
                </w:p>
              </w:tc>
              <w:tc>
                <w:tcPr>
                  <w:tcW w:w="81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r>
                    <w:rPr>
                      <w:rFonts w:hint="default" w:ascii="Times New Roman" w:hAnsi="Times New Roman" w:eastAsia="宋体" w:cs="Times New Roman"/>
                      <w:sz w:val="15"/>
                      <w:szCs w:val="15"/>
                      <w:lang w:bidi="ar"/>
                    </w:rPr>
                    <w:t>1.43</w:t>
                  </w:r>
                </w:p>
              </w:tc>
              <w:tc>
                <w:tcPr>
                  <w:tcW w:w="70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r>
                    <w:rPr>
                      <w:rFonts w:hint="default" w:ascii="Times New Roman" w:hAnsi="Times New Roman" w:eastAsia="宋体" w:cs="Times New Roman"/>
                      <w:sz w:val="15"/>
                      <w:szCs w:val="15"/>
                      <w:lang w:bidi="ar"/>
                    </w:rPr>
                    <w:t>0.79</w:t>
                  </w:r>
                </w:p>
              </w:tc>
              <w:tc>
                <w:tcPr>
                  <w:tcW w:w="11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r>
                    <w:rPr>
                      <w:rFonts w:hint="default" w:ascii="Times New Roman" w:hAnsi="Times New Roman" w:eastAsia="宋体" w:cs="Times New Roman"/>
                      <w:sz w:val="15"/>
                      <w:szCs w:val="15"/>
                      <w:lang w:bidi="ar"/>
                    </w:rPr>
                    <w:t>围堰拆除量</w:t>
                  </w:r>
                </w:p>
              </w:tc>
              <w:tc>
                <w:tcPr>
                  <w:tcW w:w="7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r>
                    <w:rPr>
                      <w:rFonts w:hint="default" w:ascii="Times New Roman" w:hAnsi="Times New Roman" w:eastAsia="宋体" w:cs="Times New Roman"/>
                      <w:sz w:val="15"/>
                      <w:szCs w:val="15"/>
                      <w:lang w:bidi="ar"/>
                    </w:rPr>
                    <w:t>0.79</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r>
                    <w:rPr>
                      <w:rFonts w:hint="default" w:ascii="Times New Roman" w:hAnsi="Times New Roman" w:eastAsia="宋体" w:cs="Times New Roman"/>
                      <w:sz w:val="15"/>
                      <w:szCs w:val="15"/>
                      <w:lang w:bidi="ar"/>
                    </w:rPr>
                    <w:t>施工围堰</w:t>
                  </w:r>
                </w:p>
              </w:tc>
              <w:tc>
                <w:tcPr>
                  <w:tcW w:w="6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p>
              </w:tc>
              <w:tc>
                <w:tcPr>
                  <w:tcW w:w="61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p>
              </w:tc>
              <w:tc>
                <w:tcPr>
                  <w:tcW w:w="8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jc w:val="center"/>
                    <w:textAlignment w:val="top"/>
                    <w:rPr>
                      <w:rFonts w:hint="default" w:ascii="Times New Roman" w:hAnsi="Times New Roman" w:eastAsia="宋体" w:cs="Times New Roman"/>
                      <w:sz w:val="15"/>
                      <w:szCs w:val="15"/>
                      <w:highlight w:val="yellow"/>
                      <w:lang w:bidi="ar"/>
                    </w:rPr>
                  </w:pPr>
                  <w:r>
                    <w:rPr>
                      <w:rFonts w:hint="default" w:ascii="Times New Roman" w:hAnsi="Times New Roman" w:eastAsia="宋体" w:cs="Times New Roman"/>
                      <w:sz w:val="15"/>
                      <w:szCs w:val="15"/>
                      <w:lang w:bidi="ar"/>
                    </w:rPr>
                    <w:t>2.85</w:t>
                  </w:r>
                </w:p>
              </w:tc>
              <w:tc>
                <w:tcPr>
                  <w:tcW w:w="9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jc w:val="center"/>
                    <w:textAlignment w:val="top"/>
                    <w:rPr>
                      <w:rFonts w:hint="default" w:ascii="Times New Roman" w:hAnsi="Times New Roman" w:eastAsia="宋体" w:cs="Times New Roman"/>
                      <w:sz w:val="15"/>
                      <w:szCs w:val="15"/>
                      <w:lang w:bidi="ar"/>
                    </w:rPr>
                  </w:pPr>
                  <w:r>
                    <w:rPr>
                      <w:rFonts w:hint="default" w:ascii="Times New Roman" w:hAnsi="Times New Roman" w:eastAsia="宋体" w:cs="Times New Roman"/>
                      <w:color w:val="auto"/>
                      <w:sz w:val="15"/>
                      <w:szCs w:val="15"/>
                      <w:lang w:eastAsia="zh-CN"/>
                    </w:rPr>
                    <w:t>苏稽镇石鼓寺村老鸦滩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39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p>
              </w:tc>
              <w:tc>
                <w:tcPr>
                  <w:tcW w:w="122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r>
                    <w:rPr>
                      <w:rFonts w:hint="default" w:ascii="Times New Roman" w:hAnsi="Times New Roman" w:eastAsia="宋体" w:cs="Times New Roman"/>
                      <w:sz w:val="15"/>
                      <w:szCs w:val="15"/>
                      <w:lang w:bidi="ar"/>
                    </w:rPr>
                    <w:t>施工工区</w:t>
                  </w:r>
                </w:p>
              </w:tc>
              <w:tc>
                <w:tcPr>
                  <w:tcW w:w="6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r>
                    <w:rPr>
                      <w:rFonts w:hint="default" w:ascii="Times New Roman" w:hAnsi="Times New Roman" w:eastAsia="宋体" w:cs="Times New Roman"/>
                      <w:sz w:val="15"/>
                      <w:szCs w:val="15"/>
                      <w:lang w:bidi="ar"/>
                    </w:rPr>
                    <w:t>0.04</w:t>
                  </w:r>
                </w:p>
              </w:tc>
              <w:tc>
                <w:tcPr>
                  <w:tcW w:w="8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r>
                    <w:rPr>
                      <w:rFonts w:hint="default" w:ascii="Times New Roman" w:hAnsi="Times New Roman" w:eastAsia="宋体" w:cs="Times New Roman"/>
                      <w:sz w:val="15"/>
                      <w:szCs w:val="15"/>
                      <w:lang w:bidi="ar"/>
                    </w:rPr>
                    <w:t>/</w:t>
                  </w:r>
                </w:p>
              </w:tc>
              <w:tc>
                <w:tcPr>
                  <w:tcW w:w="8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p>
              </w:tc>
              <w:tc>
                <w:tcPr>
                  <w:tcW w:w="64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r>
                    <w:rPr>
                      <w:rFonts w:hint="default" w:ascii="Times New Roman" w:hAnsi="Times New Roman" w:eastAsia="宋体" w:cs="Times New Roman"/>
                      <w:sz w:val="15"/>
                      <w:szCs w:val="15"/>
                      <w:lang w:bidi="ar"/>
                    </w:rPr>
                    <w:t>0.04</w:t>
                  </w:r>
                </w:p>
              </w:tc>
              <w:tc>
                <w:tcPr>
                  <w:tcW w:w="64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r>
                    <w:rPr>
                      <w:rFonts w:hint="default" w:ascii="Times New Roman" w:hAnsi="Times New Roman" w:eastAsia="宋体" w:cs="Times New Roman"/>
                      <w:sz w:val="15"/>
                      <w:szCs w:val="15"/>
                      <w:lang w:bidi="ar"/>
                    </w:rPr>
                    <w:t>0.04</w:t>
                  </w:r>
                </w:p>
              </w:tc>
              <w:tc>
                <w:tcPr>
                  <w:tcW w:w="8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r>
                    <w:rPr>
                      <w:rFonts w:hint="default" w:ascii="Times New Roman" w:hAnsi="Times New Roman" w:eastAsia="宋体" w:cs="Times New Roman"/>
                      <w:sz w:val="15"/>
                      <w:szCs w:val="15"/>
                      <w:lang w:bidi="ar"/>
                    </w:rPr>
                    <w:t>/</w:t>
                  </w:r>
                </w:p>
              </w:tc>
              <w:tc>
                <w:tcPr>
                  <w:tcW w:w="7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r>
                    <w:rPr>
                      <w:rFonts w:hint="default" w:ascii="Times New Roman" w:hAnsi="Times New Roman" w:eastAsia="宋体" w:cs="Times New Roman"/>
                      <w:sz w:val="15"/>
                      <w:szCs w:val="15"/>
                    </w:rPr>
                    <w:t>/</w:t>
                  </w:r>
                </w:p>
              </w:tc>
              <w:tc>
                <w:tcPr>
                  <w:tcW w:w="81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r>
                    <w:rPr>
                      <w:rFonts w:hint="default" w:ascii="Times New Roman" w:hAnsi="Times New Roman" w:eastAsia="宋体" w:cs="Times New Roman"/>
                      <w:sz w:val="15"/>
                      <w:szCs w:val="15"/>
                      <w:lang w:bidi="ar"/>
                    </w:rPr>
                    <w:t>0.04</w:t>
                  </w:r>
                </w:p>
              </w:tc>
              <w:tc>
                <w:tcPr>
                  <w:tcW w:w="70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p>
              </w:tc>
              <w:tc>
                <w:tcPr>
                  <w:tcW w:w="11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p>
              </w:tc>
              <w:tc>
                <w:tcPr>
                  <w:tcW w:w="7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p>
              </w:tc>
              <w:tc>
                <w:tcPr>
                  <w:tcW w:w="6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p>
              </w:tc>
              <w:tc>
                <w:tcPr>
                  <w:tcW w:w="61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p>
              </w:tc>
              <w:tc>
                <w:tcPr>
                  <w:tcW w:w="8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jc w:val="center"/>
                    <w:textAlignment w:val="top"/>
                    <w:rPr>
                      <w:rFonts w:hint="default" w:ascii="Times New Roman" w:hAnsi="Times New Roman" w:eastAsia="宋体" w:cs="Times New Roman"/>
                      <w:sz w:val="15"/>
                      <w:szCs w:val="15"/>
                      <w:lang w:bidi="ar"/>
                    </w:rPr>
                  </w:pPr>
                  <w:r>
                    <w:rPr>
                      <w:rFonts w:hint="default" w:ascii="Times New Roman" w:hAnsi="Times New Roman" w:eastAsia="宋体" w:cs="Times New Roman"/>
                      <w:sz w:val="15"/>
                      <w:szCs w:val="15"/>
                      <w:lang w:bidi="ar"/>
                    </w:rPr>
                    <w:t>/</w:t>
                  </w:r>
                </w:p>
              </w:tc>
              <w:tc>
                <w:tcPr>
                  <w:tcW w:w="9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jc w:val="center"/>
                    <w:textAlignment w:val="top"/>
                    <w:rPr>
                      <w:rFonts w:hint="default" w:ascii="Times New Roman" w:hAnsi="Times New Roman" w:eastAsia="宋体" w:cs="Times New Roman"/>
                      <w:sz w:val="15"/>
                      <w:szCs w:val="15"/>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2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r>
                    <w:rPr>
                      <w:rFonts w:hint="default" w:ascii="Times New Roman" w:hAnsi="Times New Roman" w:eastAsia="宋体" w:cs="Times New Roman"/>
                      <w:sz w:val="15"/>
                      <w:szCs w:val="15"/>
                      <w:lang w:bidi="ar"/>
                    </w:rPr>
                    <w:t>合计</w:t>
                  </w:r>
                </w:p>
              </w:tc>
              <w:tc>
                <w:tcPr>
                  <w:tcW w:w="61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r>
                    <w:rPr>
                      <w:rFonts w:hint="default" w:ascii="Times New Roman" w:hAnsi="Times New Roman" w:eastAsia="宋体" w:cs="Times New Roman"/>
                      <w:sz w:val="15"/>
                      <w:szCs w:val="15"/>
                      <w:lang w:bidi="ar"/>
                    </w:rPr>
                    <w:t>0.14</w:t>
                  </w:r>
                </w:p>
              </w:tc>
              <w:tc>
                <w:tcPr>
                  <w:tcW w:w="8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r>
                    <w:rPr>
                      <w:rFonts w:hint="default" w:ascii="Times New Roman" w:hAnsi="Times New Roman" w:eastAsia="宋体" w:cs="Times New Roman"/>
                      <w:sz w:val="15"/>
                      <w:szCs w:val="15"/>
                      <w:lang w:bidi="ar"/>
                    </w:rPr>
                    <w:t>1.03</w:t>
                  </w:r>
                </w:p>
              </w:tc>
              <w:tc>
                <w:tcPr>
                  <w:tcW w:w="8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r>
                    <w:rPr>
                      <w:rFonts w:hint="default" w:ascii="Times New Roman" w:hAnsi="Times New Roman" w:eastAsia="宋体" w:cs="Times New Roman"/>
                      <w:sz w:val="15"/>
                      <w:szCs w:val="15"/>
                      <w:lang w:bidi="ar"/>
                    </w:rPr>
                    <w:t>3.15</w:t>
                  </w:r>
                </w:p>
              </w:tc>
              <w:tc>
                <w:tcPr>
                  <w:tcW w:w="64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r>
                    <w:rPr>
                      <w:rFonts w:hint="default" w:ascii="Times New Roman" w:hAnsi="Times New Roman" w:eastAsia="宋体" w:cs="Times New Roman"/>
                      <w:sz w:val="15"/>
                      <w:szCs w:val="15"/>
                      <w:lang w:bidi="ar"/>
                    </w:rPr>
                    <w:t>4.32</w:t>
                  </w:r>
                </w:p>
              </w:tc>
              <w:tc>
                <w:tcPr>
                  <w:tcW w:w="64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r>
                    <w:rPr>
                      <w:rFonts w:hint="default" w:ascii="Times New Roman" w:hAnsi="Times New Roman" w:eastAsia="宋体" w:cs="Times New Roman"/>
                      <w:sz w:val="15"/>
                      <w:szCs w:val="15"/>
                      <w:lang w:bidi="ar"/>
                    </w:rPr>
                    <w:t>0.14</w:t>
                  </w:r>
                </w:p>
              </w:tc>
              <w:tc>
                <w:tcPr>
                  <w:tcW w:w="8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r>
                    <w:rPr>
                      <w:rFonts w:hint="default" w:ascii="Times New Roman" w:hAnsi="Times New Roman" w:eastAsia="宋体" w:cs="Times New Roman"/>
                      <w:sz w:val="15"/>
                      <w:szCs w:val="15"/>
                      <w:lang w:bidi="ar"/>
                    </w:rPr>
                    <w:t>0.93</w:t>
                  </w:r>
                </w:p>
              </w:tc>
              <w:tc>
                <w:tcPr>
                  <w:tcW w:w="7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r>
                    <w:rPr>
                      <w:rFonts w:hint="default" w:ascii="Times New Roman" w:hAnsi="Times New Roman" w:eastAsia="宋体" w:cs="Times New Roman"/>
                      <w:sz w:val="15"/>
                      <w:szCs w:val="15"/>
                      <w:lang w:bidi="ar"/>
                    </w:rPr>
                    <w:t>0.40</w:t>
                  </w:r>
                </w:p>
              </w:tc>
              <w:tc>
                <w:tcPr>
                  <w:tcW w:w="81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r>
                    <w:rPr>
                      <w:rFonts w:hint="default" w:ascii="Times New Roman" w:hAnsi="Times New Roman" w:eastAsia="宋体" w:cs="Times New Roman"/>
                      <w:sz w:val="15"/>
                      <w:szCs w:val="15"/>
                      <w:lang w:bidi="ar"/>
                    </w:rPr>
                    <w:t>1.47</w:t>
                  </w:r>
                </w:p>
              </w:tc>
              <w:tc>
                <w:tcPr>
                  <w:tcW w:w="70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r>
                    <w:rPr>
                      <w:rFonts w:hint="default" w:ascii="Times New Roman" w:hAnsi="Times New Roman" w:eastAsia="宋体" w:cs="Times New Roman"/>
                      <w:sz w:val="15"/>
                      <w:szCs w:val="15"/>
                      <w:lang w:bidi="ar"/>
                    </w:rPr>
                    <w:t>0.79</w:t>
                  </w:r>
                </w:p>
              </w:tc>
              <w:tc>
                <w:tcPr>
                  <w:tcW w:w="11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r>
                    <w:rPr>
                      <w:rFonts w:hint="default" w:ascii="Times New Roman" w:hAnsi="Times New Roman" w:eastAsia="宋体" w:cs="Times New Roman"/>
                      <w:sz w:val="15"/>
                      <w:szCs w:val="15"/>
                      <w:lang w:bidi="ar"/>
                    </w:rPr>
                    <w:t>/</w:t>
                  </w:r>
                </w:p>
              </w:tc>
              <w:tc>
                <w:tcPr>
                  <w:tcW w:w="7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r>
                    <w:rPr>
                      <w:rFonts w:hint="default" w:ascii="Times New Roman" w:hAnsi="Times New Roman" w:eastAsia="宋体" w:cs="Times New Roman"/>
                      <w:sz w:val="15"/>
                      <w:szCs w:val="15"/>
                      <w:lang w:bidi="ar"/>
                    </w:rPr>
                    <w:t>0.79</w:t>
                  </w:r>
                </w:p>
              </w:tc>
              <w:tc>
                <w:tcPr>
                  <w:tcW w:w="108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r>
                    <w:rPr>
                      <w:rFonts w:hint="default" w:ascii="Times New Roman" w:hAnsi="Times New Roman" w:eastAsia="宋体" w:cs="Times New Roman"/>
                      <w:sz w:val="15"/>
                      <w:szCs w:val="15"/>
                      <w:lang w:bidi="ar"/>
                    </w:rPr>
                    <w:t>/</w:t>
                  </w:r>
                </w:p>
              </w:tc>
              <w:tc>
                <w:tcPr>
                  <w:tcW w:w="6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r>
                    <w:rPr>
                      <w:rFonts w:hint="default" w:ascii="Times New Roman" w:hAnsi="Times New Roman" w:eastAsia="宋体" w:cs="Times New Roman"/>
                      <w:sz w:val="15"/>
                      <w:szCs w:val="15"/>
                      <w:lang w:bidi="ar"/>
                    </w:rPr>
                    <w:t>/</w:t>
                  </w:r>
                </w:p>
              </w:tc>
              <w:tc>
                <w:tcPr>
                  <w:tcW w:w="61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jc w:val="center"/>
                    <w:textAlignment w:val="top"/>
                    <w:rPr>
                      <w:rFonts w:hint="default" w:ascii="Times New Roman" w:hAnsi="Times New Roman" w:eastAsia="宋体" w:cs="Times New Roman"/>
                      <w:sz w:val="15"/>
                      <w:szCs w:val="15"/>
                      <w:lang w:bidi="ar"/>
                    </w:rPr>
                  </w:pPr>
                  <w:r>
                    <w:rPr>
                      <w:rFonts w:hint="default" w:ascii="Times New Roman" w:hAnsi="Times New Roman" w:eastAsia="宋体" w:cs="Times New Roman"/>
                      <w:sz w:val="15"/>
                      <w:szCs w:val="15"/>
                      <w:lang w:bidi="ar"/>
                    </w:rPr>
                    <w:t>/</w:t>
                  </w:r>
                </w:p>
              </w:tc>
              <w:tc>
                <w:tcPr>
                  <w:tcW w:w="84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jc w:val="center"/>
                    <w:textAlignment w:val="top"/>
                    <w:rPr>
                      <w:rFonts w:hint="default" w:ascii="Times New Roman" w:hAnsi="Times New Roman" w:eastAsia="宋体" w:cs="Times New Roman"/>
                      <w:sz w:val="15"/>
                      <w:szCs w:val="15"/>
                      <w:lang w:bidi="ar"/>
                    </w:rPr>
                  </w:pPr>
                  <w:r>
                    <w:rPr>
                      <w:rFonts w:hint="default" w:ascii="Times New Roman" w:hAnsi="Times New Roman" w:eastAsia="宋体" w:cs="Times New Roman"/>
                      <w:sz w:val="15"/>
                      <w:szCs w:val="15"/>
                      <w:lang w:bidi="ar"/>
                    </w:rPr>
                    <w:t>2.85</w:t>
                  </w:r>
                </w:p>
              </w:tc>
              <w:tc>
                <w:tcPr>
                  <w:tcW w:w="95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pacing w:line="240" w:lineRule="auto"/>
                    <w:ind w:firstLine="0"/>
                    <w:jc w:val="center"/>
                    <w:textAlignment w:val="top"/>
                    <w:rPr>
                      <w:rFonts w:hint="default" w:ascii="Times New Roman" w:hAnsi="Times New Roman" w:eastAsia="宋体" w:cs="Times New Roman"/>
                      <w:sz w:val="15"/>
                      <w:szCs w:val="15"/>
                      <w:lang w:bidi="ar"/>
                    </w:rPr>
                  </w:pPr>
                </w:p>
              </w:tc>
            </w:tr>
          </w:tbl>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ascii="Times New Roman" w:hAnsi="宋体" w:eastAsia="宋体" w:cs="Times New Roman"/>
                <w:bCs/>
                <w:color w:val="auto"/>
                <w:sz w:val="24"/>
                <w:highlight w:val="none"/>
              </w:rPr>
            </w:pPr>
            <w:r>
              <w:rPr>
                <w:rFonts w:ascii="Times New Roman" w:hAnsi="宋体" w:eastAsia="宋体" w:cs="Times New Roman"/>
                <w:bCs/>
                <w:color w:val="auto"/>
                <w:sz w:val="24"/>
                <w:highlight w:val="none"/>
              </w:rPr>
              <w:t>本项目竣工后可改善项目河段生态环境、保障周边居民生活安全、堤防牢固，促进当地社会发展，优化当地的水环境，提升生态景观效果，改善投资环境。</w:t>
            </w:r>
          </w:p>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default" w:ascii="Times New Roman" w:hAnsi="Times New Roman" w:eastAsia="宋体" w:cs="Times New Roman"/>
                <w:b w:val="0"/>
                <w:bCs w:val="0"/>
                <w:color w:val="auto"/>
                <w:spacing w:val="0"/>
                <w:kern w:val="2"/>
                <w:sz w:val="24"/>
                <w:szCs w:val="24"/>
                <w:highlight w:val="none"/>
                <w:lang w:val="en-US" w:eastAsia="zh-CN" w:bidi="ar-SA"/>
              </w:rPr>
            </w:pPr>
            <w:r>
              <w:rPr>
                <w:rFonts w:ascii="Times New Roman" w:hAnsi="宋体" w:eastAsia="宋体" w:cs="Times New Roman"/>
                <w:bCs/>
                <w:color w:val="auto"/>
                <w:sz w:val="24"/>
                <w:highlight w:val="none"/>
              </w:rPr>
              <w:t>综上分析，项目选址不存在环境制约因素，项目建设与周围环境相容。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4" w:type="dxa"/>
            <w:noWrap w:val="0"/>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cs="Times New Roman"/>
                <w:kern w:val="0"/>
                <w:szCs w:val="21"/>
              </w:rPr>
            </w:pPr>
            <w:r>
              <w:rPr>
                <w:rFonts w:hint="default" w:ascii="Times New Roman" w:hAnsi="Times New Roman" w:cs="Times New Roman"/>
                <w:kern w:val="0"/>
                <w:szCs w:val="21"/>
              </w:rPr>
              <w:t>施工方案</w:t>
            </w:r>
          </w:p>
        </w:tc>
        <w:tc>
          <w:tcPr>
            <w:tcW w:w="7670"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right="0" w:firstLine="480" w:firstLineChars="200"/>
              <w:jc w:val="left"/>
              <w:textAlignment w:val="auto"/>
              <w:rPr>
                <w:rFonts w:hint="default" w:ascii="Times New Roman" w:hAnsi="Times New Roman" w:eastAsia="宋体" w:cs="Times New Roman"/>
                <w:b/>
                <w:bCs/>
                <w:color w:val="auto"/>
                <w:spacing w:val="0"/>
                <w:sz w:val="24"/>
                <w:lang w:val="en-US" w:eastAsia="zh-CN" w:bidi="ar-SA"/>
              </w:rPr>
            </w:pPr>
            <w:r>
              <w:rPr>
                <w:rFonts w:hint="default" w:ascii="Times New Roman" w:hAnsi="Times New Roman" w:eastAsia="宋体" w:cs="Times New Roman"/>
                <w:color w:val="auto"/>
                <w:kern w:val="0"/>
                <w:sz w:val="24"/>
                <w:szCs w:val="24"/>
                <w:lang w:bidi="ar"/>
              </w:rPr>
              <w:t>本项目均属于非污染性建设项目，运营期项目本身不会产生环境污染。对环境的影响主要集中在施工期，因此本报告重点对施工期环境影响进行评价。</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pacing w:val="0"/>
                <w:sz w:val="24"/>
                <w:lang w:val="en-US" w:eastAsia="zh-CN" w:bidi="ar-SA"/>
              </w:rPr>
            </w:pPr>
            <w:r>
              <w:rPr>
                <w:rFonts w:hint="default" w:ascii="Times New Roman" w:hAnsi="Times New Roman" w:eastAsia="宋体" w:cs="Times New Roman"/>
                <w:b/>
                <w:bCs/>
                <w:color w:val="auto"/>
                <w:spacing w:val="0"/>
                <w:sz w:val="24"/>
                <w:lang w:val="en-US" w:eastAsia="zh-CN" w:bidi="ar-SA"/>
              </w:rPr>
              <w:t>1、施工期工艺流程</w:t>
            </w:r>
          </w:p>
          <w:p>
            <w:pPr>
              <w:keepNext w:val="0"/>
              <w:keepLines w:val="0"/>
              <w:pageBreakBefore w:val="0"/>
              <w:widowControl w:val="0"/>
              <w:numPr>
                <w:ilvl w:val="1"/>
                <w:numId w:val="0"/>
              </w:numPr>
              <w:kinsoku/>
              <w:wordWrap/>
              <w:overflowPunct/>
              <w:topLinePunct w:val="0"/>
              <w:autoSpaceDE w:val="0"/>
              <w:autoSpaceDN w:val="0"/>
              <w:bidi w:val="0"/>
              <w:adjustRightInd w:val="0"/>
              <w:snapToGrid w:val="0"/>
              <w:spacing w:before="0" w:after="0" w:line="360" w:lineRule="auto"/>
              <w:ind w:leftChars="0"/>
              <w:jc w:val="center"/>
              <w:textAlignment w:val="baseline"/>
              <w:outlineLvl w:val="9"/>
              <w:rPr>
                <w:rFonts w:hint="default" w:ascii="Times New Roman" w:hAnsi="Times New Roman" w:eastAsia="宋体" w:cs="Times New Roman"/>
                <w:color w:val="auto"/>
                <w:spacing w:val="0"/>
                <w:lang w:val="en-US" w:eastAsia="zh-CN"/>
              </w:rPr>
            </w:pPr>
            <w:r>
              <w:rPr>
                <w:sz w:val="21"/>
              </w:rPr>
              <mc:AlternateContent>
                <mc:Choice Requires="wps">
                  <w:drawing>
                    <wp:anchor distT="0" distB="0" distL="114300" distR="114300" simplePos="0" relativeHeight="251668480" behindDoc="0" locked="0" layoutInCell="1" allowOverlap="1">
                      <wp:simplePos x="0" y="0"/>
                      <wp:positionH relativeFrom="column">
                        <wp:posOffset>894715</wp:posOffset>
                      </wp:positionH>
                      <wp:positionV relativeFrom="paragraph">
                        <wp:posOffset>1392555</wp:posOffset>
                      </wp:positionV>
                      <wp:extent cx="1287780" cy="243840"/>
                      <wp:effectExtent l="4445" t="4445" r="22225" b="18415"/>
                      <wp:wrapNone/>
                      <wp:docPr id="205" name="矩形 205"/>
                      <wp:cNvGraphicFramePr/>
                      <a:graphic xmlns:a="http://schemas.openxmlformats.org/drawingml/2006/main">
                        <a:graphicData uri="http://schemas.microsoft.com/office/word/2010/wordprocessingShape">
                          <wps:wsp>
                            <wps:cNvSpPr/>
                            <wps:spPr>
                              <a:xfrm>
                                <a:off x="0" y="0"/>
                                <a:ext cx="1287780" cy="2438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480" w:firstLineChars="200"/>
                                    <w:rPr>
                                      <w:rFonts w:hint="default" w:eastAsia="宋体"/>
                                      <w:lang w:val="en-US" w:eastAsia="zh-CN"/>
                                    </w:rPr>
                                  </w:pPr>
                                  <w:r>
                                    <w:rPr>
                                      <w:rFonts w:hint="eastAsia"/>
                                      <w:lang w:val="en-US" w:eastAsia="zh-CN"/>
                                    </w:rPr>
                                    <w:t>基础开挖</w:t>
                                  </w:r>
                                </w:p>
                              </w:txbxContent>
                            </wps:txbx>
                            <wps:bodyPr upright="1"/>
                          </wps:wsp>
                        </a:graphicData>
                      </a:graphic>
                    </wp:anchor>
                  </w:drawing>
                </mc:Choice>
                <mc:Fallback>
                  <w:pict>
                    <v:rect id="_x0000_s1026" o:spid="_x0000_s1026" o:spt="1" style="position:absolute;left:0pt;margin-left:70.45pt;margin-top:109.65pt;height:19.2pt;width:101.4pt;z-index:251668480;mso-width-relative:page;mso-height-relative:page;" fillcolor="#FFFFFF" filled="t" stroked="t" coordsize="21600,21600" o:gfxdata="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HLLG9kAAAALAQAADwAAAAAAAAABACAAAAAiAAAA&#10;ZHJzL2Rvd25yZXYueG1sUEsBAhQAFAAAAAgAh07iQNnh6NsGAgAALQQAAA4AAAAAAAAAAQAgAAAA&#10;KAEAAGRycy9lMm9Eb2MueG1sUEsFBgAAAAAGAAYAWQEAAKAFAAAAAA==&#10;">
                      <v:path/>
                      <v:fill on="t" focussize="0,0"/>
                      <v:stroke/>
                      <v:imagedata o:title=""/>
                      <o:lock v:ext="edit" aspectratio="f"/>
                      <v:textbox>
                        <w:txbxContent>
                          <w:p>
                            <w:pPr>
                              <w:ind w:firstLine="480" w:firstLineChars="200"/>
                              <w:rPr>
                                <w:rFonts w:hint="default" w:eastAsia="宋体"/>
                                <w:lang w:val="en-US" w:eastAsia="zh-CN"/>
                              </w:rPr>
                            </w:pPr>
                            <w:r>
                              <w:rPr>
                                <w:rFonts w:hint="eastAsia"/>
                                <w:lang w:val="en-US" w:eastAsia="zh-CN"/>
                              </w:rPr>
                              <w:t>基础开挖</w:t>
                            </w:r>
                          </w:p>
                        </w:txbxContent>
                      </v:textbox>
                    </v:rect>
                  </w:pict>
                </mc:Fallback>
              </mc:AlternateContent>
            </w:r>
            <w:r>
              <w:rPr>
                <w:rFonts w:hint="default" w:ascii="Times New Roman" w:hAnsi="Times New Roman" w:eastAsia="宋体" w:cs="Times New Roman"/>
                <w:color w:val="auto"/>
                <w:spacing w:val="0"/>
                <w:lang w:val="en-US" w:eastAsia="zh-CN"/>
              </w:rPr>
              <w:drawing>
                <wp:inline distT="0" distB="0" distL="114300" distR="114300">
                  <wp:extent cx="3537585" cy="4232910"/>
                  <wp:effectExtent l="0" t="0" r="5715" b="15240"/>
                  <wp:docPr id="200" name="图片 15" descr="1664972925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15" descr="1664972925014"/>
                          <pic:cNvPicPr>
                            <a:picLocks noChangeAspect="1"/>
                          </pic:cNvPicPr>
                        </pic:nvPicPr>
                        <pic:blipFill>
                          <a:blip r:embed="rId37"/>
                          <a:stretch>
                            <a:fillRect/>
                          </a:stretch>
                        </pic:blipFill>
                        <pic:spPr>
                          <a:xfrm>
                            <a:off x="0" y="0"/>
                            <a:ext cx="3537585" cy="42329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jc w:val="center"/>
              <w:textAlignment w:val="auto"/>
              <w:rPr>
                <w:rFonts w:hint="default" w:ascii="Times New Roman" w:hAnsi="Times New Roman" w:eastAsia="宋体" w:cs="Times New Roman"/>
                <w:b/>
                <w:bCs/>
                <w:color w:val="auto"/>
                <w:spacing w:val="0"/>
                <w:sz w:val="21"/>
                <w:szCs w:val="21"/>
                <w:lang w:val="en-US" w:eastAsia="zh-CN" w:bidi="ar-SA"/>
              </w:rPr>
            </w:pPr>
            <w:r>
              <w:rPr>
                <w:rFonts w:hint="eastAsia" w:ascii="Times New Roman" w:hAnsi="Times New Roman" w:eastAsia="宋体" w:cs="Times New Roman"/>
                <w:b/>
                <w:bCs/>
                <w:color w:val="auto"/>
                <w:spacing w:val="0"/>
                <w:sz w:val="21"/>
                <w:szCs w:val="21"/>
                <w:lang w:val="en-US" w:eastAsia="zh-CN" w:bidi="ar-SA"/>
              </w:rPr>
              <w:t>图2-3  本工程工艺流程及产污环节图</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pacing w:val="0"/>
                <w:sz w:val="24"/>
                <w:lang w:val="en-US" w:eastAsia="zh-CN" w:bidi="ar-SA"/>
              </w:rPr>
            </w:pPr>
            <w:r>
              <w:rPr>
                <w:rFonts w:hint="default" w:ascii="Times New Roman" w:hAnsi="Times New Roman" w:eastAsia="宋体" w:cs="Times New Roman"/>
                <w:b/>
                <w:bCs/>
                <w:color w:val="auto"/>
                <w:spacing w:val="0"/>
                <w:sz w:val="24"/>
                <w:lang w:val="en-US" w:eastAsia="zh-CN" w:bidi="ar-SA"/>
              </w:rPr>
              <w:t>2、</w:t>
            </w:r>
            <w:r>
              <w:rPr>
                <w:rFonts w:hint="eastAsia" w:ascii="Times New Roman" w:hAnsi="Times New Roman" w:eastAsia="宋体" w:cs="Times New Roman"/>
                <w:b/>
                <w:bCs/>
                <w:color w:val="auto"/>
                <w:spacing w:val="0"/>
                <w:sz w:val="24"/>
                <w:lang w:val="en-US" w:eastAsia="zh-CN" w:bidi="ar-SA"/>
              </w:rPr>
              <w:t>工艺流程简介</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color w:val="0000FF"/>
                <w:kern w:val="0"/>
                <w:szCs w:val="21"/>
                <w:lang w:val="en-US"/>
              </w:rPr>
            </w:pPr>
            <w:r>
              <w:rPr>
                <w:rFonts w:hint="default" w:ascii="Times New Roman" w:hAnsi="Times New Roman" w:eastAsia="宋体" w:cs="Times New Roman"/>
                <w:b/>
                <w:bCs/>
                <w:color w:val="auto"/>
                <w:spacing w:val="0"/>
                <w:sz w:val="24"/>
                <w:lang w:val="en-US" w:eastAsia="zh-CN" w:bidi="ar-SA"/>
              </w:rPr>
              <w:t>（1）</w:t>
            </w:r>
            <w:r>
              <w:rPr>
                <w:rFonts w:hint="eastAsia" w:ascii="Times New Roman" w:hAnsi="Times New Roman" w:eastAsia="宋体" w:cs="Times New Roman"/>
                <w:b/>
                <w:bCs/>
                <w:color w:val="auto"/>
                <w:spacing w:val="0"/>
                <w:sz w:val="24"/>
                <w:lang w:val="en-US" w:eastAsia="zh-CN" w:bidi="ar-SA"/>
              </w:rPr>
              <w:t>施工准备</w:t>
            </w:r>
          </w:p>
          <w:p>
            <w:pPr>
              <w:keepNext w:val="0"/>
              <w:keepLines w:val="0"/>
              <w:pageBreakBefore w:val="0"/>
              <w:widowControl w:val="0"/>
              <w:kinsoku/>
              <w:wordWrap/>
              <w:overflowPunct/>
              <w:topLinePunct w:val="0"/>
              <w:bidi w:val="0"/>
              <w:spacing w:line="360" w:lineRule="auto"/>
              <w:ind w:left="0" w:right="0" w:firstLine="524" w:firstLineChars="200"/>
              <w:textAlignment w:val="auto"/>
              <w:outlineLvl w:val="2"/>
              <w:rPr>
                <w:rFonts w:hint="default" w:ascii="Times New Roman" w:hAnsi="Times New Roman" w:eastAsia="宋体" w:cs="Times New Roman"/>
                <w:sz w:val="24"/>
                <w:szCs w:val="24"/>
              </w:rPr>
            </w:pPr>
            <w:r>
              <w:rPr>
                <w:rFonts w:hint="default" w:ascii="Times New Roman" w:hAnsi="Times New Roman" w:eastAsia="宋体" w:cs="Times New Roman"/>
                <w:spacing w:val="11"/>
                <w:sz w:val="24"/>
                <w:szCs w:val="24"/>
              </w:rPr>
              <w:t>①</w:t>
            </w:r>
            <w:r>
              <w:rPr>
                <w:rFonts w:hint="default" w:ascii="Times New Roman" w:hAnsi="Times New Roman" w:eastAsia="宋体" w:cs="Times New Roman"/>
                <w:spacing w:val="8"/>
                <w:sz w:val="24"/>
                <w:szCs w:val="24"/>
              </w:rPr>
              <w:t>技术准备</w:t>
            </w:r>
          </w:p>
          <w:p>
            <w:pPr>
              <w:keepNext w:val="0"/>
              <w:keepLines w:val="0"/>
              <w:pageBreakBefore w:val="0"/>
              <w:widowControl w:val="0"/>
              <w:tabs>
                <w:tab w:val="left" w:pos="232"/>
              </w:tabs>
              <w:kinsoku/>
              <w:wordWrap/>
              <w:overflowPunct/>
              <w:topLinePunct w:val="0"/>
              <w:bidi w:val="0"/>
              <w:spacing w:line="360" w:lineRule="auto"/>
              <w:ind w:left="0" w:right="0" w:firstLine="51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8"/>
                <w:sz w:val="24"/>
                <w:szCs w:val="24"/>
              </w:rPr>
              <w:t>开挖工作按《堤防工程施工规范》(</w:t>
            </w:r>
            <w:r>
              <w:rPr>
                <w:rFonts w:hint="default" w:ascii="Times New Roman" w:hAnsi="Times New Roman" w:eastAsia="Times New Roman" w:cs="Times New Roman"/>
                <w:sz w:val="24"/>
                <w:szCs w:val="24"/>
              </w:rPr>
              <w:t>SL</w:t>
            </w:r>
            <w:r>
              <w:rPr>
                <w:rFonts w:hint="default" w:ascii="Times New Roman" w:hAnsi="Times New Roman" w:eastAsia="Times New Roman" w:cs="Times New Roman"/>
                <w:spacing w:val="8"/>
                <w:sz w:val="24"/>
                <w:szCs w:val="24"/>
              </w:rPr>
              <w:t>260-2014</w:t>
            </w:r>
            <w:r>
              <w:rPr>
                <w:rFonts w:hint="default" w:ascii="Times New Roman" w:hAnsi="Times New Roman" w:eastAsia="宋体" w:cs="Times New Roman"/>
                <w:spacing w:val="8"/>
                <w:sz w:val="24"/>
                <w:szCs w:val="24"/>
              </w:rPr>
              <w:t>)、《水工混凝土施工规范</w:t>
            </w:r>
            <w:r>
              <w:rPr>
                <w:rFonts w:hint="default" w:ascii="Times New Roman" w:hAnsi="Times New Roman" w:eastAsia="宋体" w:cs="Times New Roman"/>
                <w:spacing w:val="3"/>
                <w:sz w:val="24"/>
                <w:szCs w:val="24"/>
              </w:rPr>
              <w:t>》</w:t>
            </w:r>
            <w:r>
              <w:rPr>
                <w:rFonts w:hint="default" w:ascii="Times New Roman" w:hAnsi="Times New Roman" w:eastAsia="宋体" w:cs="Times New Roman"/>
                <w:spacing w:val="6"/>
                <w:sz w:val="24"/>
                <w:szCs w:val="24"/>
              </w:rPr>
              <w:t>(</w:t>
            </w:r>
            <w:r>
              <w:rPr>
                <w:rFonts w:hint="default" w:ascii="Times New Roman" w:hAnsi="Times New Roman" w:eastAsia="Times New Roman" w:cs="Times New Roman"/>
                <w:sz w:val="24"/>
                <w:szCs w:val="24"/>
              </w:rPr>
              <w:t>DL</w:t>
            </w:r>
            <w:r>
              <w:rPr>
                <w:rFonts w:hint="default" w:ascii="Times New Roman" w:hAnsi="Times New Roman" w:eastAsia="Times New Roman" w:cs="Times New Roman"/>
                <w:spacing w:val="6"/>
                <w:sz w:val="24"/>
                <w:szCs w:val="24"/>
              </w:rPr>
              <w:t>/</w:t>
            </w:r>
            <w:r>
              <w:rPr>
                <w:rFonts w:hint="default" w:ascii="Times New Roman" w:hAnsi="Times New Roman" w:eastAsia="Times New Roman" w:cs="Times New Roman"/>
                <w:sz w:val="24"/>
                <w:szCs w:val="24"/>
              </w:rPr>
              <w:t>T</w:t>
            </w:r>
            <w:r>
              <w:rPr>
                <w:rFonts w:hint="default" w:ascii="Times New Roman" w:hAnsi="Times New Roman" w:eastAsia="Times New Roman" w:cs="Times New Roman"/>
                <w:spacing w:val="6"/>
                <w:sz w:val="24"/>
                <w:szCs w:val="24"/>
              </w:rPr>
              <w:t>514</w:t>
            </w:r>
            <w:r>
              <w:rPr>
                <w:rFonts w:hint="default" w:ascii="Times New Roman" w:hAnsi="Times New Roman" w:eastAsia="Times New Roman" w:cs="Times New Roman"/>
                <w:spacing w:val="5"/>
                <w:sz w:val="24"/>
                <w:szCs w:val="24"/>
              </w:rPr>
              <w:t>4</w:t>
            </w:r>
            <w:r>
              <w:rPr>
                <w:rFonts w:hint="default" w:ascii="Times New Roman" w:hAnsi="Times New Roman" w:eastAsia="Times New Roman" w:cs="Times New Roman"/>
                <w:spacing w:val="3"/>
                <w:sz w:val="24"/>
                <w:szCs w:val="24"/>
              </w:rPr>
              <w:t>-2001</w:t>
            </w:r>
            <w:r>
              <w:rPr>
                <w:rFonts w:hint="default" w:ascii="Times New Roman" w:hAnsi="Times New Roman" w:eastAsia="宋体" w:cs="Times New Roman"/>
                <w:spacing w:val="3"/>
                <w:sz w:val="24"/>
                <w:szCs w:val="24"/>
              </w:rPr>
              <w:t>)等相关规范的要求组</w:t>
            </w:r>
            <w:r>
              <w:rPr>
                <w:rFonts w:hint="default" w:ascii="Times New Roman" w:hAnsi="Times New Roman" w:eastAsia="宋体" w:cs="Times New Roman"/>
                <w:spacing w:val="13"/>
                <w:sz w:val="24"/>
                <w:szCs w:val="24"/>
              </w:rPr>
              <w:t>织施工，开工前熟悉设计图纸、地形、地质、水文等资料，编制开挖工程施工组</w:t>
            </w:r>
            <w:r>
              <w:rPr>
                <w:rFonts w:hint="default" w:ascii="Times New Roman" w:hAnsi="Times New Roman" w:eastAsia="宋体" w:cs="Times New Roman"/>
                <w:spacing w:val="6"/>
                <w:sz w:val="24"/>
                <w:szCs w:val="24"/>
              </w:rPr>
              <w:t>织</w:t>
            </w:r>
            <w:r>
              <w:rPr>
                <w:rFonts w:hint="default" w:ascii="Times New Roman" w:hAnsi="Times New Roman" w:eastAsia="宋体" w:cs="Times New Roman"/>
                <w:sz w:val="24"/>
                <w:szCs w:val="24"/>
              </w:rPr>
              <w:t xml:space="preserve"> </w:t>
            </w:r>
            <w:r>
              <w:rPr>
                <w:rFonts w:hint="default" w:ascii="Times New Roman" w:hAnsi="Times New Roman" w:eastAsia="宋体" w:cs="Times New Roman"/>
                <w:spacing w:val="7"/>
                <w:sz w:val="24"/>
                <w:szCs w:val="24"/>
              </w:rPr>
              <w:t>设计报监理批准。</w:t>
            </w:r>
          </w:p>
          <w:p>
            <w:pPr>
              <w:keepNext w:val="0"/>
              <w:keepLines w:val="0"/>
              <w:pageBreakBefore w:val="0"/>
              <w:widowControl w:val="0"/>
              <w:kinsoku/>
              <w:wordWrap/>
              <w:overflowPunct/>
              <w:topLinePunct w:val="0"/>
              <w:bidi w:val="0"/>
              <w:spacing w:line="360" w:lineRule="auto"/>
              <w:ind w:left="0" w:right="0" w:firstLine="516" w:firstLineChars="200"/>
              <w:textAlignment w:val="auto"/>
              <w:outlineLvl w:val="2"/>
              <w:rPr>
                <w:rFonts w:hint="default" w:ascii="Times New Roman" w:hAnsi="Times New Roman" w:eastAsia="宋体" w:cs="Times New Roman"/>
                <w:sz w:val="24"/>
                <w:szCs w:val="24"/>
              </w:rPr>
            </w:pPr>
            <w:r>
              <w:rPr>
                <w:rFonts w:hint="default" w:ascii="Times New Roman" w:hAnsi="Times New Roman" w:eastAsia="宋体" w:cs="Times New Roman"/>
                <w:spacing w:val="9"/>
                <w:sz w:val="24"/>
                <w:szCs w:val="24"/>
              </w:rPr>
              <w:t>②施工测</w:t>
            </w:r>
            <w:r>
              <w:rPr>
                <w:rFonts w:hint="default" w:ascii="Times New Roman" w:hAnsi="Times New Roman" w:eastAsia="宋体" w:cs="Times New Roman"/>
                <w:spacing w:val="8"/>
                <w:sz w:val="24"/>
                <w:szCs w:val="24"/>
              </w:rPr>
              <w:t>量</w:t>
            </w:r>
          </w:p>
          <w:p>
            <w:pPr>
              <w:keepNext w:val="0"/>
              <w:keepLines w:val="0"/>
              <w:pageBreakBefore w:val="0"/>
              <w:widowControl w:val="0"/>
              <w:kinsoku/>
              <w:wordWrap/>
              <w:overflowPunct/>
              <w:topLinePunct w:val="0"/>
              <w:bidi w:val="0"/>
              <w:spacing w:line="360" w:lineRule="auto"/>
              <w:ind w:left="0" w:right="0" w:firstLine="544"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6"/>
                <w:sz w:val="24"/>
                <w:szCs w:val="24"/>
              </w:rPr>
              <w:t>施</w:t>
            </w:r>
            <w:r>
              <w:rPr>
                <w:rFonts w:hint="default" w:ascii="Times New Roman" w:hAnsi="Times New Roman" w:eastAsia="宋体" w:cs="Times New Roman"/>
                <w:spacing w:val="11"/>
                <w:sz w:val="24"/>
                <w:szCs w:val="24"/>
              </w:rPr>
              <w:t>工</w:t>
            </w:r>
            <w:r>
              <w:rPr>
                <w:rFonts w:hint="default" w:ascii="Times New Roman" w:hAnsi="Times New Roman" w:eastAsia="宋体" w:cs="Times New Roman"/>
                <w:spacing w:val="8"/>
                <w:sz w:val="24"/>
                <w:szCs w:val="24"/>
              </w:rPr>
              <w:t>单位按照现行《水利水电工程测量规范》 (</w:t>
            </w:r>
            <w:r>
              <w:rPr>
                <w:rFonts w:hint="default" w:ascii="Times New Roman" w:hAnsi="Times New Roman" w:eastAsia="Times New Roman" w:cs="Times New Roman"/>
                <w:sz w:val="24"/>
                <w:szCs w:val="24"/>
              </w:rPr>
              <w:t>SL</w:t>
            </w:r>
            <w:r>
              <w:rPr>
                <w:rFonts w:hint="default" w:ascii="Times New Roman" w:hAnsi="Times New Roman" w:eastAsia="Times New Roman" w:cs="Times New Roman"/>
                <w:spacing w:val="8"/>
                <w:sz w:val="24"/>
                <w:szCs w:val="24"/>
              </w:rPr>
              <w:t>197-2019</w:t>
            </w:r>
            <w:r>
              <w:rPr>
                <w:rFonts w:hint="default" w:ascii="Times New Roman" w:hAnsi="Times New Roman" w:eastAsia="宋体" w:cs="Times New Roman"/>
                <w:spacing w:val="8"/>
                <w:sz w:val="24"/>
                <w:szCs w:val="24"/>
              </w:rPr>
              <w:t>) 的规定，进行施</w:t>
            </w:r>
            <w:r>
              <w:rPr>
                <w:rFonts w:hint="default" w:ascii="Times New Roman" w:hAnsi="Times New Roman" w:eastAsia="宋体" w:cs="Times New Roman"/>
                <w:spacing w:val="13"/>
                <w:sz w:val="24"/>
                <w:szCs w:val="24"/>
              </w:rPr>
              <w:t>工测量工作。开工前，做好测量控制系统敷设，建立施工测量控制网。使用设计</w:t>
            </w:r>
            <w:r>
              <w:rPr>
                <w:rFonts w:hint="default" w:ascii="Times New Roman" w:hAnsi="Times New Roman" w:eastAsia="宋体" w:cs="Times New Roman"/>
                <w:spacing w:val="10"/>
                <w:sz w:val="24"/>
                <w:szCs w:val="24"/>
              </w:rPr>
              <w:t>单</w:t>
            </w:r>
            <w:r>
              <w:rPr>
                <w:rFonts w:hint="default" w:ascii="Times New Roman" w:hAnsi="Times New Roman" w:eastAsia="宋体" w:cs="Times New Roman"/>
                <w:spacing w:val="13"/>
                <w:sz w:val="24"/>
                <w:szCs w:val="24"/>
              </w:rPr>
              <w:t>位提供的测量控制点成果。按规定复测原始地形图或断面图，按设计要求实测横</w:t>
            </w:r>
            <w:r>
              <w:rPr>
                <w:rFonts w:hint="default" w:ascii="Times New Roman" w:hAnsi="Times New Roman" w:eastAsia="宋体" w:cs="Times New Roman"/>
                <w:spacing w:val="10"/>
                <w:sz w:val="24"/>
                <w:szCs w:val="24"/>
              </w:rPr>
              <w:t>断</w:t>
            </w:r>
            <w:r>
              <w:rPr>
                <w:rFonts w:hint="default" w:ascii="Times New Roman" w:hAnsi="Times New Roman" w:eastAsia="宋体" w:cs="Times New Roman"/>
                <w:spacing w:val="13"/>
                <w:sz w:val="24"/>
                <w:szCs w:val="24"/>
              </w:rPr>
              <w:t>面图；开挖前，进行堤轴线放线及开挖开口轮廓线放线；施工中及时进行测量</w:t>
            </w:r>
            <w:r>
              <w:rPr>
                <w:rFonts w:hint="default" w:ascii="Times New Roman" w:hAnsi="Times New Roman" w:eastAsia="宋体" w:cs="Times New Roman"/>
                <w:spacing w:val="10"/>
                <w:sz w:val="24"/>
                <w:szCs w:val="24"/>
              </w:rPr>
              <w:t>放线</w:t>
            </w:r>
            <w:r>
              <w:rPr>
                <w:rFonts w:hint="default" w:ascii="Times New Roman" w:hAnsi="Times New Roman" w:eastAsia="宋体" w:cs="Times New Roman"/>
                <w:spacing w:val="8"/>
                <w:sz w:val="24"/>
                <w:szCs w:val="24"/>
              </w:rPr>
              <w:t>，控制好超前挖问题。</w:t>
            </w:r>
          </w:p>
          <w:p>
            <w:pPr>
              <w:keepNext w:val="0"/>
              <w:keepLines w:val="0"/>
              <w:pageBreakBefore w:val="0"/>
              <w:widowControl w:val="0"/>
              <w:kinsoku/>
              <w:wordWrap/>
              <w:overflowPunct/>
              <w:topLinePunct w:val="0"/>
              <w:bidi w:val="0"/>
              <w:spacing w:line="360" w:lineRule="auto"/>
              <w:ind w:left="0" w:right="0" w:firstLine="516" w:firstLineChars="200"/>
              <w:textAlignment w:val="auto"/>
              <w:outlineLvl w:val="2"/>
              <w:rPr>
                <w:rFonts w:hint="default" w:ascii="Times New Roman" w:hAnsi="Times New Roman" w:eastAsia="宋体" w:cs="Times New Roman"/>
                <w:sz w:val="24"/>
                <w:szCs w:val="24"/>
              </w:rPr>
            </w:pPr>
            <w:r>
              <w:rPr>
                <w:rFonts w:hint="default" w:ascii="Times New Roman" w:hAnsi="Times New Roman" w:eastAsia="宋体" w:cs="Times New Roman"/>
                <w:spacing w:val="9"/>
                <w:sz w:val="24"/>
                <w:szCs w:val="24"/>
              </w:rPr>
              <w:t>③施工程</w:t>
            </w:r>
            <w:r>
              <w:rPr>
                <w:rFonts w:hint="default" w:ascii="Times New Roman" w:hAnsi="Times New Roman" w:eastAsia="宋体" w:cs="Times New Roman"/>
                <w:spacing w:val="8"/>
                <w:sz w:val="24"/>
                <w:szCs w:val="24"/>
              </w:rPr>
              <w:t>序</w:t>
            </w:r>
          </w:p>
          <w:p>
            <w:pPr>
              <w:keepNext w:val="0"/>
              <w:keepLines w:val="0"/>
              <w:pageBreakBefore w:val="0"/>
              <w:widowControl w:val="0"/>
              <w:kinsoku/>
              <w:wordWrap/>
              <w:overflowPunct/>
              <w:topLinePunct w:val="0"/>
              <w:bidi w:val="0"/>
              <w:spacing w:line="360" w:lineRule="auto"/>
              <w:ind w:left="0" w:right="0" w:firstLine="54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5"/>
                <w:sz w:val="24"/>
                <w:szCs w:val="24"/>
              </w:rPr>
              <w:t>开</w:t>
            </w:r>
            <w:r>
              <w:rPr>
                <w:rFonts w:hint="default" w:ascii="Times New Roman" w:hAnsi="Times New Roman" w:eastAsia="宋体" w:cs="Times New Roman"/>
                <w:spacing w:val="13"/>
                <w:sz w:val="24"/>
                <w:szCs w:val="24"/>
              </w:rPr>
              <w:t>挖应遵循从上至下、分层开挖的原则，按照规范要求开挖支护，杜绝自下而</w:t>
            </w:r>
            <w:r>
              <w:rPr>
                <w:rFonts w:hint="default" w:ascii="Times New Roman" w:hAnsi="Times New Roman" w:eastAsia="宋体" w:cs="Times New Roman"/>
                <w:spacing w:val="7"/>
                <w:sz w:val="24"/>
                <w:szCs w:val="24"/>
              </w:rPr>
              <w:t>上的开挖方法</w:t>
            </w:r>
            <w:r>
              <w:rPr>
                <w:rFonts w:hint="default" w:ascii="Times New Roman" w:hAnsi="Times New Roman" w:eastAsia="宋体" w:cs="Times New Roman"/>
                <w:spacing w:val="6"/>
                <w:sz w:val="24"/>
                <w:szCs w:val="24"/>
              </w:rPr>
              <w:t>。</w:t>
            </w:r>
          </w:p>
          <w:p>
            <w:pPr>
              <w:keepNext w:val="0"/>
              <w:keepLines w:val="0"/>
              <w:pageBreakBefore w:val="0"/>
              <w:widowControl w:val="0"/>
              <w:kinsoku/>
              <w:wordWrap/>
              <w:overflowPunct/>
              <w:topLinePunct w:val="0"/>
              <w:bidi w:val="0"/>
              <w:spacing w:line="360" w:lineRule="auto"/>
              <w:ind w:left="0" w:right="0" w:firstLine="516" w:firstLineChars="200"/>
              <w:textAlignment w:val="auto"/>
              <w:outlineLvl w:val="2"/>
              <w:rPr>
                <w:rFonts w:hint="default" w:ascii="Times New Roman" w:hAnsi="Times New Roman" w:eastAsia="宋体" w:cs="Times New Roman"/>
                <w:spacing w:val="9"/>
                <w:sz w:val="24"/>
                <w:szCs w:val="24"/>
              </w:rPr>
            </w:pPr>
            <w:r>
              <w:rPr>
                <w:rFonts w:hint="default" w:ascii="Times New Roman" w:hAnsi="Times New Roman" w:eastAsia="宋体" w:cs="Times New Roman"/>
                <w:spacing w:val="9"/>
                <w:sz w:val="24"/>
                <w:szCs w:val="24"/>
              </w:rPr>
              <w:t>④场地清理</w:t>
            </w:r>
          </w:p>
          <w:p>
            <w:pPr>
              <w:keepNext w:val="0"/>
              <w:keepLines w:val="0"/>
              <w:pageBreakBefore w:val="0"/>
              <w:widowControl w:val="0"/>
              <w:kinsoku/>
              <w:wordWrap/>
              <w:overflowPunct/>
              <w:topLinePunct w:val="0"/>
              <w:bidi w:val="0"/>
              <w:spacing w:line="360" w:lineRule="auto"/>
              <w:ind w:left="0" w:right="0" w:firstLine="516" w:firstLineChars="200"/>
              <w:textAlignment w:val="auto"/>
              <w:outlineLvl w:val="2"/>
              <w:rPr>
                <w:rFonts w:hint="default" w:ascii="Times New Roman" w:hAnsi="Times New Roman" w:eastAsia="宋体" w:cs="Times New Roman"/>
                <w:spacing w:val="9"/>
                <w:sz w:val="24"/>
                <w:szCs w:val="24"/>
              </w:rPr>
            </w:pPr>
            <w:r>
              <w:rPr>
                <w:rFonts w:hint="default" w:ascii="Times New Roman" w:hAnsi="Times New Roman" w:eastAsia="宋体" w:cs="Times New Roman"/>
                <w:spacing w:val="9"/>
                <w:sz w:val="24"/>
                <w:szCs w:val="24"/>
              </w:rPr>
              <w:t>边坡开挖前，做好开挖线外的清理、削坡、加固和排水等工作。并通过监理工程师的检查验收没有安全隐患后才正式作业。</w:t>
            </w:r>
          </w:p>
          <w:p>
            <w:pPr>
              <w:keepNext w:val="0"/>
              <w:keepLines w:val="0"/>
              <w:pageBreakBefore w:val="0"/>
              <w:widowControl w:val="0"/>
              <w:kinsoku/>
              <w:wordWrap/>
              <w:overflowPunct/>
              <w:topLinePunct w:val="0"/>
              <w:bidi w:val="0"/>
              <w:spacing w:line="360" w:lineRule="auto"/>
              <w:ind w:left="0" w:right="0" w:firstLine="516" w:firstLineChars="200"/>
              <w:textAlignment w:val="auto"/>
              <w:outlineLvl w:val="2"/>
              <w:rPr>
                <w:rFonts w:hint="default" w:ascii="Times New Roman" w:hAnsi="Times New Roman" w:eastAsia="宋体" w:cs="Times New Roman"/>
                <w:spacing w:val="9"/>
                <w:sz w:val="24"/>
                <w:szCs w:val="24"/>
              </w:rPr>
            </w:pPr>
            <w:r>
              <w:rPr>
                <w:rFonts w:hint="default" w:ascii="Times New Roman" w:hAnsi="Times New Roman" w:eastAsia="宋体" w:cs="Times New Roman"/>
                <w:spacing w:val="9"/>
                <w:sz w:val="24"/>
                <w:szCs w:val="24"/>
              </w:rPr>
              <w:t>⑤施工安全</w:t>
            </w:r>
          </w:p>
          <w:p>
            <w:pPr>
              <w:keepNext w:val="0"/>
              <w:keepLines w:val="0"/>
              <w:pageBreakBefore w:val="0"/>
              <w:widowControl w:val="0"/>
              <w:kinsoku/>
              <w:wordWrap/>
              <w:overflowPunct/>
              <w:topLinePunct w:val="0"/>
              <w:bidi w:val="0"/>
              <w:spacing w:line="360" w:lineRule="auto"/>
              <w:ind w:left="0" w:right="0" w:firstLine="516" w:firstLineChars="200"/>
              <w:textAlignment w:val="auto"/>
              <w:outlineLvl w:val="2"/>
              <w:rPr>
                <w:rFonts w:hint="default" w:ascii="Times New Roman" w:hAnsi="Times New Roman" w:eastAsia="宋体" w:cs="Times New Roman"/>
                <w:spacing w:val="9"/>
                <w:sz w:val="24"/>
                <w:szCs w:val="24"/>
              </w:rPr>
            </w:pPr>
            <w:r>
              <w:rPr>
                <w:rFonts w:hint="default" w:ascii="Times New Roman" w:hAnsi="Times New Roman" w:eastAsia="宋体" w:cs="Times New Roman"/>
                <w:spacing w:val="9"/>
                <w:sz w:val="24"/>
                <w:szCs w:val="24"/>
              </w:rPr>
              <w:t>施工单位按本工程合同约定和相关要求规定履行其安全施工职责，对工程的施 工安全负责，包括：现场施工劳动保护、场内交通、消防、施工作业保护、洪水和 气象灾害保护、施工安全监测等。</w:t>
            </w:r>
          </w:p>
          <w:p>
            <w:pPr>
              <w:keepNext w:val="0"/>
              <w:keepLines w:val="0"/>
              <w:pageBreakBefore w:val="0"/>
              <w:widowControl w:val="0"/>
              <w:kinsoku/>
              <w:wordWrap/>
              <w:overflowPunct/>
              <w:topLinePunct w:val="0"/>
              <w:bidi w:val="0"/>
              <w:spacing w:line="360" w:lineRule="auto"/>
              <w:ind w:left="0" w:right="0" w:firstLine="516" w:firstLineChars="200"/>
              <w:textAlignment w:val="auto"/>
              <w:outlineLvl w:val="2"/>
              <w:rPr>
                <w:rFonts w:hint="default" w:ascii="Times New Roman" w:hAnsi="Times New Roman" w:eastAsia="宋体" w:cs="Times New Roman"/>
                <w:spacing w:val="9"/>
                <w:sz w:val="24"/>
                <w:szCs w:val="24"/>
              </w:rPr>
            </w:pPr>
            <w:r>
              <w:rPr>
                <w:rFonts w:hint="default" w:ascii="Times New Roman" w:hAnsi="Times New Roman" w:eastAsia="宋体" w:cs="Times New Roman"/>
                <w:spacing w:val="9"/>
                <w:sz w:val="24"/>
                <w:szCs w:val="24"/>
              </w:rPr>
              <w:t>施工单位在施工区内设置包括禁止标志，警示标志，指令标志，提示标志和文 字辅助标志等一切必需的安全标志。</w:t>
            </w:r>
          </w:p>
          <w:p>
            <w:pPr>
              <w:keepNext w:val="0"/>
              <w:keepLines w:val="0"/>
              <w:pageBreakBefore w:val="0"/>
              <w:widowControl w:val="0"/>
              <w:kinsoku/>
              <w:wordWrap/>
              <w:overflowPunct/>
              <w:topLinePunct w:val="0"/>
              <w:bidi w:val="0"/>
              <w:spacing w:line="360" w:lineRule="auto"/>
              <w:ind w:left="0" w:right="0" w:firstLine="518" w:firstLineChars="200"/>
              <w:textAlignment w:val="auto"/>
              <w:outlineLvl w:val="2"/>
              <w:rPr>
                <w:rFonts w:hint="default" w:ascii="Times New Roman" w:hAnsi="Times New Roman" w:eastAsia="宋体" w:cs="Times New Roman"/>
                <w:b/>
                <w:bCs/>
                <w:spacing w:val="9"/>
                <w:sz w:val="24"/>
                <w:szCs w:val="24"/>
                <w:lang w:val="en-US" w:eastAsia="zh-CN"/>
              </w:rPr>
            </w:pPr>
            <w:r>
              <w:rPr>
                <w:rFonts w:hint="eastAsia" w:ascii="Times New Roman" w:hAnsi="Times New Roman" w:eastAsia="宋体" w:cs="Times New Roman"/>
                <w:b/>
                <w:bCs/>
                <w:spacing w:val="9"/>
                <w:sz w:val="24"/>
                <w:szCs w:val="24"/>
                <w:lang w:val="en-US" w:eastAsia="zh-CN"/>
              </w:rPr>
              <w:t>（2）施工导流</w:t>
            </w:r>
          </w:p>
          <w:p>
            <w:pPr>
              <w:keepNext w:val="0"/>
              <w:keepLines w:val="0"/>
              <w:pageBreakBefore w:val="0"/>
              <w:widowControl w:val="0"/>
              <w:kinsoku/>
              <w:wordWrap/>
              <w:overflowPunct/>
              <w:topLinePunct w:val="0"/>
              <w:bidi w:val="0"/>
              <w:spacing w:line="360" w:lineRule="auto"/>
              <w:ind w:left="0" w:right="0" w:firstLine="516" w:firstLineChars="200"/>
              <w:textAlignment w:val="auto"/>
              <w:outlineLvl w:val="2"/>
              <w:rPr>
                <w:rFonts w:hint="default" w:ascii="Times New Roman" w:hAnsi="Times New Roman" w:eastAsia="宋体" w:cs="Times New Roman"/>
                <w:spacing w:val="9"/>
                <w:sz w:val="24"/>
                <w:szCs w:val="24"/>
              </w:rPr>
            </w:pPr>
            <w:r>
              <w:rPr>
                <w:rFonts w:hint="eastAsia" w:ascii="Times New Roman" w:hAnsi="Times New Roman" w:eastAsia="宋体" w:cs="Times New Roman"/>
                <w:spacing w:val="9"/>
                <w:sz w:val="24"/>
                <w:szCs w:val="24"/>
                <w:lang w:eastAsia="zh-CN"/>
              </w:rPr>
              <w:t>安福堰枢纽</w:t>
            </w:r>
            <w:r>
              <w:rPr>
                <w:rFonts w:hint="default" w:ascii="Times New Roman" w:hAnsi="Times New Roman" w:eastAsia="宋体" w:cs="Times New Roman"/>
                <w:spacing w:val="9"/>
                <w:sz w:val="24"/>
                <w:szCs w:val="24"/>
              </w:rPr>
              <w:t>永久主要建筑物按5级设计，取水口及引水渠枢纽永久次要建筑物按5级设计，临时建筑物按5级设计。根据《水利水电工程施工组织设计规范》（SDJ303-2017），临时施工围堰及施工导流的施工期洪水重现期为5~10年一遇的设计洪水标准。按本施工导流工程特点及类似工程施工导流经验，本工程导流设计按5年一遇的洪水标准进行设防。</w:t>
            </w:r>
          </w:p>
          <w:p>
            <w:pPr>
              <w:keepNext w:val="0"/>
              <w:keepLines w:val="0"/>
              <w:pageBreakBefore w:val="0"/>
              <w:widowControl w:val="0"/>
              <w:kinsoku/>
              <w:wordWrap/>
              <w:overflowPunct/>
              <w:topLinePunct w:val="0"/>
              <w:bidi w:val="0"/>
              <w:spacing w:line="360" w:lineRule="auto"/>
              <w:ind w:left="0" w:right="0" w:firstLine="516" w:firstLineChars="200"/>
              <w:textAlignment w:val="auto"/>
              <w:outlineLvl w:val="2"/>
              <w:rPr>
                <w:rFonts w:hint="eastAsia" w:ascii="Times New Roman" w:hAnsi="Times New Roman" w:eastAsia="宋体" w:cs="Times New Roman"/>
                <w:spacing w:val="9"/>
                <w:sz w:val="24"/>
                <w:szCs w:val="24"/>
              </w:rPr>
            </w:pPr>
            <w:r>
              <w:rPr>
                <w:rFonts w:hint="eastAsia" w:ascii="Times New Roman" w:hAnsi="Times New Roman" w:eastAsia="宋体" w:cs="Times New Roman"/>
                <w:spacing w:val="9"/>
                <w:sz w:val="24"/>
                <w:szCs w:val="24"/>
              </w:rPr>
              <w:t>1）导流标准及时段选择</w:t>
            </w:r>
          </w:p>
          <w:p>
            <w:pPr>
              <w:keepNext w:val="0"/>
              <w:keepLines w:val="0"/>
              <w:pageBreakBefore w:val="0"/>
              <w:widowControl w:val="0"/>
              <w:kinsoku/>
              <w:wordWrap/>
              <w:overflowPunct/>
              <w:topLinePunct w:val="0"/>
              <w:bidi w:val="0"/>
              <w:spacing w:line="360" w:lineRule="auto"/>
              <w:ind w:left="0" w:right="0" w:firstLine="516" w:firstLineChars="200"/>
              <w:textAlignment w:val="auto"/>
              <w:outlineLvl w:val="2"/>
              <w:rPr>
                <w:rFonts w:hint="default" w:ascii="Times New Roman" w:hAnsi="Times New Roman" w:eastAsia="宋体" w:cs="Times New Roman"/>
                <w:spacing w:val="9"/>
                <w:sz w:val="24"/>
                <w:szCs w:val="24"/>
              </w:rPr>
            </w:pPr>
            <w:r>
              <w:rPr>
                <w:rFonts w:hint="default" w:ascii="Times New Roman" w:hAnsi="Times New Roman" w:eastAsia="宋体" w:cs="Times New Roman"/>
                <w:spacing w:val="9"/>
                <w:sz w:val="24"/>
                <w:szCs w:val="24"/>
              </w:rPr>
              <w:t>根据水文资料，和安福堰综合整治工程水工布置情况，其施工安排在枯期第一年11月至第二年3月分两期施工，一期导流时段为第一年11月至第二年1月底，设计导流量为84.9m</w:t>
            </w:r>
            <w:r>
              <w:rPr>
                <w:rFonts w:hint="default" w:ascii="Times New Roman" w:hAnsi="Times New Roman" w:eastAsia="宋体" w:cs="Times New Roman"/>
                <w:spacing w:val="9"/>
                <w:sz w:val="24"/>
                <w:szCs w:val="24"/>
                <w:vertAlign w:val="superscript"/>
              </w:rPr>
              <w:t>3</w:t>
            </w:r>
            <w:r>
              <w:rPr>
                <w:rFonts w:hint="default" w:ascii="Times New Roman" w:hAnsi="Times New Roman" w:eastAsia="宋体" w:cs="Times New Roman"/>
                <w:spacing w:val="9"/>
                <w:sz w:val="24"/>
                <w:szCs w:val="24"/>
              </w:rPr>
              <w:t>/s，二期导流时段为第二年2月至3月，设计导流量为84.9m</w:t>
            </w:r>
            <w:r>
              <w:rPr>
                <w:rFonts w:hint="default" w:ascii="Times New Roman" w:hAnsi="Times New Roman" w:eastAsia="宋体" w:cs="Times New Roman"/>
                <w:spacing w:val="9"/>
                <w:sz w:val="24"/>
                <w:szCs w:val="24"/>
                <w:vertAlign w:val="superscript"/>
              </w:rPr>
              <w:t>3</w:t>
            </w:r>
            <w:r>
              <w:rPr>
                <w:rFonts w:hint="default" w:ascii="Times New Roman" w:hAnsi="Times New Roman" w:eastAsia="宋体" w:cs="Times New Roman"/>
                <w:spacing w:val="9"/>
                <w:sz w:val="24"/>
                <w:szCs w:val="24"/>
              </w:rPr>
              <w:t>/s。</w:t>
            </w:r>
          </w:p>
          <w:p>
            <w:pPr>
              <w:keepNext w:val="0"/>
              <w:keepLines w:val="0"/>
              <w:pageBreakBefore w:val="0"/>
              <w:widowControl w:val="0"/>
              <w:kinsoku/>
              <w:wordWrap/>
              <w:overflowPunct/>
              <w:topLinePunct w:val="0"/>
              <w:bidi w:val="0"/>
              <w:spacing w:line="360" w:lineRule="auto"/>
              <w:ind w:left="0" w:right="0" w:firstLine="516" w:firstLineChars="200"/>
              <w:textAlignment w:val="auto"/>
              <w:outlineLvl w:val="2"/>
              <w:rPr>
                <w:rFonts w:hint="eastAsia" w:ascii="Times New Roman" w:hAnsi="Times New Roman" w:eastAsia="宋体" w:cs="Times New Roman"/>
                <w:spacing w:val="9"/>
                <w:sz w:val="24"/>
                <w:szCs w:val="24"/>
              </w:rPr>
            </w:pPr>
            <w:r>
              <w:rPr>
                <w:rFonts w:hint="eastAsia" w:ascii="Times New Roman" w:hAnsi="Times New Roman" w:eastAsia="宋体" w:cs="Times New Roman"/>
                <w:spacing w:val="9"/>
                <w:sz w:val="24"/>
                <w:szCs w:val="24"/>
              </w:rPr>
              <w:t>2）导流方式及程序</w:t>
            </w:r>
          </w:p>
          <w:p>
            <w:pPr>
              <w:keepNext w:val="0"/>
              <w:keepLines w:val="0"/>
              <w:pageBreakBefore w:val="0"/>
              <w:widowControl w:val="0"/>
              <w:kinsoku/>
              <w:wordWrap/>
              <w:overflowPunct/>
              <w:topLinePunct w:val="0"/>
              <w:bidi w:val="0"/>
              <w:spacing w:line="360" w:lineRule="auto"/>
              <w:ind w:left="0" w:right="0" w:firstLine="516" w:firstLineChars="200"/>
              <w:textAlignment w:val="auto"/>
              <w:outlineLvl w:val="2"/>
              <w:rPr>
                <w:rFonts w:hint="eastAsia" w:ascii="Times New Roman" w:hAnsi="Times New Roman" w:eastAsia="宋体" w:cs="Times New Roman"/>
                <w:spacing w:val="9"/>
                <w:sz w:val="24"/>
                <w:szCs w:val="24"/>
              </w:rPr>
            </w:pPr>
            <w:r>
              <w:rPr>
                <w:rFonts w:hint="default" w:ascii="Times New Roman" w:hAnsi="Times New Roman" w:eastAsia="宋体" w:cs="Times New Roman"/>
                <w:spacing w:val="9"/>
                <w:sz w:val="24"/>
                <w:szCs w:val="24"/>
              </w:rPr>
              <w:t>在上述导流时段和导流设计流量的情况下，</w:t>
            </w:r>
            <w:r>
              <w:rPr>
                <w:rFonts w:hint="eastAsia" w:ascii="Times New Roman" w:hAnsi="Times New Roman" w:eastAsia="宋体" w:cs="Times New Roman"/>
                <w:spacing w:val="9"/>
                <w:sz w:val="24"/>
                <w:szCs w:val="24"/>
                <w:lang w:val="en-US" w:eastAsia="zh-CN"/>
              </w:rPr>
              <w:t>第一年</w:t>
            </w:r>
            <w:r>
              <w:rPr>
                <w:rFonts w:hint="default" w:ascii="Times New Roman" w:hAnsi="Times New Roman" w:eastAsia="宋体" w:cs="Times New Roman"/>
                <w:spacing w:val="9"/>
                <w:sz w:val="24"/>
                <w:szCs w:val="24"/>
              </w:rPr>
              <w:t>10月底设一期围堰围安福堰右岸基坑，在一期围堰的保护下，于</w:t>
            </w:r>
            <w:r>
              <w:rPr>
                <w:rFonts w:hint="eastAsia" w:ascii="Times New Roman" w:hAnsi="Times New Roman" w:eastAsia="宋体" w:cs="Times New Roman"/>
                <w:spacing w:val="9"/>
                <w:sz w:val="24"/>
                <w:szCs w:val="24"/>
                <w:lang w:val="en-US" w:eastAsia="zh-CN"/>
              </w:rPr>
              <w:t>第一年</w:t>
            </w:r>
            <w:r>
              <w:rPr>
                <w:rFonts w:hint="default" w:ascii="Times New Roman" w:hAnsi="Times New Roman" w:eastAsia="宋体" w:cs="Times New Roman"/>
                <w:spacing w:val="9"/>
                <w:sz w:val="24"/>
                <w:szCs w:val="24"/>
              </w:rPr>
              <w:t>11月至</w:t>
            </w:r>
            <w:r>
              <w:rPr>
                <w:rFonts w:hint="eastAsia" w:ascii="Times New Roman" w:hAnsi="Times New Roman" w:eastAsia="宋体" w:cs="Times New Roman"/>
                <w:spacing w:val="9"/>
                <w:sz w:val="24"/>
                <w:szCs w:val="24"/>
                <w:lang w:val="en-US" w:eastAsia="zh-CN"/>
              </w:rPr>
              <w:t>第二</w:t>
            </w:r>
            <w:r>
              <w:rPr>
                <w:rFonts w:hint="default" w:ascii="Times New Roman" w:hAnsi="Times New Roman" w:eastAsia="宋体" w:cs="Times New Roman"/>
                <w:spacing w:val="9"/>
                <w:sz w:val="24"/>
                <w:szCs w:val="24"/>
              </w:rPr>
              <w:t>年2月进行安福堰取水口及坝右岸约58m坝段的全部主体工程施工，同时二期围堰纵向导墙在一期基坑内完成。2月底拆除一期围堰，同时填筑二期上下游围堰，在二期基坑的保护下，于3月进行安福堰左岸坝段全部未完工程的施工，4月初拆除二期围堰和导墙，整个导流任务完成。</w:t>
            </w:r>
          </w:p>
          <w:p>
            <w:pPr>
              <w:keepNext w:val="0"/>
              <w:keepLines w:val="0"/>
              <w:pageBreakBefore w:val="0"/>
              <w:widowControl w:val="0"/>
              <w:kinsoku/>
              <w:wordWrap/>
              <w:overflowPunct/>
              <w:topLinePunct w:val="0"/>
              <w:bidi w:val="0"/>
              <w:spacing w:line="360" w:lineRule="auto"/>
              <w:ind w:left="0" w:right="0" w:firstLine="516" w:firstLineChars="200"/>
              <w:textAlignment w:val="auto"/>
              <w:outlineLvl w:val="2"/>
              <w:rPr>
                <w:rFonts w:hint="eastAsia" w:ascii="Times New Roman" w:hAnsi="Times New Roman" w:eastAsia="宋体" w:cs="Times New Roman"/>
                <w:spacing w:val="9"/>
                <w:sz w:val="24"/>
                <w:szCs w:val="24"/>
              </w:rPr>
            </w:pPr>
            <w:r>
              <w:rPr>
                <w:rFonts w:hint="eastAsia" w:ascii="Times New Roman" w:hAnsi="Times New Roman" w:eastAsia="宋体" w:cs="Times New Roman"/>
                <w:spacing w:val="9"/>
                <w:sz w:val="24"/>
                <w:szCs w:val="24"/>
              </w:rPr>
              <w:t>3）导流建筑物设计</w:t>
            </w:r>
          </w:p>
          <w:p>
            <w:pPr>
              <w:keepNext w:val="0"/>
              <w:keepLines w:val="0"/>
              <w:pageBreakBefore w:val="0"/>
              <w:widowControl w:val="0"/>
              <w:kinsoku/>
              <w:wordWrap/>
              <w:overflowPunct/>
              <w:topLinePunct w:val="0"/>
              <w:bidi w:val="0"/>
              <w:spacing w:line="360" w:lineRule="auto"/>
              <w:ind w:left="0" w:right="0" w:firstLine="516" w:firstLineChars="200"/>
              <w:textAlignment w:val="auto"/>
              <w:outlineLvl w:val="2"/>
              <w:rPr>
                <w:rFonts w:hint="default" w:ascii="Times New Roman" w:hAnsi="Times New Roman" w:eastAsia="宋体" w:cs="Times New Roman"/>
                <w:spacing w:val="9"/>
                <w:sz w:val="24"/>
                <w:szCs w:val="24"/>
              </w:rPr>
            </w:pPr>
            <w:r>
              <w:rPr>
                <w:rFonts w:hint="default" w:ascii="Times New Roman" w:hAnsi="Times New Roman" w:eastAsia="宋体" w:cs="Times New Roman"/>
                <w:spacing w:val="9"/>
                <w:sz w:val="24"/>
                <w:szCs w:val="24"/>
              </w:rPr>
              <w:t>按上述导流标准、时段及导流方式，本工程导流建筑物包括一期围堰、二期导墙和二期上、下游围堰。</w:t>
            </w:r>
          </w:p>
          <w:p>
            <w:pPr>
              <w:keepNext w:val="0"/>
              <w:keepLines w:val="0"/>
              <w:pageBreakBefore w:val="0"/>
              <w:widowControl w:val="0"/>
              <w:kinsoku/>
              <w:wordWrap/>
              <w:overflowPunct/>
              <w:topLinePunct w:val="0"/>
              <w:bidi w:val="0"/>
              <w:spacing w:line="360" w:lineRule="auto"/>
              <w:ind w:left="0" w:right="0" w:firstLine="516" w:firstLineChars="200"/>
              <w:textAlignment w:val="auto"/>
              <w:outlineLvl w:val="2"/>
              <w:rPr>
                <w:rFonts w:hint="default" w:ascii="Times New Roman" w:hAnsi="Times New Roman" w:eastAsia="宋体" w:cs="Times New Roman"/>
                <w:spacing w:val="9"/>
                <w:sz w:val="24"/>
                <w:szCs w:val="24"/>
              </w:rPr>
            </w:pPr>
            <w:r>
              <w:rPr>
                <w:rFonts w:hint="default" w:ascii="Times New Roman" w:hAnsi="Times New Roman" w:eastAsia="宋体" w:cs="Times New Roman"/>
                <w:spacing w:val="9"/>
                <w:sz w:val="24"/>
                <w:szCs w:val="24"/>
              </w:rPr>
              <w:t>一期围堰围主体工程右岸，围堰长319.74m，堰顶宽3m，迎水坡1：2，内边坡1：1.5，最大堰高2.5m，导流设计水位371.40~370.30m，堰顶高程37</w:t>
            </w:r>
            <w:r>
              <w:rPr>
                <w:rFonts w:hint="eastAsia" w:ascii="Times New Roman" w:hAnsi="Times New Roman" w:eastAsia="宋体" w:cs="Times New Roman"/>
                <w:spacing w:val="9"/>
                <w:sz w:val="24"/>
                <w:szCs w:val="24"/>
              </w:rPr>
              <w:t>0</w:t>
            </w:r>
            <w:r>
              <w:rPr>
                <w:rFonts w:hint="default" w:ascii="Times New Roman" w:hAnsi="Times New Roman" w:eastAsia="宋体" w:cs="Times New Roman"/>
                <w:spacing w:val="9"/>
                <w:sz w:val="24"/>
                <w:szCs w:val="24"/>
              </w:rPr>
              <w:t>.</w:t>
            </w:r>
            <w:r>
              <w:rPr>
                <w:rFonts w:hint="eastAsia" w:ascii="Times New Roman" w:hAnsi="Times New Roman" w:eastAsia="宋体" w:cs="Times New Roman"/>
                <w:spacing w:val="9"/>
                <w:sz w:val="24"/>
                <w:szCs w:val="24"/>
              </w:rPr>
              <w:t>9</w:t>
            </w:r>
            <w:r>
              <w:rPr>
                <w:rFonts w:hint="default" w:ascii="Times New Roman" w:hAnsi="Times New Roman" w:eastAsia="宋体" w:cs="Times New Roman"/>
                <w:spacing w:val="9"/>
                <w:sz w:val="24"/>
                <w:szCs w:val="24"/>
              </w:rPr>
              <w:t>0~3</w:t>
            </w:r>
            <w:r>
              <w:rPr>
                <w:rFonts w:hint="eastAsia" w:ascii="Times New Roman" w:hAnsi="Times New Roman" w:eastAsia="宋体" w:cs="Times New Roman"/>
                <w:spacing w:val="9"/>
                <w:sz w:val="24"/>
                <w:szCs w:val="24"/>
              </w:rPr>
              <w:t>69.80</w:t>
            </w:r>
            <w:r>
              <w:rPr>
                <w:rFonts w:hint="default" w:ascii="Times New Roman" w:hAnsi="Times New Roman" w:eastAsia="宋体" w:cs="Times New Roman"/>
                <w:spacing w:val="9"/>
                <w:sz w:val="24"/>
                <w:szCs w:val="24"/>
              </w:rPr>
              <w:t>m，堰体结构型式采用砂卵石填筑，迎水面采用编织袋装土方防冲，土工膜防渗。使用时段第一年11月至第二年2月。</w:t>
            </w:r>
          </w:p>
          <w:p>
            <w:pPr>
              <w:keepNext w:val="0"/>
              <w:keepLines w:val="0"/>
              <w:pageBreakBefore w:val="0"/>
              <w:widowControl w:val="0"/>
              <w:kinsoku/>
              <w:wordWrap/>
              <w:overflowPunct/>
              <w:topLinePunct w:val="0"/>
              <w:bidi w:val="0"/>
              <w:spacing w:line="360" w:lineRule="auto"/>
              <w:ind w:left="0" w:right="0" w:firstLine="516" w:firstLineChars="200"/>
              <w:textAlignment w:val="auto"/>
              <w:outlineLvl w:val="2"/>
              <w:rPr>
                <w:rFonts w:hint="default" w:ascii="Times New Roman" w:hAnsi="Times New Roman" w:eastAsia="宋体" w:cs="Times New Roman"/>
                <w:spacing w:val="9"/>
                <w:sz w:val="24"/>
                <w:szCs w:val="24"/>
              </w:rPr>
            </w:pPr>
            <w:r>
              <w:rPr>
                <w:rFonts w:hint="default" w:ascii="Times New Roman" w:hAnsi="Times New Roman" w:eastAsia="宋体" w:cs="Times New Roman"/>
                <w:spacing w:val="9"/>
                <w:sz w:val="24"/>
                <w:szCs w:val="24"/>
              </w:rPr>
              <w:t>二期导墙在一期基坑内完成，导墙堰顶长</w:t>
            </w:r>
            <w:r>
              <w:rPr>
                <w:rFonts w:hint="eastAsia" w:ascii="Times New Roman" w:hAnsi="Times New Roman" w:eastAsia="宋体" w:cs="Times New Roman"/>
                <w:spacing w:val="9"/>
                <w:sz w:val="24"/>
                <w:szCs w:val="24"/>
              </w:rPr>
              <w:t>228</w:t>
            </w:r>
            <w:r>
              <w:rPr>
                <w:rFonts w:hint="default" w:ascii="Times New Roman" w:hAnsi="Times New Roman" w:eastAsia="宋体" w:cs="Times New Roman"/>
                <w:spacing w:val="9"/>
                <w:sz w:val="24"/>
                <w:szCs w:val="24"/>
              </w:rPr>
              <w:t>m，堰顶宽0.5m，迎水坡垂直，内边坡1:0.7，最大堰高2m，上游堰顶高程</w:t>
            </w:r>
            <w:r>
              <w:rPr>
                <w:rFonts w:hint="eastAsia" w:ascii="Times New Roman" w:hAnsi="Times New Roman" w:eastAsia="宋体" w:cs="Times New Roman"/>
                <w:spacing w:val="9"/>
                <w:sz w:val="24"/>
                <w:szCs w:val="24"/>
              </w:rPr>
              <w:t>371.90</w:t>
            </w:r>
            <w:r>
              <w:rPr>
                <w:rFonts w:hint="default" w:ascii="Times New Roman" w:hAnsi="Times New Roman" w:eastAsia="宋体" w:cs="Times New Roman"/>
                <w:spacing w:val="9"/>
                <w:sz w:val="24"/>
                <w:szCs w:val="24"/>
              </w:rPr>
              <w:t>m，下游堰顶高程</w:t>
            </w:r>
            <w:r>
              <w:rPr>
                <w:rFonts w:hint="eastAsia" w:ascii="Times New Roman" w:hAnsi="Times New Roman" w:eastAsia="宋体" w:cs="Times New Roman"/>
                <w:spacing w:val="9"/>
                <w:sz w:val="24"/>
                <w:szCs w:val="24"/>
              </w:rPr>
              <w:t>368.80</w:t>
            </w:r>
            <w:r>
              <w:rPr>
                <w:rFonts w:hint="default" w:ascii="Times New Roman" w:hAnsi="Times New Roman" w:eastAsia="宋体" w:cs="Times New Roman"/>
                <w:spacing w:val="9"/>
                <w:sz w:val="24"/>
                <w:szCs w:val="24"/>
              </w:rPr>
              <w:t>m，堰体结构型式采用M7.5浆砌卵石。使用时段为第二年2月至3月。</w:t>
            </w:r>
          </w:p>
          <w:p>
            <w:pPr>
              <w:keepNext w:val="0"/>
              <w:keepLines w:val="0"/>
              <w:pageBreakBefore w:val="0"/>
              <w:widowControl w:val="0"/>
              <w:kinsoku/>
              <w:wordWrap/>
              <w:overflowPunct/>
              <w:topLinePunct w:val="0"/>
              <w:bidi w:val="0"/>
              <w:spacing w:line="360" w:lineRule="auto"/>
              <w:ind w:left="0" w:right="0" w:firstLine="516" w:firstLineChars="200"/>
              <w:textAlignment w:val="auto"/>
              <w:outlineLvl w:val="2"/>
              <w:rPr>
                <w:rFonts w:hint="default" w:ascii="Times New Roman" w:hAnsi="Times New Roman" w:eastAsia="宋体" w:cs="Times New Roman"/>
                <w:spacing w:val="9"/>
                <w:sz w:val="24"/>
                <w:szCs w:val="24"/>
              </w:rPr>
            </w:pPr>
            <w:r>
              <w:rPr>
                <w:rFonts w:hint="default" w:ascii="Times New Roman" w:hAnsi="Times New Roman" w:eastAsia="宋体" w:cs="Times New Roman"/>
                <w:spacing w:val="9"/>
                <w:sz w:val="24"/>
                <w:szCs w:val="24"/>
              </w:rPr>
              <w:t>二期上游围堰长约</w:t>
            </w:r>
            <w:r>
              <w:rPr>
                <w:rFonts w:hint="eastAsia" w:ascii="Times New Roman" w:hAnsi="Times New Roman" w:eastAsia="宋体" w:cs="Times New Roman"/>
                <w:spacing w:val="9"/>
                <w:sz w:val="24"/>
                <w:szCs w:val="24"/>
              </w:rPr>
              <w:t>224.05</w:t>
            </w:r>
            <w:r>
              <w:rPr>
                <w:rFonts w:hint="default" w:ascii="Times New Roman" w:hAnsi="Times New Roman" w:eastAsia="宋体" w:cs="Times New Roman"/>
                <w:spacing w:val="9"/>
                <w:sz w:val="24"/>
                <w:szCs w:val="24"/>
              </w:rPr>
              <w:t>m，堰顶宽</w:t>
            </w:r>
            <w:r>
              <w:rPr>
                <w:rFonts w:hint="eastAsia" w:ascii="Times New Roman" w:hAnsi="Times New Roman" w:eastAsia="宋体" w:cs="Times New Roman"/>
                <w:spacing w:val="9"/>
                <w:sz w:val="24"/>
                <w:szCs w:val="24"/>
              </w:rPr>
              <w:t>3</w:t>
            </w:r>
            <w:r>
              <w:rPr>
                <w:rFonts w:hint="default" w:ascii="Times New Roman" w:hAnsi="Times New Roman" w:eastAsia="宋体" w:cs="Times New Roman"/>
                <w:spacing w:val="9"/>
                <w:sz w:val="24"/>
                <w:szCs w:val="24"/>
              </w:rPr>
              <w:t>m，迎水坡1：2，内边坡1：1.5，最大堰高3m，导流设计水位371.</w:t>
            </w:r>
            <w:r>
              <w:rPr>
                <w:rFonts w:hint="eastAsia" w:ascii="Times New Roman" w:hAnsi="Times New Roman" w:eastAsia="宋体" w:cs="Times New Roman"/>
                <w:spacing w:val="9"/>
                <w:sz w:val="24"/>
                <w:szCs w:val="24"/>
              </w:rPr>
              <w:t>4</w:t>
            </w:r>
            <w:r>
              <w:rPr>
                <w:rFonts w:hint="default" w:ascii="Times New Roman" w:hAnsi="Times New Roman" w:eastAsia="宋体" w:cs="Times New Roman"/>
                <w:spacing w:val="9"/>
                <w:sz w:val="24"/>
                <w:szCs w:val="24"/>
              </w:rPr>
              <w:t>0m，堰顶高程37</w:t>
            </w:r>
            <w:r>
              <w:rPr>
                <w:rFonts w:hint="eastAsia" w:ascii="Times New Roman" w:hAnsi="Times New Roman" w:eastAsia="宋体" w:cs="Times New Roman"/>
                <w:spacing w:val="9"/>
                <w:sz w:val="24"/>
                <w:szCs w:val="24"/>
              </w:rPr>
              <w:t>1</w:t>
            </w:r>
            <w:r>
              <w:rPr>
                <w:rFonts w:hint="default" w:ascii="Times New Roman" w:hAnsi="Times New Roman" w:eastAsia="宋体" w:cs="Times New Roman"/>
                <w:spacing w:val="9"/>
                <w:sz w:val="24"/>
                <w:szCs w:val="24"/>
              </w:rPr>
              <w:t>.</w:t>
            </w:r>
            <w:r>
              <w:rPr>
                <w:rFonts w:hint="eastAsia" w:ascii="Times New Roman" w:hAnsi="Times New Roman" w:eastAsia="宋体" w:cs="Times New Roman"/>
                <w:spacing w:val="9"/>
                <w:sz w:val="24"/>
                <w:szCs w:val="24"/>
              </w:rPr>
              <w:t>90</w:t>
            </w:r>
            <w:r>
              <w:rPr>
                <w:rFonts w:hint="default" w:ascii="Times New Roman" w:hAnsi="Times New Roman" w:eastAsia="宋体" w:cs="Times New Roman"/>
                <w:spacing w:val="9"/>
                <w:sz w:val="24"/>
                <w:szCs w:val="24"/>
              </w:rPr>
              <w:t>m，堰体结构型式采用砂卵石填筑，迎水面采用编织袋装土方防冲，土工膜防渗。使用时段为</w:t>
            </w:r>
            <w:r>
              <w:rPr>
                <w:rFonts w:hint="eastAsia" w:ascii="Times New Roman" w:hAnsi="Times New Roman" w:eastAsia="宋体" w:cs="Times New Roman"/>
                <w:spacing w:val="9"/>
                <w:sz w:val="24"/>
                <w:szCs w:val="24"/>
                <w:lang w:val="en-US" w:eastAsia="zh-CN"/>
              </w:rPr>
              <w:t>2023</w:t>
            </w:r>
            <w:r>
              <w:rPr>
                <w:rFonts w:hint="default" w:ascii="Times New Roman" w:hAnsi="Times New Roman" w:eastAsia="宋体" w:cs="Times New Roman"/>
                <w:spacing w:val="9"/>
                <w:sz w:val="24"/>
                <w:szCs w:val="24"/>
              </w:rPr>
              <w:t>年2月至3月。</w:t>
            </w:r>
          </w:p>
          <w:p>
            <w:pPr>
              <w:keepNext w:val="0"/>
              <w:keepLines w:val="0"/>
              <w:pageBreakBefore w:val="0"/>
              <w:widowControl w:val="0"/>
              <w:kinsoku/>
              <w:wordWrap/>
              <w:overflowPunct/>
              <w:topLinePunct w:val="0"/>
              <w:bidi w:val="0"/>
              <w:spacing w:line="360" w:lineRule="auto"/>
              <w:ind w:left="0" w:right="0" w:firstLine="516" w:firstLineChars="200"/>
              <w:textAlignment w:val="auto"/>
              <w:outlineLvl w:val="2"/>
              <w:rPr>
                <w:rFonts w:hint="default" w:ascii="Times New Roman" w:hAnsi="Times New Roman" w:eastAsia="宋体" w:cs="Times New Roman"/>
                <w:spacing w:val="9"/>
                <w:sz w:val="24"/>
                <w:szCs w:val="24"/>
              </w:rPr>
            </w:pPr>
            <w:r>
              <w:rPr>
                <w:rFonts w:hint="default" w:ascii="Times New Roman" w:hAnsi="Times New Roman" w:eastAsia="宋体" w:cs="Times New Roman"/>
                <w:spacing w:val="9"/>
                <w:sz w:val="24"/>
                <w:szCs w:val="24"/>
              </w:rPr>
              <w:t>二期下游围堰长约</w:t>
            </w:r>
            <w:r>
              <w:rPr>
                <w:rFonts w:hint="eastAsia" w:ascii="Times New Roman" w:hAnsi="Times New Roman" w:eastAsia="宋体" w:cs="Times New Roman"/>
                <w:spacing w:val="9"/>
                <w:sz w:val="24"/>
                <w:szCs w:val="24"/>
              </w:rPr>
              <w:t>75.62</w:t>
            </w:r>
            <w:r>
              <w:rPr>
                <w:rFonts w:hint="default" w:ascii="Times New Roman" w:hAnsi="Times New Roman" w:eastAsia="宋体" w:cs="Times New Roman"/>
                <w:spacing w:val="9"/>
                <w:sz w:val="24"/>
                <w:szCs w:val="24"/>
              </w:rPr>
              <w:t>m，堰顶宽</w:t>
            </w:r>
            <w:r>
              <w:rPr>
                <w:rFonts w:hint="eastAsia" w:ascii="Times New Roman" w:hAnsi="Times New Roman" w:eastAsia="宋体" w:cs="Times New Roman"/>
                <w:spacing w:val="9"/>
                <w:sz w:val="24"/>
                <w:szCs w:val="24"/>
              </w:rPr>
              <w:t>3</w:t>
            </w:r>
            <w:r>
              <w:rPr>
                <w:rFonts w:hint="default" w:ascii="Times New Roman" w:hAnsi="Times New Roman" w:eastAsia="宋体" w:cs="Times New Roman"/>
                <w:spacing w:val="9"/>
                <w:sz w:val="24"/>
                <w:szCs w:val="24"/>
              </w:rPr>
              <w:t>m，迎水坡1：2，内边坡1：1.5，最大堰高1.8m，导流设计水位3</w:t>
            </w:r>
            <w:r>
              <w:rPr>
                <w:rFonts w:hint="eastAsia" w:ascii="Times New Roman" w:hAnsi="Times New Roman" w:eastAsia="宋体" w:cs="Times New Roman"/>
                <w:spacing w:val="9"/>
                <w:sz w:val="24"/>
                <w:szCs w:val="24"/>
              </w:rPr>
              <w:t>68.3</w:t>
            </w:r>
            <w:r>
              <w:rPr>
                <w:rFonts w:hint="default" w:ascii="Times New Roman" w:hAnsi="Times New Roman" w:eastAsia="宋体" w:cs="Times New Roman"/>
                <w:spacing w:val="9"/>
                <w:sz w:val="24"/>
                <w:szCs w:val="24"/>
              </w:rPr>
              <w:t>0m，堰顶高程</w:t>
            </w:r>
            <w:r>
              <w:rPr>
                <w:rFonts w:hint="eastAsia" w:ascii="Times New Roman" w:hAnsi="Times New Roman" w:eastAsia="宋体" w:cs="Times New Roman"/>
                <w:spacing w:val="9"/>
                <w:sz w:val="24"/>
                <w:szCs w:val="24"/>
              </w:rPr>
              <w:t>368.80</w:t>
            </w:r>
            <w:r>
              <w:rPr>
                <w:rFonts w:hint="default" w:ascii="Times New Roman" w:hAnsi="Times New Roman" w:eastAsia="宋体" w:cs="Times New Roman"/>
                <w:spacing w:val="9"/>
                <w:sz w:val="24"/>
                <w:szCs w:val="24"/>
              </w:rPr>
              <w:t>m，堰体结构型式采用砂卵石填筑，迎水面采用编织袋装土方防冲，土工膜防渗。使用时段为</w:t>
            </w:r>
            <w:r>
              <w:rPr>
                <w:rFonts w:hint="eastAsia" w:ascii="Times New Roman" w:hAnsi="Times New Roman" w:eastAsia="宋体" w:cs="Times New Roman"/>
                <w:spacing w:val="9"/>
                <w:sz w:val="24"/>
                <w:szCs w:val="24"/>
                <w:lang w:val="en-US" w:eastAsia="zh-CN"/>
              </w:rPr>
              <w:t>2023</w:t>
            </w:r>
            <w:r>
              <w:rPr>
                <w:rFonts w:hint="default" w:ascii="Times New Roman" w:hAnsi="Times New Roman" w:eastAsia="宋体" w:cs="Times New Roman"/>
                <w:spacing w:val="9"/>
                <w:sz w:val="24"/>
                <w:szCs w:val="24"/>
              </w:rPr>
              <w:t>年2月至3月。</w:t>
            </w:r>
          </w:p>
          <w:p>
            <w:pPr>
              <w:keepNext w:val="0"/>
              <w:keepLines w:val="0"/>
              <w:pageBreakBefore w:val="0"/>
              <w:widowControl w:val="0"/>
              <w:kinsoku/>
              <w:wordWrap/>
              <w:overflowPunct/>
              <w:topLinePunct w:val="0"/>
              <w:bidi w:val="0"/>
              <w:spacing w:line="360" w:lineRule="auto"/>
              <w:ind w:left="0" w:right="0" w:firstLine="516" w:firstLineChars="200"/>
              <w:textAlignment w:val="auto"/>
              <w:outlineLvl w:val="2"/>
              <w:rPr>
                <w:rFonts w:hint="default" w:ascii="Times New Roman" w:hAnsi="Times New Roman" w:eastAsia="宋体" w:cs="Times New Roman"/>
                <w:spacing w:val="9"/>
                <w:sz w:val="24"/>
                <w:szCs w:val="24"/>
              </w:rPr>
            </w:pPr>
            <w:r>
              <w:rPr>
                <w:rFonts w:hint="eastAsia" w:ascii="Times New Roman" w:hAnsi="Times New Roman" w:eastAsia="宋体" w:cs="Times New Roman"/>
                <w:spacing w:val="9"/>
                <w:sz w:val="24"/>
                <w:szCs w:val="24"/>
                <w:lang w:val="en-US" w:eastAsia="zh-CN"/>
              </w:rPr>
              <w:t>4</w:t>
            </w:r>
            <w:r>
              <w:rPr>
                <w:rFonts w:hint="eastAsia" w:ascii="Times New Roman" w:hAnsi="Times New Roman" w:eastAsia="宋体" w:cs="Times New Roman"/>
                <w:spacing w:val="9"/>
                <w:sz w:val="24"/>
                <w:szCs w:val="24"/>
              </w:rPr>
              <w:t>）</w:t>
            </w:r>
            <w:r>
              <w:rPr>
                <w:rFonts w:hint="default" w:ascii="Times New Roman" w:hAnsi="Times New Roman" w:eastAsia="宋体" w:cs="Times New Roman"/>
                <w:spacing w:val="9"/>
                <w:sz w:val="24"/>
                <w:szCs w:val="24"/>
              </w:rPr>
              <w:t>基坑排水</w:t>
            </w:r>
          </w:p>
          <w:p>
            <w:pPr>
              <w:keepNext w:val="0"/>
              <w:keepLines w:val="0"/>
              <w:pageBreakBefore w:val="0"/>
              <w:widowControl w:val="0"/>
              <w:kinsoku/>
              <w:wordWrap/>
              <w:overflowPunct/>
              <w:topLinePunct w:val="0"/>
              <w:bidi w:val="0"/>
              <w:spacing w:line="360" w:lineRule="auto"/>
              <w:ind w:left="0" w:right="0" w:firstLine="516" w:firstLineChars="200"/>
              <w:textAlignment w:val="auto"/>
              <w:outlineLvl w:val="2"/>
              <w:rPr>
                <w:rFonts w:hint="default" w:ascii="Times New Roman" w:hAnsi="Times New Roman" w:eastAsia="宋体" w:cs="Times New Roman"/>
                <w:spacing w:val="9"/>
                <w:sz w:val="24"/>
                <w:szCs w:val="24"/>
              </w:rPr>
            </w:pPr>
            <w:r>
              <w:rPr>
                <w:rFonts w:hint="default" w:ascii="Times New Roman" w:hAnsi="Times New Roman" w:eastAsia="宋体" w:cs="Times New Roman"/>
                <w:spacing w:val="9"/>
                <w:sz w:val="24"/>
                <w:szCs w:val="24"/>
              </w:rPr>
              <w:t>本工程施工排水，主要为初期排水和经常性排水。</w:t>
            </w:r>
          </w:p>
          <w:p>
            <w:pPr>
              <w:keepNext w:val="0"/>
              <w:keepLines w:val="0"/>
              <w:pageBreakBefore w:val="0"/>
              <w:widowControl w:val="0"/>
              <w:kinsoku/>
              <w:wordWrap/>
              <w:overflowPunct/>
              <w:topLinePunct w:val="0"/>
              <w:bidi w:val="0"/>
              <w:spacing w:line="360" w:lineRule="auto"/>
              <w:ind w:left="0" w:right="0" w:firstLine="516" w:firstLineChars="200"/>
              <w:textAlignment w:val="auto"/>
              <w:outlineLvl w:val="2"/>
              <w:rPr>
                <w:rFonts w:hint="default" w:ascii="Times New Roman" w:hAnsi="Times New Roman" w:eastAsia="宋体" w:cs="Times New Roman"/>
                <w:spacing w:val="9"/>
                <w:sz w:val="24"/>
                <w:szCs w:val="24"/>
              </w:rPr>
            </w:pPr>
            <w:r>
              <w:rPr>
                <w:rFonts w:hint="default" w:ascii="Times New Roman" w:hAnsi="Times New Roman" w:eastAsia="宋体" w:cs="Times New Roman"/>
                <w:spacing w:val="9"/>
                <w:sz w:val="24"/>
                <w:szCs w:val="24"/>
              </w:rPr>
              <w:t>本工程围堰采用自上而下填筑闭气的方式进行，加之河道坡降较大，因此初期排水量较小，坑内集水采用污水泵强制排除基坑。</w:t>
            </w:r>
          </w:p>
          <w:p>
            <w:pPr>
              <w:keepNext w:val="0"/>
              <w:keepLines w:val="0"/>
              <w:pageBreakBefore w:val="0"/>
              <w:widowControl w:val="0"/>
              <w:kinsoku/>
              <w:wordWrap/>
              <w:overflowPunct/>
              <w:topLinePunct w:val="0"/>
              <w:bidi w:val="0"/>
              <w:spacing w:line="360" w:lineRule="auto"/>
              <w:ind w:left="0" w:right="0" w:firstLine="516" w:firstLineChars="200"/>
              <w:textAlignment w:val="auto"/>
              <w:outlineLvl w:val="2"/>
              <w:rPr>
                <w:rFonts w:hint="default" w:ascii="Times New Roman" w:hAnsi="Times New Roman" w:eastAsia="宋体" w:cs="Times New Roman"/>
                <w:spacing w:val="9"/>
                <w:sz w:val="24"/>
                <w:szCs w:val="24"/>
              </w:rPr>
            </w:pPr>
            <w:r>
              <w:rPr>
                <w:rFonts w:hint="default" w:ascii="Times New Roman" w:hAnsi="Times New Roman" w:eastAsia="宋体" w:cs="Times New Roman"/>
                <w:spacing w:val="9"/>
                <w:sz w:val="24"/>
                <w:szCs w:val="24"/>
              </w:rPr>
              <w:t>经常性排水，根据天然地基砂卵砾石层渗透系数估算渗透量，基坑渗透量约100m</w:t>
            </w:r>
            <w:r>
              <w:rPr>
                <w:rFonts w:hint="default" w:ascii="Times New Roman" w:hAnsi="Times New Roman" w:eastAsia="宋体" w:cs="Times New Roman"/>
                <w:spacing w:val="9"/>
                <w:sz w:val="24"/>
                <w:szCs w:val="24"/>
                <w:vertAlign w:val="superscript"/>
              </w:rPr>
              <w:t>3</w:t>
            </w:r>
            <w:r>
              <w:rPr>
                <w:rFonts w:hint="default" w:ascii="Times New Roman" w:hAnsi="Times New Roman" w:eastAsia="宋体" w:cs="Times New Roman"/>
                <w:spacing w:val="9"/>
                <w:sz w:val="24"/>
                <w:szCs w:val="24"/>
              </w:rPr>
              <w:t>/h。</w:t>
            </w:r>
          </w:p>
          <w:p>
            <w:pPr>
              <w:keepNext w:val="0"/>
              <w:keepLines w:val="0"/>
              <w:pageBreakBefore w:val="0"/>
              <w:widowControl w:val="0"/>
              <w:kinsoku/>
              <w:wordWrap/>
              <w:overflowPunct/>
              <w:topLinePunct w:val="0"/>
              <w:bidi w:val="0"/>
              <w:spacing w:line="360" w:lineRule="auto"/>
              <w:ind w:left="0" w:right="0" w:firstLine="516" w:firstLineChars="200"/>
              <w:textAlignment w:val="auto"/>
              <w:outlineLvl w:val="2"/>
              <w:rPr>
                <w:rFonts w:hint="default" w:ascii="Times New Roman" w:hAnsi="Times New Roman" w:eastAsia="宋体" w:cs="Times New Roman"/>
                <w:spacing w:val="9"/>
                <w:sz w:val="24"/>
                <w:szCs w:val="24"/>
              </w:rPr>
            </w:pPr>
            <w:r>
              <w:rPr>
                <w:rFonts w:hint="default" w:ascii="Times New Roman" w:hAnsi="Times New Roman" w:eastAsia="宋体" w:cs="Times New Roman"/>
                <w:spacing w:val="9"/>
                <w:sz w:val="24"/>
                <w:szCs w:val="24"/>
              </w:rPr>
              <w:t>排水布置：排水沿基坑设截流槽和集水坑，一期基坑设</w:t>
            </w:r>
            <w:r>
              <w:rPr>
                <w:rFonts w:hint="eastAsia" w:ascii="Times New Roman" w:hAnsi="Times New Roman" w:eastAsia="宋体" w:cs="Times New Roman"/>
                <w:spacing w:val="9"/>
                <w:sz w:val="24"/>
                <w:szCs w:val="24"/>
              </w:rPr>
              <w:t>3</w:t>
            </w:r>
            <w:r>
              <w:rPr>
                <w:rFonts w:hint="default" w:ascii="Times New Roman" w:hAnsi="Times New Roman" w:eastAsia="宋体" w:cs="Times New Roman"/>
                <w:spacing w:val="9"/>
                <w:sz w:val="24"/>
                <w:szCs w:val="24"/>
              </w:rPr>
              <w:t>个集水坑，二期基坑设</w:t>
            </w:r>
            <w:r>
              <w:rPr>
                <w:rFonts w:hint="eastAsia" w:ascii="Times New Roman" w:hAnsi="Times New Roman" w:eastAsia="宋体" w:cs="Times New Roman"/>
                <w:spacing w:val="9"/>
                <w:sz w:val="24"/>
                <w:szCs w:val="24"/>
              </w:rPr>
              <w:t>5</w:t>
            </w:r>
            <w:r>
              <w:rPr>
                <w:rFonts w:hint="default" w:ascii="Times New Roman" w:hAnsi="Times New Roman" w:eastAsia="宋体" w:cs="Times New Roman"/>
                <w:spacing w:val="9"/>
                <w:sz w:val="24"/>
                <w:szCs w:val="24"/>
              </w:rPr>
              <w:t>个集水坑，每个集水坑设1台100BJ15A型水泵，拟配备</w:t>
            </w:r>
            <w:r>
              <w:rPr>
                <w:rFonts w:hint="eastAsia" w:ascii="Times New Roman" w:hAnsi="Times New Roman" w:eastAsia="宋体" w:cs="Times New Roman"/>
                <w:spacing w:val="9"/>
                <w:sz w:val="24"/>
                <w:szCs w:val="24"/>
              </w:rPr>
              <w:t>5</w:t>
            </w:r>
            <w:r>
              <w:rPr>
                <w:rFonts w:hint="default" w:ascii="Times New Roman" w:hAnsi="Times New Roman" w:eastAsia="宋体" w:cs="Times New Roman"/>
                <w:spacing w:val="9"/>
                <w:sz w:val="24"/>
                <w:szCs w:val="24"/>
              </w:rPr>
              <w:t>台100BJ13A型水泵（分段调节使用）。</w:t>
            </w:r>
            <w:r>
              <w:rPr>
                <w:rFonts w:hint="eastAsia" w:ascii="Times New Roman" w:hAnsi="Times New Roman" w:eastAsia="宋体" w:cs="Times New Roman"/>
                <w:spacing w:val="9"/>
                <w:sz w:val="24"/>
                <w:szCs w:val="24"/>
              </w:rPr>
              <w:t>其中坝体部分</w:t>
            </w:r>
            <w:r>
              <w:rPr>
                <w:rFonts w:hint="default" w:ascii="Times New Roman" w:hAnsi="Times New Roman" w:eastAsia="宋体" w:cs="Times New Roman"/>
                <w:spacing w:val="9"/>
                <w:sz w:val="24"/>
                <w:szCs w:val="24"/>
              </w:rPr>
              <w:t>排水时段按45天设置，二期上游护岸排水时段按</w:t>
            </w:r>
            <w:r>
              <w:rPr>
                <w:rFonts w:hint="eastAsia" w:ascii="Times New Roman" w:hAnsi="Times New Roman" w:eastAsia="宋体" w:cs="Times New Roman"/>
                <w:spacing w:val="9"/>
                <w:sz w:val="24"/>
                <w:szCs w:val="24"/>
              </w:rPr>
              <w:t>15天设置，</w:t>
            </w:r>
            <w:r>
              <w:rPr>
                <w:rFonts w:hint="default" w:ascii="Times New Roman" w:hAnsi="Times New Roman" w:eastAsia="宋体" w:cs="Times New Roman"/>
                <w:spacing w:val="9"/>
                <w:sz w:val="24"/>
                <w:szCs w:val="24"/>
              </w:rPr>
              <w:t>计排水台时</w:t>
            </w:r>
            <w:r>
              <w:rPr>
                <w:rFonts w:hint="eastAsia" w:ascii="Times New Roman" w:hAnsi="Times New Roman" w:eastAsia="宋体" w:cs="Times New Roman"/>
                <w:spacing w:val="9"/>
                <w:sz w:val="24"/>
                <w:szCs w:val="24"/>
              </w:rPr>
              <w:t>7200</w:t>
            </w:r>
            <w:r>
              <w:rPr>
                <w:rFonts w:hint="default" w:ascii="Times New Roman" w:hAnsi="Times New Roman" w:eastAsia="宋体" w:cs="Times New Roman"/>
                <w:spacing w:val="9"/>
                <w:sz w:val="24"/>
                <w:szCs w:val="24"/>
              </w:rPr>
              <w:t>台时。</w:t>
            </w:r>
          </w:p>
          <w:p>
            <w:pPr>
              <w:keepNext w:val="0"/>
              <w:keepLines w:val="0"/>
              <w:pageBreakBefore w:val="0"/>
              <w:widowControl w:val="0"/>
              <w:kinsoku/>
              <w:wordWrap/>
              <w:overflowPunct/>
              <w:topLinePunct w:val="0"/>
              <w:bidi w:val="0"/>
              <w:spacing w:line="360" w:lineRule="auto"/>
              <w:ind w:left="0" w:right="0" w:firstLine="516" w:firstLineChars="200"/>
              <w:textAlignment w:val="auto"/>
              <w:outlineLvl w:val="2"/>
              <w:rPr>
                <w:rFonts w:hint="default" w:ascii="Times New Roman" w:hAnsi="Times New Roman" w:eastAsia="宋体" w:cs="Times New Roman"/>
                <w:spacing w:val="9"/>
                <w:sz w:val="24"/>
                <w:szCs w:val="24"/>
              </w:rPr>
            </w:pPr>
            <w:r>
              <w:rPr>
                <w:rFonts w:hint="default" w:ascii="Times New Roman" w:hAnsi="Times New Roman" w:eastAsia="宋体" w:cs="Times New Roman"/>
                <w:spacing w:val="9"/>
                <w:sz w:val="24"/>
                <w:szCs w:val="24"/>
              </w:rPr>
              <w:t>水泵特性：100BJ15A型水泵（Q=144m3/h，N=7.5kw，H=9.5m）。</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2" w:firstLineChars="200"/>
              <w:textAlignment w:val="auto"/>
              <w:rPr>
                <w:rFonts w:hint="default" w:ascii="Times New Roman" w:hAnsi="Times New Roman" w:cs="Times New Roman"/>
                <w:b/>
                <w:bCs/>
                <w:color w:val="auto"/>
                <w:spacing w:val="0"/>
                <w:sz w:val="24"/>
                <w:szCs w:val="24"/>
                <w:lang w:val="en-US" w:eastAsia="zh-CN"/>
              </w:rPr>
            </w:pPr>
            <w:r>
              <w:rPr>
                <w:rFonts w:hint="eastAsia" w:ascii="Times New Roman" w:hAnsi="Times New Roman" w:cs="Times New Roman"/>
                <w:b/>
                <w:bCs/>
                <w:color w:val="auto"/>
                <w:spacing w:val="0"/>
                <w:sz w:val="24"/>
                <w:szCs w:val="24"/>
                <w:lang w:val="en-US" w:eastAsia="zh-CN"/>
              </w:rPr>
              <w:t>（3）主体工程施工</w:t>
            </w:r>
          </w:p>
          <w:p>
            <w:pPr>
              <w:keepNext w:val="0"/>
              <w:keepLines w:val="0"/>
              <w:pageBreakBefore w:val="0"/>
              <w:widowControl w:val="0"/>
              <w:kinsoku/>
              <w:wordWrap/>
              <w:overflowPunct/>
              <w:topLinePunct w:val="0"/>
              <w:bidi w:val="0"/>
              <w:spacing w:line="360" w:lineRule="auto"/>
              <w:ind w:left="0" w:right="0" w:firstLine="516" w:firstLineChars="200"/>
              <w:textAlignment w:val="auto"/>
              <w:outlineLvl w:val="2"/>
              <w:rPr>
                <w:rFonts w:hint="default" w:ascii="Times New Roman" w:hAnsi="Times New Roman" w:eastAsia="宋体" w:cs="Times New Roman"/>
                <w:spacing w:val="9"/>
                <w:sz w:val="24"/>
                <w:szCs w:val="24"/>
                <w:lang w:val="en-US" w:eastAsia="zh-CN"/>
              </w:rPr>
            </w:pPr>
            <w:r>
              <w:rPr>
                <w:rFonts w:hint="eastAsia" w:ascii="Times New Roman" w:hAnsi="Times New Roman" w:eastAsia="宋体" w:cs="Times New Roman"/>
                <w:spacing w:val="9"/>
                <w:sz w:val="24"/>
                <w:szCs w:val="24"/>
                <w:lang w:val="en-US" w:eastAsia="zh-CN"/>
              </w:rPr>
              <w:t>对原浆砌坝拆除，拆除的建筑垃圾及时清运；气盾坝基础工程采用砼浇筑、气盾坝安装施工顺序为：气盾坝底板清理→气盾坝气囊吊装到位→气囊与充排气管连接→挡水盾板吊装到位→安装压板固定气囊及挡水盾板→检查验收。</w:t>
            </w:r>
          </w:p>
          <w:p>
            <w:pPr>
              <w:keepNext w:val="0"/>
              <w:keepLines w:val="0"/>
              <w:pageBreakBefore w:val="0"/>
              <w:widowControl w:val="0"/>
              <w:kinsoku/>
              <w:wordWrap/>
              <w:overflowPunct/>
              <w:topLinePunct w:val="0"/>
              <w:bidi w:val="0"/>
              <w:spacing w:line="360" w:lineRule="auto"/>
              <w:ind w:left="0" w:right="0" w:firstLine="516" w:firstLineChars="200"/>
              <w:textAlignment w:val="auto"/>
              <w:outlineLvl w:val="2"/>
              <w:rPr>
                <w:rFonts w:hint="eastAsia" w:ascii="Times New Roman" w:hAnsi="Times New Roman" w:eastAsia="宋体" w:cs="Times New Roman"/>
                <w:spacing w:val="9"/>
                <w:sz w:val="24"/>
                <w:szCs w:val="24"/>
                <w:lang w:val="en-US" w:eastAsia="zh-CN"/>
              </w:rPr>
            </w:pPr>
            <w:r>
              <w:rPr>
                <w:rFonts w:hint="eastAsia" w:ascii="Times New Roman" w:hAnsi="Times New Roman" w:eastAsia="宋体" w:cs="Times New Roman"/>
                <w:spacing w:val="9"/>
                <w:sz w:val="24"/>
                <w:szCs w:val="24"/>
                <w:lang w:val="en-US" w:eastAsia="zh-CN"/>
              </w:rPr>
              <w:t>挡水建筑物：坝体采用C25砼进行浇筑</w:t>
            </w:r>
            <w:r>
              <w:rPr>
                <w:rFonts w:hint="eastAsia" w:ascii="Times New Roman" w:hAnsi="Times New Roman" w:eastAsia="宋体" w:cs="Times New Roman"/>
                <w:spacing w:val="9"/>
                <w:sz w:val="24"/>
                <w:szCs w:val="24"/>
                <w:lang w:eastAsia="zh-CN"/>
              </w:rPr>
              <w:t>，</w:t>
            </w:r>
            <w:r>
              <w:rPr>
                <w:rFonts w:hint="eastAsia" w:ascii="Times New Roman" w:hAnsi="Times New Roman" w:eastAsia="宋体" w:cs="Times New Roman"/>
                <w:spacing w:val="9"/>
                <w:sz w:val="24"/>
                <w:szCs w:val="24"/>
                <w:lang w:val="en-US" w:eastAsia="zh-CN"/>
              </w:rPr>
              <w:t>面层70cm采用</w:t>
            </w:r>
            <w:r>
              <w:rPr>
                <w:rFonts w:hint="eastAsia" w:ascii="Times New Roman" w:hAnsi="Times New Roman" w:eastAsia="宋体" w:cs="Times New Roman"/>
                <w:spacing w:val="9"/>
                <w:sz w:val="24"/>
                <w:szCs w:val="24"/>
              </w:rPr>
              <w:t>C40钢筋HF砼浇筑</w:t>
            </w:r>
            <w:r>
              <w:rPr>
                <w:rFonts w:hint="eastAsia" w:ascii="Times New Roman" w:hAnsi="Times New Roman" w:eastAsia="宋体" w:cs="Times New Roman"/>
                <w:spacing w:val="9"/>
                <w:sz w:val="24"/>
                <w:szCs w:val="24"/>
                <w:lang w:eastAsia="zh-CN"/>
              </w:rPr>
              <w:t>，</w:t>
            </w:r>
            <w:r>
              <w:rPr>
                <w:rFonts w:hint="eastAsia" w:ascii="Times New Roman" w:hAnsi="Times New Roman" w:eastAsia="宋体" w:cs="Times New Roman"/>
                <w:spacing w:val="9"/>
                <w:sz w:val="24"/>
                <w:szCs w:val="24"/>
                <w:lang w:val="en-US" w:eastAsia="zh-CN"/>
              </w:rPr>
              <w:t>大坝宽度9.5m，泄洪坝段长105m，溢流面顶高程（闸坝完全倒伏高程）为370.70m，坝基高程为367.70m，上下游均为直立墙面</w:t>
            </w:r>
            <w:r>
              <w:rPr>
                <w:rFonts w:hint="eastAsia" w:ascii="Times New Roman" w:hAnsi="Times New Roman" w:eastAsia="宋体" w:cs="Times New Roman"/>
                <w:spacing w:val="9"/>
                <w:sz w:val="24"/>
                <w:szCs w:val="24"/>
              </w:rPr>
              <w:t>。坝体建基面置于</w:t>
            </w:r>
            <w:r>
              <w:rPr>
                <w:rFonts w:hint="eastAsia" w:ascii="Times New Roman" w:hAnsi="Times New Roman" w:eastAsia="宋体" w:cs="Times New Roman"/>
                <w:spacing w:val="9"/>
                <w:sz w:val="24"/>
                <w:szCs w:val="24"/>
                <w:lang w:val="en-US" w:eastAsia="zh-CN"/>
              </w:rPr>
              <w:t>中密砂卵石层</w:t>
            </w:r>
            <w:r>
              <w:rPr>
                <w:rFonts w:hint="eastAsia" w:ascii="Times New Roman" w:hAnsi="Times New Roman" w:eastAsia="宋体" w:cs="Times New Roman"/>
                <w:spacing w:val="9"/>
                <w:sz w:val="24"/>
                <w:szCs w:val="24"/>
              </w:rPr>
              <w:t>上，左岸坝</w:t>
            </w:r>
            <w:r>
              <w:rPr>
                <w:rFonts w:hint="eastAsia" w:ascii="Times New Roman" w:hAnsi="Times New Roman" w:eastAsia="宋体" w:cs="Times New Roman"/>
                <w:spacing w:val="9"/>
                <w:sz w:val="24"/>
                <w:szCs w:val="24"/>
                <w:lang w:val="en-US" w:eastAsia="zh-CN"/>
              </w:rPr>
              <w:t>段</w:t>
            </w:r>
            <w:r>
              <w:rPr>
                <w:rFonts w:hint="eastAsia" w:ascii="Times New Roman" w:hAnsi="Times New Roman" w:eastAsia="宋体" w:cs="Times New Roman"/>
                <w:spacing w:val="9"/>
                <w:sz w:val="24"/>
                <w:szCs w:val="24"/>
              </w:rPr>
              <w:t>建基面高程36</w:t>
            </w:r>
            <w:r>
              <w:rPr>
                <w:rFonts w:hint="eastAsia" w:ascii="Times New Roman" w:hAnsi="Times New Roman" w:eastAsia="宋体" w:cs="Times New Roman"/>
                <w:spacing w:val="9"/>
                <w:sz w:val="24"/>
                <w:szCs w:val="24"/>
                <w:lang w:val="en-US" w:eastAsia="zh-CN"/>
              </w:rPr>
              <w:t>6.4m</w:t>
            </w:r>
            <w:r>
              <w:rPr>
                <w:rFonts w:hint="eastAsia" w:ascii="Times New Roman" w:hAnsi="Times New Roman" w:eastAsia="宋体" w:cs="Times New Roman"/>
                <w:spacing w:val="9"/>
                <w:sz w:val="24"/>
                <w:szCs w:val="24"/>
              </w:rPr>
              <w:t>～37</w:t>
            </w:r>
            <w:r>
              <w:rPr>
                <w:rFonts w:hint="eastAsia" w:ascii="Times New Roman" w:hAnsi="Times New Roman" w:eastAsia="宋体" w:cs="Times New Roman"/>
                <w:spacing w:val="9"/>
                <w:sz w:val="24"/>
                <w:szCs w:val="24"/>
                <w:lang w:val="en-US" w:eastAsia="zh-CN"/>
              </w:rPr>
              <w:t>2.15m</w:t>
            </w:r>
            <w:r>
              <w:rPr>
                <w:rFonts w:hint="eastAsia" w:ascii="Times New Roman" w:hAnsi="Times New Roman" w:eastAsia="宋体" w:cs="Times New Roman"/>
                <w:spacing w:val="9"/>
                <w:sz w:val="24"/>
                <w:szCs w:val="24"/>
                <w:lang w:eastAsia="zh-CN"/>
              </w:rPr>
              <w:t>，</w:t>
            </w:r>
            <w:r>
              <w:rPr>
                <w:rFonts w:hint="eastAsia" w:ascii="Times New Roman" w:hAnsi="Times New Roman" w:eastAsia="宋体" w:cs="Times New Roman"/>
                <w:spacing w:val="9"/>
                <w:sz w:val="24"/>
                <w:szCs w:val="24"/>
              </w:rPr>
              <w:t>右岸</w:t>
            </w:r>
            <w:r>
              <w:rPr>
                <w:rFonts w:hint="eastAsia" w:ascii="Times New Roman" w:hAnsi="Times New Roman" w:eastAsia="宋体" w:cs="Times New Roman"/>
                <w:spacing w:val="9"/>
                <w:sz w:val="24"/>
                <w:szCs w:val="24"/>
                <w:lang w:val="en-US" w:eastAsia="zh-CN"/>
              </w:rPr>
              <w:t>坝段建基面高程366.4m～372.15m。</w:t>
            </w:r>
          </w:p>
          <w:p>
            <w:pPr>
              <w:keepNext w:val="0"/>
              <w:keepLines w:val="0"/>
              <w:pageBreakBefore w:val="0"/>
              <w:widowControl w:val="0"/>
              <w:kinsoku/>
              <w:wordWrap/>
              <w:overflowPunct/>
              <w:topLinePunct w:val="0"/>
              <w:bidi w:val="0"/>
              <w:spacing w:line="360" w:lineRule="auto"/>
              <w:ind w:left="0" w:right="0" w:firstLine="516" w:firstLineChars="200"/>
              <w:textAlignment w:val="auto"/>
              <w:outlineLvl w:val="2"/>
              <w:rPr>
                <w:rFonts w:hint="default" w:ascii="Times New Roman" w:hAnsi="Times New Roman" w:eastAsia="宋体" w:cs="Times New Roman"/>
                <w:spacing w:val="9"/>
                <w:sz w:val="24"/>
                <w:szCs w:val="24"/>
                <w:lang w:val="en-US" w:eastAsia="zh-CN"/>
              </w:rPr>
            </w:pPr>
            <w:r>
              <w:rPr>
                <w:rFonts w:hint="eastAsia" w:ascii="Times New Roman" w:hAnsi="Times New Roman" w:eastAsia="宋体" w:cs="Times New Roman"/>
                <w:spacing w:val="9"/>
                <w:sz w:val="24"/>
                <w:szCs w:val="24"/>
                <w:lang w:val="en-US" w:eastAsia="zh-CN"/>
              </w:rPr>
              <w:t>泄洪建筑物：溢流坝段位于河槽中心位置，本工程大坝为气盾坝，大坝即为泄洪建筑。</w:t>
            </w:r>
            <w:r>
              <w:rPr>
                <w:rFonts w:hint="eastAsia" w:ascii="宋体" w:hAnsi="宋体" w:cs="宋体"/>
                <w:color w:val="auto"/>
                <w:sz w:val="24"/>
                <w:highlight w:val="none"/>
              </w:rPr>
              <w:t>溢流堰表面</w:t>
            </w:r>
            <w:r>
              <w:rPr>
                <w:rFonts w:hint="eastAsia" w:ascii="宋体" w:hAnsi="宋体" w:cs="宋体"/>
                <w:color w:val="auto"/>
                <w:sz w:val="24"/>
                <w:highlight w:val="none"/>
                <w:lang w:val="en-US" w:eastAsia="zh-CN"/>
              </w:rPr>
              <w:t>0.7</w:t>
            </w:r>
            <w:r>
              <w:rPr>
                <w:rFonts w:hint="eastAsia" w:ascii="宋体" w:hAnsi="宋体" w:cs="宋体"/>
                <w:color w:val="auto"/>
                <w:sz w:val="24"/>
                <w:highlight w:val="none"/>
              </w:rPr>
              <w:t>m厚采用C</w:t>
            </w:r>
            <w:r>
              <w:rPr>
                <w:rFonts w:hint="eastAsia" w:ascii="宋体" w:hAnsi="宋体" w:cs="宋体"/>
                <w:color w:val="auto"/>
                <w:sz w:val="24"/>
                <w:highlight w:val="none"/>
                <w:vertAlign w:val="subscript"/>
              </w:rPr>
              <w:t>40</w:t>
            </w:r>
            <w:r>
              <w:rPr>
                <w:rFonts w:hint="eastAsia" w:ascii="宋体" w:hAnsi="宋体" w:cs="宋体"/>
                <w:color w:val="auto"/>
                <w:sz w:val="24"/>
                <w:highlight w:val="none"/>
              </w:rPr>
              <w:t>HF钢筋砼。</w:t>
            </w:r>
          </w:p>
          <w:p>
            <w:pPr>
              <w:keepNext w:val="0"/>
              <w:keepLines w:val="0"/>
              <w:pageBreakBefore w:val="0"/>
              <w:widowControl w:val="0"/>
              <w:kinsoku/>
              <w:wordWrap/>
              <w:overflowPunct/>
              <w:topLinePunct w:val="0"/>
              <w:bidi w:val="0"/>
              <w:spacing w:line="360" w:lineRule="auto"/>
              <w:ind w:left="0" w:right="0" w:firstLine="516" w:firstLineChars="200"/>
              <w:textAlignment w:val="auto"/>
              <w:outlineLvl w:val="2"/>
              <w:rPr>
                <w:rFonts w:hint="default" w:ascii="Times New Roman" w:hAnsi="Times New Roman" w:eastAsia="宋体" w:cs="Times New Roman"/>
                <w:spacing w:val="9"/>
                <w:sz w:val="24"/>
                <w:szCs w:val="24"/>
                <w:lang w:val="en-US" w:eastAsia="zh-CN"/>
              </w:rPr>
            </w:pPr>
            <w:r>
              <w:rPr>
                <w:rFonts w:hint="eastAsia" w:ascii="Times New Roman" w:hAnsi="Times New Roman" w:eastAsia="宋体" w:cs="Times New Roman"/>
                <w:spacing w:val="9"/>
                <w:sz w:val="24"/>
                <w:szCs w:val="24"/>
                <w:lang w:val="en-US" w:eastAsia="zh-CN"/>
              </w:rPr>
              <w:t>消能建筑物：</w:t>
            </w:r>
            <w:r>
              <w:rPr>
                <w:rFonts w:hint="eastAsia" w:cs="宋体"/>
                <w:color w:val="auto"/>
                <w:sz w:val="24"/>
                <w:highlight w:val="none"/>
                <w:lang w:val="en-US" w:eastAsia="zh-CN"/>
              </w:rPr>
              <w:t>护坦底板面层</w:t>
            </w:r>
            <w:r>
              <w:rPr>
                <w:rFonts w:hint="eastAsia" w:ascii="宋体" w:hAnsi="宋体" w:eastAsia="宋体" w:cs="宋体"/>
                <w:color w:val="auto"/>
                <w:sz w:val="24"/>
                <w:highlight w:val="none"/>
              </w:rPr>
              <w:t>采用</w:t>
            </w:r>
            <w:r>
              <w:rPr>
                <w:rFonts w:hint="eastAsia" w:cs="宋体"/>
                <w:color w:val="auto"/>
                <w:sz w:val="24"/>
                <w:highlight w:val="none"/>
              </w:rPr>
              <w:t>C</w:t>
            </w:r>
            <w:r>
              <w:rPr>
                <w:rFonts w:hint="eastAsia" w:cs="宋体"/>
                <w:color w:val="auto"/>
                <w:sz w:val="24"/>
                <w:highlight w:val="none"/>
                <w:vertAlign w:val="subscript"/>
              </w:rPr>
              <w:t>40</w:t>
            </w:r>
            <w:r>
              <w:rPr>
                <w:rFonts w:hint="eastAsia" w:cs="宋体"/>
                <w:color w:val="auto"/>
                <w:sz w:val="24"/>
                <w:highlight w:val="none"/>
              </w:rPr>
              <w:t>钢筋HF砼浇筑</w:t>
            </w:r>
            <w:r>
              <w:rPr>
                <w:rFonts w:hint="eastAsia" w:cs="宋体"/>
                <w:color w:val="auto"/>
                <w:sz w:val="24"/>
                <w:highlight w:val="none"/>
                <w:lang w:eastAsia="zh-CN"/>
              </w:rPr>
              <w:t>，</w:t>
            </w:r>
            <w:r>
              <w:rPr>
                <w:rFonts w:hint="eastAsia" w:cs="宋体"/>
                <w:color w:val="auto"/>
                <w:sz w:val="24"/>
                <w:highlight w:val="none"/>
                <w:lang w:val="en-US" w:eastAsia="zh-CN"/>
              </w:rPr>
              <w:t>底板下层采用C25钢筋砼浇筑，鱼鳞跌水底板基础平均厚度0.78m，底板</w:t>
            </w:r>
            <w:r>
              <w:rPr>
                <w:rFonts w:hint="eastAsia" w:cs="宋体"/>
                <w:color w:val="auto"/>
                <w:sz w:val="24"/>
                <w:highlight w:val="none"/>
              </w:rPr>
              <w:t>采用C</w:t>
            </w:r>
            <w:r>
              <w:rPr>
                <w:rFonts w:hint="eastAsia" w:cs="宋体"/>
                <w:color w:val="auto"/>
                <w:sz w:val="24"/>
                <w:highlight w:val="none"/>
                <w:vertAlign w:val="subscript"/>
              </w:rPr>
              <w:t>40</w:t>
            </w:r>
            <w:r>
              <w:rPr>
                <w:rFonts w:hint="eastAsia" w:cs="宋体"/>
                <w:color w:val="auto"/>
                <w:sz w:val="24"/>
                <w:highlight w:val="none"/>
              </w:rPr>
              <w:t>钢筋HF砼浇筑</w:t>
            </w:r>
            <w:r>
              <w:rPr>
                <w:rFonts w:hint="eastAsia" w:cs="宋体"/>
                <w:color w:val="auto"/>
                <w:sz w:val="24"/>
                <w:highlight w:val="none"/>
                <w:lang w:eastAsia="zh-CN"/>
              </w:rPr>
              <w:t>，</w:t>
            </w:r>
            <w:r>
              <w:rPr>
                <w:rFonts w:hint="eastAsia" w:cs="宋体"/>
                <w:color w:val="auto"/>
                <w:sz w:val="24"/>
                <w:highlight w:val="none"/>
              </w:rPr>
              <w:t>基础置于</w:t>
            </w:r>
            <w:r>
              <w:rPr>
                <w:rFonts w:hint="eastAsia" w:cs="宋体"/>
                <w:color w:val="auto"/>
                <w:sz w:val="24"/>
                <w:highlight w:val="none"/>
                <w:lang w:val="en-US" w:eastAsia="zh-CN"/>
              </w:rPr>
              <w:t>稍密砂卵石</w:t>
            </w:r>
            <w:r>
              <w:rPr>
                <w:rFonts w:hint="eastAsia" w:cs="宋体"/>
                <w:color w:val="auto"/>
                <w:sz w:val="24"/>
                <w:highlight w:val="none"/>
              </w:rPr>
              <w:t>上。消力池基础置于</w:t>
            </w:r>
            <w:r>
              <w:rPr>
                <w:rFonts w:hint="eastAsia" w:cs="宋体"/>
                <w:color w:val="auto"/>
                <w:sz w:val="24"/>
                <w:highlight w:val="none"/>
                <w:lang w:val="en-US" w:eastAsia="zh-CN"/>
              </w:rPr>
              <w:t>稍密砂卵石</w:t>
            </w:r>
            <w:r>
              <w:rPr>
                <w:rFonts w:hint="eastAsia" w:cs="宋体"/>
                <w:color w:val="auto"/>
                <w:sz w:val="24"/>
                <w:highlight w:val="none"/>
              </w:rPr>
              <w:t>上</w:t>
            </w:r>
            <w:r>
              <w:rPr>
                <w:rFonts w:hint="eastAsia" w:ascii="Times New Roman" w:hAnsi="Times New Roman" w:eastAsia="宋体" w:cs="Times New Roman"/>
                <w:spacing w:val="9"/>
                <w:sz w:val="24"/>
                <w:szCs w:val="24"/>
                <w:lang w:val="en-US" w:eastAsia="zh-CN"/>
              </w:rPr>
              <w:t>，采用C40钢筋HF砼浇筑。海漫采用大块卵石砌筑。</w:t>
            </w:r>
          </w:p>
          <w:p>
            <w:pPr>
              <w:keepNext w:val="0"/>
              <w:keepLines w:val="0"/>
              <w:pageBreakBefore w:val="0"/>
              <w:widowControl w:val="0"/>
              <w:kinsoku/>
              <w:wordWrap/>
              <w:overflowPunct/>
              <w:topLinePunct w:val="0"/>
              <w:bidi w:val="0"/>
              <w:spacing w:line="360" w:lineRule="auto"/>
              <w:ind w:left="0" w:right="0" w:firstLine="516" w:firstLineChars="200"/>
              <w:textAlignment w:val="auto"/>
              <w:outlineLvl w:val="2"/>
              <w:rPr>
                <w:rFonts w:hint="eastAsia" w:ascii="Times New Roman" w:hAnsi="Times New Roman" w:eastAsia="宋体" w:cs="Times New Roman"/>
                <w:spacing w:val="9"/>
                <w:sz w:val="24"/>
                <w:szCs w:val="24"/>
                <w:lang w:val="en-US" w:eastAsia="zh-CN"/>
              </w:rPr>
            </w:pPr>
            <w:r>
              <w:rPr>
                <w:rFonts w:hint="eastAsia" w:ascii="Times New Roman" w:hAnsi="Times New Roman" w:eastAsia="宋体" w:cs="Times New Roman"/>
                <w:spacing w:val="9"/>
                <w:sz w:val="24"/>
                <w:szCs w:val="24"/>
                <w:lang w:val="en-US" w:eastAsia="zh-CN"/>
              </w:rPr>
              <w:t>河岸防护：铺盖及护坦两侧设护岸，护岸岸脚为衡重式挡墙护脚，挡墙建于基岩或中密砂卵石层上。挡墙墙脚防冲齿墙深度1.4m，采用C25砼浇筑。</w:t>
            </w:r>
          </w:p>
          <w:p>
            <w:pPr>
              <w:keepNext w:val="0"/>
              <w:keepLines w:val="0"/>
              <w:pageBreakBefore w:val="0"/>
              <w:widowControl w:val="0"/>
              <w:kinsoku/>
              <w:wordWrap/>
              <w:overflowPunct/>
              <w:topLinePunct w:val="0"/>
              <w:bidi w:val="0"/>
              <w:spacing w:line="360" w:lineRule="auto"/>
              <w:ind w:left="0" w:right="0" w:firstLine="516" w:firstLineChars="200"/>
              <w:textAlignment w:val="auto"/>
              <w:outlineLvl w:val="2"/>
              <w:rPr>
                <w:rFonts w:hint="default" w:ascii="Times New Roman" w:hAnsi="Times New Roman" w:eastAsia="宋体" w:cs="Times New Roman"/>
                <w:spacing w:val="9"/>
                <w:sz w:val="24"/>
                <w:szCs w:val="24"/>
                <w:lang w:val="en-US" w:eastAsia="zh-CN"/>
              </w:rPr>
            </w:pPr>
            <w:r>
              <w:rPr>
                <w:rFonts w:hint="eastAsia" w:ascii="Times New Roman" w:hAnsi="Times New Roman" w:eastAsia="宋体" w:cs="Times New Roman"/>
                <w:spacing w:val="9"/>
                <w:sz w:val="24"/>
                <w:szCs w:val="24"/>
                <w:lang w:val="en-US" w:eastAsia="zh-CN"/>
              </w:rPr>
              <w:t>取水工程：取水口采用开敞式实用堰溢流，设计开口宽度8.75m。</w:t>
            </w:r>
          </w:p>
          <w:p>
            <w:pPr>
              <w:keepNext w:val="0"/>
              <w:keepLines w:val="0"/>
              <w:pageBreakBefore w:val="0"/>
              <w:widowControl w:val="0"/>
              <w:kinsoku/>
              <w:wordWrap/>
              <w:overflowPunct/>
              <w:topLinePunct w:val="0"/>
              <w:bidi w:val="0"/>
              <w:spacing w:line="360" w:lineRule="auto"/>
              <w:ind w:left="0" w:right="0" w:firstLine="516" w:firstLineChars="200"/>
              <w:textAlignment w:val="auto"/>
              <w:outlineLvl w:val="2"/>
              <w:rPr>
                <w:rFonts w:hint="eastAsia" w:ascii="Times New Roman" w:hAnsi="Times New Roman" w:eastAsia="宋体" w:cs="Times New Roman"/>
                <w:spacing w:val="9"/>
                <w:sz w:val="24"/>
                <w:szCs w:val="24"/>
                <w:lang w:val="en-US" w:eastAsia="zh-CN"/>
              </w:rPr>
            </w:pPr>
            <w:r>
              <w:rPr>
                <w:rFonts w:hint="eastAsia" w:ascii="Times New Roman" w:hAnsi="Times New Roman" w:eastAsia="宋体" w:cs="Times New Roman"/>
                <w:spacing w:val="9"/>
                <w:sz w:val="24"/>
                <w:szCs w:val="24"/>
                <w:lang w:val="en-US" w:eastAsia="zh-CN"/>
              </w:rPr>
              <w:t>引水渠道：本次对冲毁渠道进行拆除重建，拆建的渠道采用C25砼进行衬砌，渠道采用梯形渠道。</w:t>
            </w:r>
          </w:p>
          <w:p>
            <w:pPr>
              <w:keepNext w:val="0"/>
              <w:keepLines w:val="0"/>
              <w:pageBreakBefore w:val="0"/>
              <w:widowControl w:val="0"/>
              <w:numPr>
                <w:ilvl w:val="0"/>
                <w:numId w:val="9"/>
              </w:numPr>
              <w:kinsoku/>
              <w:wordWrap/>
              <w:overflowPunct/>
              <w:topLinePunct w:val="0"/>
              <w:bidi w:val="0"/>
              <w:spacing w:line="360" w:lineRule="auto"/>
              <w:ind w:left="0" w:right="0" w:firstLine="516" w:firstLineChars="200"/>
              <w:textAlignment w:val="auto"/>
              <w:outlineLvl w:val="2"/>
              <w:rPr>
                <w:rFonts w:hint="eastAsia" w:ascii="Times New Roman" w:hAnsi="Times New Roman" w:eastAsia="宋体" w:cs="Times New Roman"/>
                <w:spacing w:val="9"/>
                <w:sz w:val="24"/>
                <w:szCs w:val="24"/>
                <w:lang w:val="en-US" w:eastAsia="zh-CN"/>
              </w:rPr>
            </w:pPr>
            <w:r>
              <w:rPr>
                <w:rFonts w:hint="eastAsia" w:ascii="Times New Roman" w:hAnsi="Times New Roman" w:eastAsia="宋体" w:cs="Times New Roman"/>
                <w:spacing w:val="9"/>
                <w:sz w:val="24"/>
                <w:szCs w:val="24"/>
                <w:lang w:val="en-US" w:eastAsia="zh-CN"/>
              </w:rPr>
              <w:t>围堰拆除</w:t>
            </w:r>
          </w:p>
          <w:p>
            <w:pPr>
              <w:keepNext w:val="0"/>
              <w:keepLines w:val="0"/>
              <w:pageBreakBefore w:val="0"/>
              <w:widowControl w:val="0"/>
              <w:numPr>
                <w:ilvl w:val="0"/>
                <w:numId w:val="0"/>
              </w:numPr>
              <w:kinsoku/>
              <w:wordWrap/>
              <w:overflowPunct/>
              <w:topLinePunct w:val="0"/>
              <w:bidi w:val="0"/>
              <w:spacing w:line="360" w:lineRule="auto"/>
              <w:ind w:leftChars="200" w:right="0" w:rightChars="0"/>
              <w:textAlignment w:val="auto"/>
              <w:outlineLvl w:val="2"/>
              <w:rPr>
                <w:rFonts w:hint="default" w:ascii="Times New Roman" w:hAnsi="Times New Roman" w:eastAsia="宋体" w:cs="Times New Roman"/>
                <w:spacing w:val="9"/>
                <w:sz w:val="24"/>
                <w:szCs w:val="24"/>
                <w:lang w:val="en-US" w:eastAsia="zh-CN"/>
              </w:rPr>
            </w:pPr>
            <w:r>
              <w:rPr>
                <w:rFonts w:hint="eastAsia" w:ascii="Times New Roman" w:hAnsi="Times New Roman" w:eastAsia="宋体" w:cs="Times New Roman"/>
                <w:spacing w:val="9"/>
                <w:sz w:val="24"/>
                <w:szCs w:val="24"/>
                <w:lang w:val="en-US" w:eastAsia="zh-CN"/>
              </w:rPr>
              <w:t xml:space="preserve"> 主体工程完工后，对围堰进行拆除。</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color w:val="0000FF"/>
                <w:kern w:val="0"/>
                <w:szCs w:val="21"/>
              </w:rPr>
            </w:pPr>
            <w:r>
              <w:rPr>
                <w:rFonts w:hint="default" w:ascii="Times New Roman" w:hAnsi="Times New Roman" w:eastAsia="宋体" w:cs="Times New Roman"/>
                <w:b/>
                <w:bCs/>
                <w:color w:val="auto"/>
                <w:spacing w:val="0"/>
                <w:sz w:val="24"/>
                <w:lang w:val="en-US" w:eastAsia="zh-CN" w:bidi="ar-SA"/>
              </w:rPr>
              <w:t>3、施工条件</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right="0" w:rightChars="0"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cs="Times New Roman"/>
                <w:b/>
                <w:bCs/>
                <w:color w:val="auto"/>
                <w:sz w:val="24"/>
              </w:rPr>
              <w:t>（</w:t>
            </w:r>
            <w:r>
              <w:rPr>
                <w:rFonts w:hint="default" w:ascii="Times New Roman" w:hAnsi="Times New Roman" w:cs="Times New Roman"/>
                <w:b/>
                <w:bCs/>
                <w:color w:val="auto"/>
                <w:sz w:val="24"/>
                <w:lang w:val="en-US" w:eastAsia="zh-CN"/>
              </w:rPr>
              <w:t>1</w:t>
            </w:r>
            <w:r>
              <w:rPr>
                <w:rFonts w:hint="default" w:ascii="Times New Roman" w:hAnsi="Times New Roman" w:cs="Times New Roman"/>
                <w:b/>
                <w:bCs/>
                <w:color w:val="auto"/>
                <w:sz w:val="24"/>
              </w:rPr>
              <w:t>）施工供水</w:t>
            </w:r>
          </w:p>
          <w:p>
            <w:pPr>
              <w:pStyle w:val="2"/>
              <w:keepNext w:val="0"/>
              <w:keepLines w:val="0"/>
              <w:pageBreakBefore w:val="0"/>
              <w:kinsoku/>
              <w:wordWrap/>
              <w:overflowPunct/>
              <w:topLinePunct w:val="0"/>
              <w:autoSpaceDE/>
              <w:autoSpaceDN/>
              <w:bidi w:val="0"/>
              <w:adjustRightInd w:val="0"/>
              <w:snapToGrid w:val="0"/>
              <w:spacing w:before="0" w:after="0" w:line="360" w:lineRule="auto"/>
              <w:ind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rPr>
              <w:t>本工程施工期的生产用水在工区附近设提水泵到施工</w:t>
            </w:r>
            <w:r>
              <w:rPr>
                <w:rFonts w:hint="default" w:ascii="Times New Roman" w:hAnsi="Times New Roman" w:cs="Times New Roman"/>
                <w:color w:val="auto"/>
                <w:sz w:val="24"/>
                <w:lang w:eastAsia="zh-CN"/>
              </w:rPr>
              <w:t>场地</w:t>
            </w:r>
            <w:r>
              <w:rPr>
                <w:rFonts w:hint="default" w:ascii="Times New Roman" w:hAnsi="Times New Roman" w:cs="Times New Roman"/>
                <w:color w:val="auto"/>
                <w:sz w:val="24"/>
              </w:rPr>
              <w:t>。施工生活用水</w:t>
            </w:r>
            <w:r>
              <w:rPr>
                <w:rFonts w:hint="default" w:ascii="Times New Roman" w:hAnsi="Times New Roman" w:cs="Times New Roman"/>
                <w:color w:val="auto"/>
                <w:sz w:val="24"/>
                <w:lang w:eastAsia="zh-CN"/>
              </w:rPr>
              <w:t>依托附近租用民房解决。</w:t>
            </w:r>
          </w:p>
          <w:p>
            <w:pPr>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w:t>
            </w:r>
            <w:r>
              <w:rPr>
                <w:rFonts w:hint="default" w:ascii="Times New Roman" w:hAnsi="Times New Roman" w:cs="Times New Roman"/>
                <w:b/>
                <w:bCs/>
                <w:color w:val="auto"/>
                <w:sz w:val="24"/>
                <w:lang w:val="en-US" w:eastAsia="zh-CN"/>
              </w:rPr>
              <w:t>2</w:t>
            </w:r>
            <w:r>
              <w:rPr>
                <w:rFonts w:hint="default" w:ascii="Times New Roman" w:hAnsi="Times New Roman" w:cs="Times New Roman"/>
                <w:b/>
                <w:bCs/>
                <w:color w:val="auto"/>
                <w:sz w:val="24"/>
              </w:rPr>
              <w:t>）施工供</w:t>
            </w:r>
            <w:r>
              <w:rPr>
                <w:rFonts w:hint="default" w:ascii="Times New Roman" w:hAnsi="Times New Roman" w:eastAsia="宋体" w:cs="Times New Roman"/>
                <w:b/>
                <w:bCs/>
                <w:color w:val="auto"/>
                <w:sz w:val="24"/>
              </w:rPr>
              <w:t>电</w:t>
            </w:r>
          </w:p>
          <w:p>
            <w:pPr>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Ansi="宋体"/>
                <w:bCs/>
                <w:color w:val="auto"/>
                <w:sz w:val="24"/>
                <w:highlight w:val="none"/>
              </w:rPr>
            </w:pPr>
            <w:r>
              <w:rPr>
                <w:rFonts w:hAnsi="宋体"/>
                <w:bCs/>
                <w:color w:val="auto"/>
                <w:sz w:val="24"/>
                <w:highlight w:val="none"/>
              </w:rPr>
              <w:t>工程区附近有</w:t>
            </w:r>
            <w:r>
              <w:rPr>
                <w:bCs/>
                <w:color w:val="auto"/>
                <w:sz w:val="24"/>
                <w:highlight w:val="none"/>
              </w:rPr>
              <w:t>10KV</w:t>
            </w:r>
            <w:r>
              <w:rPr>
                <w:rFonts w:hAnsi="宋体"/>
                <w:bCs/>
                <w:color w:val="auto"/>
                <w:sz w:val="24"/>
                <w:highlight w:val="none"/>
              </w:rPr>
              <w:t>线路通过，拟设下杆线</w:t>
            </w:r>
            <w:r>
              <w:rPr>
                <w:bCs/>
                <w:color w:val="auto"/>
                <w:sz w:val="24"/>
                <w:highlight w:val="none"/>
              </w:rPr>
              <w:t>0.2km</w:t>
            </w:r>
            <w:r>
              <w:rPr>
                <w:rFonts w:hAnsi="宋体"/>
                <w:bCs/>
                <w:color w:val="auto"/>
                <w:sz w:val="24"/>
                <w:highlight w:val="none"/>
              </w:rPr>
              <w:t>，设</w:t>
            </w:r>
            <w:r>
              <w:rPr>
                <w:bCs/>
                <w:color w:val="auto"/>
                <w:sz w:val="24"/>
                <w:highlight w:val="none"/>
              </w:rPr>
              <w:t>150KVA</w:t>
            </w:r>
            <w:r>
              <w:rPr>
                <w:rFonts w:hAnsi="宋体"/>
                <w:bCs/>
                <w:color w:val="auto"/>
                <w:sz w:val="24"/>
                <w:highlight w:val="none"/>
              </w:rPr>
              <w:t>降压站可满足施工需求，同时考虑电网停电因素，本工程备</w:t>
            </w:r>
            <w:r>
              <w:rPr>
                <w:bCs/>
                <w:color w:val="auto"/>
                <w:sz w:val="24"/>
                <w:highlight w:val="none"/>
              </w:rPr>
              <w:t>1</w:t>
            </w:r>
            <w:r>
              <w:rPr>
                <w:rFonts w:hAnsi="宋体"/>
                <w:bCs/>
                <w:color w:val="auto"/>
                <w:sz w:val="24"/>
                <w:highlight w:val="none"/>
              </w:rPr>
              <w:t>台</w:t>
            </w:r>
            <w:r>
              <w:rPr>
                <w:bCs/>
                <w:color w:val="auto"/>
                <w:sz w:val="24"/>
                <w:highlight w:val="none"/>
              </w:rPr>
              <w:t>50kw</w:t>
            </w:r>
            <w:r>
              <w:rPr>
                <w:rFonts w:hAnsi="宋体"/>
                <w:bCs/>
                <w:color w:val="auto"/>
                <w:sz w:val="24"/>
                <w:highlight w:val="none"/>
              </w:rPr>
              <w:t>的柴油发电机作为备用电源。</w:t>
            </w:r>
          </w:p>
          <w:p>
            <w:pPr>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w:t>
            </w:r>
            <w:r>
              <w:rPr>
                <w:rFonts w:hint="default" w:ascii="Times New Roman" w:hAnsi="Times New Roman" w:cs="Times New Roman"/>
                <w:b/>
                <w:bCs/>
                <w:color w:val="auto"/>
                <w:sz w:val="24"/>
                <w:lang w:val="en-US" w:eastAsia="zh-CN"/>
              </w:rPr>
              <w:t>3</w:t>
            </w:r>
            <w:r>
              <w:rPr>
                <w:rFonts w:hint="default" w:ascii="Times New Roman" w:hAnsi="Times New Roman" w:cs="Times New Roman"/>
                <w:b/>
                <w:bCs/>
                <w:color w:val="auto"/>
                <w:sz w:val="24"/>
              </w:rPr>
              <w:t>）施工通</w:t>
            </w:r>
            <w:r>
              <w:rPr>
                <w:rFonts w:hint="default" w:ascii="Times New Roman" w:hAnsi="Times New Roman" w:eastAsia="宋体" w:cs="Times New Roman"/>
                <w:b/>
                <w:bCs/>
                <w:color w:val="auto"/>
                <w:sz w:val="24"/>
              </w:rPr>
              <w:t>讯</w:t>
            </w:r>
          </w:p>
          <w:p>
            <w:pPr>
              <w:pStyle w:val="2"/>
              <w:keepNext w:val="0"/>
              <w:keepLines w:val="0"/>
              <w:pageBreakBefore w:val="0"/>
              <w:kinsoku/>
              <w:wordWrap/>
              <w:overflowPunct/>
              <w:topLinePunct w:val="0"/>
              <w:autoSpaceDE/>
              <w:autoSpaceDN/>
              <w:bidi w:val="0"/>
              <w:adjustRightInd w:val="0"/>
              <w:snapToGrid w:val="0"/>
              <w:spacing w:before="0" w:after="0" w:line="360" w:lineRule="auto"/>
              <w:ind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rPr>
              <w:t>采用移</w:t>
            </w:r>
            <w:r>
              <w:rPr>
                <w:rFonts w:hint="default" w:ascii="Times New Roman" w:hAnsi="Times New Roman" w:eastAsia="宋体" w:cs="Times New Roman"/>
                <w:color w:val="auto"/>
                <w:sz w:val="24"/>
              </w:rPr>
              <w:t>动</w:t>
            </w:r>
            <w:r>
              <w:rPr>
                <w:rFonts w:hint="default" w:ascii="Times New Roman" w:hAnsi="Times New Roman" w:cs="Times New Roman"/>
                <w:color w:val="auto"/>
                <w:sz w:val="24"/>
              </w:rPr>
              <w:t>通</w:t>
            </w:r>
            <w:r>
              <w:rPr>
                <w:rFonts w:hint="default" w:ascii="Times New Roman" w:hAnsi="Times New Roman" w:eastAsia="宋体" w:cs="Times New Roman"/>
                <w:color w:val="auto"/>
                <w:sz w:val="24"/>
              </w:rPr>
              <w:t>讯</w:t>
            </w:r>
            <w:r>
              <w:rPr>
                <w:rFonts w:hint="default" w:ascii="Times New Roman" w:hAnsi="Times New Roman" w:cs="Times New Roman"/>
                <w:color w:val="auto"/>
                <w:sz w:val="24"/>
              </w:rPr>
              <w:t>解</w:t>
            </w:r>
            <w:r>
              <w:rPr>
                <w:rFonts w:hint="default" w:ascii="Times New Roman" w:hAnsi="Times New Roman" w:eastAsia="宋体" w:cs="Times New Roman"/>
                <w:color w:val="auto"/>
                <w:sz w:val="24"/>
              </w:rPr>
              <w:t>决场内联</w:t>
            </w:r>
            <w:r>
              <w:rPr>
                <w:rFonts w:hint="default" w:ascii="Times New Roman" w:hAnsi="Times New Roman" w:cs="Times New Roman"/>
                <w:color w:val="auto"/>
                <w:sz w:val="24"/>
              </w:rPr>
              <w:t>系</w:t>
            </w:r>
            <w:r>
              <w:rPr>
                <w:rFonts w:hint="default" w:ascii="Times New Roman" w:hAnsi="Times New Roman" w:cs="Times New Roman"/>
                <w:color w:val="auto"/>
                <w:sz w:val="24"/>
                <w:lang w:eastAsia="zh-CN"/>
              </w:rPr>
              <w:t>。</w:t>
            </w:r>
          </w:p>
          <w:p>
            <w:pPr>
              <w:keepNext/>
              <w:keepLines w:val="0"/>
              <w:pageBreakBefore w:val="0"/>
              <w:kinsoku/>
              <w:wordWrap/>
              <w:overflowPunct/>
              <w:topLinePunct w:val="0"/>
              <w:autoSpaceDE/>
              <w:autoSpaceDN/>
              <w:bidi w:val="0"/>
              <w:adjustRightInd w:val="0"/>
              <w:snapToGrid w:val="0"/>
              <w:spacing w:line="360" w:lineRule="auto"/>
              <w:ind w:firstLine="482" w:firstLineChars="200"/>
              <w:textAlignment w:val="auto"/>
              <w:outlineLvl w:val="1"/>
              <w:rPr>
                <w:rFonts w:hint="default" w:ascii="Times New Roman" w:hAnsi="Times New Roman" w:cs="Times New Roman"/>
                <w:b/>
                <w:bCs w:val="0"/>
                <w:iCs/>
                <w:color w:val="auto"/>
                <w:sz w:val="24"/>
              </w:rPr>
            </w:pPr>
            <w:r>
              <w:rPr>
                <w:rFonts w:hint="default" w:ascii="Times New Roman" w:hAnsi="Times New Roman" w:cs="Times New Roman"/>
                <w:b/>
                <w:bCs w:val="0"/>
                <w:iCs/>
                <w:color w:val="auto"/>
                <w:sz w:val="24"/>
              </w:rPr>
              <w:t>（</w:t>
            </w:r>
            <w:r>
              <w:rPr>
                <w:rFonts w:hint="default" w:ascii="Times New Roman" w:hAnsi="Times New Roman" w:cs="Times New Roman"/>
                <w:b/>
                <w:bCs w:val="0"/>
                <w:iCs/>
                <w:color w:val="auto"/>
                <w:sz w:val="24"/>
                <w:lang w:val="en-US" w:eastAsia="zh-CN"/>
              </w:rPr>
              <w:t>4</w:t>
            </w:r>
            <w:r>
              <w:rPr>
                <w:rFonts w:hint="default" w:ascii="Times New Roman" w:hAnsi="Times New Roman" w:cs="Times New Roman"/>
                <w:b/>
                <w:bCs w:val="0"/>
                <w:iCs/>
                <w:color w:val="auto"/>
                <w:sz w:val="24"/>
              </w:rPr>
              <w:t>）施工交通</w:t>
            </w:r>
            <w:r>
              <w:rPr>
                <w:rFonts w:hint="default" w:ascii="Times New Roman" w:hAnsi="Times New Roman" w:eastAsia="宋体" w:cs="Times New Roman"/>
                <w:b/>
                <w:bCs w:val="0"/>
                <w:iCs/>
                <w:color w:val="auto"/>
                <w:sz w:val="24"/>
              </w:rPr>
              <w:t>运输</w:t>
            </w:r>
          </w:p>
          <w:p>
            <w:pPr>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宋体" w:eastAsia="宋体" w:cs="Times New Roman"/>
                <w:bCs/>
                <w:color w:val="auto"/>
                <w:sz w:val="24"/>
                <w:highlight w:val="none"/>
              </w:rPr>
            </w:pPr>
            <w:r>
              <w:rPr>
                <w:rFonts w:hint="default" w:ascii="Times New Roman" w:hAnsi="宋体" w:eastAsia="宋体" w:cs="Times New Roman"/>
                <w:bCs/>
                <w:color w:val="auto"/>
                <w:sz w:val="24"/>
                <w:highlight w:val="none"/>
              </w:rPr>
              <w:t>1）场外交通</w:t>
            </w:r>
          </w:p>
          <w:p>
            <w:pPr>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宋体" w:eastAsia="宋体" w:cs="Times New Roman"/>
                <w:bCs/>
                <w:color w:val="auto"/>
                <w:sz w:val="24"/>
                <w:highlight w:val="none"/>
              </w:rPr>
            </w:pPr>
            <w:r>
              <w:rPr>
                <w:rFonts w:ascii="Times New Roman" w:hAnsi="宋体" w:eastAsia="宋体" w:cs="Times New Roman"/>
                <w:bCs/>
                <w:color w:val="auto"/>
                <w:sz w:val="24"/>
                <w:highlight w:val="none"/>
              </w:rPr>
              <w:t>工程区距乐山城区约10km，现有道路延伸至工程区，外交通方便</w:t>
            </w:r>
            <w:r>
              <w:rPr>
                <w:rFonts w:hint="default" w:ascii="Times New Roman" w:hAnsi="宋体" w:eastAsia="宋体" w:cs="Times New Roman"/>
                <w:bCs/>
                <w:color w:val="auto"/>
                <w:sz w:val="24"/>
                <w:highlight w:val="none"/>
                <w:lang w:eastAsia="zh-CN"/>
              </w:rPr>
              <w:t>，未设置施工便道</w:t>
            </w:r>
            <w:r>
              <w:rPr>
                <w:rFonts w:hint="default" w:ascii="Times New Roman" w:hAnsi="宋体" w:eastAsia="宋体" w:cs="Times New Roman"/>
                <w:bCs/>
                <w:color w:val="auto"/>
                <w:sz w:val="24"/>
                <w:highlight w:val="none"/>
              </w:rPr>
              <w:t>。</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outlineLvl w:val="2"/>
              <w:rPr>
                <w:rFonts w:hint="default" w:ascii="Times New Roman" w:hAnsi="Times New Roman" w:cs="Times New Roman"/>
                <w:bCs/>
                <w:color w:val="auto"/>
                <w:sz w:val="24"/>
              </w:rPr>
            </w:pPr>
            <w:r>
              <w:rPr>
                <w:rFonts w:hint="default" w:ascii="Times New Roman" w:hAnsi="Times New Roman" w:cs="Times New Roman"/>
                <w:bCs/>
                <w:color w:val="auto"/>
                <w:sz w:val="24"/>
              </w:rPr>
              <w:t>2）</w:t>
            </w:r>
            <w:r>
              <w:rPr>
                <w:rFonts w:hint="default" w:ascii="Times New Roman" w:hAnsi="Times New Roman" w:eastAsia="宋体" w:cs="Times New Roman"/>
                <w:bCs/>
                <w:color w:val="auto"/>
                <w:sz w:val="24"/>
              </w:rPr>
              <w:t>场内</w:t>
            </w:r>
            <w:r>
              <w:rPr>
                <w:rFonts w:hint="default" w:ascii="Times New Roman" w:hAnsi="Times New Roman" w:cs="Times New Roman"/>
                <w:bCs/>
                <w:color w:val="auto"/>
                <w:sz w:val="24"/>
              </w:rPr>
              <w:t>交通</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FF"/>
                <w:kern w:val="0"/>
                <w:szCs w:val="21"/>
              </w:rPr>
            </w:pPr>
            <w:r>
              <w:rPr>
                <w:rFonts w:hint="default" w:ascii="Times New Roman" w:hAnsi="Times New Roman" w:cs="Times New Roman"/>
                <w:color w:val="auto"/>
                <w:sz w:val="24"/>
              </w:rPr>
              <w:t>本工程现有交通道路能满足施工需要，</w:t>
            </w:r>
            <w:r>
              <w:rPr>
                <w:rFonts w:hint="default" w:ascii="Times New Roman" w:hAnsi="Times New Roman" w:cs="Times New Roman"/>
                <w:color w:val="auto"/>
                <w:sz w:val="24"/>
                <w:lang w:eastAsia="zh-CN"/>
              </w:rPr>
              <w:t>未</w:t>
            </w:r>
            <w:r>
              <w:rPr>
                <w:rFonts w:hint="default" w:ascii="Times New Roman" w:hAnsi="Times New Roman" w:cs="Times New Roman"/>
                <w:color w:val="auto"/>
                <w:sz w:val="24"/>
              </w:rPr>
              <w:t>修建场内施工道路</w:t>
            </w:r>
            <w:r>
              <w:rPr>
                <w:rFonts w:hint="default" w:ascii="Times New Roman" w:hAnsi="Times New Roman" w:cs="Times New Roman"/>
                <w:color w:val="auto"/>
                <w:sz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pacing w:val="0"/>
                <w:sz w:val="24"/>
                <w:lang w:val="en-US" w:eastAsia="zh-CN" w:bidi="ar-SA"/>
              </w:rPr>
            </w:pPr>
            <w:r>
              <w:rPr>
                <w:rFonts w:hint="default" w:ascii="Times New Roman" w:hAnsi="Times New Roman" w:eastAsia="宋体" w:cs="Times New Roman"/>
                <w:b/>
                <w:bCs/>
                <w:color w:val="auto"/>
                <w:spacing w:val="0"/>
                <w:sz w:val="24"/>
                <w:lang w:val="en-US" w:eastAsia="zh-CN" w:bidi="ar-SA"/>
              </w:rPr>
              <w:t>4、施工设施</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本工程</w:t>
            </w:r>
            <w:r>
              <w:rPr>
                <w:rFonts w:hint="default" w:ascii="Times New Roman" w:hAnsi="Times New Roman" w:cs="Times New Roman"/>
                <w:color w:val="auto"/>
                <w:sz w:val="24"/>
                <w:lang w:eastAsia="zh-CN"/>
              </w:rPr>
              <w:t>施工区</w:t>
            </w:r>
            <w:r>
              <w:rPr>
                <w:rFonts w:hint="default" w:ascii="Times New Roman" w:hAnsi="Times New Roman" w:cs="Times New Roman"/>
                <w:color w:val="auto"/>
                <w:sz w:val="24"/>
              </w:rPr>
              <w:t>采用商品</w:t>
            </w:r>
            <w:r>
              <w:rPr>
                <w:rFonts w:hint="default" w:ascii="Times New Roman" w:hAnsi="Times New Roman" w:cs="Times New Roman"/>
                <w:color w:val="auto"/>
                <w:sz w:val="24"/>
                <w:lang w:eastAsia="zh-CN"/>
              </w:rPr>
              <w:t>混凝土</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未</w:t>
            </w:r>
            <w:r>
              <w:rPr>
                <w:rFonts w:hint="default" w:ascii="Times New Roman" w:hAnsi="Times New Roman" w:cs="Times New Roman"/>
                <w:color w:val="auto"/>
                <w:sz w:val="24"/>
              </w:rPr>
              <w:t>设砂石加工厂</w:t>
            </w:r>
            <w:r>
              <w:rPr>
                <w:rFonts w:hint="default" w:ascii="Times New Roman" w:hAnsi="Times New Roman" w:cs="Times New Roman"/>
                <w:color w:val="auto"/>
                <w:sz w:val="24"/>
                <w:lang w:eastAsia="zh-CN"/>
              </w:rPr>
              <w:t>及混凝土拌和站</w:t>
            </w:r>
            <w:r>
              <w:rPr>
                <w:rFonts w:hint="default" w:ascii="Times New Roman" w:hAnsi="Times New Roman" w:cs="Times New Roman"/>
                <w:color w:val="auto"/>
                <w:sz w:val="24"/>
              </w:rPr>
              <w:t>。</w:t>
            </w:r>
          </w:p>
          <w:p>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5</w:t>
            </w:r>
            <w:r>
              <w:rPr>
                <w:rFonts w:hint="default" w:ascii="Times New Roman" w:hAnsi="Times New Roman" w:eastAsia="宋体" w:cs="Times New Roman"/>
                <w:b/>
                <w:bCs/>
                <w:color w:val="auto"/>
                <w:sz w:val="24"/>
                <w:lang w:val="en-US" w:eastAsia="zh-CN"/>
              </w:rPr>
              <w:t>、施工时序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宋体" w:eastAsia="宋体" w:cs="Times New Roman"/>
                <w:bCs/>
                <w:color w:val="auto"/>
                <w:sz w:val="24"/>
                <w:highlight w:val="none"/>
              </w:rPr>
            </w:pPr>
            <w:r>
              <w:rPr>
                <w:bCs/>
                <w:color w:val="auto"/>
                <w:sz w:val="24"/>
                <w:highlight w:val="none"/>
              </w:rPr>
              <w:t>本工程根据主体工程条件、河流特性和业主要求制定施工进度计划，主体工程计划安排在第一年10月</w:t>
            </w:r>
            <w:r>
              <w:rPr>
                <w:rFonts w:hint="eastAsia"/>
                <w:bCs/>
                <w:color w:val="auto"/>
                <w:sz w:val="24"/>
                <w:highlight w:val="none"/>
                <w:lang w:eastAsia="zh-CN"/>
              </w:rPr>
              <w:t>、</w:t>
            </w:r>
            <w:r>
              <w:rPr>
                <w:bCs/>
                <w:color w:val="auto"/>
                <w:sz w:val="24"/>
                <w:highlight w:val="none"/>
              </w:rPr>
              <w:t>第二年5月，计划总工期8个月，施工分工程准备期、主体工程施工期和工程完建期。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bCs/>
                <w:color w:val="auto"/>
                <w:sz w:val="24"/>
                <w:highlight w:val="none"/>
              </w:rPr>
            </w:pPr>
            <w:r>
              <w:rPr>
                <w:rFonts w:hint="eastAsia" w:ascii="Times New Roman" w:hAnsi="Times New Roman" w:eastAsia="宋体" w:cs="Times New Roman"/>
                <w:bCs/>
                <w:color w:val="auto"/>
                <w:sz w:val="24"/>
                <w:highlight w:val="none"/>
                <w:lang w:eastAsia="zh-CN"/>
              </w:rPr>
              <w:t>（</w:t>
            </w:r>
            <w:r>
              <w:rPr>
                <w:rFonts w:hint="eastAsia" w:ascii="Times New Roman" w:hAnsi="Times New Roman" w:eastAsia="宋体" w:cs="Times New Roman"/>
                <w:bCs/>
                <w:color w:val="auto"/>
                <w:sz w:val="24"/>
                <w:highlight w:val="none"/>
                <w:lang w:val="en-US" w:eastAsia="zh-CN"/>
              </w:rPr>
              <w:t>1</w:t>
            </w:r>
            <w:r>
              <w:rPr>
                <w:rFonts w:hint="eastAsia" w:ascii="Times New Roman" w:hAnsi="Times New Roman" w:eastAsia="宋体" w:cs="Times New Roman"/>
                <w:bCs/>
                <w:color w:val="auto"/>
                <w:sz w:val="24"/>
                <w:highlight w:val="none"/>
                <w:lang w:eastAsia="zh-CN"/>
              </w:rPr>
              <w:t>）</w:t>
            </w:r>
            <w:r>
              <w:rPr>
                <w:rFonts w:ascii="Times New Roman" w:hAnsi="Times New Roman" w:eastAsia="宋体" w:cs="Times New Roman"/>
                <w:bCs/>
                <w:color w:val="auto"/>
                <w:sz w:val="24"/>
                <w:highlight w:val="none"/>
              </w:rPr>
              <w:t>工程准备期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准备工程为第一年10月，工程准备包括施工风、水、电供应系统，砂浆拌和系统及综合加工系统、生产性房屋建筑的修建。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宋体" w:eastAsia="宋体" w:cs="Times New Roman"/>
                <w:bCs/>
                <w:color w:val="auto"/>
                <w:sz w:val="24"/>
                <w:highlight w:val="none"/>
              </w:rPr>
            </w:pPr>
            <w:r>
              <w:rPr>
                <w:rFonts w:hint="eastAsia" w:ascii="Times New Roman" w:hAnsi="宋体" w:eastAsia="宋体" w:cs="Times New Roman"/>
                <w:bCs/>
                <w:color w:val="auto"/>
                <w:sz w:val="24"/>
                <w:highlight w:val="none"/>
                <w:lang w:eastAsia="zh-CN"/>
              </w:rPr>
              <w:t>（</w:t>
            </w:r>
            <w:r>
              <w:rPr>
                <w:rFonts w:hint="eastAsia" w:ascii="Times New Roman" w:hAnsi="宋体" w:eastAsia="宋体" w:cs="Times New Roman"/>
                <w:bCs/>
                <w:color w:val="auto"/>
                <w:sz w:val="24"/>
                <w:highlight w:val="none"/>
                <w:lang w:val="en-US" w:eastAsia="zh-CN"/>
              </w:rPr>
              <w:t>2</w:t>
            </w:r>
            <w:r>
              <w:rPr>
                <w:rFonts w:hint="eastAsia" w:ascii="Times New Roman" w:hAnsi="宋体" w:eastAsia="宋体" w:cs="Times New Roman"/>
                <w:bCs/>
                <w:color w:val="auto"/>
                <w:sz w:val="24"/>
                <w:highlight w:val="none"/>
                <w:lang w:eastAsia="zh-CN"/>
              </w:rPr>
              <w:t>）</w:t>
            </w:r>
            <w:r>
              <w:rPr>
                <w:rFonts w:ascii="Times New Roman" w:hAnsi="宋体" w:eastAsia="宋体" w:cs="Times New Roman"/>
                <w:bCs/>
                <w:color w:val="auto"/>
                <w:sz w:val="24"/>
                <w:highlight w:val="none"/>
              </w:rPr>
              <w:t>主体工程工期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宋体" w:eastAsia="宋体" w:cs="Times New Roman"/>
                <w:bCs/>
                <w:color w:val="auto"/>
                <w:sz w:val="24"/>
                <w:highlight w:val="none"/>
              </w:rPr>
            </w:pPr>
            <w:r>
              <w:rPr>
                <w:rFonts w:ascii="Times New Roman" w:hAnsi="宋体" w:eastAsia="宋体" w:cs="Times New Roman"/>
                <w:bCs/>
                <w:color w:val="auto"/>
                <w:sz w:val="24"/>
                <w:highlight w:val="none"/>
              </w:rPr>
              <w:t>在上述导流时段和导流设计流量的情况下，第一年10月底设一期围堰围安福堰右岸基坑，在一期围堰的保护下，于第一年11月至第二年2月进行安福堰取水口及坝右岸约57m坝段的全部主体工程施工，同时二期围堰纵向导墙在一期基坑内完成。2月底拆除一期围堰，同时填筑二期上下游围堰，在二期基坑的保护下，于第二年2月至3月进行安福堰左岸坝段全部未完工程的施工，4月初拆除二期围堰和导墙，整个导流任务完成。</w:t>
            </w:r>
          </w:p>
          <w:p>
            <w:pPr>
              <w:keepNext w:val="0"/>
              <w:keepLines w:val="0"/>
              <w:pageBreakBefore w:val="0"/>
              <w:widowControl w:val="0"/>
              <w:kinsoku/>
              <w:wordWrap/>
              <w:overflowPunct/>
              <w:topLinePunct w:val="0"/>
              <w:autoSpaceDE/>
              <w:autoSpaceDN/>
              <w:bidi w:val="0"/>
              <w:adjustRightInd w:val="0"/>
              <w:snapToGrid w:val="0"/>
              <w:spacing w:line="360" w:lineRule="auto"/>
              <w:ind w:left="547" w:leftChars="228" w:firstLine="0" w:firstLineChars="0"/>
              <w:textAlignment w:val="auto"/>
              <w:rPr>
                <w:rFonts w:ascii="Times New Roman" w:hAnsi="宋体" w:eastAsia="宋体" w:cs="Times New Roman"/>
                <w:bCs/>
                <w:color w:val="auto"/>
                <w:sz w:val="24"/>
                <w:highlight w:val="none"/>
              </w:rPr>
            </w:pPr>
            <w:r>
              <w:rPr>
                <w:bCs/>
                <w:color w:val="auto"/>
                <w:sz w:val="24"/>
                <w:highlight w:val="none"/>
              </w:rPr>
              <w:t>主体工程施工期从第二年10月中旬开挖至第二年4月完成，计6.5个月。</w:t>
            </w:r>
            <w:r>
              <w:rPr>
                <w:rFonts w:hint="eastAsia" w:ascii="Times New Roman" w:hAnsi="宋体" w:eastAsia="宋体" w:cs="Times New Roman"/>
                <w:bCs/>
                <w:color w:val="auto"/>
                <w:sz w:val="24"/>
                <w:highlight w:val="none"/>
                <w:lang w:eastAsia="zh-CN"/>
              </w:rPr>
              <w:t>（</w:t>
            </w:r>
            <w:r>
              <w:rPr>
                <w:rFonts w:hint="eastAsia" w:ascii="Times New Roman" w:hAnsi="宋体" w:eastAsia="宋体" w:cs="Times New Roman"/>
                <w:bCs/>
                <w:color w:val="auto"/>
                <w:sz w:val="24"/>
                <w:highlight w:val="none"/>
                <w:lang w:val="en-US" w:eastAsia="zh-CN"/>
              </w:rPr>
              <w:t>3</w:t>
            </w:r>
            <w:r>
              <w:rPr>
                <w:rFonts w:hint="eastAsia" w:ascii="Times New Roman" w:hAnsi="宋体" w:eastAsia="宋体" w:cs="Times New Roman"/>
                <w:bCs/>
                <w:color w:val="auto"/>
                <w:sz w:val="24"/>
                <w:highlight w:val="none"/>
                <w:lang w:eastAsia="zh-CN"/>
              </w:rPr>
              <w:t>）</w:t>
            </w:r>
            <w:r>
              <w:rPr>
                <w:rFonts w:ascii="Times New Roman" w:hAnsi="宋体" w:eastAsia="宋体" w:cs="Times New Roman"/>
                <w:bCs/>
                <w:color w:val="auto"/>
                <w:sz w:val="24"/>
                <w:highlight w:val="none"/>
              </w:rPr>
              <w:t>工程完建期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FF"/>
                <w:kern w:val="0"/>
                <w:szCs w:val="21"/>
              </w:rPr>
            </w:pPr>
            <w:r>
              <w:rPr>
                <w:rFonts w:ascii="Times New Roman" w:hAnsi="宋体" w:eastAsia="宋体" w:cs="Times New Roman"/>
                <w:bCs/>
                <w:color w:val="auto"/>
                <w:sz w:val="24"/>
                <w:highlight w:val="none"/>
              </w:rPr>
              <w:t>完建期：计划为</w:t>
            </w:r>
            <w:r>
              <w:rPr>
                <w:bCs/>
                <w:color w:val="auto"/>
                <w:sz w:val="24"/>
                <w:highlight w:val="none"/>
              </w:rPr>
              <w:t>第二年</w:t>
            </w:r>
            <w:r>
              <w:rPr>
                <w:rFonts w:ascii="Times New Roman" w:hAnsi="宋体" w:eastAsia="宋体" w:cs="Times New Roman"/>
                <w:bCs/>
                <w:color w:val="auto"/>
                <w:sz w:val="24"/>
                <w:highlight w:val="none"/>
              </w:rPr>
              <w:t>5月，完成部份的尾工、清场退场、绿化、环境保护和竣工验收等项工作。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4" w:type="dxa"/>
            <w:noWrap w:val="0"/>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cs="Times New Roman"/>
                <w:kern w:val="0"/>
                <w:szCs w:val="21"/>
              </w:rPr>
            </w:pPr>
            <w:r>
              <w:rPr>
                <w:rFonts w:hint="default" w:ascii="Times New Roman" w:hAnsi="Times New Roman" w:cs="Times New Roman"/>
                <w:kern w:val="0"/>
                <w:szCs w:val="21"/>
              </w:rPr>
              <w:t>其他</w:t>
            </w:r>
          </w:p>
        </w:tc>
        <w:tc>
          <w:tcPr>
            <w:tcW w:w="7670" w:type="dxa"/>
            <w:noWrap w:val="0"/>
            <w:vAlign w:val="bottom"/>
          </w:tcPr>
          <w:p>
            <w:pPr>
              <w:keepNext w:val="0"/>
              <w:keepLines w:val="0"/>
              <w:pageBreakBefore w:val="0"/>
              <w:widowControl w:val="0"/>
              <w:kinsoku/>
              <w:wordWrap/>
              <w:overflowPunct/>
              <w:topLinePunct w:val="0"/>
              <w:autoSpaceDE/>
              <w:autoSpaceDN/>
              <w:bidi w:val="0"/>
              <w:spacing w:line="360" w:lineRule="auto"/>
              <w:ind w:firstLine="482" w:firstLineChars="200"/>
              <w:jc w:val="both"/>
              <w:textAlignment w:val="auto"/>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一、</w:t>
            </w:r>
            <w:r>
              <w:rPr>
                <w:rFonts w:hint="default" w:ascii="Times New Roman" w:hAnsi="Times New Roman" w:eastAsia="宋体" w:cs="Times New Roman"/>
                <w:b/>
                <w:bCs/>
                <w:color w:val="auto"/>
                <w:sz w:val="24"/>
                <w:szCs w:val="24"/>
                <w:highlight w:val="none"/>
              </w:rPr>
              <w:t>坝轴线选定</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1、坝轴线拟定</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设计拟定了上下两个坝址进行了分析比较，上坝址位于</w:t>
            </w:r>
            <w:r>
              <w:rPr>
                <w:rFonts w:hint="default" w:ascii="Times New Roman" w:hAnsi="Times New Roman" w:eastAsia="宋体" w:cs="Times New Roman"/>
                <w:color w:val="auto"/>
                <w:sz w:val="24"/>
                <w:szCs w:val="24"/>
                <w:highlight w:val="none"/>
                <w:lang w:eastAsia="zh-CN"/>
              </w:rPr>
              <w:t>原坝址</w:t>
            </w:r>
            <w:r>
              <w:rPr>
                <w:rFonts w:hint="default" w:ascii="Times New Roman" w:hAnsi="Times New Roman" w:eastAsia="宋体" w:cs="Times New Roman"/>
                <w:color w:val="auto"/>
                <w:sz w:val="24"/>
                <w:szCs w:val="24"/>
                <w:highlight w:val="none"/>
              </w:rPr>
              <w:t>上游80m恢复重建取水坝，下坝址在原坝址处垂直河道布置坝线，上下两坝址相距约80m。</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w:t>
            </w: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rPr>
              <w:t>根据</w:t>
            </w:r>
            <w:r>
              <w:rPr>
                <w:rFonts w:hint="default" w:ascii="Times New Roman" w:hAnsi="Times New Roman" w:eastAsia="宋体" w:cs="Times New Roman"/>
                <w:color w:val="auto"/>
                <w:spacing w:val="-2"/>
                <w:sz w:val="24"/>
                <w:szCs w:val="24"/>
                <w:highlight w:val="none"/>
              </w:rPr>
              <w:t>地形</w:t>
            </w:r>
            <w:r>
              <w:rPr>
                <w:rFonts w:hint="default" w:ascii="Times New Roman" w:hAnsi="Times New Roman" w:eastAsia="宋体" w:cs="Times New Roman"/>
                <w:color w:val="auto"/>
                <w:sz w:val="24"/>
                <w:szCs w:val="24"/>
                <w:highlight w:val="none"/>
              </w:rPr>
              <w:t>地质条件</w:t>
            </w:r>
            <w:r>
              <w:rPr>
                <w:rFonts w:hint="default" w:ascii="Times New Roman" w:hAnsi="Times New Roman" w:eastAsia="宋体" w:cs="Times New Roman"/>
                <w:color w:val="auto"/>
                <w:sz w:val="24"/>
                <w:szCs w:val="24"/>
                <w:highlight w:val="none"/>
                <w:lang w:eastAsia="zh-CN"/>
              </w:rPr>
              <w:t>在推荐的下坝址附近选择坝轴线</w:t>
            </w:r>
            <w:r>
              <w:rPr>
                <w:rFonts w:hint="default" w:ascii="Times New Roman" w:hAnsi="Times New Roman" w:eastAsia="宋体" w:cs="Times New Roman"/>
                <w:color w:val="auto"/>
                <w:sz w:val="24"/>
                <w:szCs w:val="24"/>
                <w:highlight w:val="none"/>
              </w:rPr>
              <w:t>。坝线位置见附图</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drawing>
                <wp:inline distT="0" distB="0" distL="114300" distR="114300">
                  <wp:extent cx="4777105" cy="2962910"/>
                  <wp:effectExtent l="0" t="0" r="4445" b="8890"/>
                  <wp:docPr id="20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16"/>
                          <pic:cNvPicPr>
                            <a:picLocks noChangeAspect="1"/>
                          </pic:cNvPicPr>
                        </pic:nvPicPr>
                        <pic:blipFill>
                          <a:blip r:embed="rId38"/>
                          <a:stretch>
                            <a:fillRect/>
                          </a:stretch>
                        </pic:blipFill>
                        <pic:spPr>
                          <a:xfrm>
                            <a:off x="0" y="0"/>
                            <a:ext cx="4777105" cy="29629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rFonts w:hint="default" w:ascii="Times New Roman" w:hAnsi="Times New Roman" w:eastAsia="宋体" w:cs="Times New Roman"/>
                <w:b/>
                <w:bCs/>
                <w:color w:val="auto"/>
                <w:kern w:val="2"/>
                <w:sz w:val="21"/>
                <w:szCs w:val="21"/>
                <w:highlight w:val="none"/>
                <w:lang w:val="en-US" w:eastAsia="zh-CN" w:bidi="ar"/>
              </w:rPr>
            </w:pPr>
            <w:r>
              <w:rPr>
                <w:rFonts w:hint="default" w:ascii="Times New Roman" w:hAnsi="Times New Roman" w:eastAsia="宋体" w:cs="Times New Roman"/>
                <w:b/>
                <w:bCs/>
                <w:color w:val="auto"/>
                <w:kern w:val="2"/>
                <w:sz w:val="21"/>
                <w:szCs w:val="21"/>
                <w:highlight w:val="none"/>
                <w:lang w:val="en-US" w:eastAsia="zh-CN" w:bidi="ar"/>
              </w:rPr>
              <w:t>附图</w:t>
            </w:r>
            <w:r>
              <w:rPr>
                <w:rFonts w:hint="eastAsia" w:ascii="Times New Roman" w:hAnsi="Times New Roman" w:eastAsia="宋体" w:cs="Times New Roman"/>
                <w:b/>
                <w:bCs/>
                <w:color w:val="auto"/>
                <w:kern w:val="2"/>
                <w:sz w:val="21"/>
                <w:szCs w:val="21"/>
                <w:highlight w:val="none"/>
                <w:lang w:val="en-US" w:eastAsia="zh-CN" w:bidi="ar"/>
              </w:rPr>
              <w:t>2</w:t>
            </w:r>
            <w:r>
              <w:rPr>
                <w:rFonts w:hint="default" w:ascii="Times New Roman" w:hAnsi="Times New Roman" w:eastAsia="宋体" w:cs="Times New Roman"/>
                <w:b/>
                <w:bCs/>
                <w:color w:val="auto"/>
                <w:kern w:val="2"/>
                <w:sz w:val="21"/>
                <w:szCs w:val="21"/>
                <w:highlight w:val="none"/>
                <w:lang w:val="en-US" w:eastAsia="zh-CN" w:bidi="ar"/>
              </w:rPr>
              <w:t>-</w:t>
            </w:r>
            <w:r>
              <w:rPr>
                <w:rFonts w:hint="eastAsia" w:ascii="Times New Roman" w:hAnsi="Times New Roman" w:eastAsia="宋体" w:cs="Times New Roman"/>
                <w:b/>
                <w:bCs/>
                <w:color w:val="auto"/>
                <w:kern w:val="2"/>
                <w:sz w:val="21"/>
                <w:szCs w:val="21"/>
                <w:highlight w:val="none"/>
                <w:lang w:val="en-US" w:eastAsia="zh-CN" w:bidi="ar"/>
              </w:rPr>
              <w:t>4</w:t>
            </w:r>
            <w:r>
              <w:rPr>
                <w:rFonts w:hint="default" w:ascii="Times New Roman" w:hAnsi="Times New Roman" w:eastAsia="宋体" w:cs="Times New Roman"/>
                <w:b/>
                <w:bCs/>
                <w:color w:val="auto"/>
                <w:kern w:val="2"/>
                <w:sz w:val="21"/>
                <w:szCs w:val="21"/>
                <w:highlight w:val="none"/>
                <w:lang w:val="en-US" w:eastAsia="zh-CN" w:bidi="ar"/>
              </w:rPr>
              <w:t xml:space="preserve">    坝线位置图</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2、坝轴线方案比较</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本阶段坝线比选主要从地形地质条件、</w:t>
            </w:r>
            <w:r>
              <w:rPr>
                <w:rFonts w:hint="default" w:ascii="Times New Roman" w:hAnsi="Times New Roman" w:eastAsia="宋体" w:cs="Times New Roman"/>
                <w:color w:val="auto"/>
                <w:sz w:val="24"/>
                <w:szCs w:val="24"/>
                <w:highlight w:val="none"/>
                <w:lang w:eastAsia="zh-CN"/>
              </w:rPr>
              <w:t>安福堰</w:t>
            </w:r>
            <w:r>
              <w:rPr>
                <w:rFonts w:hint="default" w:ascii="Times New Roman" w:hAnsi="Times New Roman" w:eastAsia="宋体" w:cs="Times New Roman"/>
                <w:color w:val="auto"/>
                <w:sz w:val="24"/>
                <w:szCs w:val="24"/>
                <w:highlight w:val="none"/>
              </w:rPr>
              <w:t>条件、</w:t>
            </w:r>
            <w:r>
              <w:rPr>
                <w:rFonts w:hint="default" w:ascii="Times New Roman" w:hAnsi="Times New Roman" w:eastAsia="宋体" w:cs="Times New Roman"/>
                <w:color w:val="auto"/>
                <w:sz w:val="24"/>
                <w:szCs w:val="24"/>
                <w:highlight w:val="none"/>
                <w:lang w:eastAsia="zh-CN"/>
              </w:rPr>
              <w:t>安福堰</w:t>
            </w:r>
            <w:r>
              <w:rPr>
                <w:rFonts w:hint="default" w:ascii="Times New Roman" w:hAnsi="Times New Roman" w:eastAsia="宋体" w:cs="Times New Roman"/>
                <w:color w:val="auto"/>
                <w:sz w:val="24"/>
                <w:szCs w:val="24"/>
                <w:highlight w:val="none"/>
              </w:rPr>
              <w:t>淹没指标、工程布置条件、施工条件和经济指标等各方面对枢纽坝线方案进行比较选择，各指标详见表</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w:t>
            </w:r>
          </w:p>
          <w:p>
            <w:pPr>
              <w:pStyle w:val="93"/>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firstLine="422" w:firstLineChars="20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w:t>
            </w:r>
            <w:r>
              <w:rPr>
                <w:rFonts w:hint="eastAsia"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w:t>
            </w:r>
            <w:r>
              <w:rPr>
                <w:rFonts w:hint="eastAsia"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 xml:space="preserve"> 上、下坝线主要技术经济指标比较表</w:t>
            </w:r>
          </w:p>
          <w:tbl>
            <w:tblPr>
              <w:tblStyle w:val="41"/>
              <w:tblW w:w="4998"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5"/>
              <w:gridCol w:w="1386"/>
              <w:gridCol w:w="2083"/>
              <w:gridCol w:w="2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exact"/>
              </w:trPr>
              <w:tc>
                <w:tcPr>
                  <w:tcW w:w="1572"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w:t>
                  </w:r>
                </w:p>
              </w:tc>
              <w:tc>
                <w:tcPr>
                  <w:tcW w:w="540"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单位</w:t>
                  </w:r>
                </w:p>
              </w:tc>
              <w:tc>
                <w:tcPr>
                  <w:tcW w:w="1443"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上坝址</w:t>
                  </w:r>
                </w:p>
              </w:tc>
              <w:tc>
                <w:tcPr>
                  <w:tcW w:w="1443"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下坝址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exact"/>
              </w:trPr>
              <w:tc>
                <w:tcPr>
                  <w:tcW w:w="1572"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一、地形地质条件</w:t>
                  </w:r>
                </w:p>
              </w:tc>
              <w:tc>
                <w:tcPr>
                  <w:tcW w:w="540"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p>
              </w:tc>
              <w:tc>
                <w:tcPr>
                  <w:tcW w:w="1443"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p>
              </w:tc>
              <w:tc>
                <w:tcPr>
                  <w:tcW w:w="1443"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exact"/>
              </w:trPr>
              <w:tc>
                <w:tcPr>
                  <w:tcW w:w="1572"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 河谷形状</w:t>
                  </w:r>
                </w:p>
              </w:tc>
              <w:tc>
                <w:tcPr>
                  <w:tcW w:w="540"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p>
              </w:tc>
              <w:tc>
                <w:tcPr>
                  <w:tcW w:w="1443"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呈“U”型河谷</w:t>
                  </w:r>
                </w:p>
              </w:tc>
              <w:tc>
                <w:tcPr>
                  <w:tcW w:w="1443"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呈“U”型河谷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exact"/>
              </w:trPr>
              <w:tc>
                <w:tcPr>
                  <w:tcW w:w="1572"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 坝顶轴线总长</w:t>
                  </w:r>
                </w:p>
              </w:tc>
              <w:tc>
                <w:tcPr>
                  <w:tcW w:w="540"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w:t>
                  </w:r>
                </w:p>
              </w:tc>
              <w:tc>
                <w:tcPr>
                  <w:tcW w:w="1443"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120</w:t>
                  </w:r>
                </w:p>
              </w:tc>
              <w:tc>
                <w:tcPr>
                  <w:tcW w:w="1443"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exact"/>
              </w:trPr>
              <w:tc>
                <w:tcPr>
                  <w:tcW w:w="1572"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 枢纽</w:t>
                  </w:r>
                  <w:r>
                    <w:rPr>
                      <w:rFonts w:hint="default" w:ascii="Times New Roman" w:hAnsi="Times New Roman" w:eastAsia="宋体" w:cs="Times New Roman"/>
                      <w:color w:val="auto"/>
                      <w:sz w:val="21"/>
                      <w:szCs w:val="21"/>
                      <w:highlight w:val="none"/>
                      <w:lang w:eastAsia="zh-CN"/>
                    </w:rPr>
                    <w:t>基岩</w:t>
                  </w:r>
                  <w:r>
                    <w:rPr>
                      <w:rFonts w:hint="default" w:ascii="Times New Roman" w:hAnsi="Times New Roman" w:eastAsia="宋体" w:cs="Times New Roman"/>
                      <w:color w:val="auto"/>
                      <w:sz w:val="21"/>
                      <w:szCs w:val="21"/>
                      <w:highlight w:val="none"/>
                    </w:rPr>
                    <w:t>特性</w:t>
                  </w:r>
                </w:p>
              </w:tc>
              <w:tc>
                <w:tcPr>
                  <w:tcW w:w="540"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p>
              </w:tc>
              <w:tc>
                <w:tcPr>
                  <w:tcW w:w="2887" w:type="pct"/>
                  <w:gridSpan w:val="2"/>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棕红色泥岩、紫红色砂岩、粉砂岩夹泥岩。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exact"/>
              </w:trPr>
              <w:tc>
                <w:tcPr>
                  <w:tcW w:w="1572"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 覆盖层厚度</w:t>
                  </w:r>
                </w:p>
              </w:tc>
              <w:tc>
                <w:tcPr>
                  <w:tcW w:w="540"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w:t>
                  </w:r>
                </w:p>
              </w:tc>
              <w:tc>
                <w:tcPr>
                  <w:tcW w:w="1443"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2～6.5m</w:t>
                  </w:r>
                </w:p>
              </w:tc>
              <w:tc>
                <w:tcPr>
                  <w:tcW w:w="1443"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exact"/>
              </w:trPr>
              <w:tc>
                <w:tcPr>
                  <w:tcW w:w="1572"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 覆盖层特性</w:t>
                  </w:r>
                </w:p>
              </w:tc>
              <w:tc>
                <w:tcPr>
                  <w:tcW w:w="540"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p>
              </w:tc>
              <w:tc>
                <w:tcPr>
                  <w:tcW w:w="2887" w:type="pct"/>
                  <w:gridSpan w:val="2"/>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冲洪积堆积层（Q</w:t>
                  </w:r>
                  <w:r>
                    <w:rPr>
                      <w:rFonts w:hint="default" w:ascii="Times New Roman" w:hAnsi="Times New Roman" w:eastAsia="宋体" w:cs="Times New Roman"/>
                      <w:color w:val="auto"/>
                      <w:sz w:val="21"/>
                      <w:szCs w:val="21"/>
                      <w:highlight w:val="none"/>
                      <w:vertAlign w:val="subscript"/>
                    </w:rPr>
                    <w:t>4</w:t>
                  </w:r>
                  <w:r>
                    <w:rPr>
                      <w:rFonts w:hint="default" w:ascii="Times New Roman" w:hAnsi="Times New Roman" w:eastAsia="宋体" w:cs="Times New Roman"/>
                      <w:color w:val="auto"/>
                      <w:sz w:val="21"/>
                      <w:szCs w:val="21"/>
                      <w:highlight w:val="none"/>
                      <w:vertAlign w:val="superscript"/>
                    </w:rPr>
                    <w:t>al+pl</w:t>
                  </w:r>
                  <w:r>
                    <w:rPr>
                      <w:rFonts w:hint="default" w:ascii="Times New Roman" w:hAnsi="Times New Roman" w:eastAsia="宋体" w:cs="Times New Roman"/>
                      <w:color w:val="auto"/>
                      <w:sz w:val="21"/>
                      <w:szCs w:val="21"/>
                      <w:highlight w:val="none"/>
                    </w:rPr>
                    <w:t>）的粉质粘土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exact"/>
              </w:trPr>
              <w:tc>
                <w:tcPr>
                  <w:tcW w:w="1572"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w:t>
                  </w:r>
                  <w:r>
                    <w:rPr>
                      <w:rFonts w:hint="default" w:ascii="Times New Roman" w:hAnsi="Times New Roman" w:eastAsia="宋体" w:cs="Times New Roman"/>
                      <w:color w:val="auto"/>
                      <w:sz w:val="21"/>
                      <w:szCs w:val="21"/>
                      <w:highlight w:val="none"/>
                      <w:lang w:eastAsia="zh-CN"/>
                    </w:rPr>
                    <w:t>安福堰</w:t>
                  </w:r>
                  <w:r>
                    <w:rPr>
                      <w:rFonts w:hint="default" w:ascii="Times New Roman" w:hAnsi="Times New Roman" w:eastAsia="宋体" w:cs="Times New Roman"/>
                      <w:color w:val="auto"/>
                      <w:sz w:val="21"/>
                      <w:szCs w:val="21"/>
                      <w:highlight w:val="none"/>
                    </w:rPr>
                    <w:t>条件</w:t>
                  </w:r>
                </w:p>
              </w:tc>
              <w:tc>
                <w:tcPr>
                  <w:tcW w:w="540"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p>
              </w:tc>
              <w:tc>
                <w:tcPr>
                  <w:tcW w:w="1443"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p>
              </w:tc>
              <w:tc>
                <w:tcPr>
                  <w:tcW w:w="1443"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exact"/>
              </w:trPr>
              <w:tc>
                <w:tcPr>
                  <w:tcW w:w="1572"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 正常蓄水位</w:t>
                  </w:r>
                </w:p>
              </w:tc>
              <w:tc>
                <w:tcPr>
                  <w:tcW w:w="540"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w:t>
                  </w:r>
                </w:p>
              </w:tc>
              <w:tc>
                <w:tcPr>
                  <w:tcW w:w="1443"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371.</w:t>
                  </w: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0</w:t>
                  </w:r>
                </w:p>
              </w:tc>
              <w:tc>
                <w:tcPr>
                  <w:tcW w:w="1443"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371.</w:t>
                  </w:r>
                  <w:r>
                    <w:rPr>
                      <w:rFonts w:hint="default" w:ascii="Times New Roman" w:hAnsi="Times New Roman" w:eastAsia="宋体" w:cs="Times New Roman"/>
                      <w:color w:val="auto"/>
                      <w:sz w:val="21"/>
                      <w:szCs w:val="21"/>
                      <w:highlight w:val="no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exact"/>
              </w:trPr>
              <w:tc>
                <w:tcPr>
                  <w:tcW w:w="1572"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 正常水位库容</w:t>
                  </w:r>
                </w:p>
              </w:tc>
              <w:tc>
                <w:tcPr>
                  <w:tcW w:w="540"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万m</w:t>
                  </w:r>
                  <w:r>
                    <w:rPr>
                      <w:rFonts w:hint="default" w:ascii="Times New Roman" w:hAnsi="Times New Roman" w:eastAsia="宋体" w:cs="Times New Roman"/>
                      <w:color w:val="auto"/>
                      <w:sz w:val="21"/>
                      <w:szCs w:val="21"/>
                      <w:highlight w:val="none"/>
                      <w:vertAlign w:val="superscript"/>
                    </w:rPr>
                    <w:t>3</w:t>
                  </w:r>
                </w:p>
              </w:tc>
              <w:tc>
                <w:tcPr>
                  <w:tcW w:w="1443"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18.</w:t>
                  </w:r>
                  <w:r>
                    <w:rPr>
                      <w:rFonts w:hint="default" w:ascii="Times New Roman" w:hAnsi="Times New Roman" w:eastAsia="宋体" w:cs="Times New Roman"/>
                      <w:color w:val="auto"/>
                      <w:sz w:val="21"/>
                      <w:szCs w:val="21"/>
                      <w:highlight w:val="none"/>
                      <w:lang w:val="en-US" w:eastAsia="zh-CN"/>
                    </w:rPr>
                    <w:t>2</w:t>
                  </w:r>
                </w:p>
              </w:tc>
              <w:tc>
                <w:tcPr>
                  <w:tcW w:w="1443"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exact"/>
              </w:trPr>
              <w:tc>
                <w:tcPr>
                  <w:tcW w:w="1572"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3死水位</w:t>
                  </w:r>
                </w:p>
              </w:tc>
              <w:tc>
                <w:tcPr>
                  <w:tcW w:w="540"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w:t>
                  </w:r>
                </w:p>
              </w:tc>
              <w:tc>
                <w:tcPr>
                  <w:tcW w:w="1443"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370.7</w:t>
                  </w:r>
                  <w:r>
                    <w:rPr>
                      <w:rFonts w:hint="default" w:ascii="Times New Roman" w:hAnsi="Times New Roman" w:eastAsia="宋体" w:cs="Times New Roman"/>
                      <w:color w:val="auto"/>
                      <w:sz w:val="21"/>
                      <w:szCs w:val="21"/>
                      <w:highlight w:val="none"/>
                      <w:lang w:val="en-US" w:eastAsia="zh-CN"/>
                    </w:rPr>
                    <w:t>0</w:t>
                  </w:r>
                </w:p>
              </w:tc>
              <w:tc>
                <w:tcPr>
                  <w:tcW w:w="1443"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370.70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exact"/>
              </w:trPr>
              <w:tc>
                <w:tcPr>
                  <w:tcW w:w="1572"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 死库容</w:t>
                  </w:r>
                </w:p>
              </w:tc>
              <w:tc>
                <w:tcPr>
                  <w:tcW w:w="540"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万m</w:t>
                  </w:r>
                  <w:r>
                    <w:rPr>
                      <w:rFonts w:hint="default" w:ascii="Times New Roman" w:hAnsi="Times New Roman" w:eastAsia="宋体" w:cs="Times New Roman"/>
                      <w:color w:val="auto"/>
                      <w:sz w:val="21"/>
                      <w:szCs w:val="21"/>
                      <w:highlight w:val="none"/>
                      <w:vertAlign w:val="superscript"/>
                    </w:rPr>
                    <w:t>3</w:t>
                  </w:r>
                </w:p>
              </w:tc>
              <w:tc>
                <w:tcPr>
                  <w:tcW w:w="1443"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w:t>
                  </w:r>
                </w:p>
              </w:tc>
              <w:tc>
                <w:tcPr>
                  <w:tcW w:w="1443"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exact"/>
              </w:trPr>
              <w:tc>
                <w:tcPr>
                  <w:tcW w:w="1572"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6校核洪水位</w:t>
                  </w:r>
                </w:p>
              </w:tc>
              <w:tc>
                <w:tcPr>
                  <w:tcW w:w="540"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w:t>
                  </w:r>
                </w:p>
              </w:tc>
              <w:tc>
                <w:tcPr>
                  <w:tcW w:w="1443"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374.62</w:t>
                  </w:r>
                </w:p>
              </w:tc>
              <w:tc>
                <w:tcPr>
                  <w:tcW w:w="1443"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374.62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exact"/>
              </w:trPr>
              <w:tc>
                <w:tcPr>
                  <w:tcW w:w="1572"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7总库容</w:t>
                  </w:r>
                </w:p>
              </w:tc>
              <w:tc>
                <w:tcPr>
                  <w:tcW w:w="540"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万m</w:t>
                  </w:r>
                  <w:r>
                    <w:rPr>
                      <w:rFonts w:hint="default" w:ascii="Times New Roman" w:hAnsi="Times New Roman" w:eastAsia="宋体" w:cs="Times New Roman"/>
                      <w:color w:val="auto"/>
                      <w:sz w:val="21"/>
                      <w:szCs w:val="21"/>
                      <w:highlight w:val="none"/>
                      <w:vertAlign w:val="superscript"/>
                    </w:rPr>
                    <w:t>3</w:t>
                  </w:r>
                </w:p>
              </w:tc>
              <w:tc>
                <w:tcPr>
                  <w:tcW w:w="1443"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89.8</w:t>
                  </w:r>
                </w:p>
              </w:tc>
              <w:tc>
                <w:tcPr>
                  <w:tcW w:w="1443"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9</w:t>
                  </w:r>
                  <w:r>
                    <w:rPr>
                      <w:rFonts w:hint="default" w:ascii="Times New Roman" w:hAnsi="Times New Roman" w:eastAsia="宋体" w:cs="Times New Roman"/>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exact"/>
              </w:trPr>
              <w:tc>
                <w:tcPr>
                  <w:tcW w:w="1572"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三、枢纽建筑物</w:t>
                  </w:r>
                </w:p>
              </w:tc>
              <w:tc>
                <w:tcPr>
                  <w:tcW w:w="540"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p>
              </w:tc>
              <w:tc>
                <w:tcPr>
                  <w:tcW w:w="1443"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p>
              </w:tc>
              <w:tc>
                <w:tcPr>
                  <w:tcW w:w="1443"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exact"/>
              </w:trPr>
              <w:tc>
                <w:tcPr>
                  <w:tcW w:w="1572"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1坝顶轴线长</w:t>
                  </w:r>
                </w:p>
              </w:tc>
              <w:tc>
                <w:tcPr>
                  <w:tcW w:w="540"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w:t>
                  </w:r>
                </w:p>
              </w:tc>
              <w:tc>
                <w:tcPr>
                  <w:tcW w:w="1443"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120</w:t>
                  </w:r>
                </w:p>
              </w:tc>
              <w:tc>
                <w:tcPr>
                  <w:tcW w:w="1443"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130.828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exact"/>
              </w:trPr>
              <w:tc>
                <w:tcPr>
                  <w:tcW w:w="1572"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2最大坝高</w:t>
                  </w:r>
                </w:p>
              </w:tc>
              <w:tc>
                <w:tcPr>
                  <w:tcW w:w="540"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w:t>
                  </w:r>
                </w:p>
              </w:tc>
              <w:tc>
                <w:tcPr>
                  <w:tcW w:w="1443"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4.7</w:t>
                  </w:r>
                </w:p>
              </w:tc>
              <w:tc>
                <w:tcPr>
                  <w:tcW w:w="1443"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7" w:hRule="exact"/>
              </w:trPr>
              <w:tc>
                <w:tcPr>
                  <w:tcW w:w="1572"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3工程布置</w:t>
                  </w:r>
                </w:p>
              </w:tc>
              <w:tc>
                <w:tcPr>
                  <w:tcW w:w="540"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p>
              </w:tc>
              <w:tc>
                <w:tcPr>
                  <w:tcW w:w="1443"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坝线河道转弯段</w:t>
                  </w:r>
                </w:p>
              </w:tc>
              <w:tc>
                <w:tcPr>
                  <w:tcW w:w="1443"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坝线下游有一段顺直河段，有利于泄洪消能建筑布置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exact"/>
              </w:trPr>
              <w:tc>
                <w:tcPr>
                  <w:tcW w:w="1572"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四、</w:t>
                  </w:r>
                  <w:r>
                    <w:rPr>
                      <w:rFonts w:hint="default" w:ascii="Times New Roman" w:hAnsi="Times New Roman" w:eastAsia="宋体" w:cs="Times New Roman"/>
                      <w:color w:val="auto"/>
                      <w:sz w:val="21"/>
                      <w:szCs w:val="21"/>
                      <w:highlight w:val="none"/>
                      <w:lang w:eastAsia="zh-CN"/>
                    </w:rPr>
                    <w:t>安福堰</w:t>
                  </w:r>
                  <w:r>
                    <w:rPr>
                      <w:rFonts w:hint="default" w:ascii="Times New Roman" w:hAnsi="Times New Roman" w:eastAsia="宋体" w:cs="Times New Roman"/>
                      <w:color w:val="auto"/>
                      <w:sz w:val="21"/>
                      <w:szCs w:val="21"/>
                      <w:highlight w:val="none"/>
                    </w:rPr>
                    <w:t>淹没及征占地</w:t>
                  </w:r>
                </w:p>
              </w:tc>
              <w:tc>
                <w:tcPr>
                  <w:tcW w:w="540"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p>
              </w:tc>
              <w:tc>
                <w:tcPr>
                  <w:tcW w:w="1443"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p>
              </w:tc>
              <w:tc>
                <w:tcPr>
                  <w:tcW w:w="1443"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exact"/>
              </w:trPr>
              <w:tc>
                <w:tcPr>
                  <w:tcW w:w="1572"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2征地面积</w:t>
                  </w:r>
                </w:p>
              </w:tc>
              <w:tc>
                <w:tcPr>
                  <w:tcW w:w="540"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亩</w:t>
                  </w:r>
                </w:p>
              </w:tc>
              <w:tc>
                <w:tcPr>
                  <w:tcW w:w="1443"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48.2</w:t>
                  </w:r>
                </w:p>
              </w:tc>
              <w:tc>
                <w:tcPr>
                  <w:tcW w:w="1443"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48.91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exact"/>
              </w:trPr>
              <w:tc>
                <w:tcPr>
                  <w:tcW w:w="1572"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3搬迁人口</w:t>
                  </w:r>
                </w:p>
              </w:tc>
              <w:tc>
                <w:tcPr>
                  <w:tcW w:w="540"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人</w:t>
                  </w:r>
                </w:p>
              </w:tc>
              <w:tc>
                <w:tcPr>
                  <w:tcW w:w="1443"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0</w:t>
                  </w:r>
                </w:p>
              </w:tc>
              <w:tc>
                <w:tcPr>
                  <w:tcW w:w="1443"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exact"/>
              </w:trPr>
              <w:tc>
                <w:tcPr>
                  <w:tcW w:w="1572"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4移民征地费用</w:t>
                  </w:r>
                </w:p>
              </w:tc>
              <w:tc>
                <w:tcPr>
                  <w:tcW w:w="540"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万元</w:t>
                  </w:r>
                </w:p>
              </w:tc>
              <w:tc>
                <w:tcPr>
                  <w:tcW w:w="1443"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14.0</w:t>
                  </w:r>
                </w:p>
              </w:tc>
              <w:tc>
                <w:tcPr>
                  <w:tcW w:w="1443"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exact"/>
              </w:trPr>
              <w:tc>
                <w:tcPr>
                  <w:tcW w:w="1572"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五施工条件</w:t>
                  </w:r>
                </w:p>
              </w:tc>
              <w:tc>
                <w:tcPr>
                  <w:tcW w:w="540"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p>
              </w:tc>
              <w:tc>
                <w:tcPr>
                  <w:tcW w:w="1443"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p>
              </w:tc>
              <w:tc>
                <w:tcPr>
                  <w:tcW w:w="1443"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exact"/>
              </w:trPr>
              <w:tc>
                <w:tcPr>
                  <w:tcW w:w="1572"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1施工导流</w:t>
                  </w:r>
                </w:p>
              </w:tc>
              <w:tc>
                <w:tcPr>
                  <w:tcW w:w="540"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p>
              </w:tc>
              <w:tc>
                <w:tcPr>
                  <w:tcW w:w="1443"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可分期导流</w:t>
                  </w:r>
                </w:p>
              </w:tc>
              <w:tc>
                <w:tcPr>
                  <w:tcW w:w="1443"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可分期导流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exact"/>
              </w:trPr>
              <w:tc>
                <w:tcPr>
                  <w:tcW w:w="1572"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2施工交通</w:t>
                  </w:r>
                </w:p>
              </w:tc>
              <w:tc>
                <w:tcPr>
                  <w:tcW w:w="540"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p>
              </w:tc>
              <w:tc>
                <w:tcPr>
                  <w:tcW w:w="1443"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离场外砼路近</w:t>
                  </w:r>
                </w:p>
              </w:tc>
              <w:tc>
                <w:tcPr>
                  <w:tcW w:w="1443" w:type="pct"/>
                  <w:tcBorders>
                    <w:tl2br w:val="nil"/>
                    <w:tr2bl w:val="nil"/>
                  </w:tcBorders>
                  <w:noWrap w:val="0"/>
                  <w:vAlign w:val="center"/>
                </w:tcPr>
                <w:p>
                  <w:pPr>
                    <w:pStyle w:val="94"/>
                    <w:keepNext w:val="0"/>
                    <w:keepLines w:val="0"/>
                    <w:pageBreakBefore w:val="0"/>
                    <w:widowControl w:val="0"/>
                    <w:kinsoku/>
                    <w:wordWrap/>
                    <w:overflowPunct/>
                    <w:topLinePunct w:val="0"/>
                    <w:autoSpaceDE/>
                    <w:autoSpaceDN/>
                    <w:bidi w:val="0"/>
                    <w:spacing w:beforeLines="0" w:afterLines="0" w:line="360" w:lineRule="auto"/>
                    <w:ind w:firstLine="420" w:firstLineChars="20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离场外砼路近</w:t>
                  </w:r>
                </w:p>
              </w:tc>
            </w:tr>
          </w:tbl>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由表</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可知，两坝线均具建低坝的工程地质条件，不存在建坝成库的地质制约因素。从工程地质</w:t>
            </w:r>
            <w:r>
              <w:rPr>
                <w:rFonts w:hint="default" w:ascii="Times New Roman" w:hAnsi="Times New Roman" w:eastAsia="宋体" w:cs="Times New Roman"/>
                <w:color w:val="auto"/>
                <w:spacing w:val="-2"/>
                <w:sz w:val="24"/>
                <w:szCs w:val="24"/>
                <w:highlight w:val="none"/>
              </w:rPr>
              <w:t>条件</w:t>
            </w:r>
            <w:r>
              <w:rPr>
                <w:rFonts w:hint="default" w:ascii="Times New Roman" w:hAnsi="Times New Roman" w:eastAsia="宋体" w:cs="Times New Roman"/>
                <w:color w:val="auto"/>
                <w:sz w:val="24"/>
                <w:szCs w:val="24"/>
                <w:highlight w:val="none"/>
              </w:rPr>
              <w:t>而言，上下坝线基本相同，地形条件</w:t>
            </w:r>
            <w:r>
              <w:rPr>
                <w:rFonts w:hint="default" w:ascii="Times New Roman" w:hAnsi="Times New Roman" w:eastAsia="宋体" w:cs="Times New Roman"/>
                <w:color w:val="auto"/>
                <w:sz w:val="24"/>
                <w:szCs w:val="24"/>
                <w:highlight w:val="none"/>
                <w:lang w:val="en-US" w:eastAsia="zh-CN"/>
              </w:rPr>
              <w:t>下</w:t>
            </w:r>
            <w:r>
              <w:rPr>
                <w:rFonts w:hint="default" w:ascii="Times New Roman" w:hAnsi="Times New Roman" w:eastAsia="宋体" w:cs="Times New Roman"/>
                <w:color w:val="auto"/>
                <w:sz w:val="24"/>
                <w:szCs w:val="24"/>
                <w:highlight w:val="none"/>
              </w:rPr>
              <w:t>坝线优于</w:t>
            </w:r>
            <w:r>
              <w:rPr>
                <w:rFonts w:hint="default" w:ascii="Times New Roman" w:hAnsi="Times New Roman" w:eastAsia="宋体" w:cs="Times New Roman"/>
                <w:color w:val="auto"/>
                <w:sz w:val="24"/>
                <w:szCs w:val="24"/>
                <w:highlight w:val="none"/>
                <w:lang w:val="en-US" w:eastAsia="zh-CN"/>
              </w:rPr>
              <w:t>上</w:t>
            </w:r>
            <w:r>
              <w:rPr>
                <w:rFonts w:hint="default" w:ascii="Times New Roman" w:hAnsi="Times New Roman" w:eastAsia="宋体" w:cs="Times New Roman"/>
                <w:color w:val="auto"/>
                <w:sz w:val="24"/>
                <w:szCs w:val="24"/>
                <w:highlight w:val="none"/>
              </w:rPr>
              <w:t>坝线。</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从工程布置合理性上，</w:t>
            </w:r>
            <w:r>
              <w:rPr>
                <w:rFonts w:hint="default" w:ascii="Times New Roman" w:hAnsi="Times New Roman" w:eastAsia="宋体" w:cs="Times New Roman"/>
                <w:color w:val="auto"/>
                <w:sz w:val="24"/>
                <w:szCs w:val="24"/>
                <w:highlight w:val="none"/>
                <w:lang w:val="en-US" w:eastAsia="zh-CN"/>
              </w:rPr>
              <w:t>上</w:t>
            </w:r>
            <w:r>
              <w:rPr>
                <w:rFonts w:hint="default" w:ascii="Times New Roman" w:hAnsi="Times New Roman" w:eastAsia="宋体" w:cs="Times New Roman"/>
                <w:color w:val="auto"/>
                <w:sz w:val="24"/>
                <w:szCs w:val="24"/>
                <w:highlight w:val="none"/>
              </w:rPr>
              <w:t>坝线位于</w:t>
            </w:r>
            <w:r>
              <w:rPr>
                <w:rFonts w:hint="default" w:ascii="Times New Roman" w:hAnsi="Times New Roman" w:eastAsia="宋体" w:cs="Times New Roman"/>
                <w:color w:val="auto"/>
                <w:spacing w:val="-2"/>
                <w:sz w:val="24"/>
                <w:szCs w:val="24"/>
                <w:highlight w:val="none"/>
              </w:rPr>
              <w:t>河道</w:t>
            </w:r>
            <w:r>
              <w:rPr>
                <w:rFonts w:hint="default" w:ascii="Times New Roman" w:hAnsi="Times New Roman" w:eastAsia="宋体" w:cs="Times New Roman"/>
                <w:color w:val="auto"/>
                <w:sz w:val="24"/>
                <w:szCs w:val="24"/>
                <w:highlight w:val="none"/>
              </w:rPr>
              <w:t>弯段，不利于下游消能建筑物的布置</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下</w:t>
            </w:r>
            <w:r>
              <w:rPr>
                <w:rFonts w:hint="default" w:ascii="Times New Roman" w:hAnsi="Times New Roman" w:eastAsia="宋体" w:cs="Times New Roman"/>
                <w:color w:val="auto"/>
                <w:sz w:val="24"/>
                <w:szCs w:val="24"/>
                <w:highlight w:val="none"/>
              </w:rPr>
              <w:t>坝线下游有一段顺直河段，有利于泄洪消能建筑布置</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且河道宽度较大，有利于布置安福堰取水口。</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两坝线相距约80m，</w:t>
            </w:r>
            <w:r>
              <w:rPr>
                <w:rFonts w:hint="default" w:ascii="Times New Roman" w:hAnsi="Times New Roman" w:eastAsia="宋体" w:cs="Times New Roman"/>
                <w:color w:val="auto"/>
                <w:spacing w:val="-2"/>
                <w:sz w:val="24"/>
                <w:szCs w:val="24"/>
                <w:highlight w:val="none"/>
              </w:rPr>
              <w:t>区间</w:t>
            </w:r>
            <w:r>
              <w:rPr>
                <w:rFonts w:hint="default" w:ascii="Times New Roman" w:hAnsi="Times New Roman" w:eastAsia="宋体" w:cs="Times New Roman"/>
                <w:color w:val="auto"/>
                <w:sz w:val="24"/>
                <w:szCs w:val="24"/>
                <w:highlight w:val="none"/>
              </w:rPr>
              <w:t>无较大支沟汇入，上下坝线集雨面积基本相当，来水情况基本相当。</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工程建筑布置上坝线坝顶轴线长度120m，最大坝高</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m；下坝线坝顶轴线长度</w:t>
            </w:r>
            <w:r>
              <w:rPr>
                <w:rFonts w:hint="default" w:ascii="Times New Roman" w:hAnsi="Times New Roman" w:eastAsia="宋体" w:cs="Times New Roman"/>
                <w:color w:val="auto"/>
                <w:sz w:val="24"/>
                <w:szCs w:val="24"/>
                <w:highlight w:val="none"/>
                <w:lang w:val="en-US" w:eastAsia="zh-CN"/>
              </w:rPr>
              <w:t>130.828</w:t>
            </w:r>
            <w:r>
              <w:rPr>
                <w:rFonts w:hint="default" w:ascii="Times New Roman" w:hAnsi="Times New Roman" w:eastAsia="宋体" w:cs="Times New Roman"/>
                <w:color w:val="auto"/>
                <w:sz w:val="24"/>
                <w:szCs w:val="24"/>
                <w:highlight w:val="none"/>
              </w:rPr>
              <w:t>m，最大坝高</w:t>
            </w:r>
            <w:r>
              <w:rPr>
                <w:rFonts w:hint="default" w:ascii="Times New Roman" w:hAnsi="Times New Roman" w:eastAsia="宋体" w:cs="Times New Roman"/>
                <w:color w:val="auto"/>
                <w:sz w:val="24"/>
                <w:szCs w:val="24"/>
                <w:highlight w:val="none"/>
                <w:lang w:val="en-US" w:eastAsia="zh-CN"/>
              </w:rPr>
              <w:t>4.7</w:t>
            </w:r>
            <w:r>
              <w:rPr>
                <w:rFonts w:hint="default" w:ascii="Times New Roman" w:hAnsi="Times New Roman" w:eastAsia="宋体" w:cs="Times New Roman"/>
                <w:color w:val="auto"/>
                <w:sz w:val="24"/>
                <w:szCs w:val="24"/>
                <w:highlight w:val="none"/>
              </w:rPr>
              <w:t>m，工程枢纽投资上坝线要少于下坝线。</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交通条件上下坝线相当。上、下坝线河段地形地质条件相当，施工导流工程的方式，施工场地条件以及风、水、电供应条件基本相当。</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b/>
                <w:bCs/>
                <w:i w:val="0"/>
                <w:iCs w:val="0"/>
                <w:color w:val="auto"/>
                <w:sz w:val="24"/>
                <w:szCs w:val="24"/>
                <w:highlight w:val="none"/>
              </w:rPr>
            </w:pPr>
            <w:r>
              <w:rPr>
                <w:rFonts w:hint="default" w:ascii="Times New Roman" w:hAnsi="Times New Roman" w:eastAsia="宋体" w:cs="Times New Roman"/>
                <w:color w:val="auto"/>
                <w:sz w:val="24"/>
                <w:szCs w:val="24"/>
                <w:highlight w:val="none"/>
              </w:rPr>
              <w:t>经综合分析比较，上、下坝线均具备建坝条件；枢纽工程布置条件下坝线优</w:t>
            </w:r>
            <w:r>
              <w:rPr>
                <w:rFonts w:hint="default" w:ascii="Times New Roman" w:hAnsi="Times New Roman" w:eastAsia="宋体" w:cs="Times New Roman"/>
                <w:color w:val="auto"/>
                <w:sz w:val="24"/>
                <w:szCs w:val="24"/>
                <w:highlight w:val="none"/>
                <w:lang w:val="en-US" w:eastAsia="zh-CN"/>
              </w:rPr>
              <w:t>于上坝线</w:t>
            </w:r>
            <w:r>
              <w:rPr>
                <w:rFonts w:hint="default" w:ascii="Times New Roman" w:hAnsi="Times New Roman" w:eastAsia="宋体" w:cs="Times New Roman"/>
                <w:color w:val="auto"/>
                <w:sz w:val="24"/>
                <w:szCs w:val="24"/>
                <w:highlight w:val="none"/>
              </w:rPr>
              <w:t>；建坝条件上下坝线相当；来水与</w:t>
            </w:r>
            <w:r>
              <w:rPr>
                <w:rFonts w:hint="default" w:ascii="Times New Roman" w:hAnsi="Times New Roman" w:eastAsia="宋体" w:cs="Times New Roman"/>
                <w:color w:val="auto"/>
                <w:sz w:val="24"/>
                <w:szCs w:val="24"/>
                <w:highlight w:val="none"/>
                <w:lang w:eastAsia="zh-CN"/>
              </w:rPr>
              <w:t>安福堰</w:t>
            </w:r>
            <w:r>
              <w:rPr>
                <w:rFonts w:hint="default" w:ascii="Times New Roman" w:hAnsi="Times New Roman" w:eastAsia="宋体" w:cs="Times New Roman"/>
                <w:color w:val="auto"/>
                <w:sz w:val="24"/>
                <w:szCs w:val="24"/>
                <w:highlight w:val="none"/>
              </w:rPr>
              <w:t>条件上下坝线相当；</w:t>
            </w:r>
            <w:r>
              <w:rPr>
                <w:rFonts w:hint="default" w:ascii="Times New Roman" w:hAnsi="Times New Roman" w:eastAsia="宋体" w:cs="Times New Roman"/>
                <w:color w:val="auto"/>
                <w:sz w:val="24"/>
                <w:szCs w:val="24"/>
                <w:highlight w:val="none"/>
                <w:lang w:eastAsia="zh-CN"/>
              </w:rPr>
              <w:t>安福堰</w:t>
            </w:r>
            <w:r>
              <w:rPr>
                <w:rFonts w:hint="default" w:ascii="Times New Roman" w:hAnsi="Times New Roman" w:eastAsia="宋体" w:cs="Times New Roman"/>
                <w:color w:val="auto"/>
                <w:sz w:val="24"/>
                <w:szCs w:val="24"/>
                <w:highlight w:val="none"/>
              </w:rPr>
              <w:t>淹没及占地投资</w:t>
            </w:r>
            <w:r>
              <w:rPr>
                <w:rFonts w:hint="default" w:ascii="Times New Roman" w:hAnsi="Times New Roman" w:eastAsia="宋体" w:cs="Times New Roman"/>
                <w:color w:val="auto"/>
                <w:sz w:val="24"/>
                <w:szCs w:val="24"/>
                <w:highlight w:val="none"/>
                <w:lang w:eastAsia="zh-CN"/>
              </w:rPr>
              <w:t>上</w:t>
            </w:r>
            <w:r>
              <w:rPr>
                <w:rFonts w:hint="default" w:ascii="Times New Roman" w:hAnsi="Times New Roman" w:eastAsia="宋体" w:cs="Times New Roman"/>
                <w:color w:val="auto"/>
                <w:sz w:val="24"/>
                <w:szCs w:val="24"/>
                <w:highlight w:val="none"/>
              </w:rPr>
              <w:t>下坝线优</w:t>
            </w:r>
            <w:r>
              <w:rPr>
                <w:rFonts w:hint="default" w:ascii="Times New Roman" w:hAnsi="Times New Roman" w:eastAsia="宋体" w:cs="Times New Roman"/>
                <w:color w:val="auto"/>
                <w:sz w:val="24"/>
                <w:szCs w:val="24"/>
                <w:highlight w:val="none"/>
                <w:lang w:eastAsia="zh-CN"/>
              </w:rPr>
              <w:t>相当</w:t>
            </w:r>
            <w:r>
              <w:rPr>
                <w:rFonts w:hint="default" w:ascii="Times New Roman" w:hAnsi="Times New Roman" w:eastAsia="宋体" w:cs="Times New Roman"/>
                <w:color w:val="auto"/>
                <w:sz w:val="24"/>
                <w:szCs w:val="24"/>
                <w:highlight w:val="none"/>
              </w:rPr>
              <w:t>；施工交通条件上下坝线相当，施工导流条件相当，综合分析下坝线优，</w:t>
            </w:r>
            <w:r>
              <w:rPr>
                <w:rFonts w:hint="default" w:ascii="Times New Roman" w:hAnsi="Times New Roman" w:eastAsia="宋体" w:cs="Times New Roman"/>
                <w:b/>
                <w:bCs/>
                <w:i w:val="0"/>
                <w:iCs w:val="0"/>
                <w:color w:val="auto"/>
                <w:sz w:val="24"/>
                <w:szCs w:val="24"/>
                <w:highlight w:val="none"/>
              </w:rPr>
              <w:t>因此，本阶段推荐下坝线方案。</w:t>
            </w:r>
          </w:p>
          <w:p>
            <w:pPr>
              <w:keepNext w:val="0"/>
              <w:keepLines w:val="0"/>
              <w:pageBreakBefore w:val="0"/>
              <w:widowControl w:val="0"/>
              <w:numPr>
                <w:ilvl w:val="0"/>
                <w:numId w:val="10"/>
              </w:numPr>
              <w:kinsoku/>
              <w:wordWrap/>
              <w:overflowPunct/>
              <w:topLinePunct w:val="0"/>
              <w:autoSpaceDE/>
              <w:autoSpaceDN/>
              <w:bidi w:val="0"/>
              <w:spacing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坝型选定</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color w:val="0000FF"/>
                <w:kern w:val="0"/>
                <w:szCs w:val="21"/>
                <w:lang w:eastAsia="zh-CN"/>
              </w:rPr>
            </w:pPr>
            <w:r>
              <w:rPr>
                <w:rFonts w:hint="eastAsia" w:ascii="Times New Roman" w:hAnsi="Times New Roman" w:eastAsia="宋体" w:cs="Times New Roman"/>
                <w:color w:val="auto"/>
                <w:sz w:val="24"/>
                <w:szCs w:val="24"/>
                <w:highlight w:val="none"/>
              </w:rPr>
              <w:t>根据地质勘探表明，工程区无建当地材料坝的条件，且因地形平坦及征地困难等限制，无法提供单独排洪位置，只能选先坝顶溢洪的刚性坝。原安福堰在设计洪水20年一遇工况下，洪水水位已达到右岸一级阶地，因此本次大坝坝顶高程不能高于原安福堰高程，为了达到枯期挡水，汛期安全行洪的要求，经多方案比较，推荐选用汛期可全部倒伏的气盾坝方案。</w:t>
            </w:r>
          </w:p>
        </w:tc>
      </w:tr>
    </w:tbl>
    <w:p>
      <w:pPr>
        <w:pStyle w:val="37"/>
        <w:keepNext w:val="0"/>
        <w:keepLines w:val="0"/>
        <w:pageBreakBefore w:val="0"/>
        <w:kinsoku/>
        <w:wordWrap/>
        <w:overflowPunct/>
        <w:topLinePunct w:val="0"/>
        <w:bidi w:val="0"/>
        <w:adjustRightInd w:val="0"/>
        <w:snapToGrid w:val="0"/>
        <w:jc w:val="center"/>
        <w:textAlignment w:val="auto"/>
        <w:outlineLvl w:val="0"/>
        <w:rPr>
          <w:rFonts w:hint="default" w:ascii="Times New Roman" w:hAnsi="Times New Roman" w:eastAsia="黑体" w:cs="Times New Roman"/>
          <w:snapToGrid w:val="0"/>
          <w:sz w:val="30"/>
          <w:szCs w:val="30"/>
        </w:rPr>
      </w:pPr>
      <w:r>
        <w:rPr>
          <w:rFonts w:hint="default" w:ascii="Times New Roman" w:hAnsi="Times New Roman" w:eastAsia="仿宋_GB2312" w:cs="Times New Roman"/>
          <w:b/>
          <w:bCs/>
        </w:rPr>
        <w:br w:type="page"/>
      </w:r>
      <w:r>
        <w:rPr>
          <w:rFonts w:hint="default" w:ascii="Times New Roman" w:hAnsi="Times New Roman" w:eastAsia="黑体" w:cs="Times New Roman"/>
          <w:snapToGrid w:val="0"/>
          <w:sz w:val="30"/>
          <w:szCs w:val="30"/>
        </w:rPr>
        <w:t>三、生态环境现状、保护目标及评价标准</w:t>
      </w:r>
    </w:p>
    <w:tbl>
      <w:tblPr>
        <w:tblStyle w:val="41"/>
        <w:tblW w:w="85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806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1"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kern w:val="0"/>
                <w:szCs w:val="21"/>
              </w:rPr>
            </w:pPr>
            <w:r>
              <w:rPr>
                <w:rFonts w:hint="default" w:ascii="Times New Roman" w:hAnsi="Times New Roman" w:cs="Times New Roman"/>
                <w:kern w:val="0"/>
                <w:szCs w:val="21"/>
              </w:rPr>
              <w:t>生态环境现状</w:t>
            </w:r>
          </w:p>
        </w:tc>
        <w:tc>
          <w:tcPr>
            <w:tcW w:w="7663"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left"/>
              <w:textAlignment w:val="center"/>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rPr>
              <w:t>、生态环境质量</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（1）主体功能区规划和生态功能区划情况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FF"/>
                <w:kern w:val="0"/>
                <w:szCs w:val="21"/>
              </w:rPr>
            </w:pPr>
            <w:r>
              <w:rPr>
                <w:rFonts w:hint="default" w:ascii="Times New Roman" w:hAnsi="Times New Roman" w:eastAsia="宋体" w:cs="Times New Roman"/>
                <w:b w:val="0"/>
                <w:bCs w:val="0"/>
                <w:color w:val="auto"/>
                <w:sz w:val="24"/>
                <w:szCs w:val="24"/>
                <w:lang w:val="en-US" w:eastAsia="zh-CN"/>
              </w:rPr>
              <w:t>本项目位于</w:t>
            </w:r>
            <w:r>
              <w:rPr>
                <w:sz w:val="24"/>
              </w:rPr>
              <w:t>乐山市</w:t>
            </w:r>
            <w:r>
              <w:rPr>
                <w:rFonts w:hint="eastAsia"/>
                <w:sz w:val="24"/>
                <w:lang w:eastAsia="zh-CN"/>
              </w:rPr>
              <w:t>市中区</w:t>
            </w:r>
            <w:r>
              <w:rPr>
                <w:rFonts w:hint="eastAsia"/>
                <w:sz w:val="24"/>
                <w:lang w:val="en-US" w:eastAsia="zh-CN"/>
              </w:rPr>
              <w:t>苏稽镇</w:t>
            </w:r>
            <w:r>
              <w:rPr>
                <w:rFonts w:hint="default" w:ascii="Times New Roman" w:hAnsi="Times New Roman" w:eastAsia="宋体" w:cs="Times New Roman"/>
                <w:color w:val="auto"/>
                <w:kern w:val="21"/>
                <w:sz w:val="24"/>
                <w:szCs w:val="24"/>
                <w:lang w:eastAsia="zh-CN"/>
              </w:rPr>
              <w:t>，</w:t>
            </w:r>
            <w:r>
              <w:rPr>
                <w:rFonts w:hint="default" w:ascii="Times New Roman" w:hAnsi="Times New Roman" w:eastAsia="宋体" w:cs="Times New Roman"/>
                <w:color w:val="auto"/>
                <w:kern w:val="21"/>
                <w:sz w:val="24"/>
                <w:szCs w:val="24"/>
                <w:lang w:val="en-US" w:eastAsia="zh-CN"/>
              </w:rPr>
              <w:t>根据《四川省生态功能区划》，本项目所在区域属四川盆地亚热带湿润气候生态区，生态功能区属Ⅰ1-3，即盆北秦巴山地常绿阔叶林-针阔混交林生态亚区生态功能区。四川省生态功能区划见图3-1。</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color w:val="0000FF"/>
                <w:kern w:val="0"/>
                <w:szCs w:val="21"/>
                <w:lang w:eastAsia="zh-CN"/>
              </w:rPr>
            </w:pPr>
            <w:r>
              <w:rPr>
                <w:rFonts w:hint="default" w:ascii="Times New Roman" w:hAnsi="Times New Roman" w:cs="Times New Roman"/>
                <w:color w:val="auto"/>
                <w:spacing w:val="0"/>
                <w:sz w:val="24"/>
              </w:rPr>
              <mc:AlternateContent>
                <mc:Choice Requires="wps">
                  <w:drawing>
                    <wp:anchor distT="0" distB="0" distL="114300" distR="114300" simplePos="0" relativeHeight="251662336" behindDoc="0" locked="0" layoutInCell="1" allowOverlap="1">
                      <wp:simplePos x="0" y="0"/>
                      <wp:positionH relativeFrom="column">
                        <wp:posOffset>596265</wp:posOffset>
                      </wp:positionH>
                      <wp:positionV relativeFrom="paragraph">
                        <wp:posOffset>701040</wp:posOffset>
                      </wp:positionV>
                      <wp:extent cx="961390" cy="327660"/>
                      <wp:effectExtent l="12700" t="12700" r="340360" b="364490"/>
                      <wp:wrapNone/>
                      <wp:docPr id="197" name="矩形标注 197"/>
                      <wp:cNvGraphicFramePr/>
                      <a:graphic xmlns:a="http://schemas.openxmlformats.org/drawingml/2006/main">
                        <a:graphicData uri="http://schemas.microsoft.com/office/word/2010/wordprocessingShape">
                          <wps:wsp>
                            <wps:cNvSpPr/>
                            <wps:spPr>
                              <a:xfrm>
                                <a:off x="1962150" y="2066925"/>
                                <a:ext cx="961390" cy="327660"/>
                              </a:xfrm>
                              <a:prstGeom prst="wedgeRectCallout">
                                <a:avLst>
                                  <a:gd name="adj1" fmla="val 82584"/>
                                  <a:gd name="adj2" fmla="val 155620"/>
                                </a:avLst>
                              </a:prstGeom>
                              <a:solidFill>
                                <a:srgbClr val="FFFFFF"/>
                              </a:solidFill>
                              <a:ln w="25400" cap="flat" cmpd="sng" algn="ctr">
                                <a:solidFill>
                                  <a:srgbClr val="F79646"/>
                                </a:solidFill>
                                <a:prstDash val="solid"/>
                              </a:ln>
                              <a:effectLst/>
                            </wps:spPr>
                            <wps:txbx>
                              <w:txbxContent>
                                <w:p>
                                  <w:pPr>
                                    <w:ind w:left="0" w:leftChars="0" w:firstLine="0" w:firstLineChars="0"/>
                                    <w:jc w:val="both"/>
                                    <w:rPr>
                                      <w:rFonts w:hint="eastAsia" w:eastAsia="宋体"/>
                                      <w:lang w:eastAsia="zh-CN"/>
                                    </w:rPr>
                                  </w:pPr>
                                  <w:r>
                                    <w:rPr>
                                      <w:rFonts w:hint="eastAsia"/>
                                      <w:lang w:eastAsia="zh-CN"/>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46.95pt;margin-top:55.2pt;height:25.8pt;width:75.7pt;z-index:251662336;v-text-anchor:middle;mso-width-relative:page;mso-height-relative:page;" fillcolor="#FFFFFF" filled="t" stroked="t" coordsize="21600,21600" o:gfxdata="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DP9TTQ1wAAAAoBAAAPAAAAAAAAAAEAIAAAACIA&#10;AABkcnMvZG93bnJldi54bWxQSwECFAAUAAAACACHTuJAyBEEzrUCAABpBQAADgAAAAAAAAABACAA&#10;AAAmAQAAZHJzL2Uyb0RvYy54bWxQSwUGAAAAAAYABgBZAQAATQYAAAAA&#10;" adj="28638,44414">
                      <v:path/>
                      <v:fill on="t" focussize="0,0"/>
                      <v:stroke weight="2pt" color="#F79646" joinstyle="round"/>
                      <v:imagedata o:title=""/>
                      <o:lock v:ext="edit" aspectratio="f"/>
                      <v:textbox>
                        <w:txbxContent>
                          <w:p>
                            <w:pPr>
                              <w:ind w:left="0" w:leftChars="0" w:firstLine="0" w:firstLineChars="0"/>
                              <w:jc w:val="both"/>
                              <w:rPr>
                                <w:rFonts w:hint="eastAsia" w:eastAsia="宋体"/>
                                <w:lang w:eastAsia="zh-CN"/>
                              </w:rPr>
                            </w:pPr>
                            <w:r>
                              <w:rPr>
                                <w:rFonts w:hint="eastAsia"/>
                                <w:lang w:eastAsia="zh-CN"/>
                              </w:rPr>
                              <w:t>项目所在地</w:t>
                            </w:r>
                          </w:p>
                        </w:txbxContent>
                      </v:textbox>
                    </v:shape>
                  </w:pict>
                </mc:Fallback>
              </mc:AlternateContent>
            </w:r>
            <w:r>
              <w:rPr>
                <w:rFonts w:hint="default" w:ascii="Times New Roman" w:hAnsi="Times New Roman" w:eastAsia="宋体" w:cs="Times New Roman"/>
                <w:color w:val="0000FF"/>
                <w:kern w:val="0"/>
                <w:szCs w:val="21"/>
                <w:lang w:eastAsia="zh-CN"/>
              </w:rPr>
              <w:drawing>
                <wp:inline distT="0" distB="0" distL="114300" distR="114300">
                  <wp:extent cx="5006340" cy="2720975"/>
                  <wp:effectExtent l="0" t="0" r="3810" b="3175"/>
                  <wp:docPr id="196" name="图片 1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7" descr="图片1"/>
                          <pic:cNvPicPr>
                            <a:picLocks noChangeAspect="1"/>
                          </pic:cNvPicPr>
                        </pic:nvPicPr>
                        <pic:blipFill>
                          <a:blip r:embed="rId39"/>
                          <a:stretch>
                            <a:fillRect/>
                          </a:stretch>
                        </pic:blipFill>
                        <pic:spPr>
                          <a:xfrm>
                            <a:off x="0" y="0"/>
                            <a:ext cx="5006340" cy="27209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0000FF"/>
                <w:kern w:val="0"/>
                <w:szCs w:val="21"/>
              </w:rPr>
            </w:pPr>
            <w:r>
              <w:rPr>
                <w:rFonts w:hint="default" w:ascii="Times New Roman" w:hAnsi="Times New Roman" w:eastAsia="宋体" w:cs="Times New Roman"/>
                <w:b/>
                <w:bCs/>
                <w:color w:val="auto"/>
                <w:spacing w:val="0"/>
                <w:sz w:val="21"/>
                <w:szCs w:val="21"/>
                <w:lang w:val="en-US" w:eastAsia="zh-CN" w:bidi="ar-SA"/>
              </w:rPr>
              <w:t>图3-1  四川省生态功能区划图</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b/>
                <w:bCs/>
                <w:color w:val="auto"/>
                <w:kern w:val="0"/>
                <w:sz w:val="24"/>
                <w:szCs w:val="24"/>
              </w:rPr>
            </w:pPr>
            <w:r>
              <w:rPr>
                <w:rFonts w:hint="default" w:ascii="Times New Roman" w:hAnsi="Times New Roman" w:cs="Times New Roman"/>
                <w:b/>
                <w:bCs/>
                <w:color w:val="auto"/>
                <w:kern w:val="0"/>
                <w:sz w:val="24"/>
                <w:szCs w:val="24"/>
              </w:rPr>
              <w:t>（2）水生生态环境质量现状</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1）水文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项目周围地表水主要为</w:t>
            </w:r>
            <w:r>
              <w:rPr>
                <w:rFonts w:hint="eastAsia" w:ascii="Times New Roman" w:hAnsi="Times New Roman" w:eastAsia="宋体" w:cs="Times New Roman"/>
                <w:color w:val="auto"/>
                <w:kern w:val="0"/>
                <w:sz w:val="24"/>
                <w:szCs w:val="24"/>
                <w:lang w:val="en-US" w:eastAsia="zh-CN"/>
              </w:rPr>
              <w:t>峨眉河</w:t>
            </w:r>
            <w:r>
              <w:rPr>
                <w:rFonts w:hint="default" w:ascii="Times New Roman" w:hAnsi="Times New Roman" w:eastAsia="宋体" w:cs="Times New Roman"/>
                <w:color w:val="auto"/>
                <w:kern w:val="0"/>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峨眉河古称铁桥河，符汶河，是大渡河下游左岸一级支流。干流全长61.5km，河流平均比降5.1‰，流域面积484.4km</w:t>
            </w:r>
            <w:r>
              <w:rPr>
                <w:rFonts w:hint="default" w:ascii="Times New Roman" w:hAnsi="Times New Roman" w:eastAsia="宋体" w:cs="Times New Roman"/>
                <w:color w:val="auto"/>
                <w:kern w:val="0"/>
                <w:sz w:val="24"/>
                <w:szCs w:val="24"/>
                <w:vertAlign w:val="superscript"/>
              </w:rPr>
              <w:t>2</w:t>
            </w:r>
            <w:r>
              <w:rPr>
                <w:rFonts w:hint="default" w:ascii="Times New Roman" w:hAnsi="Times New Roman" w:eastAsia="宋体" w:cs="Times New Roman"/>
                <w:color w:val="auto"/>
                <w:kern w:val="0"/>
                <w:sz w:val="24"/>
                <w:szCs w:val="24"/>
              </w:rPr>
              <w:t>。其中峨眉山市境内418.4km</w:t>
            </w:r>
            <w:r>
              <w:rPr>
                <w:rFonts w:hint="default" w:ascii="Times New Roman" w:hAnsi="Times New Roman" w:eastAsia="宋体" w:cs="Times New Roman"/>
                <w:color w:val="auto"/>
                <w:kern w:val="0"/>
                <w:sz w:val="24"/>
                <w:szCs w:val="24"/>
                <w:vertAlign w:val="superscript"/>
              </w:rPr>
              <w:t>2</w:t>
            </w:r>
            <w:r>
              <w:rPr>
                <w:rFonts w:hint="default" w:ascii="Times New Roman" w:hAnsi="Times New Roman" w:eastAsia="宋体" w:cs="Times New Roman"/>
                <w:color w:val="auto"/>
                <w:kern w:val="0"/>
                <w:sz w:val="24"/>
                <w:szCs w:val="24"/>
              </w:rPr>
              <w:t>（占86.4%），夹江县境内19.6km</w:t>
            </w:r>
            <w:r>
              <w:rPr>
                <w:rFonts w:hint="default" w:ascii="Times New Roman" w:hAnsi="Times New Roman" w:eastAsia="宋体" w:cs="Times New Roman"/>
                <w:color w:val="auto"/>
                <w:kern w:val="0"/>
                <w:sz w:val="24"/>
                <w:szCs w:val="24"/>
                <w:vertAlign w:val="superscript"/>
              </w:rPr>
              <w:t>2</w:t>
            </w:r>
            <w:r>
              <w:rPr>
                <w:rFonts w:hint="default" w:ascii="Times New Roman" w:hAnsi="Times New Roman" w:eastAsia="宋体" w:cs="Times New Roman"/>
                <w:color w:val="auto"/>
                <w:kern w:val="0"/>
                <w:sz w:val="24"/>
                <w:szCs w:val="24"/>
              </w:rPr>
              <w:t>（占4%），乐山市市中区境内46.4km</w:t>
            </w:r>
            <w:r>
              <w:rPr>
                <w:rFonts w:hint="default" w:ascii="Times New Roman" w:hAnsi="Times New Roman" w:eastAsia="宋体" w:cs="Times New Roman"/>
                <w:color w:val="auto"/>
                <w:kern w:val="0"/>
                <w:sz w:val="24"/>
                <w:szCs w:val="24"/>
                <w:vertAlign w:val="superscript"/>
              </w:rPr>
              <w:t>2</w:t>
            </w:r>
            <w:r>
              <w:rPr>
                <w:rFonts w:hint="default" w:ascii="Times New Roman" w:hAnsi="Times New Roman" w:eastAsia="宋体" w:cs="Times New Roman"/>
                <w:color w:val="auto"/>
                <w:kern w:val="0"/>
                <w:sz w:val="24"/>
                <w:szCs w:val="24"/>
              </w:rPr>
              <w:t>（占9.6%）。峨眉河有南北二源，其中北源为主源，名黑水河，集水面积56.3km</w:t>
            </w:r>
            <w:r>
              <w:rPr>
                <w:rFonts w:hint="default" w:ascii="Times New Roman" w:hAnsi="Times New Roman" w:eastAsia="宋体" w:cs="Times New Roman"/>
                <w:color w:val="auto"/>
                <w:kern w:val="0"/>
                <w:sz w:val="24"/>
                <w:szCs w:val="24"/>
                <w:vertAlign w:val="superscript"/>
              </w:rPr>
              <w:t>2</w:t>
            </w:r>
            <w:r>
              <w:rPr>
                <w:rFonts w:hint="default" w:ascii="Times New Roman" w:hAnsi="Times New Roman" w:eastAsia="宋体" w:cs="Times New Roman"/>
                <w:color w:val="auto"/>
                <w:kern w:val="0"/>
                <w:sz w:val="24"/>
                <w:szCs w:val="24"/>
              </w:rPr>
              <w:t>，河长13.6km。河流平均比降46.6‰，发源峨眉山市黄湾乡桅杆村神桂山（海拔高程1592m），至尖峰顶（海拔高程1568m）山岭东侧。南源名石笋沟，干流长8.8km，平均比降99.2‰，集水面积19.7km</w:t>
            </w:r>
            <w:r>
              <w:rPr>
                <w:rFonts w:hint="default" w:ascii="Times New Roman" w:hAnsi="Times New Roman" w:eastAsia="宋体" w:cs="Times New Roman"/>
                <w:color w:val="auto"/>
                <w:kern w:val="0"/>
                <w:sz w:val="24"/>
                <w:szCs w:val="24"/>
                <w:vertAlign w:val="superscript"/>
              </w:rPr>
              <w:t>2</w:t>
            </w:r>
            <w:r>
              <w:rPr>
                <w:rFonts w:hint="default" w:ascii="Times New Roman" w:hAnsi="Times New Roman" w:eastAsia="宋体" w:cs="Times New Roman"/>
                <w:color w:val="auto"/>
                <w:kern w:val="0"/>
                <w:sz w:val="24"/>
                <w:szCs w:val="24"/>
              </w:rPr>
              <w:t>，其上游分为黑白二水，白水在左是主流，发源于峨眉山洗衣象池至大乘寺一带山岭东坡，主峰海拔高程2545m；黑水发源九老洞以上，主峰海拔高程2201km，东北流经红椿坪、一线天，与百水汇合于清音阁，继续东北流2.7km与北流相汇于两河口始称峨眉河。再东流3.2km经龙门洞出峡口，穿流于山间平坝，在川主乡纳左支袁溪河（也叫川主河），在绥山镇乔河坝进入峨眉平原，经峨眉城区，在胜利镇梅河坝纳右支虹溪河，经符溪镇在新平乡观音寺纳左支双福河后，进入丘陵区，在徐河口纳右支黑桥河（又名长滩河），在岩面槽子流入乐山市市中区苏稽镇，于程碥村大转弯处折向东南流，经苏稽镇，最后在水口镇魏与罗李坝之间注入大渡河生态河，后汇入大渡河干流。</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峨眉河流域近似平行四边形，东西长约36km，南北宽约26km，流域内水床呈树枝状分布。地势西高东低，分水岭高程西部在1520~2500m，东部在380~450m。峨眉河在龙门洞以上为上游，河段长16.2km，河流平均比降40.5‰，山高谷深，河道狭窄，水流湍急，落差大。龙门洞至双福河口为中游，河段长25.2km，河流平均比降3.34‰，此河段两岸为峨眉平原，水流较平缓。双福河口以下为下游，河段长20km，河流平均比降1.45‰，该河段为丘陵地带。全流域主要支流有袁溪河、虹溪河、双福河和黑桥河。</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流域内植被良好，上游森林、灌木茂盛，中、下游为农耕区，两岸农田密布。峨眉河流经的峨眉平原，有跃进渠、龙门堰及工农兵水库河溉工程，渠系纵横形成水网，水利化程度较高，农田灌溉得到充分保障。</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2</w:t>
            </w:r>
            <w:r>
              <w:rPr>
                <w:rFonts w:hint="default" w:ascii="Times New Roman" w:hAnsi="Times New Roman" w:eastAsia="宋体" w:cs="Times New Roman"/>
                <w:b/>
                <w:bCs/>
                <w:color w:val="auto"/>
                <w:kern w:val="0"/>
                <w:sz w:val="24"/>
                <w:szCs w:val="24"/>
                <w:lang w:val="en-US" w:eastAsia="zh-CN"/>
              </w:rPr>
              <w:t>）浮游植物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工程河段内硅藻门类最多，有42种，占种类总数的76.36%；绿藻门类6种，占种类总数的10.91%；蓝藻门6种，占种类总数的10.91%；红藻门1种，占种类总数的1.82%。</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pacing w:val="0"/>
                <w:sz w:val="24"/>
                <w:szCs w:val="20"/>
                <w:lang w:val="en-US" w:eastAsia="zh-CN" w:bidi="ar-SA"/>
              </w:rPr>
            </w:pPr>
            <w:r>
              <w:rPr>
                <w:rFonts w:hint="eastAsia" w:ascii="Times New Roman" w:hAnsi="Times New Roman" w:eastAsia="宋体" w:cs="Times New Roman"/>
                <w:b/>
                <w:bCs/>
                <w:color w:val="auto"/>
                <w:spacing w:val="0"/>
                <w:sz w:val="24"/>
                <w:szCs w:val="20"/>
                <w:lang w:val="en-US" w:eastAsia="zh-CN" w:bidi="ar-SA"/>
              </w:rPr>
              <w:t>3</w:t>
            </w:r>
            <w:r>
              <w:rPr>
                <w:rFonts w:hint="default" w:ascii="Times New Roman" w:hAnsi="Times New Roman" w:eastAsia="宋体" w:cs="Times New Roman"/>
                <w:b/>
                <w:bCs/>
                <w:color w:val="auto"/>
                <w:spacing w:val="0"/>
                <w:sz w:val="24"/>
                <w:szCs w:val="20"/>
                <w:lang w:val="en-US" w:eastAsia="zh-CN" w:bidi="ar-SA"/>
              </w:rPr>
              <w:t>）浮游动物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通过本次现场调查，工程影响水域调查区现有浮游动物4类19种，其中原生动物有7种，占总种类的36.84%；轮虫动物有8种，占总种类的42.11%；枝角类3种，占总种类的15.79%；桡足类1种，占总种类的5.26%，数量上原生动物类与轮虫占据优势。</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pacing w:val="0"/>
                <w:sz w:val="24"/>
                <w:szCs w:val="20"/>
                <w:lang w:val="en-US" w:eastAsia="zh-CN" w:bidi="ar-SA"/>
              </w:rPr>
            </w:pPr>
            <w:r>
              <w:rPr>
                <w:rFonts w:hint="eastAsia" w:ascii="Times New Roman" w:hAnsi="Times New Roman" w:eastAsia="宋体" w:cs="Times New Roman"/>
                <w:b/>
                <w:bCs/>
                <w:color w:val="auto"/>
                <w:spacing w:val="0"/>
                <w:sz w:val="24"/>
                <w:szCs w:val="20"/>
                <w:lang w:val="en-US" w:eastAsia="zh-CN" w:bidi="ar-SA"/>
              </w:rPr>
              <w:t>4</w:t>
            </w:r>
            <w:r>
              <w:rPr>
                <w:rFonts w:hint="default" w:ascii="Times New Roman" w:hAnsi="Times New Roman" w:eastAsia="宋体" w:cs="Times New Roman"/>
                <w:b/>
                <w:bCs/>
                <w:color w:val="auto"/>
                <w:spacing w:val="0"/>
                <w:sz w:val="24"/>
                <w:szCs w:val="20"/>
                <w:lang w:val="en-US" w:eastAsia="zh-CN" w:bidi="ar-SA"/>
              </w:rPr>
              <w:t>）底栖动物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sz w:val="24"/>
                <w:szCs w:val="20"/>
                <w:lang w:val="en-US" w:eastAsia="zh-CN" w:bidi="ar-SA"/>
              </w:rPr>
            </w:pPr>
            <w:r>
              <w:rPr>
                <w:rFonts w:hint="eastAsia" w:ascii="Times New Roman" w:hAnsi="Times New Roman" w:eastAsia="宋体" w:cs="Times New Roman"/>
                <w:color w:val="auto"/>
                <w:spacing w:val="0"/>
                <w:sz w:val="24"/>
                <w:szCs w:val="20"/>
                <w:lang w:val="en-US" w:eastAsia="zh-CN" w:bidi="ar-SA"/>
              </w:rPr>
              <w:t>本次</w:t>
            </w:r>
            <w:r>
              <w:rPr>
                <w:rFonts w:hint="default" w:ascii="Times New Roman" w:hAnsi="Times New Roman" w:eastAsia="宋体" w:cs="Times New Roman"/>
                <w:color w:val="auto"/>
                <w:spacing w:val="0"/>
                <w:sz w:val="24"/>
                <w:szCs w:val="20"/>
                <w:lang w:val="en-US" w:eastAsia="zh-CN" w:bidi="ar-SA"/>
              </w:rPr>
              <w:t>3个采样点中共采集到底栖动物4门12种，其中环节动物2种，占种类的16.67%;软体动物4种，占种类的33.33%;甲壳动物2种，占种类的16.67%;节肢动物4种，占种类的33.33%。</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pacing w:val="0"/>
                <w:sz w:val="24"/>
                <w:szCs w:val="20"/>
                <w:lang w:val="en-US" w:eastAsia="zh-CN" w:bidi="ar-SA"/>
              </w:rPr>
            </w:pPr>
            <w:r>
              <w:rPr>
                <w:rFonts w:hint="eastAsia" w:ascii="Times New Roman" w:hAnsi="Times New Roman" w:eastAsia="宋体" w:cs="Times New Roman"/>
                <w:b/>
                <w:bCs/>
                <w:color w:val="auto"/>
                <w:spacing w:val="0"/>
                <w:sz w:val="24"/>
                <w:szCs w:val="20"/>
                <w:lang w:val="en-US" w:eastAsia="zh-CN" w:bidi="ar-SA"/>
              </w:rPr>
              <w:t>5</w:t>
            </w:r>
            <w:r>
              <w:rPr>
                <w:rFonts w:hint="default" w:ascii="Times New Roman" w:hAnsi="Times New Roman" w:eastAsia="宋体" w:cs="Times New Roman"/>
                <w:b/>
                <w:bCs/>
                <w:color w:val="auto"/>
                <w:spacing w:val="0"/>
                <w:sz w:val="24"/>
                <w:szCs w:val="20"/>
                <w:lang w:val="en-US" w:eastAsia="zh-CN" w:bidi="ar-SA"/>
              </w:rPr>
              <w:t>）</w:t>
            </w:r>
            <w:r>
              <w:rPr>
                <w:rFonts w:hint="eastAsia" w:ascii="Times New Roman" w:hAnsi="Times New Roman" w:eastAsia="宋体" w:cs="Times New Roman"/>
                <w:b/>
                <w:bCs/>
                <w:color w:val="auto"/>
                <w:spacing w:val="0"/>
                <w:sz w:val="24"/>
                <w:szCs w:val="20"/>
                <w:lang w:val="en-US" w:eastAsia="zh-CN" w:bidi="ar-SA"/>
              </w:rPr>
              <w:t>水生维管束植物调查结果</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pacing w:val="0"/>
                <w:sz w:val="24"/>
                <w:szCs w:val="20"/>
                <w:lang w:val="en-US" w:eastAsia="zh-CN" w:bidi="ar-SA"/>
              </w:rPr>
            </w:pPr>
            <w:r>
              <w:rPr>
                <w:rFonts w:hint="eastAsia" w:ascii="Times New Roman" w:hAnsi="Times New Roman" w:eastAsia="宋体" w:cs="Times New Roman"/>
                <w:color w:val="auto"/>
                <w:spacing w:val="0"/>
                <w:sz w:val="24"/>
                <w:szCs w:val="20"/>
                <w:lang w:val="en-US" w:eastAsia="zh-CN" w:bidi="ar-SA"/>
              </w:rPr>
              <w:t>本次调查时间段为冬季，在调查区内发现的维管束植物种类较少，主要为水芹菜、水花生和蓼类，主要分布在河湾、倒濠、水库周边等缓流水或静水区域，或河流两岸的边坡区域。</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pacing w:val="0"/>
                <w:sz w:val="24"/>
                <w:szCs w:val="20"/>
                <w:lang w:val="en-US" w:eastAsia="zh-CN" w:bidi="ar-SA"/>
              </w:rPr>
            </w:pPr>
            <w:r>
              <w:rPr>
                <w:rFonts w:hint="eastAsia" w:ascii="Times New Roman" w:hAnsi="Times New Roman" w:eastAsia="宋体" w:cs="Times New Roman"/>
                <w:b/>
                <w:bCs/>
                <w:color w:val="auto"/>
                <w:spacing w:val="0"/>
                <w:sz w:val="24"/>
                <w:szCs w:val="20"/>
                <w:lang w:val="en-US" w:eastAsia="zh-CN" w:bidi="ar-SA"/>
              </w:rPr>
              <w:t>6）鱼类资源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pacing w:val="0"/>
                <w:sz w:val="24"/>
                <w:szCs w:val="20"/>
                <w:lang w:val="en-US" w:eastAsia="zh-CN" w:bidi="ar-SA"/>
              </w:rPr>
            </w:pPr>
            <w:r>
              <w:rPr>
                <w:rFonts w:hint="eastAsia" w:ascii="Times New Roman" w:hAnsi="Times New Roman" w:eastAsia="宋体" w:cs="Times New Roman"/>
                <w:color w:val="auto"/>
                <w:spacing w:val="0"/>
                <w:sz w:val="24"/>
                <w:szCs w:val="20"/>
                <w:lang w:val="en-US" w:eastAsia="zh-CN" w:bidi="ar-SA"/>
              </w:rPr>
              <w:t>根据本次调查，结合历史数据，在工程影响河段的</w:t>
            </w:r>
            <w:r>
              <w:rPr>
                <w:rFonts w:hint="default" w:ascii="Times New Roman" w:hAnsi="Times New Roman" w:eastAsia="宋体" w:cs="Times New Roman"/>
                <w:color w:val="auto"/>
                <w:spacing w:val="0"/>
                <w:sz w:val="24"/>
                <w:szCs w:val="20"/>
                <w:lang w:val="en-US" w:eastAsia="zh-CN" w:bidi="ar-SA"/>
              </w:rPr>
              <w:t>53</w:t>
            </w:r>
            <w:r>
              <w:rPr>
                <w:rFonts w:hint="eastAsia" w:ascii="Times New Roman" w:hAnsi="Times New Roman" w:eastAsia="宋体" w:cs="Times New Roman"/>
                <w:color w:val="auto"/>
                <w:spacing w:val="0"/>
                <w:sz w:val="24"/>
                <w:szCs w:val="20"/>
                <w:lang w:val="en-US" w:eastAsia="zh-CN" w:bidi="ar-SA"/>
              </w:rPr>
              <w:t>种鱼类中，其中，鲤形目</w:t>
            </w:r>
            <w:r>
              <w:rPr>
                <w:rFonts w:hint="default" w:ascii="Times New Roman" w:hAnsi="Times New Roman" w:eastAsia="宋体" w:cs="Times New Roman"/>
                <w:color w:val="auto"/>
                <w:spacing w:val="0"/>
                <w:sz w:val="24"/>
                <w:szCs w:val="20"/>
                <w:lang w:val="en-US" w:eastAsia="zh-CN" w:bidi="ar-SA"/>
              </w:rPr>
              <w:t>2</w:t>
            </w:r>
            <w:r>
              <w:rPr>
                <w:rFonts w:hint="eastAsia" w:ascii="Times New Roman" w:hAnsi="Times New Roman" w:eastAsia="宋体" w:cs="Times New Roman"/>
                <w:color w:val="auto"/>
                <w:spacing w:val="0"/>
                <w:sz w:val="24"/>
                <w:szCs w:val="20"/>
                <w:lang w:val="en-US" w:eastAsia="zh-CN" w:bidi="ar-SA"/>
              </w:rPr>
              <w:t>科</w:t>
            </w:r>
            <w:r>
              <w:rPr>
                <w:rFonts w:hint="default" w:ascii="Times New Roman" w:hAnsi="Times New Roman" w:eastAsia="宋体" w:cs="Times New Roman"/>
                <w:color w:val="auto"/>
                <w:spacing w:val="0"/>
                <w:sz w:val="24"/>
                <w:szCs w:val="20"/>
                <w:lang w:val="en-US" w:eastAsia="zh-CN" w:bidi="ar-SA"/>
              </w:rPr>
              <w:t>30</w:t>
            </w:r>
            <w:r>
              <w:rPr>
                <w:rFonts w:hint="eastAsia" w:ascii="Times New Roman" w:hAnsi="Times New Roman" w:eastAsia="宋体" w:cs="Times New Roman"/>
                <w:color w:val="auto"/>
                <w:spacing w:val="0"/>
                <w:sz w:val="24"/>
                <w:szCs w:val="20"/>
                <w:lang w:val="en-US" w:eastAsia="zh-CN" w:bidi="ar-SA"/>
              </w:rPr>
              <w:t>属</w:t>
            </w:r>
            <w:r>
              <w:rPr>
                <w:rFonts w:hint="default" w:ascii="Times New Roman" w:hAnsi="Times New Roman" w:eastAsia="宋体" w:cs="Times New Roman"/>
                <w:color w:val="auto"/>
                <w:spacing w:val="0"/>
                <w:sz w:val="24"/>
                <w:szCs w:val="20"/>
                <w:lang w:val="en-US" w:eastAsia="zh-CN" w:bidi="ar-SA"/>
              </w:rPr>
              <w:t>36</w:t>
            </w:r>
            <w:r>
              <w:rPr>
                <w:rFonts w:hint="eastAsia" w:ascii="Times New Roman" w:hAnsi="Times New Roman" w:eastAsia="宋体" w:cs="Times New Roman"/>
                <w:color w:val="auto"/>
                <w:spacing w:val="0"/>
                <w:sz w:val="24"/>
                <w:szCs w:val="20"/>
                <w:lang w:val="en-US" w:eastAsia="zh-CN" w:bidi="ar-SA"/>
              </w:rPr>
              <w:t>种，种数百分比为</w:t>
            </w:r>
            <w:r>
              <w:rPr>
                <w:rFonts w:hint="default" w:ascii="Times New Roman" w:hAnsi="Times New Roman" w:eastAsia="宋体" w:cs="Times New Roman"/>
                <w:color w:val="auto"/>
                <w:spacing w:val="0"/>
                <w:sz w:val="24"/>
                <w:szCs w:val="20"/>
                <w:lang w:val="en-US" w:eastAsia="zh-CN" w:bidi="ar-SA"/>
              </w:rPr>
              <w:t>67.92%</w:t>
            </w:r>
            <w:r>
              <w:rPr>
                <w:rFonts w:hint="eastAsia" w:ascii="Times New Roman" w:hAnsi="Times New Roman" w:eastAsia="宋体" w:cs="Times New Roman"/>
                <w:color w:val="auto"/>
                <w:spacing w:val="0"/>
                <w:sz w:val="24"/>
                <w:szCs w:val="20"/>
                <w:lang w:val="en-US" w:eastAsia="zh-CN" w:bidi="ar-SA"/>
              </w:rPr>
              <w:t>；鲇形目</w:t>
            </w:r>
            <w:r>
              <w:rPr>
                <w:rFonts w:hint="default" w:ascii="Times New Roman" w:hAnsi="Times New Roman" w:eastAsia="宋体" w:cs="Times New Roman"/>
                <w:color w:val="auto"/>
                <w:spacing w:val="0"/>
                <w:sz w:val="24"/>
                <w:szCs w:val="20"/>
                <w:lang w:val="en-US" w:eastAsia="zh-CN" w:bidi="ar-SA"/>
              </w:rPr>
              <w:t>3</w:t>
            </w:r>
            <w:r>
              <w:rPr>
                <w:rFonts w:hint="eastAsia" w:ascii="Times New Roman" w:hAnsi="Times New Roman" w:eastAsia="宋体" w:cs="Times New Roman"/>
                <w:color w:val="auto"/>
                <w:spacing w:val="0"/>
                <w:sz w:val="24"/>
                <w:szCs w:val="20"/>
                <w:lang w:val="en-US" w:eastAsia="zh-CN" w:bidi="ar-SA"/>
              </w:rPr>
              <w:t>科</w:t>
            </w:r>
            <w:r>
              <w:rPr>
                <w:rFonts w:hint="default" w:ascii="Times New Roman" w:hAnsi="Times New Roman" w:eastAsia="宋体" w:cs="Times New Roman"/>
                <w:color w:val="auto"/>
                <w:spacing w:val="0"/>
                <w:sz w:val="24"/>
                <w:szCs w:val="20"/>
                <w:lang w:val="en-US" w:eastAsia="zh-CN" w:bidi="ar-SA"/>
              </w:rPr>
              <w:t>4</w:t>
            </w:r>
            <w:r>
              <w:rPr>
                <w:rFonts w:hint="eastAsia" w:ascii="Times New Roman" w:hAnsi="Times New Roman" w:eastAsia="宋体" w:cs="Times New Roman"/>
                <w:color w:val="auto"/>
                <w:spacing w:val="0"/>
                <w:sz w:val="24"/>
                <w:szCs w:val="20"/>
                <w:lang w:val="en-US" w:eastAsia="zh-CN" w:bidi="ar-SA"/>
              </w:rPr>
              <w:t>属</w:t>
            </w:r>
            <w:r>
              <w:rPr>
                <w:rFonts w:hint="default" w:ascii="Times New Roman" w:hAnsi="Times New Roman" w:eastAsia="宋体" w:cs="Times New Roman"/>
                <w:color w:val="auto"/>
                <w:spacing w:val="0"/>
                <w:sz w:val="24"/>
                <w:szCs w:val="20"/>
                <w:lang w:val="en-US" w:eastAsia="zh-CN" w:bidi="ar-SA"/>
              </w:rPr>
              <w:t>9</w:t>
            </w:r>
            <w:r>
              <w:rPr>
                <w:rFonts w:hint="eastAsia" w:ascii="Times New Roman" w:hAnsi="Times New Roman" w:eastAsia="宋体" w:cs="Times New Roman"/>
                <w:color w:val="auto"/>
                <w:spacing w:val="0"/>
                <w:sz w:val="24"/>
                <w:szCs w:val="20"/>
                <w:lang w:val="en-US" w:eastAsia="zh-CN" w:bidi="ar-SA"/>
              </w:rPr>
              <w:t>种，种数百分比为</w:t>
            </w:r>
            <w:r>
              <w:rPr>
                <w:rFonts w:hint="default" w:ascii="Times New Roman" w:hAnsi="Times New Roman" w:eastAsia="宋体" w:cs="Times New Roman"/>
                <w:color w:val="auto"/>
                <w:spacing w:val="0"/>
                <w:sz w:val="24"/>
                <w:szCs w:val="20"/>
                <w:lang w:val="en-US" w:eastAsia="zh-CN" w:bidi="ar-SA"/>
              </w:rPr>
              <w:t>16.98%</w:t>
            </w:r>
            <w:r>
              <w:rPr>
                <w:rFonts w:hint="eastAsia" w:ascii="Times New Roman" w:hAnsi="Times New Roman" w:eastAsia="宋体" w:cs="Times New Roman"/>
                <w:color w:val="auto"/>
                <w:spacing w:val="0"/>
                <w:sz w:val="24"/>
                <w:szCs w:val="20"/>
                <w:lang w:val="en-US" w:eastAsia="zh-CN" w:bidi="ar-SA"/>
              </w:rPr>
              <w:t>；鲈形目</w:t>
            </w:r>
            <w:r>
              <w:rPr>
                <w:rFonts w:hint="default" w:ascii="Times New Roman" w:hAnsi="Times New Roman" w:eastAsia="宋体" w:cs="Times New Roman"/>
                <w:color w:val="auto"/>
                <w:spacing w:val="0"/>
                <w:sz w:val="24"/>
                <w:szCs w:val="20"/>
                <w:lang w:val="en-US" w:eastAsia="zh-CN" w:bidi="ar-SA"/>
              </w:rPr>
              <w:t>6</w:t>
            </w:r>
            <w:r>
              <w:rPr>
                <w:rFonts w:hint="eastAsia" w:ascii="Times New Roman" w:hAnsi="Times New Roman" w:eastAsia="宋体" w:cs="Times New Roman"/>
                <w:color w:val="auto"/>
                <w:spacing w:val="0"/>
                <w:sz w:val="24"/>
                <w:szCs w:val="20"/>
                <w:lang w:val="en-US" w:eastAsia="zh-CN" w:bidi="ar-SA"/>
              </w:rPr>
              <w:t>科</w:t>
            </w:r>
            <w:r>
              <w:rPr>
                <w:rFonts w:hint="default" w:ascii="Times New Roman" w:hAnsi="Times New Roman" w:eastAsia="宋体" w:cs="Times New Roman"/>
                <w:color w:val="auto"/>
                <w:spacing w:val="0"/>
                <w:sz w:val="24"/>
                <w:szCs w:val="20"/>
                <w:lang w:val="en-US" w:eastAsia="zh-CN" w:bidi="ar-SA"/>
              </w:rPr>
              <w:t>6</w:t>
            </w:r>
            <w:r>
              <w:rPr>
                <w:rFonts w:hint="eastAsia" w:ascii="Times New Roman" w:hAnsi="Times New Roman" w:eastAsia="宋体" w:cs="Times New Roman"/>
                <w:color w:val="auto"/>
                <w:spacing w:val="0"/>
                <w:sz w:val="24"/>
                <w:szCs w:val="20"/>
                <w:lang w:val="en-US" w:eastAsia="zh-CN" w:bidi="ar-SA"/>
              </w:rPr>
              <w:t>属</w:t>
            </w:r>
            <w:r>
              <w:rPr>
                <w:rFonts w:hint="default" w:ascii="Times New Roman" w:hAnsi="Times New Roman" w:eastAsia="宋体" w:cs="Times New Roman"/>
                <w:color w:val="auto"/>
                <w:spacing w:val="0"/>
                <w:sz w:val="24"/>
                <w:szCs w:val="20"/>
                <w:lang w:val="en-US" w:eastAsia="zh-CN" w:bidi="ar-SA"/>
              </w:rPr>
              <w:t>7</w:t>
            </w:r>
            <w:r>
              <w:rPr>
                <w:rFonts w:hint="eastAsia" w:ascii="Times New Roman" w:hAnsi="Times New Roman" w:eastAsia="宋体" w:cs="Times New Roman"/>
                <w:color w:val="auto"/>
                <w:spacing w:val="0"/>
                <w:sz w:val="24"/>
                <w:szCs w:val="20"/>
                <w:lang w:val="en-US" w:eastAsia="zh-CN" w:bidi="ar-SA"/>
              </w:rPr>
              <w:t>种，种数百分比为</w:t>
            </w:r>
            <w:r>
              <w:rPr>
                <w:rFonts w:hint="default" w:ascii="Times New Roman" w:hAnsi="Times New Roman" w:eastAsia="宋体" w:cs="Times New Roman"/>
                <w:color w:val="auto"/>
                <w:spacing w:val="0"/>
                <w:sz w:val="24"/>
                <w:szCs w:val="20"/>
                <w:lang w:val="en-US" w:eastAsia="zh-CN" w:bidi="ar-SA"/>
              </w:rPr>
              <w:t>13.21%</w:t>
            </w:r>
            <w:r>
              <w:rPr>
                <w:rFonts w:hint="eastAsia" w:ascii="Times New Roman" w:hAnsi="Times New Roman" w:eastAsia="宋体" w:cs="Times New Roman"/>
                <w:color w:val="auto"/>
                <w:spacing w:val="0"/>
                <w:sz w:val="24"/>
                <w:szCs w:val="20"/>
                <w:lang w:val="en-US" w:eastAsia="zh-CN" w:bidi="ar-SA"/>
              </w:rPr>
              <w:t>；合鳃目</w:t>
            </w:r>
            <w:r>
              <w:rPr>
                <w:rFonts w:hint="default" w:ascii="Times New Roman" w:hAnsi="Times New Roman" w:eastAsia="宋体" w:cs="Times New Roman"/>
                <w:color w:val="auto"/>
                <w:spacing w:val="0"/>
                <w:sz w:val="24"/>
                <w:szCs w:val="20"/>
                <w:lang w:val="en-US" w:eastAsia="zh-CN" w:bidi="ar-SA"/>
              </w:rPr>
              <w:t>1</w:t>
            </w:r>
            <w:r>
              <w:rPr>
                <w:rFonts w:hint="eastAsia" w:ascii="Times New Roman" w:hAnsi="Times New Roman" w:eastAsia="宋体" w:cs="Times New Roman"/>
                <w:color w:val="auto"/>
                <w:spacing w:val="0"/>
                <w:sz w:val="24"/>
                <w:szCs w:val="20"/>
                <w:lang w:val="en-US" w:eastAsia="zh-CN" w:bidi="ar-SA"/>
              </w:rPr>
              <w:t>科</w:t>
            </w:r>
            <w:r>
              <w:rPr>
                <w:rFonts w:hint="default" w:ascii="Times New Roman" w:hAnsi="Times New Roman" w:eastAsia="宋体" w:cs="Times New Roman"/>
                <w:color w:val="auto"/>
                <w:spacing w:val="0"/>
                <w:sz w:val="24"/>
                <w:szCs w:val="20"/>
                <w:lang w:val="en-US" w:eastAsia="zh-CN" w:bidi="ar-SA"/>
              </w:rPr>
              <w:t>1</w:t>
            </w:r>
            <w:r>
              <w:rPr>
                <w:rFonts w:hint="eastAsia" w:ascii="Times New Roman" w:hAnsi="Times New Roman" w:eastAsia="宋体" w:cs="Times New Roman"/>
                <w:color w:val="auto"/>
                <w:spacing w:val="0"/>
                <w:sz w:val="24"/>
                <w:szCs w:val="20"/>
                <w:lang w:val="en-US" w:eastAsia="zh-CN" w:bidi="ar-SA"/>
              </w:rPr>
              <w:t>属</w:t>
            </w:r>
            <w:r>
              <w:rPr>
                <w:rFonts w:hint="default" w:ascii="Times New Roman" w:hAnsi="Times New Roman" w:eastAsia="宋体" w:cs="Times New Roman"/>
                <w:color w:val="auto"/>
                <w:spacing w:val="0"/>
                <w:sz w:val="24"/>
                <w:szCs w:val="20"/>
                <w:lang w:val="en-US" w:eastAsia="zh-CN" w:bidi="ar-SA"/>
              </w:rPr>
              <w:t>1</w:t>
            </w:r>
            <w:r>
              <w:rPr>
                <w:rFonts w:hint="eastAsia" w:ascii="Times New Roman" w:hAnsi="Times New Roman" w:eastAsia="宋体" w:cs="Times New Roman"/>
                <w:color w:val="auto"/>
                <w:spacing w:val="0"/>
                <w:sz w:val="24"/>
                <w:szCs w:val="20"/>
                <w:lang w:val="en-US" w:eastAsia="zh-CN" w:bidi="ar-SA"/>
              </w:rPr>
              <w:t>种，种数百分比为</w:t>
            </w:r>
            <w:r>
              <w:rPr>
                <w:rFonts w:hint="default" w:ascii="Times New Roman" w:hAnsi="Times New Roman" w:eastAsia="宋体" w:cs="Times New Roman"/>
                <w:color w:val="auto"/>
                <w:spacing w:val="0"/>
                <w:sz w:val="24"/>
                <w:szCs w:val="20"/>
                <w:lang w:val="en-US" w:eastAsia="zh-CN" w:bidi="ar-SA"/>
              </w:rPr>
              <w:t>1.89%</w:t>
            </w:r>
            <w:r>
              <w:rPr>
                <w:rFonts w:hint="eastAsia" w:ascii="Times New Roman" w:hAnsi="Times New Roman" w:eastAsia="宋体" w:cs="Times New Roman"/>
                <w:color w:val="auto"/>
                <w:spacing w:val="0"/>
                <w:sz w:val="24"/>
                <w:szCs w:val="20"/>
                <w:lang w:val="en-US" w:eastAsia="zh-CN" w:bidi="ar-SA"/>
              </w:rPr>
              <w:t>。分布在调查水域的</w:t>
            </w:r>
            <w:r>
              <w:rPr>
                <w:rFonts w:hint="default" w:ascii="Times New Roman" w:hAnsi="Times New Roman" w:eastAsia="宋体" w:cs="Times New Roman"/>
                <w:color w:val="auto"/>
                <w:spacing w:val="0"/>
                <w:sz w:val="24"/>
                <w:szCs w:val="20"/>
                <w:lang w:val="en-US" w:eastAsia="zh-CN" w:bidi="ar-SA"/>
              </w:rPr>
              <w:t>12</w:t>
            </w:r>
            <w:r>
              <w:rPr>
                <w:rFonts w:hint="eastAsia" w:ascii="Times New Roman" w:hAnsi="Times New Roman" w:eastAsia="宋体" w:cs="Times New Roman"/>
                <w:color w:val="auto"/>
                <w:spacing w:val="0"/>
                <w:sz w:val="24"/>
                <w:szCs w:val="20"/>
                <w:lang w:val="en-US" w:eastAsia="zh-CN" w:bidi="ar-SA"/>
              </w:rPr>
              <w:t>个科中，鲤科为最大类群，有</w:t>
            </w:r>
            <w:r>
              <w:rPr>
                <w:rFonts w:hint="default" w:ascii="Times New Roman" w:hAnsi="Times New Roman" w:eastAsia="宋体" w:cs="Times New Roman"/>
                <w:color w:val="auto"/>
                <w:spacing w:val="0"/>
                <w:sz w:val="24"/>
                <w:szCs w:val="20"/>
                <w:lang w:val="en-US" w:eastAsia="zh-CN" w:bidi="ar-SA"/>
              </w:rPr>
              <w:t>24</w:t>
            </w:r>
            <w:r>
              <w:rPr>
                <w:rFonts w:hint="eastAsia" w:ascii="Times New Roman" w:hAnsi="Times New Roman" w:eastAsia="宋体" w:cs="Times New Roman"/>
                <w:color w:val="auto"/>
                <w:spacing w:val="0"/>
                <w:sz w:val="24"/>
                <w:szCs w:val="20"/>
                <w:lang w:val="en-US" w:eastAsia="zh-CN" w:bidi="ar-SA"/>
              </w:rPr>
              <w:t>属</w:t>
            </w:r>
            <w:r>
              <w:rPr>
                <w:rFonts w:hint="default" w:ascii="Times New Roman" w:hAnsi="Times New Roman" w:eastAsia="宋体" w:cs="Times New Roman"/>
                <w:color w:val="auto"/>
                <w:spacing w:val="0"/>
                <w:sz w:val="24"/>
                <w:szCs w:val="20"/>
                <w:lang w:val="en-US" w:eastAsia="zh-CN" w:bidi="ar-SA"/>
              </w:rPr>
              <w:t>30</w:t>
            </w:r>
            <w:r>
              <w:rPr>
                <w:rFonts w:hint="eastAsia" w:ascii="Times New Roman" w:hAnsi="Times New Roman" w:eastAsia="宋体" w:cs="Times New Roman"/>
                <w:color w:val="auto"/>
                <w:spacing w:val="0"/>
                <w:sz w:val="24"/>
                <w:szCs w:val="20"/>
                <w:lang w:val="en-US" w:eastAsia="zh-CN" w:bidi="ar-SA"/>
              </w:rPr>
              <w:t>种，种数百分比为</w:t>
            </w:r>
            <w:r>
              <w:rPr>
                <w:rFonts w:hint="default" w:ascii="Times New Roman" w:hAnsi="Times New Roman" w:eastAsia="宋体" w:cs="Times New Roman"/>
                <w:color w:val="auto"/>
                <w:spacing w:val="0"/>
                <w:sz w:val="24"/>
                <w:szCs w:val="20"/>
                <w:lang w:val="en-US" w:eastAsia="zh-CN" w:bidi="ar-SA"/>
              </w:rPr>
              <w:t>56.60%</w:t>
            </w:r>
            <w:r>
              <w:rPr>
                <w:rFonts w:hint="eastAsia" w:ascii="Times New Roman" w:hAnsi="Times New Roman" w:eastAsia="宋体" w:cs="Times New Roman"/>
                <w:color w:val="auto"/>
                <w:spacing w:val="0"/>
                <w:sz w:val="24"/>
                <w:szCs w:val="20"/>
                <w:lang w:val="en-US" w:eastAsia="zh-CN" w:bidi="ar-SA"/>
              </w:rPr>
              <w:t>；其次是鳅科有</w:t>
            </w:r>
            <w:r>
              <w:rPr>
                <w:rFonts w:hint="default" w:ascii="Times New Roman" w:hAnsi="Times New Roman" w:eastAsia="宋体" w:cs="Times New Roman"/>
                <w:color w:val="auto"/>
                <w:spacing w:val="0"/>
                <w:sz w:val="24"/>
                <w:szCs w:val="20"/>
                <w:lang w:val="en-US" w:eastAsia="zh-CN" w:bidi="ar-SA"/>
              </w:rPr>
              <w:t>6</w:t>
            </w:r>
            <w:r>
              <w:rPr>
                <w:rFonts w:hint="eastAsia" w:ascii="Times New Roman" w:hAnsi="Times New Roman" w:eastAsia="宋体" w:cs="Times New Roman"/>
                <w:color w:val="auto"/>
                <w:spacing w:val="0"/>
                <w:sz w:val="24"/>
                <w:szCs w:val="20"/>
                <w:lang w:val="en-US" w:eastAsia="zh-CN" w:bidi="ar-SA"/>
              </w:rPr>
              <w:t>属</w:t>
            </w:r>
            <w:r>
              <w:rPr>
                <w:rFonts w:hint="default" w:ascii="Times New Roman" w:hAnsi="Times New Roman" w:eastAsia="宋体" w:cs="Times New Roman"/>
                <w:color w:val="auto"/>
                <w:spacing w:val="0"/>
                <w:sz w:val="24"/>
                <w:szCs w:val="20"/>
                <w:lang w:val="en-US" w:eastAsia="zh-CN" w:bidi="ar-SA"/>
              </w:rPr>
              <w:t>6</w:t>
            </w:r>
            <w:r>
              <w:rPr>
                <w:rFonts w:hint="eastAsia" w:ascii="Times New Roman" w:hAnsi="Times New Roman" w:eastAsia="宋体" w:cs="Times New Roman"/>
                <w:color w:val="auto"/>
                <w:spacing w:val="0"/>
                <w:sz w:val="24"/>
                <w:szCs w:val="20"/>
                <w:lang w:val="en-US" w:eastAsia="zh-CN" w:bidi="ar-SA"/>
              </w:rPr>
              <w:t>种，种数百分比均为</w:t>
            </w:r>
            <w:r>
              <w:rPr>
                <w:rFonts w:hint="default" w:ascii="Times New Roman" w:hAnsi="Times New Roman" w:eastAsia="宋体" w:cs="Times New Roman"/>
                <w:color w:val="auto"/>
                <w:spacing w:val="0"/>
                <w:sz w:val="24"/>
                <w:szCs w:val="20"/>
                <w:lang w:val="en-US" w:eastAsia="zh-CN" w:bidi="ar-SA"/>
              </w:rPr>
              <w:t>11.32%</w:t>
            </w:r>
            <w:r>
              <w:rPr>
                <w:rFonts w:hint="eastAsia" w:ascii="Times New Roman" w:hAnsi="Times New Roman" w:eastAsia="宋体" w:cs="Times New Roman"/>
                <w:color w:val="auto"/>
                <w:spacing w:val="0"/>
                <w:sz w:val="24"/>
                <w:szCs w:val="20"/>
                <w:lang w:val="en-US" w:eastAsia="zh-CN" w:bidi="ar-SA"/>
              </w:rPr>
              <w:t>；鲿科有</w:t>
            </w:r>
            <w:r>
              <w:rPr>
                <w:rFonts w:hint="default" w:ascii="Times New Roman" w:hAnsi="Times New Roman" w:eastAsia="宋体" w:cs="Times New Roman"/>
                <w:color w:val="auto"/>
                <w:spacing w:val="0"/>
                <w:sz w:val="24"/>
                <w:szCs w:val="20"/>
                <w:lang w:val="en-US" w:eastAsia="zh-CN" w:bidi="ar-SA"/>
              </w:rPr>
              <w:t>2</w:t>
            </w:r>
            <w:r>
              <w:rPr>
                <w:rFonts w:hint="eastAsia" w:ascii="Times New Roman" w:hAnsi="Times New Roman" w:eastAsia="宋体" w:cs="Times New Roman"/>
                <w:color w:val="auto"/>
                <w:spacing w:val="0"/>
                <w:sz w:val="24"/>
                <w:szCs w:val="20"/>
                <w:lang w:val="en-US" w:eastAsia="zh-CN" w:bidi="ar-SA"/>
              </w:rPr>
              <w:t>属</w:t>
            </w:r>
            <w:r>
              <w:rPr>
                <w:rFonts w:hint="default" w:ascii="Times New Roman" w:hAnsi="Times New Roman" w:eastAsia="宋体" w:cs="Times New Roman"/>
                <w:color w:val="auto"/>
                <w:spacing w:val="0"/>
                <w:sz w:val="24"/>
                <w:szCs w:val="20"/>
                <w:lang w:val="en-US" w:eastAsia="zh-CN" w:bidi="ar-SA"/>
              </w:rPr>
              <w:t>6</w:t>
            </w:r>
            <w:r>
              <w:rPr>
                <w:rFonts w:hint="eastAsia" w:ascii="Times New Roman" w:hAnsi="Times New Roman" w:eastAsia="宋体" w:cs="Times New Roman"/>
                <w:color w:val="auto"/>
                <w:spacing w:val="0"/>
                <w:sz w:val="24"/>
                <w:szCs w:val="20"/>
                <w:lang w:val="en-US" w:eastAsia="zh-CN" w:bidi="ar-SA"/>
              </w:rPr>
              <w:t>种，种数百分比均为</w:t>
            </w:r>
            <w:r>
              <w:rPr>
                <w:rFonts w:hint="default" w:ascii="Times New Roman" w:hAnsi="Times New Roman" w:eastAsia="宋体" w:cs="Times New Roman"/>
                <w:color w:val="auto"/>
                <w:spacing w:val="0"/>
                <w:sz w:val="24"/>
                <w:szCs w:val="20"/>
                <w:lang w:val="en-US" w:eastAsia="zh-CN" w:bidi="ar-SA"/>
              </w:rPr>
              <w:t>11.32%</w:t>
            </w:r>
            <w:r>
              <w:rPr>
                <w:rFonts w:hint="eastAsia" w:ascii="Times New Roman" w:hAnsi="Times New Roman" w:eastAsia="宋体" w:cs="Times New Roman"/>
                <w:color w:val="auto"/>
                <w:spacing w:val="0"/>
                <w:sz w:val="24"/>
                <w:szCs w:val="20"/>
                <w:lang w:val="en-US" w:eastAsia="zh-CN" w:bidi="ar-SA"/>
              </w:rPr>
              <w:t>；其他鲇科、鮡科、鮨科、鰕虎鱼科、鳢科、合鳃鱼科数量都比较小。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color w:val="auto"/>
                <w:spacing w:val="0"/>
                <w:kern w:val="2"/>
                <w:sz w:val="24"/>
                <w:szCs w:val="20"/>
                <w:lang w:val="en-US" w:eastAsia="zh-CN" w:bidi="ar-SA"/>
              </w:rPr>
            </w:pPr>
            <w:r>
              <w:rPr>
                <w:rFonts w:hint="eastAsia" w:ascii="Times New Roman" w:hAnsi="Times New Roman" w:eastAsia="宋体" w:cs="Times New Roman"/>
                <w:b/>
                <w:bCs/>
                <w:color w:val="auto"/>
                <w:spacing w:val="0"/>
                <w:kern w:val="2"/>
                <w:sz w:val="24"/>
                <w:szCs w:val="20"/>
                <w:lang w:val="en-US" w:eastAsia="zh-CN" w:bidi="ar-SA"/>
              </w:rPr>
              <w:t>7）鱼类“三场”的生态特征及分布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pacing w:val="0"/>
                <w:sz w:val="24"/>
                <w:szCs w:val="20"/>
                <w:lang w:val="en-US" w:eastAsia="zh-CN" w:bidi="ar-SA"/>
              </w:rPr>
            </w:pPr>
            <w:r>
              <w:rPr>
                <w:rFonts w:hint="eastAsia" w:ascii="Times New Roman" w:hAnsi="Times New Roman" w:eastAsia="宋体" w:cs="Times New Roman"/>
                <w:color w:val="auto"/>
                <w:spacing w:val="0"/>
                <w:sz w:val="24"/>
                <w:szCs w:val="20"/>
                <w:lang w:val="en-US" w:eastAsia="zh-CN" w:bidi="ar-SA"/>
              </w:rPr>
              <w:t>根据调查，本项目工程段不涉及</w:t>
            </w:r>
            <w:r>
              <w:rPr>
                <w:rFonts w:hint="default" w:ascii="Times New Roman" w:hAnsi="Times New Roman" w:eastAsia="宋体" w:cs="Times New Roman"/>
                <w:color w:val="auto"/>
                <w:spacing w:val="0"/>
                <w:sz w:val="24"/>
                <w:szCs w:val="20"/>
                <w:lang w:val="en-US" w:eastAsia="zh-CN" w:bidi="ar-SA"/>
              </w:rPr>
              <w:t>重点保护与珍稀水生生物的栖息地、重要水生生物的自然产卵场及索饵场、越冬场和</w:t>
            </w:r>
            <w:r>
              <w:rPr>
                <w:rFonts w:hint="eastAsia" w:ascii="Times New Roman" w:hAnsi="Times New Roman" w:eastAsia="宋体" w:cs="Times New Roman"/>
                <w:color w:val="auto"/>
                <w:spacing w:val="0"/>
                <w:sz w:val="24"/>
                <w:szCs w:val="20"/>
                <w:lang w:val="en-US" w:eastAsia="zh-CN" w:bidi="ar-SA"/>
              </w:rPr>
              <w:t>洄游通道。</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b/>
                <w:bCs/>
                <w:color w:val="auto"/>
                <w:spacing w:val="0"/>
                <w:kern w:val="2"/>
                <w:sz w:val="24"/>
                <w:szCs w:val="20"/>
                <w:lang w:val="en-US" w:eastAsia="zh-CN" w:bidi="ar-SA"/>
              </w:rPr>
            </w:pPr>
            <w:r>
              <w:rPr>
                <w:rFonts w:hint="eastAsia" w:ascii="Times New Roman" w:hAnsi="Times New Roman" w:eastAsia="宋体" w:cs="Times New Roman"/>
                <w:b/>
                <w:bCs/>
                <w:color w:val="auto"/>
                <w:spacing w:val="0"/>
                <w:kern w:val="2"/>
                <w:sz w:val="24"/>
                <w:szCs w:val="20"/>
                <w:lang w:val="en-US" w:eastAsia="zh-CN" w:bidi="ar-SA"/>
              </w:rPr>
              <w:t>1、产卵场特征及分布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pacing w:val="0"/>
                <w:sz w:val="24"/>
                <w:szCs w:val="20"/>
                <w:lang w:val="en-US" w:eastAsia="zh-CN" w:bidi="ar-SA"/>
              </w:rPr>
            </w:pPr>
            <w:r>
              <w:rPr>
                <w:rFonts w:hint="eastAsia" w:ascii="Times New Roman" w:hAnsi="Times New Roman" w:eastAsia="宋体" w:cs="Times New Roman"/>
                <w:color w:val="auto"/>
                <w:spacing w:val="0"/>
                <w:sz w:val="24"/>
                <w:szCs w:val="20"/>
                <w:lang w:val="en-US" w:eastAsia="zh-CN" w:bidi="ar-SA"/>
              </w:rPr>
              <w:t xml:space="preserve">一般来说，安福堰综合整治工程水域中的产卵场大致在急缓流交错河段、流水石滩河段、河道急转下跌水域、静缓流水域等几种类型。育幼场一般在水深3m以内的砾石、礁石、沙质岸边的静缓流水域。在部分产漂流性卵鱼类产卵场特殊的流态中，常有称为“泡漩水”特征水流出现，其特点为水面类似于锅内水被烧开时的水面形态， 某处水流自下而上翻滚，是由于水流冲击河底深潭或岩礁遇阻改变方向形成。根据本次调查，评价河段内鱼类产卵场分布较零散，产粘性卵鱼类的产卵场，多分布在河道沿岸的水草上，小型鱼类的产卵场也比较分散。据实地勘察，初步查明安福堰综合整治工程影响水域中，鱼类的产卵场主要有要有3处，一是乐山市商务技工学校附近的产卵场，该产卵场上距峨眉河安福堰综合整治工程约 300m，二是，安福堰整治工程坝下约 800m 的右岸，这两处由于近岸边水草多，主要是产粘性卵鱼类的产卵场，产卵鱼类主要有蒙古鲌、翘嘴鲌、鲫鱼等。三是峨眉河安福堰综合整治工程坝下约 1km 河段的右岸有一较大的流水石滩型产卵场，主要产卵鱼类有鲇鱼、鲿类、鮠类、黄颡鱼类等。 </w:t>
            </w:r>
          </w:p>
          <w:p>
            <w:pPr>
              <w:keepNext w:val="0"/>
              <w:keepLines w:val="0"/>
              <w:widowControl/>
              <w:suppressLineNumbers w:val="0"/>
              <w:ind w:firstLine="482" w:firstLineChars="200"/>
              <w:jc w:val="left"/>
            </w:pPr>
            <w:r>
              <w:rPr>
                <w:rFonts w:hint="default" w:ascii="Times New Roman" w:hAnsi="Times New Roman" w:eastAsia="宋体" w:cs="Times New Roman"/>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 xml:space="preserve">、索饵场环境条件及分布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pacing w:val="0"/>
                <w:sz w:val="24"/>
                <w:szCs w:val="20"/>
                <w:lang w:val="en-US" w:eastAsia="zh-CN" w:bidi="ar-SA"/>
              </w:rPr>
            </w:pPr>
            <w:r>
              <w:rPr>
                <w:rFonts w:hint="eastAsia" w:ascii="Times New Roman" w:hAnsi="Times New Roman" w:eastAsia="宋体" w:cs="Times New Roman"/>
                <w:color w:val="auto"/>
                <w:spacing w:val="0"/>
                <w:sz w:val="24"/>
                <w:szCs w:val="20"/>
                <w:lang w:val="en-US" w:eastAsia="zh-CN" w:bidi="ar-SA"/>
              </w:rPr>
              <w:t xml:space="preserve">工程影响水域内，鱼类的索饵场与鱼类的摄食方式、类型以及鱼类个体有关。成鱼和较大个体幼鱼的索饵场，一般与它们活动的水域一致，只是觅食水层的深浅会随着水体透明度大小而改变。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pacing w:val="0"/>
                <w:sz w:val="24"/>
                <w:szCs w:val="20"/>
                <w:lang w:val="en-US" w:eastAsia="zh-CN" w:bidi="ar-SA"/>
              </w:rPr>
            </w:pPr>
            <w:r>
              <w:rPr>
                <w:rFonts w:hint="eastAsia" w:ascii="Times New Roman" w:hAnsi="Times New Roman" w:eastAsia="宋体" w:cs="Times New Roman"/>
                <w:color w:val="auto"/>
                <w:spacing w:val="0"/>
                <w:sz w:val="24"/>
                <w:szCs w:val="20"/>
                <w:lang w:val="en-US" w:eastAsia="zh-CN" w:bidi="ar-SA"/>
              </w:rPr>
              <w:t xml:space="preserve">由于本次调查时间为枯水期，调查水域鱼类的索饵场分布不明显，根据访问及现场查看结合工程以前旧照片和旧视频，分析认为，安福堰综合整治工程水域中鱼类的索饵场主要有 </w:t>
            </w:r>
            <w:r>
              <w:rPr>
                <w:rFonts w:hint="default" w:ascii="Times New Roman" w:hAnsi="Times New Roman" w:eastAsia="宋体" w:cs="Times New Roman"/>
                <w:color w:val="auto"/>
                <w:spacing w:val="0"/>
                <w:sz w:val="24"/>
                <w:szCs w:val="20"/>
                <w:lang w:val="en-US" w:eastAsia="zh-CN" w:bidi="ar-SA"/>
              </w:rPr>
              <w:t xml:space="preserve">2 </w:t>
            </w:r>
            <w:r>
              <w:rPr>
                <w:rFonts w:hint="eastAsia" w:ascii="Times New Roman" w:hAnsi="Times New Roman" w:eastAsia="宋体" w:cs="Times New Roman"/>
                <w:color w:val="auto"/>
                <w:spacing w:val="0"/>
                <w:sz w:val="24"/>
                <w:szCs w:val="20"/>
                <w:lang w:val="en-US" w:eastAsia="zh-CN" w:bidi="ar-SA"/>
              </w:rPr>
              <w:t xml:space="preserve">个，一个在整治工程上游约 </w:t>
            </w:r>
            <w:r>
              <w:rPr>
                <w:rFonts w:hint="default" w:ascii="Times New Roman" w:hAnsi="Times New Roman" w:eastAsia="宋体" w:cs="Times New Roman"/>
                <w:color w:val="auto"/>
                <w:spacing w:val="0"/>
                <w:sz w:val="24"/>
                <w:szCs w:val="20"/>
                <w:lang w:val="en-US" w:eastAsia="zh-CN" w:bidi="ar-SA"/>
              </w:rPr>
              <w:t xml:space="preserve">300m </w:t>
            </w:r>
            <w:r>
              <w:rPr>
                <w:rFonts w:hint="eastAsia" w:ascii="Times New Roman" w:hAnsi="Times New Roman" w:eastAsia="宋体" w:cs="Times New Roman"/>
                <w:color w:val="auto"/>
                <w:spacing w:val="0"/>
                <w:sz w:val="24"/>
                <w:szCs w:val="20"/>
                <w:lang w:val="en-US" w:eastAsia="zh-CN" w:bidi="ar-SA"/>
              </w:rPr>
              <w:t xml:space="preserve">左右水域，临近古镇城边，两岸水草较丰富，是草鱼，鲤鱼、鲫鱼、花白鲢、唇䱻、鲴类等鱼类的索饵场。另一个是在安福堰坝下约 </w:t>
            </w:r>
            <w:r>
              <w:rPr>
                <w:rFonts w:hint="default" w:ascii="Times New Roman" w:hAnsi="Times New Roman" w:eastAsia="宋体" w:cs="Times New Roman"/>
                <w:color w:val="auto"/>
                <w:spacing w:val="0"/>
                <w:sz w:val="24"/>
                <w:szCs w:val="20"/>
                <w:lang w:val="en-US" w:eastAsia="zh-CN" w:bidi="ar-SA"/>
              </w:rPr>
              <w:t xml:space="preserve">1km </w:t>
            </w:r>
            <w:r>
              <w:rPr>
                <w:rFonts w:hint="eastAsia" w:ascii="Times New Roman" w:hAnsi="Times New Roman" w:eastAsia="宋体" w:cs="Times New Roman"/>
                <w:color w:val="auto"/>
                <w:spacing w:val="0"/>
                <w:sz w:val="24"/>
                <w:szCs w:val="20"/>
                <w:lang w:val="en-US" w:eastAsia="zh-CN" w:bidi="ar-SA"/>
              </w:rPr>
              <w:t>河段，由于该河段比较特别，中间为流水河滩两边又水草丛生，所以该河段既是喜流性鱼类如鲇鱼、鲿类、鮠类、黄颡鱼类的索饵场。</w:t>
            </w:r>
          </w:p>
          <w:p>
            <w:pPr>
              <w:keepNext w:val="0"/>
              <w:keepLines w:val="0"/>
              <w:widowControl/>
              <w:suppressLineNumbers w:val="0"/>
              <w:ind w:firstLine="482" w:firstLineChars="200"/>
              <w:jc w:val="left"/>
            </w:pPr>
            <w:r>
              <w:rPr>
                <w:rFonts w:hint="default" w:ascii="Times New Roman" w:hAnsi="Times New Roman" w:eastAsia="宋体" w:cs="Times New Roman"/>
                <w:b/>
                <w:bCs/>
                <w:color w:val="000000"/>
                <w:kern w:val="0"/>
                <w:sz w:val="24"/>
                <w:szCs w:val="24"/>
                <w:lang w:val="en-US" w:eastAsia="zh-CN" w:bidi="ar"/>
              </w:rPr>
              <w:t>3</w:t>
            </w:r>
            <w:r>
              <w:rPr>
                <w:rFonts w:hint="eastAsia" w:ascii="宋体" w:hAnsi="宋体" w:eastAsia="宋体" w:cs="宋体"/>
                <w:b/>
                <w:bCs/>
                <w:color w:val="000000"/>
                <w:kern w:val="0"/>
                <w:sz w:val="24"/>
                <w:szCs w:val="24"/>
                <w:lang w:val="en-US" w:eastAsia="zh-CN" w:bidi="ar"/>
              </w:rPr>
              <w:t xml:space="preserve">、越冬场环境条件及分布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pacing w:val="0"/>
                <w:sz w:val="24"/>
                <w:szCs w:val="20"/>
                <w:lang w:val="en-US" w:eastAsia="zh-CN" w:bidi="ar-SA"/>
              </w:rPr>
            </w:pPr>
            <w:r>
              <w:rPr>
                <w:rFonts w:hint="eastAsia" w:ascii="Times New Roman" w:hAnsi="Times New Roman" w:eastAsia="宋体" w:cs="Times New Roman"/>
                <w:color w:val="auto"/>
                <w:spacing w:val="0"/>
                <w:sz w:val="24"/>
                <w:szCs w:val="20"/>
                <w:lang w:val="en-US" w:eastAsia="zh-CN" w:bidi="ar-SA"/>
              </w:rPr>
              <w:t>鱼类的越冬场，多数都是在严寒的冬季才体现出来，鱼类经过夏秋季节的索饵，大都长得身体肥壮，有的体内贮积大量脂肪。每年入秋以后，天气转冷，水温随之下降，而江水流量渐次减少，水位降低，透明度增大，饵料减少，此时在不同深度、不同环境中觅食的主要经济鱼类，逐渐受气候等各种内外因素变化的影响进入深水区活动，称之</w:t>
            </w:r>
            <w:r>
              <w:rPr>
                <w:rFonts w:hint="default" w:ascii="Times New Roman" w:hAnsi="Times New Roman" w:eastAsia="宋体" w:cs="Times New Roman"/>
                <w:color w:val="auto"/>
                <w:spacing w:val="0"/>
                <w:sz w:val="24"/>
                <w:szCs w:val="20"/>
                <w:lang w:val="en-US" w:eastAsia="zh-CN" w:bidi="ar-SA"/>
              </w:rPr>
              <w:t>“</w:t>
            </w:r>
            <w:r>
              <w:rPr>
                <w:rFonts w:hint="eastAsia" w:ascii="Times New Roman" w:hAnsi="Times New Roman" w:eastAsia="宋体" w:cs="Times New Roman"/>
                <w:color w:val="auto"/>
                <w:spacing w:val="0"/>
                <w:sz w:val="24"/>
                <w:szCs w:val="20"/>
                <w:lang w:val="en-US" w:eastAsia="zh-CN" w:bidi="ar-SA"/>
              </w:rPr>
              <w:t>归沱</w:t>
            </w:r>
            <w:r>
              <w:rPr>
                <w:rFonts w:hint="default" w:ascii="Times New Roman" w:hAnsi="Times New Roman" w:eastAsia="宋体" w:cs="Times New Roman"/>
                <w:color w:val="auto"/>
                <w:spacing w:val="0"/>
                <w:sz w:val="24"/>
                <w:szCs w:val="20"/>
                <w:lang w:val="en-US" w:eastAsia="zh-CN" w:bidi="ar-SA"/>
              </w:rPr>
              <w:t xml:space="preserve">” </w:t>
            </w:r>
            <w:r>
              <w:rPr>
                <w:rFonts w:hint="eastAsia" w:ascii="Times New Roman" w:hAnsi="Times New Roman" w:eastAsia="宋体" w:cs="Times New Roman"/>
                <w:color w:val="auto"/>
                <w:spacing w:val="0"/>
                <w:sz w:val="24"/>
                <w:szCs w:val="20"/>
                <w:lang w:val="en-US" w:eastAsia="zh-CN" w:bidi="ar-SA"/>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pacing w:val="0"/>
                <w:sz w:val="24"/>
                <w:szCs w:val="20"/>
                <w:lang w:val="en-US" w:eastAsia="zh-CN" w:bidi="ar-SA"/>
              </w:rPr>
            </w:pPr>
            <w:r>
              <w:rPr>
                <w:rFonts w:hint="eastAsia" w:ascii="Times New Roman" w:hAnsi="Times New Roman" w:eastAsia="宋体" w:cs="Times New Roman"/>
                <w:color w:val="auto"/>
                <w:spacing w:val="0"/>
                <w:sz w:val="24"/>
                <w:szCs w:val="20"/>
                <w:lang w:val="en-US" w:eastAsia="zh-CN" w:bidi="ar-SA"/>
              </w:rPr>
              <w:t xml:space="preserve">根据调查，安福堰综合整治工程水域中鱼类的越冬场有两种情况，一是很多大中型鱼类理想的越冬场，多在水深能达到 </w:t>
            </w:r>
            <w:r>
              <w:rPr>
                <w:rFonts w:hint="default" w:ascii="Times New Roman" w:hAnsi="Times New Roman" w:eastAsia="宋体" w:cs="Times New Roman"/>
                <w:color w:val="auto"/>
                <w:spacing w:val="0"/>
                <w:sz w:val="24"/>
                <w:szCs w:val="20"/>
                <w:lang w:val="en-US" w:eastAsia="zh-CN" w:bidi="ar-SA"/>
              </w:rPr>
              <w:t xml:space="preserve">1.5m </w:t>
            </w:r>
            <w:r>
              <w:rPr>
                <w:rFonts w:hint="eastAsia" w:ascii="Times New Roman" w:hAnsi="Times New Roman" w:eastAsia="宋体" w:cs="Times New Roman"/>
                <w:color w:val="auto"/>
                <w:spacing w:val="0"/>
                <w:sz w:val="24"/>
                <w:szCs w:val="20"/>
                <w:lang w:val="en-US" w:eastAsia="zh-CN" w:bidi="ar-SA"/>
              </w:rPr>
              <w:t xml:space="preserve">以上，底质多为乱石的深沱、深沟的地方，符合条件的在调查水域只有安福堰上游库区，因此安福堰库区是多数鱼类的越冬场。工程河段的多数鱼类在冬季基本上都要在库区越冬，工程下游河段还有些小型鱼类鱼如：平鳍鳅科、鰕虎鱼亚目的鱼类，由于它们个体小，到大型越冬场越冬会受到威胁，因此它们的越冬场不是固定的，常隐藏于石头缝隙、索饵场附近越冬，因此这些鱼类的越冬场一般不是固定的。 </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w:t>
            </w:r>
            <w:r>
              <w:rPr>
                <w:rFonts w:hint="eastAsia" w:ascii="Times New Roman" w:hAnsi="Times New Roman" w:eastAsia="宋体" w:cs="Times New Roman"/>
                <w:b/>
                <w:bCs/>
                <w:color w:val="auto"/>
                <w:kern w:val="0"/>
                <w:sz w:val="24"/>
                <w:szCs w:val="24"/>
                <w:lang w:val="en-US" w:eastAsia="zh-CN"/>
              </w:rPr>
              <w:t>2</w:t>
            </w:r>
            <w:r>
              <w:rPr>
                <w:rFonts w:hint="default" w:ascii="Times New Roman" w:hAnsi="Times New Roman" w:eastAsia="宋体" w:cs="Times New Roman"/>
                <w:b/>
                <w:bCs/>
                <w:color w:val="auto"/>
                <w:kern w:val="0"/>
                <w:sz w:val="24"/>
                <w:szCs w:val="24"/>
              </w:rPr>
              <w:t>）陆生生态环境质量现状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乐山市市中区</w:t>
            </w:r>
            <w:r>
              <w:rPr>
                <w:rFonts w:hint="eastAsia" w:ascii="Times New Roman" w:hAnsi="Times New Roman" w:eastAsia="宋体" w:cs="Times New Roman"/>
                <w:color w:val="auto"/>
                <w:kern w:val="0"/>
                <w:sz w:val="24"/>
                <w:szCs w:val="24"/>
                <w:lang w:val="en-US" w:eastAsia="zh-CN"/>
              </w:rPr>
              <w:t>苏稽镇，</w:t>
            </w:r>
            <w:r>
              <w:rPr>
                <w:rFonts w:hint="eastAsia" w:ascii="Times New Roman" w:hAnsi="Times New Roman" w:eastAsia="宋体" w:cs="Times New Roman"/>
                <w:color w:val="auto"/>
                <w:kern w:val="0"/>
                <w:sz w:val="24"/>
                <w:szCs w:val="24"/>
              </w:rPr>
              <w:t>评价区域没有特别生态系统或生境等生态敏感保护目标。生态系统较稳定，承受干扰的能力较强，目前受人类活动影响明显，生态系统单一，结构简单，环境异质性差。区域以人工生境为主，易于恢复，评价区域无自然保护区，风景名胜区，文物古迹等。项目所在地动物较少，主要有少量人工饲养的猪、牛、羊、兔、鸡、鹅等家禽和少量野生鼠类、鸟类动物，未见大型野生哺乳动物，未见珍稀濒危保护野生动物分布。区域内无天然珍稀野生动植物分布，该区域缺少生物物种的种群源，自然组分的调控能力弱。</w:t>
            </w:r>
          </w:p>
          <w:p>
            <w:pPr>
              <w:adjustRightInd w:val="0"/>
              <w:snapToGrid w:val="0"/>
              <w:spacing w:line="360" w:lineRule="auto"/>
              <w:ind w:firstLine="482" w:firstLineChars="200"/>
              <w:textAlignment w:val="center"/>
              <w:rPr>
                <w:rFonts w:hint="default" w:ascii="Times New Roman" w:hAnsi="Times New Roman" w:cs="Times New Roman"/>
                <w:b/>
                <w:bCs/>
                <w:kern w:val="0"/>
                <w:sz w:val="24"/>
              </w:rPr>
            </w:pPr>
            <w:r>
              <w:rPr>
                <w:rFonts w:hint="default" w:ascii="Times New Roman" w:hAnsi="Times New Roman" w:cs="Times New Roman"/>
                <w:b/>
                <w:bCs/>
                <w:sz w:val="24"/>
              </w:rPr>
              <w:t>2、环境空气质量现状调查与评价</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根据乐山市生态环境局发布的《2021年乐山市年度环境质量状况》结论，乐山市主城区环境空气有效监测天数为365天，达标天数314天，达标率86.0％ 。全年优125天、良189天、轻度污染45天、中度污染6天、重度污染0天。乐山市11个县 (市、区) 环境空气中二氧化硫、二氧化氮、臭氧、 一氧化碳、可吸入颗粒物和细颗粒物浓度分别为 9μg/m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 xml:space="preserve"> 、23 μg/m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 xml:space="preserve"> 、118 μ g/m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 xml:space="preserve"> 、1.0mg/m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 xml:space="preserve"> 、54μg/m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和35μg/m</w:t>
            </w:r>
            <w:r>
              <w:rPr>
                <w:rFonts w:hint="default" w:ascii="Times New Roman" w:hAnsi="Times New Roman" w:eastAsia="宋体" w:cs="Times New Roman"/>
                <w:color w:val="auto"/>
                <w:kern w:val="0"/>
                <w:sz w:val="24"/>
                <w:szCs w:val="24"/>
                <w:vertAlign w:val="superscript"/>
              </w:rPr>
              <w:t>3</w:t>
            </w:r>
            <w:r>
              <w:rPr>
                <w:rFonts w:hint="default" w:ascii="Times New Roman" w:hAnsi="Times New Roman" w:eastAsia="宋体" w:cs="Times New Roman"/>
                <w:color w:val="auto"/>
                <w:kern w:val="0"/>
                <w:sz w:val="24"/>
                <w:szCs w:val="24"/>
              </w:rPr>
              <w:t>，均达到国家环境空气二级标准，其中除二氧化氮浓度持平，细颗粒物浓度同比上升了1.9％外，其余4项污染物同比下降了16.2％、6.7％、8.9％和1.2％。乐山市市中区为达标区。</w:t>
            </w:r>
          </w:p>
          <w:p>
            <w:pPr>
              <w:keepNext w:val="0"/>
              <w:keepLines w:val="0"/>
              <w:pageBreakBefore w:val="0"/>
              <w:kinsoku/>
              <w:wordWrap/>
              <w:overflowPunct/>
              <w:topLinePunct w:val="0"/>
              <w:autoSpaceDE w:val="0"/>
              <w:autoSpaceDN w:val="0"/>
              <w:bidi w:val="0"/>
              <w:adjustRightInd w:val="0"/>
              <w:snapToGrid w:val="0"/>
              <w:spacing w:line="360" w:lineRule="auto"/>
              <w:ind w:right="0" w:firstLine="482" w:firstLineChars="200"/>
              <w:textAlignment w:val="center"/>
              <w:rPr>
                <w:rFonts w:hint="default" w:ascii="Times New Roman" w:hAnsi="Times New Roman" w:cs="Times New Roman"/>
                <w:b/>
                <w:bCs/>
                <w:sz w:val="24"/>
              </w:rPr>
            </w:pPr>
            <w:r>
              <w:rPr>
                <w:rFonts w:hint="default" w:ascii="Times New Roman" w:hAnsi="Times New Roman" w:cs="Times New Roman"/>
                <w:b/>
                <w:bCs/>
                <w:sz w:val="24"/>
              </w:rPr>
              <w:t>3、地表水环境质量现状调查与评价</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根据《环境影响评价技术导则 地表水环境》 (HJ2.3-2018)分析可知，应优先采用国务院生态环境保护主管部门统一发布的水环境状况信息。</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rPr>
              <w:t>本项目地表水体为</w:t>
            </w:r>
            <w:r>
              <w:rPr>
                <w:rFonts w:hint="eastAsia" w:ascii="Times New Roman" w:hAnsi="Times New Roman" w:eastAsia="宋体" w:cs="Times New Roman"/>
                <w:color w:val="auto"/>
                <w:kern w:val="0"/>
                <w:sz w:val="24"/>
                <w:szCs w:val="24"/>
                <w:lang w:val="en-US" w:eastAsia="zh-CN"/>
              </w:rPr>
              <w:t>峨眉河</w:t>
            </w:r>
            <w:r>
              <w:rPr>
                <w:rFonts w:hint="default" w:ascii="Times New Roman" w:hAnsi="Times New Roman" w:eastAsia="宋体" w:cs="Times New Roman"/>
                <w:color w:val="auto"/>
                <w:kern w:val="0"/>
                <w:sz w:val="24"/>
                <w:szCs w:val="24"/>
              </w:rPr>
              <w:t>，</w:t>
            </w:r>
            <w:r>
              <w:rPr>
                <w:rFonts w:hint="eastAsia" w:ascii="Times New Roman" w:hAnsi="Times New Roman" w:eastAsia="宋体" w:cs="Times New Roman"/>
                <w:color w:val="auto"/>
                <w:kern w:val="0"/>
                <w:sz w:val="24"/>
                <w:szCs w:val="24"/>
                <w:lang w:val="en-US" w:eastAsia="zh-CN"/>
              </w:rPr>
              <w:t>引用乐山市峨眉生态环境监测站于2021年对峨眉河曾河坝断面的监测，监测结果如下表。</w:t>
            </w: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bCs/>
                <w:color w:val="auto"/>
                <w:kern w:val="0"/>
                <w:sz w:val="21"/>
                <w:szCs w:val="21"/>
                <w:lang w:val="en-US" w:eastAsia="zh-CN"/>
              </w:rPr>
            </w:pPr>
            <w:r>
              <w:rPr>
                <w:rFonts w:hint="eastAsia" w:ascii="Times New Roman" w:hAnsi="Times New Roman" w:eastAsia="宋体" w:cs="Times New Roman"/>
                <w:b/>
                <w:bCs/>
                <w:color w:val="auto"/>
                <w:kern w:val="0"/>
                <w:sz w:val="21"/>
                <w:szCs w:val="21"/>
                <w:lang w:val="en-US" w:eastAsia="zh-CN"/>
              </w:rPr>
              <w:t>表3-1  地表水监测结果  单位：mg/L</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6"/>
              <w:gridCol w:w="3148"/>
              <w:gridCol w:w="3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0" w:type="dxa"/>
                  <w:noWrap w:val="0"/>
                  <w:vAlign w:val="top"/>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eastAsia" w:ascii="Times New Roman" w:hAnsi="Times New Roman" w:eastAsia="宋体" w:cs="Times New Roman"/>
                      <w:color w:val="auto"/>
                      <w:kern w:val="0"/>
                      <w:sz w:val="21"/>
                      <w:szCs w:val="21"/>
                      <w:vertAlign w:val="baseline"/>
                      <w:lang w:val="en-US" w:eastAsia="zh-CN"/>
                    </w:rPr>
                    <w:t>监测点位</w:t>
                  </w:r>
                </w:p>
              </w:tc>
              <w:tc>
                <w:tcPr>
                  <w:tcW w:w="3161" w:type="dxa"/>
                  <w:noWrap w:val="0"/>
                  <w:vAlign w:val="top"/>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eastAsia" w:ascii="Times New Roman" w:hAnsi="Times New Roman" w:eastAsia="宋体" w:cs="Times New Roman"/>
                      <w:color w:val="auto"/>
                      <w:kern w:val="0"/>
                      <w:sz w:val="21"/>
                      <w:szCs w:val="21"/>
                      <w:vertAlign w:val="baseline"/>
                      <w:lang w:val="en-US" w:eastAsia="zh-CN"/>
                    </w:rPr>
                    <w:t>检测因子</w:t>
                  </w:r>
                </w:p>
              </w:tc>
              <w:tc>
                <w:tcPr>
                  <w:tcW w:w="3489" w:type="dxa"/>
                  <w:noWrap w:val="0"/>
                  <w:vAlign w:val="top"/>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eastAsia" w:ascii="Times New Roman" w:hAnsi="Times New Roman" w:eastAsia="宋体" w:cs="Times New Roman"/>
                      <w:color w:val="auto"/>
                      <w:kern w:val="0"/>
                      <w:sz w:val="21"/>
                      <w:szCs w:val="21"/>
                      <w:vertAlign w:val="baseline"/>
                      <w:lang w:val="en-US" w:eastAsia="zh-CN"/>
                    </w:rPr>
                    <w:t>监测结果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0" w:type="dxa"/>
                  <w:vMerge w:val="restart"/>
                  <w:noWrap w:val="0"/>
                  <w:vAlign w:val="top"/>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eastAsia" w:ascii="Times New Roman" w:hAnsi="Times New Roman" w:eastAsia="宋体" w:cs="Times New Roman"/>
                      <w:color w:val="auto"/>
                      <w:kern w:val="0"/>
                      <w:sz w:val="21"/>
                      <w:szCs w:val="21"/>
                      <w:vertAlign w:val="baseline"/>
                      <w:lang w:val="en-US" w:eastAsia="zh-CN"/>
                    </w:rPr>
                    <w:t>峨眉河曾河坝</w:t>
                  </w:r>
                </w:p>
              </w:tc>
              <w:tc>
                <w:tcPr>
                  <w:tcW w:w="3161" w:type="dxa"/>
                  <w:noWrap w:val="0"/>
                  <w:vAlign w:val="top"/>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eastAsia" w:ascii="Times New Roman" w:hAnsi="Times New Roman" w:eastAsia="宋体" w:cs="Times New Roman"/>
                      <w:color w:val="auto"/>
                      <w:kern w:val="0"/>
                      <w:sz w:val="21"/>
                      <w:szCs w:val="21"/>
                      <w:vertAlign w:val="baseline"/>
                      <w:lang w:val="en-US" w:eastAsia="zh-CN"/>
                    </w:rPr>
                    <w:t>PH</w:t>
                  </w:r>
                </w:p>
              </w:tc>
              <w:tc>
                <w:tcPr>
                  <w:tcW w:w="3489" w:type="dxa"/>
                  <w:noWrap w:val="0"/>
                  <w:vAlign w:val="top"/>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eastAsia" w:ascii="Times New Roman" w:hAnsi="Times New Roman" w:eastAsia="宋体" w:cs="Times New Roman"/>
                      <w:color w:val="auto"/>
                      <w:kern w:val="0"/>
                      <w:sz w:val="21"/>
                      <w:szCs w:val="21"/>
                      <w:vertAlign w:val="baseli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0" w:type="dxa"/>
                  <w:vMerge w:val="continue"/>
                  <w:noWrap w:val="0"/>
                  <w:vAlign w:val="top"/>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kern w:val="0"/>
                      <w:sz w:val="21"/>
                      <w:szCs w:val="21"/>
                      <w:vertAlign w:val="baseline"/>
                      <w:lang w:val="en-US" w:eastAsia="zh-CN"/>
                    </w:rPr>
                  </w:pPr>
                </w:p>
              </w:tc>
              <w:tc>
                <w:tcPr>
                  <w:tcW w:w="3161" w:type="dxa"/>
                  <w:noWrap w:val="0"/>
                  <w:vAlign w:val="top"/>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eastAsia" w:ascii="Times New Roman" w:hAnsi="Times New Roman" w:eastAsia="宋体" w:cs="Times New Roman"/>
                      <w:color w:val="auto"/>
                      <w:kern w:val="0"/>
                      <w:sz w:val="21"/>
                      <w:szCs w:val="21"/>
                      <w:vertAlign w:val="baseline"/>
                      <w:lang w:val="en-US" w:eastAsia="zh-CN"/>
                    </w:rPr>
                    <w:t>溶解氧</w:t>
                  </w:r>
                </w:p>
              </w:tc>
              <w:tc>
                <w:tcPr>
                  <w:tcW w:w="3489" w:type="dxa"/>
                  <w:noWrap w:val="0"/>
                  <w:vAlign w:val="top"/>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eastAsia" w:ascii="Times New Roman" w:hAnsi="Times New Roman" w:eastAsia="宋体" w:cs="Times New Roman"/>
                      <w:color w:val="auto"/>
                      <w:kern w:val="0"/>
                      <w:sz w:val="21"/>
                      <w:szCs w:val="21"/>
                      <w:vertAlign w:val="baseline"/>
                      <w:lang w:val="en-US" w:eastAsia="zh-CN"/>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0" w:type="dxa"/>
                  <w:vMerge w:val="continue"/>
                  <w:noWrap w:val="0"/>
                  <w:vAlign w:val="top"/>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kern w:val="0"/>
                      <w:sz w:val="21"/>
                      <w:szCs w:val="21"/>
                      <w:vertAlign w:val="baseline"/>
                      <w:lang w:val="en-US" w:eastAsia="zh-CN"/>
                    </w:rPr>
                  </w:pPr>
                </w:p>
              </w:tc>
              <w:tc>
                <w:tcPr>
                  <w:tcW w:w="3161" w:type="dxa"/>
                  <w:noWrap w:val="0"/>
                  <w:vAlign w:val="top"/>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eastAsia" w:ascii="Times New Roman" w:hAnsi="Times New Roman" w:eastAsia="宋体" w:cs="Times New Roman"/>
                      <w:color w:val="auto"/>
                      <w:kern w:val="0"/>
                      <w:sz w:val="21"/>
                      <w:szCs w:val="21"/>
                      <w:vertAlign w:val="baseline"/>
                      <w:lang w:val="en-US" w:eastAsia="zh-CN"/>
                    </w:rPr>
                    <w:t>高锰酸盐指数</w:t>
                  </w:r>
                </w:p>
              </w:tc>
              <w:tc>
                <w:tcPr>
                  <w:tcW w:w="3489" w:type="dxa"/>
                  <w:noWrap w:val="0"/>
                  <w:vAlign w:val="top"/>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eastAsia" w:ascii="Times New Roman" w:hAnsi="Times New Roman" w:eastAsia="宋体" w:cs="Times New Roman"/>
                      <w:color w:val="auto"/>
                      <w:kern w:val="0"/>
                      <w:sz w:val="21"/>
                      <w:szCs w:val="21"/>
                      <w:vertAlign w:val="baseline"/>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0" w:type="dxa"/>
                  <w:vMerge w:val="continue"/>
                  <w:noWrap w:val="0"/>
                  <w:vAlign w:val="top"/>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kern w:val="0"/>
                      <w:sz w:val="21"/>
                      <w:szCs w:val="21"/>
                      <w:vertAlign w:val="baseline"/>
                      <w:lang w:val="en-US" w:eastAsia="zh-CN"/>
                    </w:rPr>
                  </w:pPr>
                </w:p>
              </w:tc>
              <w:tc>
                <w:tcPr>
                  <w:tcW w:w="3161" w:type="dxa"/>
                  <w:noWrap w:val="0"/>
                  <w:vAlign w:val="top"/>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eastAsia" w:ascii="Times New Roman" w:hAnsi="Times New Roman" w:eastAsia="宋体" w:cs="Times New Roman"/>
                      <w:color w:val="auto"/>
                      <w:kern w:val="0"/>
                      <w:sz w:val="21"/>
                      <w:szCs w:val="21"/>
                      <w:vertAlign w:val="baseline"/>
                      <w:lang w:val="en-US" w:eastAsia="zh-CN"/>
                    </w:rPr>
                    <w:t>化学需氧量</w:t>
                  </w:r>
                </w:p>
              </w:tc>
              <w:tc>
                <w:tcPr>
                  <w:tcW w:w="3489" w:type="dxa"/>
                  <w:noWrap w:val="0"/>
                  <w:vAlign w:val="top"/>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eastAsia" w:ascii="Times New Roman" w:hAnsi="Times New Roman" w:eastAsia="宋体" w:cs="Times New Roman"/>
                      <w:color w:val="auto"/>
                      <w:kern w:val="0"/>
                      <w:sz w:val="21"/>
                      <w:szCs w:val="21"/>
                      <w:vertAlign w:val="baseli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0" w:type="dxa"/>
                  <w:vMerge w:val="continue"/>
                  <w:noWrap w:val="0"/>
                  <w:vAlign w:val="top"/>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kern w:val="0"/>
                      <w:sz w:val="21"/>
                      <w:szCs w:val="21"/>
                      <w:vertAlign w:val="baseline"/>
                      <w:lang w:val="en-US" w:eastAsia="zh-CN"/>
                    </w:rPr>
                  </w:pPr>
                </w:p>
              </w:tc>
              <w:tc>
                <w:tcPr>
                  <w:tcW w:w="3161" w:type="dxa"/>
                  <w:noWrap w:val="0"/>
                  <w:vAlign w:val="top"/>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eastAsia" w:ascii="Times New Roman" w:hAnsi="Times New Roman" w:eastAsia="宋体" w:cs="Times New Roman"/>
                      <w:color w:val="auto"/>
                      <w:kern w:val="0"/>
                      <w:sz w:val="21"/>
                      <w:szCs w:val="21"/>
                      <w:vertAlign w:val="baseline"/>
                      <w:lang w:val="en-US" w:eastAsia="zh-CN"/>
                    </w:rPr>
                    <w:t>五日生化需氧量</w:t>
                  </w:r>
                </w:p>
              </w:tc>
              <w:tc>
                <w:tcPr>
                  <w:tcW w:w="3489" w:type="dxa"/>
                  <w:noWrap w:val="0"/>
                  <w:vAlign w:val="top"/>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eastAsia" w:ascii="Times New Roman" w:hAnsi="Times New Roman" w:eastAsia="宋体" w:cs="Times New Roman"/>
                      <w:color w:val="auto"/>
                      <w:kern w:val="0"/>
                      <w:sz w:val="21"/>
                      <w:szCs w:val="21"/>
                      <w:vertAlign w:val="baseline"/>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0" w:type="dxa"/>
                  <w:vMerge w:val="continue"/>
                  <w:noWrap w:val="0"/>
                  <w:vAlign w:val="top"/>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kern w:val="0"/>
                      <w:sz w:val="21"/>
                      <w:szCs w:val="21"/>
                      <w:vertAlign w:val="baseline"/>
                      <w:lang w:val="en-US" w:eastAsia="zh-CN"/>
                    </w:rPr>
                  </w:pPr>
                </w:p>
              </w:tc>
              <w:tc>
                <w:tcPr>
                  <w:tcW w:w="3161" w:type="dxa"/>
                  <w:noWrap w:val="0"/>
                  <w:vAlign w:val="top"/>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eastAsia" w:ascii="Times New Roman" w:hAnsi="Times New Roman" w:eastAsia="宋体" w:cs="Times New Roman"/>
                      <w:color w:val="auto"/>
                      <w:kern w:val="0"/>
                      <w:sz w:val="21"/>
                      <w:szCs w:val="21"/>
                      <w:vertAlign w:val="baseline"/>
                      <w:lang w:val="en-US" w:eastAsia="zh-CN"/>
                    </w:rPr>
                    <w:t>氨氮</w:t>
                  </w:r>
                </w:p>
              </w:tc>
              <w:tc>
                <w:tcPr>
                  <w:tcW w:w="3489" w:type="dxa"/>
                  <w:noWrap w:val="0"/>
                  <w:vAlign w:val="top"/>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eastAsia" w:ascii="Times New Roman" w:hAnsi="Times New Roman" w:eastAsia="宋体" w:cs="Times New Roman"/>
                      <w:color w:val="auto"/>
                      <w:kern w:val="0"/>
                      <w:sz w:val="21"/>
                      <w:szCs w:val="21"/>
                      <w:vertAlign w:val="baseline"/>
                      <w:lang w:val="en-US" w:eastAsia="zh-CN"/>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0" w:type="dxa"/>
                  <w:vMerge w:val="continue"/>
                  <w:noWrap w:val="0"/>
                  <w:vAlign w:val="top"/>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kern w:val="0"/>
                      <w:sz w:val="21"/>
                      <w:szCs w:val="21"/>
                      <w:vertAlign w:val="baseline"/>
                      <w:lang w:val="en-US" w:eastAsia="zh-CN"/>
                    </w:rPr>
                  </w:pPr>
                </w:p>
              </w:tc>
              <w:tc>
                <w:tcPr>
                  <w:tcW w:w="3161" w:type="dxa"/>
                  <w:noWrap w:val="0"/>
                  <w:vAlign w:val="top"/>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eastAsia" w:ascii="Times New Roman" w:hAnsi="Times New Roman" w:eastAsia="宋体" w:cs="Times New Roman"/>
                      <w:color w:val="auto"/>
                      <w:kern w:val="0"/>
                      <w:sz w:val="21"/>
                      <w:szCs w:val="21"/>
                      <w:vertAlign w:val="baseline"/>
                      <w:lang w:val="en-US" w:eastAsia="zh-CN"/>
                    </w:rPr>
                    <w:t>总磷</w:t>
                  </w:r>
                </w:p>
              </w:tc>
              <w:tc>
                <w:tcPr>
                  <w:tcW w:w="3489" w:type="dxa"/>
                  <w:noWrap w:val="0"/>
                  <w:vAlign w:val="top"/>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eastAsia" w:ascii="Times New Roman" w:hAnsi="Times New Roman" w:eastAsia="宋体" w:cs="Times New Roman"/>
                      <w:color w:val="auto"/>
                      <w:kern w:val="0"/>
                      <w:sz w:val="21"/>
                      <w:szCs w:val="21"/>
                      <w:vertAlign w:val="baseline"/>
                      <w:lang w:val="en-US" w:eastAsia="zh-CN"/>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0" w:type="dxa"/>
                  <w:vMerge w:val="continue"/>
                  <w:noWrap w:val="0"/>
                  <w:vAlign w:val="top"/>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kern w:val="0"/>
                      <w:sz w:val="21"/>
                      <w:szCs w:val="21"/>
                      <w:vertAlign w:val="baseline"/>
                      <w:lang w:val="en-US" w:eastAsia="zh-CN"/>
                    </w:rPr>
                  </w:pPr>
                </w:p>
              </w:tc>
              <w:tc>
                <w:tcPr>
                  <w:tcW w:w="3161" w:type="dxa"/>
                  <w:noWrap w:val="0"/>
                  <w:vAlign w:val="top"/>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eastAsia" w:ascii="Times New Roman" w:hAnsi="Times New Roman" w:eastAsia="宋体" w:cs="Times New Roman"/>
                      <w:color w:val="auto"/>
                      <w:kern w:val="0"/>
                      <w:sz w:val="21"/>
                      <w:szCs w:val="21"/>
                      <w:vertAlign w:val="baseline"/>
                      <w:lang w:val="en-US" w:eastAsia="zh-CN"/>
                    </w:rPr>
                    <w:t>挥发酚</w:t>
                  </w:r>
                </w:p>
              </w:tc>
              <w:tc>
                <w:tcPr>
                  <w:tcW w:w="3489" w:type="dxa"/>
                  <w:noWrap w:val="0"/>
                  <w:vAlign w:val="top"/>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kern w:val="0"/>
                      <w:sz w:val="21"/>
                      <w:szCs w:val="21"/>
                      <w:vertAlign w:val="baseline"/>
                      <w:lang w:val="en-US" w:eastAsia="zh-CN"/>
                    </w:rPr>
                  </w:pPr>
                  <w:r>
                    <w:rPr>
                      <w:rFonts w:hint="eastAsia" w:ascii="Times New Roman" w:hAnsi="Times New Roman" w:eastAsia="宋体" w:cs="Times New Roman"/>
                      <w:color w:val="auto"/>
                      <w:kern w:val="0"/>
                      <w:sz w:val="21"/>
                      <w:szCs w:val="21"/>
                      <w:vertAlign w:val="baseline"/>
                      <w:lang w:val="en-US" w:eastAsia="zh-CN"/>
                    </w:rPr>
                    <w:t>0.0003L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0" w:type="dxa"/>
                  <w:vMerge w:val="continue"/>
                  <w:noWrap w:val="0"/>
                  <w:vAlign w:val="top"/>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kern w:val="0"/>
                      <w:sz w:val="21"/>
                      <w:szCs w:val="21"/>
                      <w:vertAlign w:val="baseline"/>
                      <w:lang w:val="en-US" w:eastAsia="zh-CN"/>
                    </w:rPr>
                  </w:pPr>
                </w:p>
              </w:tc>
              <w:tc>
                <w:tcPr>
                  <w:tcW w:w="3161" w:type="dxa"/>
                  <w:noWrap w:val="0"/>
                  <w:vAlign w:val="top"/>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eastAsia" w:ascii="Times New Roman" w:hAnsi="Times New Roman" w:eastAsia="宋体" w:cs="Times New Roman"/>
                      <w:color w:val="auto"/>
                      <w:kern w:val="0"/>
                      <w:sz w:val="21"/>
                      <w:szCs w:val="21"/>
                      <w:vertAlign w:val="baseline"/>
                      <w:lang w:val="en-US" w:eastAsia="zh-CN"/>
                    </w:rPr>
                    <w:t>石油类</w:t>
                  </w:r>
                </w:p>
              </w:tc>
              <w:tc>
                <w:tcPr>
                  <w:tcW w:w="3489" w:type="dxa"/>
                  <w:noWrap w:val="0"/>
                  <w:vAlign w:val="top"/>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eastAsia" w:ascii="Times New Roman" w:hAnsi="Times New Roman" w:eastAsia="宋体" w:cs="Times New Roman"/>
                      <w:color w:val="auto"/>
                      <w:kern w:val="0"/>
                      <w:sz w:val="21"/>
                      <w:szCs w:val="21"/>
                      <w:vertAlign w:val="baseline"/>
                      <w:lang w:val="en-US" w:eastAsia="zh-CN"/>
                    </w:rPr>
                    <w:t>0.01L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0" w:type="dxa"/>
                  <w:vMerge w:val="continue"/>
                  <w:noWrap w:val="0"/>
                  <w:vAlign w:val="top"/>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kern w:val="0"/>
                      <w:sz w:val="21"/>
                      <w:szCs w:val="21"/>
                      <w:vertAlign w:val="baseline"/>
                      <w:lang w:val="en-US" w:eastAsia="zh-CN"/>
                    </w:rPr>
                  </w:pPr>
                </w:p>
              </w:tc>
              <w:tc>
                <w:tcPr>
                  <w:tcW w:w="3161" w:type="dxa"/>
                  <w:noWrap w:val="0"/>
                  <w:vAlign w:val="top"/>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kern w:val="0"/>
                      <w:sz w:val="21"/>
                      <w:szCs w:val="21"/>
                      <w:vertAlign w:val="baseline"/>
                      <w:lang w:val="en-US" w:eastAsia="zh-CN"/>
                    </w:rPr>
                  </w:pPr>
                  <w:r>
                    <w:rPr>
                      <w:rFonts w:hint="eastAsia" w:ascii="Times New Roman" w:hAnsi="Times New Roman" w:eastAsia="宋体" w:cs="Times New Roman"/>
                      <w:color w:val="auto"/>
                      <w:kern w:val="0"/>
                      <w:sz w:val="21"/>
                      <w:szCs w:val="21"/>
                      <w:vertAlign w:val="baseline"/>
                      <w:lang w:val="en-US" w:eastAsia="zh-CN"/>
                    </w:rPr>
                    <w:t>阴离子表面活性剂</w:t>
                  </w:r>
                </w:p>
              </w:tc>
              <w:tc>
                <w:tcPr>
                  <w:tcW w:w="3489" w:type="dxa"/>
                  <w:noWrap w:val="0"/>
                  <w:vAlign w:val="top"/>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kern w:val="0"/>
                      <w:sz w:val="21"/>
                      <w:szCs w:val="21"/>
                      <w:vertAlign w:val="baseline"/>
                      <w:lang w:val="en-US" w:eastAsia="zh-CN"/>
                    </w:rPr>
                  </w:pPr>
                  <w:r>
                    <w:rPr>
                      <w:rFonts w:hint="eastAsia" w:ascii="Times New Roman" w:hAnsi="Times New Roman" w:eastAsia="宋体" w:cs="Times New Roman"/>
                      <w:color w:val="auto"/>
                      <w:kern w:val="0"/>
                      <w:sz w:val="21"/>
                      <w:szCs w:val="21"/>
                      <w:vertAlign w:val="baseline"/>
                      <w:lang w:val="en-US" w:eastAsia="zh-CN"/>
                    </w:rPr>
                    <w:t>0.05L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0" w:type="dxa"/>
                  <w:noWrap w:val="0"/>
                  <w:vAlign w:val="top"/>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kern w:val="0"/>
                      <w:sz w:val="21"/>
                      <w:szCs w:val="21"/>
                      <w:vertAlign w:val="baseline"/>
                      <w:lang w:val="en-US" w:eastAsia="zh-CN"/>
                    </w:rPr>
                  </w:pPr>
                  <w:r>
                    <w:rPr>
                      <w:rFonts w:hint="eastAsia" w:ascii="Times New Roman" w:hAnsi="Times New Roman" w:eastAsia="宋体" w:cs="Times New Roman"/>
                      <w:color w:val="auto"/>
                      <w:kern w:val="0"/>
                      <w:sz w:val="21"/>
                      <w:szCs w:val="21"/>
                      <w:vertAlign w:val="baseline"/>
                      <w:lang w:val="en-US" w:eastAsia="zh-CN"/>
                    </w:rPr>
                    <w:t>执行标准</w:t>
                  </w:r>
                </w:p>
              </w:tc>
              <w:tc>
                <w:tcPr>
                  <w:tcW w:w="6650" w:type="dxa"/>
                  <w:gridSpan w:val="2"/>
                  <w:noWrap w:val="0"/>
                  <w:vAlign w:val="top"/>
                </w:tcPr>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eastAsia" w:ascii="Times New Roman" w:hAnsi="Times New Roman" w:eastAsia="宋体" w:cs="Times New Roman"/>
                      <w:color w:val="auto"/>
                      <w:kern w:val="0"/>
                      <w:sz w:val="21"/>
                      <w:szCs w:val="21"/>
                      <w:vertAlign w:val="baseline"/>
                      <w:lang w:val="en-US" w:eastAsia="zh-CN"/>
                    </w:rPr>
                  </w:pPr>
                  <w:r>
                    <w:rPr>
                      <w:rFonts w:hint="eastAsia" w:ascii="Times New Roman" w:hAnsi="Times New Roman" w:eastAsia="宋体" w:cs="Times New Roman"/>
                      <w:color w:val="auto"/>
                      <w:kern w:val="0"/>
                      <w:sz w:val="21"/>
                      <w:szCs w:val="21"/>
                      <w:vertAlign w:val="baseline"/>
                      <w:lang w:val="en-US" w:eastAsia="zh-CN"/>
                    </w:rPr>
                    <w:t>行《地表水环境质量标准》（GB3838-2002）中的Ⅲ 类水域标准限值。</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pacing w:val="0"/>
                <w:sz w:val="24"/>
                <w:szCs w:val="24"/>
                <w:lang w:val="en-US" w:eastAsia="zh-CN"/>
              </w:rPr>
            </w:pPr>
            <w:r>
              <w:rPr>
                <w:rFonts w:hint="eastAsia" w:ascii="Times New Roman" w:hAnsi="Times New Roman" w:eastAsia="宋体" w:cs="Times New Roman"/>
                <w:color w:val="auto"/>
                <w:kern w:val="0"/>
                <w:sz w:val="24"/>
                <w:szCs w:val="24"/>
                <w:lang w:val="en-US" w:eastAsia="zh-CN"/>
              </w:rPr>
              <w:t>由上表可知，</w:t>
            </w:r>
            <w:r>
              <w:rPr>
                <w:rFonts w:hint="default" w:ascii="Times New Roman" w:hAnsi="Times New Roman" w:eastAsia="宋体" w:cs="Times New Roman"/>
                <w:b w:val="0"/>
                <w:bCs w:val="0"/>
                <w:color w:val="auto"/>
                <w:spacing w:val="0"/>
                <w:sz w:val="24"/>
                <w:szCs w:val="24"/>
                <w:lang w:val="en-US" w:eastAsia="zh-CN"/>
              </w:rPr>
              <w:t>省考</w:t>
            </w:r>
            <w:r>
              <w:rPr>
                <w:rFonts w:hint="eastAsia" w:ascii="Times New Roman" w:hAnsi="Times New Roman" w:eastAsia="宋体" w:cs="Times New Roman"/>
                <w:b w:val="0"/>
                <w:bCs w:val="0"/>
                <w:color w:val="auto"/>
                <w:spacing w:val="0"/>
                <w:sz w:val="24"/>
                <w:szCs w:val="24"/>
                <w:lang w:val="en-US" w:eastAsia="zh-CN"/>
              </w:rPr>
              <w:t>峨眉河曾河坝</w:t>
            </w:r>
            <w:r>
              <w:rPr>
                <w:rFonts w:hint="default" w:ascii="Times New Roman" w:hAnsi="Times New Roman" w:eastAsia="宋体" w:cs="Times New Roman"/>
                <w:b w:val="0"/>
                <w:bCs w:val="0"/>
                <w:color w:val="auto"/>
                <w:spacing w:val="0"/>
                <w:sz w:val="24"/>
                <w:szCs w:val="24"/>
                <w:lang w:val="en-US" w:eastAsia="zh-CN"/>
              </w:rPr>
              <w:t>断面地表水质为Ⅱ</w:t>
            </w:r>
            <w:r>
              <w:rPr>
                <w:rFonts w:hint="eastAsia" w:ascii="Times New Roman" w:hAnsi="Times New Roman" w:eastAsia="宋体" w:cs="Times New Roman"/>
                <w:b w:val="0"/>
                <w:bCs w:val="0"/>
                <w:color w:val="auto"/>
                <w:spacing w:val="0"/>
                <w:sz w:val="24"/>
                <w:szCs w:val="24"/>
                <w:lang w:val="en-US" w:eastAsia="zh-CN"/>
              </w:rPr>
              <w:t>I</w:t>
            </w:r>
            <w:r>
              <w:rPr>
                <w:rFonts w:hint="default" w:ascii="Times New Roman" w:hAnsi="Times New Roman" w:eastAsia="宋体" w:cs="Times New Roman"/>
                <w:b w:val="0"/>
                <w:bCs w:val="0"/>
                <w:color w:val="auto"/>
                <w:spacing w:val="0"/>
                <w:sz w:val="24"/>
                <w:szCs w:val="24"/>
                <w:lang w:val="en-US" w:eastAsia="zh-CN"/>
              </w:rPr>
              <w:t>类</w:t>
            </w:r>
            <w:r>
              <w:rPr>
                <w:rFonts w:hint="eastAsia" w:ascii="Times New Roman" w:hAnsi="Times New Roman" w:eastAsia="宋体" w:cs="Times New Roman"/>
                <w:b w:val="0"/>
                <w:bCs w:val="0"/>
                <w:color w:val="auto"/>
                <w:spacing w:val="0"/>
                <w:sz w:val="24"/>
                <w:szCs w:val="24"/>
                <w:lang w:val="en-US" w:eastAsia="zh-CN"/>
              </w:rPr>
              <w:t>，本项目所在地地表水水质良好</w:t>
            </w:r>
            <w:r>
              <w:rPr>
                <w:rFonts w:hint="default" w:ascii="Times New Roman" w:hAnsi="Times New Roman" w:eastAsia="宋体" w:cs="Times New Roman"/>
                <w:b w:val="0"/>
                <w:bCs w:val="0"/>
                <w:color w:val="auto"/>
                <w:spacing w:val="0"/>
                <w:sz w:val="24"/>
                <w:szCs w:val="24"/>
                <w:lang w:val="en-US" w:eastAsia="zh-CN"/>
              </w:rPr>
              <w:t>。</w:t>
            </w:r>
          </w:p>
          <w:p>
            <w:pPr>
              <w:pStyle w:val="40"/>
              <w:keepNext w:val="0"/>
              <w:keepLines w:val="0"/>
              <w:pageBreakBefore w:val="0"/>
              <w:widowControl w:val="0"/>
              <w:tabs>
                <w:tab w:val="left" w:pos="420"/>
                <w:tab w:val="left" w:pos="870"/>
                <w:tab w:val="left" w:pos="3150"/>
              </w:tabs>
              <w:kinsoku/>
              <w:wordWrap/>
              <w:overflowPunct/>
              <w:topLinePunct w:val="0"/>
              <w:autoSpaceDE w:val="0"/>
              <w:autoSpaceDN w:val="0"/>
              <w:bidi w:val="0"/>
              <w:adjustRightInd w:val="0"/>
              <w:snapToGrid w:val="0"/>
              <w:spacing w:after="0" w:line="360" w:lineRule="auto"/>
              <w:ind w:left="0" w:leftChars="0" w:firstLine="482" w:firstLineChars="200"/>
              <w:textAlignment w:val="baseline"/>
              <w:rPr>
                <w:rFonts w:hint="default" w:ascii="Times New Roman" w:hAnsi="Times New Roman" w:eastAsia="宋体" w:cs="Times New Roman"/>
                <w:b/>
                <w:bCs/>
                <w:snapToGrid/>
                <w:color w:val="auto"/>
                <w:spacing w:val="0"/>
                <w:kern w:val="0"/>
                <w:sz w:val="24"/>
                <w:szCs w:val="24"/>
                <w:lang w:val="en-US" w:eastAsia="zh-CN" w:bidi="ar-SA"/>
              </w:rPr>
            </w:pPr>
            <w:r>
              <w:rPr>
                <w:rFonts w:hint="default" w:ascii="Times New Roman" w:hAnsi="Times New Roman" w:eastAsia="宋体" w:cs="Times New Roman"/>
                <w:b/>
                <w:bCs/>
                <w:snapToGrid/>
                <w:color w:val="auto"/>
                <w:spacing w:val="0"/>
                <w:kern w:val="0"/>
                <w:sz w:val="24"/>
                <w:szCs w:val="24"/>
                <w:lang w:val="en-US" w:eastAsia="zh-CN" w:bidi="ar-SA"/>
              </w:rPr>
              <w:t>4、声环境质量现状评价</w:t>
            </w:r>
          </w:p>
          <w:p>
            <w:pPr>
              <w:pStyle w:val="40"/>
              <w:keepNext w:val="0"/>
              <w:keepLines w:val="0"/>
              <w:pageBreakBefore w:val="0"/>
              <w:widowControl w:val="0"/>
              <w:tabs>
                <w:tab w:val="left" w:pos="420"/>
                <w:tab w:val="left" w:pos="870"/>
                <w:tab w:val="left" w:pos="3150"/>
              </w:tabs>
              <w:kinsoku/>
              <w:wordWrap/>
              <w:overflowPunct/>
              <w:topLinePunct w:val="0"/>
              <w:autoSpaceDE w:val="0"/>
              <w:autoSpaceDN w:val="0"/>
              <w:bidi w:val="0"/>
              <w:adjustRightInd w:val="0"/>
              <w:snapToGrid w:val="0"/>
              <w:spacing w:after="0" w:line="360" w:lineRule="auto"/>
              <w:ind w:left="0" w:leftChars="0" w:firstLine="482" w:firstLineChars="200"/>
              <w:textAlignment w:val="baseline"/>
              <w:rPr>
                <w:rFonts w:hint="default" w:ascii="Times New Roman" w:hAnsi="Times New Roman" w:eastAsia="宋体" w:cs="Times New Roman"/>
                <w:b/>
                <w:bCs/>
                <w:snapToGrid/>
                <w:color w:val="auto"/>
                <w:spacing w:val="0"/>
                <w:kern w:val="0"/>
                <w:sz w:val="24"/>
                <w:szCs w:val="24"/>
                <w:lang w:val="en-US" w:eastAsia="zh-CN" w:bidi="ar-SA"/>
              </w:rPr>
            </w:pPr>
            <w:r>
              <w:rPr>
                <w:rFonts w:hint="default" w:ascii="Times New Roman" w:hAnsi="Times New Roman" w:eastAsia="宋体" w:cs="Times New Roman"/>
                <w:b/>
                <w:bCs/>
                <w:snapToGrid/>
                <w:color w:val="auto"/>
                <w:spacing w:val="0"/>
                <w:kern w:val="0"/>
                <w:sz w:val="24"/>
                <w:szCs w:val="24"/>
                <w:lang w:val="en-US" w:eastAsia="zh-CN" w:bidi="ar-SA"/>
              </w:rPr>
              <w:t>（1）监测点位布设及监测频次</w:t>
            </w:r>
          </w:p>
          <w:p>
            <w:pPr>
              <w:pStyle w:val="40"/>
              <w:keepNext w:val="0"/>
              <w:keepLines w:val="0"/>
              <w:pageBreakBefore w:val="0"/>
              <w:widowControl w:val="0"/>
              <w:tabs>
                <w:tab w:val="left" w:pos="420"/>
                <w:tab w:val="left" w:pos="870"/>
                <w:tab w:val="left" w:pos="3150"/>
              </w:tabs>
              <w:kinsoku/>
              <w:wordWrap/>
              <w:overflowPunct/>
              <w:topLinePunct w:val="0"/>
              <w:autoSpaceDE w:val="0"/>
              <w:autoSpaceDN w:val="0"/>
              <w:bidi w:val="0"/>
              <w:adjustRightInd w:val="0"/>
              <w:snapToGrid w:val="0"/>
              <w:spacing w:after="0" w:line="360" w:lineRule="auto"/>
              <w:ind w:leftChars="0" w:firstLine="567"/>
              <w:textAlignment w:val="baseline"/>
              <w:rPr>
                <w:rFonts w:hint="default" w:ascii="Times New Roman" w:hAnsi="Times New Roman" w:eastAsia="宋体" w:cs="Times New Roman"/>
                <w:snapToGrid/>
                <w:color w:val="auto"/>
                <w:spacing w:val="0"/>
                <w:kern w:val="0"/>
                <w:sz w:val="24"/>
                <w:szCs w:val="24"/>
                <w:lang w:val="en-US" w:eastAsia="zh-CN" w:bidi="ar-SA"/>
              </w:rPr>
            </w:pPr>
            <w:r>
              <w:rPr>
                <w:rFonts w:hint="default" w:ascii="Times New Roman" w:hAnsi="Times New Roman" w:eastAsia="宋体" w:cs="Times New Roman"/>
                <w:snapToGrid/>
                <w:color w:val="auto"/>
                <w:spacing w:val="0"/>
                <w:kern w:val="0"/>
                <w:sz w:val="24"/>
                <w:szCs w:val="24"/>
                <w:lang w:val="en-US" w:eastAsia="zh-CN" w:bidi="ar-SA"/>
              </w:rPr>
              <w:t>为查明评价区声环境现状，根据建设项目所在地实际情况，现状监测共设置</w:t>
            </w:r>
            <w:r>
              <w:rPr>
                <w:rFonts w:hint="eastAsia" w:ascii="Times New Roman" w:hAnsi="Times New Roman" w:eastAsia="宋体" w:cs="Times New Roman"/>
                <w:snapToGrid/>
                <w:color w:val="auto"/>
                <w:spacing w:val="0"/>
                <w:kern w:val="0"/>
                <w:sz w:val="24"/>
                <w:szCs w:val="24"/>
                <w:lang w:val="en-US" w:eastAsia="zh-CN" w:bidi="ar-SA"/>
              </w:rPr>
              <w:t>6</w:t>
            </w:r>
            <w:r>
              <w:rPr>
                <w:rFonts w:hint="default" w:ascii="Times New Roman" w:hAnsi="Times New Roman" w:eastAsia="宋体" w:cs="Times New Roman"/>
                <w:snapToGrid/>
                <w:color w:val="auto"/>
                <w:spacing w:val="0"/>
                <w:kern w:val="0"/>
                <w:sz w:val="24"/>
                <w:szCs w:val="24"/>
                <w:lang w:val="en-US" w:eastAsia="zh-CN" w:bidi="ar-SA"/>
              </w:rPr>
              <w:t>个噪声监测点。</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黑体" w:cs="Times New Roman"/>
                <w:b/>
                <w:bCs/>
                <w:color w:val="auto"/>
                <w:spacing w:val="0"/>
                <w:kern w:val="2"/>
                <w:sz w:val="21"/>
                <w:szCs w:val="21"/>
                <w:lang w:val="en-US" w:eastAsia="zh-CN" w:bidi="ar-SA"/>
              </w:rPr>
            </w:pPr>
            <w:r>
              <w:rPr>
                <w:rFonts w:hint="default" w:ascii="Times New Roman" w:hAnsi="Times New Roman" w:eastAsia="黑体" w:cs="Times New Roman"/>
                <w:b/>
                <w:bCs/>
                <w:color w:val="auto"/>
                <w:spacing w:val="0"/>
                <w:kern w:val="2"/>
                <w:sz w:val="21"/>
                <w:szCs w:val="21"/>
                <w:lang w:val="en-US" w:eastAsia="zh-CN" w:bidi="ar-SA"/>
              </w:rPr>
              <w:t>表3-</w:t>
            </w:r>
            <w:r>
              <w:rPr>
                <w:rFonts w:hint="eastAsia" w:ascii="Times New Roman" w:hAnsi="Times New Roman" w:eastAsia="黑体" w:cs="Times New Roman"/>
                <w:b/>
                <w:bCs/>
                <w:color w:val="auto"/>
                <w:spacing w:val="0"/>
                <w:kern w:val="2"/>
                <w:sz w:val="21"/>
                <w:szCs w:val="21"/>
                <w:lang w:val="en-US" w:eastAsia="zh-CN" w:bidi="ar-SA"/>
              </w:rPr>
              <w:t>2</w:t>
            </w:r>
            <w:r>
              <w:rPr>
                <w:rFonts w:hint="default" w:ascii="Times New Roman" w:hAnsi="Times New Roman" w:eastAsia="黑体" w:cs="Times New Roman"/>
                <w:b/>
                <w:bCs/>
                <w:color w:val="auto"/>
                <w:spacing w:val="0"/>
                <w:kern w:val="2"/>
                <w:sz w:val="21"/>
                <w:szCs w:val="21"/>
                <w:lang w:val="en-US" w:eastAsia="zh-CN" w:bidi="ar-SA"/>
              </w:rPr>
              <w:t xml:space="preserve">  检测项目、点位及频次</w:t>
            </w:r>
          </w:p>
          <w:tbl>
            <w:tblPr>
              <w:tblStyle w:val="41"/>
              <w:tblW w:w="789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362"/>
              <w:gridCol w:w="3152"/>
              <w:gridCol w:w="338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0" w:hRule="atLeast"/>
                <w:tblHeader/>
                <w:jc w:val="center"/>
              </w:trPr>
              <w:tc>
                <w:tcPr>
                  <w:tcW w:w="862" w:type="pct"/>
                  <w:tcBorders>
                    <w:lef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bCs/>
                      <w:color w:val="auto"/>
                      <w:spacing w:val="0"/>
                      <w:sz w:val="21"/>
                      <w:szCs w:val="21"/>
                    </w:rPr>
                  </w:pPr>
                  <w:r>
                    <w:rPr>
                      <w:rFonts w:hint="default" w:ascii="Times New Roman" w:hAnsi="Times New Roman" w:eastAsia="宋体" w:cs="Times New Roman"/>
                      <w:b/>
                      <w:bCs/>
                      <w:color w:val="auto"/>
                      <w:spacing w:val="0"/>
                      <w:sz w:val="21"/>
                      <w:szCs w:val="21"/>
                    </w:rPr>
                    <w:t>类  别</w:t>
                  </w:r>
                </w:p>
              </w:tc>
              <w:tc>
                <w:tcPr>
                  <w:tcW w:w="1995"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bCs/>
                      <w:color w:val="auto"/>
                      <w:spacing w:val="0"/>
                      <w:sz w:val="21"/>
                      <w:szCs w:val="21"/>
                    </w:rPr>
                  </w:pPr>
                  <w:r>
                    <w:rPr>
                      <w:rFonts w:hint="default" w:ascii="Times New Roman" w:hAnsi="Times New Roman" w:eastAsia="宋体" w:cs="Times New Roman"/>
                      <w:b/>
                      <w:bCs/>
                      <w:color w:val="auto"/>
                      <w:spacing w:val="0"/>
                      <w:sz w:val="21"/>
                      <w:szCs w:val="21"/>
                    </w:rPr>
                    <w:t>检测项目</w:t>
                  </w:r>
                </w:p>
              </w:tc>
              <w:tc>
                <w:tcPr>
                  <w:tcW w:w="2142" w:type="pct"/>
                  <w:tcBorders>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b/>
                      <w:bCs/>
                      <w:color w:val="auto"/>
                      <w:spacing w:val="0"/>
                      <w:sz w:val="21"/>
                      <w:szCs w:val="21"/>
                    </w:rPr>
                  </w:pPr>
                  <w:r>
                    <w:rPr>
                      <w:rFonts w:hint="default" w:ascii="Times New Roman" w:hAnsi="Times New Roman" w:eastAsia="宋体" w:cs="Times New Roman"/>
                      <w:b/>
                      <w:bCs/>
                      <w:color w:val="auto"/>
                      <w:spacing w:val="0"/>
                      <w:sz w:val="21"/>
                      <w:szCs w:val="21"/>
                    </w:rPr>
                    <w:t>检测点位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0" w:hRule="atLeast"/>
                <w:tblHeader/>
                <w:jc w:val="center"/>
              </w:trPr>
              <w:tc>
                <w:tcPr>
                  <w:tcW w:w="862" w:type="pct"/>
                  <w:vMerge w:val="restart"/>
                  <w:tcBorders>
                    <w:lef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lang w:eastAsia="zh-CN"/>
                    </w:rPr>
                    <w:t>环境</w:t>
                  </w:r>
                  <w:r>
                    <w:rPr>
                      <w:rFonts w:hint="default" w:ascii="Times New Roman" w:hAnsi="Times New Roman" w:eastAsia="宋体" w:cs="Times New Roman"/>
                      <w:color w:val="auto"/>
                      <w:spacing w:val="0"/>
                      <w:sz w:val="21"/>
                      <w:szCs w:val="21"/>
                    </w:rPr>
                    <w:t>噪声</w:t>
                  </w:r>
                </w:p>
              </w:tc>
              <w:tc>
                <w:tcPr>
                  <w:tcW w:w="1995" w:type="pct"/>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pacing w:val="0"/>
                      <w:sz w:val="21"/>
                      <w:szCs w:val="21"/>
                      <w:lang w:val="en-US" w:eastAsia="zh-CN"/>
                    </w:rPr>
                  </w:pPr>
                  <w:r>
                    <w:rPr>
                      <w:rFonts w:hint="default" w:ascii="Times New Roman" w:hAnsi="Times New Roman" w:eastAsia="宋体" w:cs="Times New Roman"/>
                      <w:color w:val="auto"/>
                      <w:spacing w:val="0"/>
                      <w:sz w:val="21"/>
                      <w:szCs w:val="21"/>
                      <w:lang w:eastAsia="zh-CN"/>
                    </w:rPr>
                    <w:t>等效连续</w:t>
                  </w:r>
                  <w:r>
                    <w:rPr>
                      <w:rFonts w:hint="default" w:ascii="Times New Roman" w:hAnsi="Times New Roman" w:eastAsia="宋体" w:cs="Times New Roman"/>
                      <w:color w:val="auto"/>
                      <w:spacing w:val="0"/>
                      <w:sz w:val="21"/>
                      <w:szCs w:val="21"/>
                      <w:lang w:val="en-US" w:eastAsia="zh-CN"/>
                    </w:rPr>
                    <w:t>A声级</w:t>
                  </w:r>
                </w:p>
              </w:tc>
              <w:tc>
                <w:tcPr>
                  <w:tcW w:w="2142" w:type="pct"/>
                  <w:tcBorders>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pacing w:val="0"/>
                      <w:kern w:val="2"/>
                      <w:sz w:val="21"/>
                      <w:szCs w:val="21"/>
                      <w:lang w:val="en-US" w:eastAsia="zh-CN" w:bidi="ar-SA"/>
                    </w:rPr>
                  </w:pPr>
                  <w:r>
                    <w:rPr>
                      <w:rFonts w:hint="eastAsia" w:ascii="Times New Roman" w:hAnsi="Times New Roman" w:eastAsia="宋体" w:cs="Times New Roman"/>
                      <w:color w:val="auto"/>
                      <w:spacing w:val="0"/>
                      <w:sz w:val="21"/>
                      <w:szCs w:val="21"/>
                      <w:lang w:val="en-US" w:eastAsia="zh-CN"/>
                    </w:rPr>
                    <w:t>右岸新建护岸起点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0" w:hRule="atLeast"/>
                <w:tblHeader/>
                <w:jc w:val="center"/>
              </w:trPr>
              <w:tc>
                <w:tcPr>
                  <w:tcW w:w="862"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pacing w:val="0"/>
                      <w:sz w:val="21"/>
                      <w:szCs w:val="21"/>
                    </w:rPr>
                  </w:pPr>
                </w:p>
              </w:tc>
              <w:tc>
                <w:tcPr>
                  <w:tcW w:w="1995"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pacing w:val="0"/>
                      <w:sz w:val="21"/>
                      <w:szCs w:val="21"/>
                    </w:rPr>
                  </w:pPr>
                </w:p>
              </w:tc>
              <w:tc>
                <w:tcPr>
                  <w:tcW w:w="2142" w:type="pct"/>
                  <w:tcBorders>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pacing w:val="0"/>
                      <w:kern w:val="2"/>
                      <w:sz w:val="21"/>
                      <w:szCs w:val="21"/>
                      <w:lang w:val="en-US" w:eastAsia="zh-CN" w:bidi="ar-SA"/>
                    </w:rPr>
                  </w:pPr>
                  <w:r>
                    <w:rPr>
                      <w:rFonts w:hint="eastAsia" w:ascii="Times New Roman" w:hAnsi="Times New Roman" w:eastAsia="宋体" w:cs="Times New Roman"/>
                      <w:color w:val="auto"/>
                      <w:spacing w:val="0"/>
                      <w:sz w:val="21"/>
                      <w:szCs w:val="21"/>
                      <w:lang w:val="en-US" w:eastAsia="zh-CN"/>
                    </w:rPr>
                    <w:t>右岸气盾坝</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0" w:hRule="atLeast"/>
                <w:tblHeader/>
                <w:jc w:val="center"/>
              </w:trPr>
              <w:tc>
                <w:tcPr>
                  <w:tcW w:w="862"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pacing w:val="0"/>
                      <w:sz w:val="21"/>
                      <w:szCs w:val="21"/>
                    </w:rPr>
                  </w:pPr>
                </w:p>
              </w:tc>
              <w:tc>
                <w:tcPr>
                  <w:tcW w:w="1995"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pacing w:val="0"/>
                      <w:sz w:val="21"/>
                      <w:szCs w:val="21"/>
                    </w:rPr>
                  </w:pPr>
                </w:p>
              </w:tc>
              <w:tc>
                <w:tcPr>
                  <w:tcW w:w="2142" w:type="pct"/>
                  <w:tcBorders>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pacing w:val="0"/>
                      <w:sz w:val="21"/>
                      <w:szCs w:val="21"/>
                      <w:lang w:val="en-US" w:eastAsia="zh-CN" w:bidi="ar-SA"/>
                    </w:rPr>
                  </w:pPr>
                  <w:r>
                    <w:rPr>
                      <w:rFonts w:hint="eastAsia" w:ascii="Times New Roman" w:hAnsi="Times New Roman" w:eastAsia="宋体" w:cs="Times New Roman"/>
                      <w:color w:val="auto"/>
                      <w:spacing w:val="0"/>
                      <w:sz w:val="21"/>
                      <w:szCs w:val="21"/>
                      <w:lang w:val="en-US" w:eastAsia="zh-CN"/>
                    </w:rPr>
                    <w:t>右岸住户处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0" w:hRule="atLeast"/>
                <w:tblHeader/>
                <w:jc w:val="center"/>
              </w:trPr>
              <w:tc>
                <w:tcPr>
                  <w:tcW w:w="862"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pacing w:val="0"/>
                      <w:sz w:val="21"/>
                      <w:szCs w:val="21"/>
                    </w:rPr>
                  </w:pPr>
                </w:p>
              </w:tc>
              <w:tc>
                <w:tcPr>
                  <w:tcW w:w="1995"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pacing w:val="0"/>
                      <w:sz w:val="21"/>
                      <w:szCs w:val="21"/>
                    </w:rPr>
                  </w:pPr>
                </w:p>
              </w:tc>
              <w:tc>
                <w:tcPr>
                  <w:tcW w:w="2142" w:type="pct"/>
                  <w:tcBorders>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左岸护坡起点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0" w:hRule="atLeast"/>
                <w:tblHeader/>
                <w:jc w:val="center"/>
              </w:trPr>
              <w:tc>
                <w:tcPr>
                  <w:tcW w:w="862"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pacing w:val="0"/>
                      <w:sz w:val="21"/>
                      <w:szCs w:val="21"/>
                    </w:rPr>
                  </w:pPr>
                </w:p>
              </w:tc>
              <w:tc>
                <w:tcPr>
                  <w:tcW w:w="1995"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pacing w:val="0"/>
                      <w:sz w:val="21"/>
                      <w:szCs w:val="21"/>
                    </w:rPr>
                  </w:pPr>
                </w:p>
              </w:tc>
              <w:tc>
                <w:tcPr>
                  <w:tcW w:w="2142" w:type="pct"/>
                  <w:tcBorders>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左岸住户处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0" w:hRule="atLeast"/>
                <w:tblHeader/>
                <w:jc w:val="center"/>
              </w:trPr>
              <w:tc>
                <w:tcPr>
                  <w:tcW w:w="862" w:type="pct"/>
                  <w:vMerge w:val="continue"/>
                  <w:tcBorders>
                    <w:lef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pacing w:val="0"/>
                      <w:sz w:val="21"/>
                      <w:szCs w:val="21"/>
                    </w:rPr>
                  </w:pPr>
                </w:p>
              </w:tc>
              <w:tc>
                <w:tcPr>
                  <w:tcW w:w="1995"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pacing w:val="0"/>
                      <w:sz w:val="21"/>
                      <w:szCs w:val="21"/>
                    </w:rPr>
                  </w:pPr>
                </w:p>
              </w:tc>
              <w:tc>
                <w:tcPr>
                  <w:tcW w:w="2142" w:type="pct"/>
                  <w:tcBorders>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施工工区处</w:t>
                  </w:r>
                </w:p>
              </w:tc>
            </w:tr>
          </w:tbl>
          <w:p>
            <w:pPr>
              <w:pStyle w:val="40"/>
              <w:keepNext w:val="0"/>
              <w:keepLines w:val="0"/>
              <w:pageBreakBefore w:val="0"/>
              <w:widowControl w:val="0"/>
              <w:tabs>
                <w:tab w:val="left" w:pos="420"/>
                <w:tab w:val="left" w:pos="870"/>
                <w:tab w:val="left" w:pos="3150"/>
              </w:tabs>
              <w:kinsoku/>
              <w:wordWrap/>
              <w:overflowPunct/>
              <w:topLinePunct w:val="0"/>
              <w:autoSpaceDE w:val="0"/>
              <w:autoSpaceDN w:val="0"/>
              <w:bidi w:val="0"/>
              <w:adjustRightInd w:val="0"/>
              <w:snapToGrid w:val="0"/>
              <w:spacing w:after="0" w:line="360" w:lineRule="auto"/>
              <w:ind w:left="0" w:leftChars="0" w:firstLine="482" w:firstLineChars="200"/>
              <w:textAlignment w:val="baseline"/>
              <w:rPr>
                <w:rFonts w:hint="default" w:ascii="Times New Roman" w:hAnsi="Times New Roman" w:eastAsia="黑体" w:cs="Times New Roman"/>
                <w:b/>
                <w:bCs/>
                <w:color w:val="auto"/>
                <w:spacing w:val="0"/>
                <w:kern w:val="2"/>
                <w:sz w:val="21"/>
                <w:szCs w:val="21"/>
                <w:lang w:val="en-US" w:eastAsia="zh-CN" w:bidi="ar-SA"/>
              </w:rPr>
            </w:pPr>
            <w:r>
              <w:rPr>
                <w:rFonts w:hint="default" w:ascii="Times New Roman" w:hAnsi="Times New Roman" w:eastAsia="宋体" w:cs="Times New Roman"/>
                <w:b/>
                <w:bCs/>
                <w:snapToGrid/>
                <w:color w:val="auto"/>
                <w:spacing w:val="0"/>
                <w:kern w:val="0"/>
                <w:sz w:val="24"/>
                <w:szCs w:val="24"/>
                <w:lang w:val="en-US" w:eastAsia="zh-CN" w:bidi="ar-SA"/>
              </w:rPr>
              <w:t>（2）检测结果及评价</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黑体" w:cs="Times New Roman"/>
                <w:b/>
                <w:bCs/>
                <w:color w:val="auto"/>
                <w:spacing w:val="0"/>
                <w:kern w:val="2"/>
                <w:sz w:val="21"/>
                <w:szCs w:val="21"/>
                <w:lang w:val="en-US" w:eastAsia="zh-CN" w:bidi="ar-SA"/>
              </w:rPr>
            </w:pPr>
            <w:r>
              <w:rPr>
                <w:rFonts w:hint="default" w:ascii="Times New Roman" w:hAnsi="Times New Roman" w:eastAsia="黑体" w:cs="Times New Roman"/>
                <w:b/>
                <w:bCs/>
                <w:color w:val="auto"/>
                <w:spacing w:val="0"/>
                <w:kern w:val="2"/>
                <w:sz w:val="21"/>
                <w:szCs w:val="21"/>
                <w:lang w:val="en-US" w:eastAsia="zh-CN" w:bidi="ar-SA"/>
              </w:rPr>
              <w:t>表3-</w:t>
            </w:r>
            <w:r>
              <w:rPr>
                <w:rFonts w:hint="eastAsia" w:ascii="Times New Roman" w:hAnsi="Times New Roman" w:eastAsia="黑体" w:cs="Times New Roman"/>
                <w:b/>
                <w:bCs/>
                <w:color w:val="auto"/>
                <w:spacing w:val="0"/>
                <w:kern w:val="2"/>
                <w:sz w:val="21"/>
                <w:szCs w:val="21"/>
                <w:lang w:val="en-US" w:eastAsia="zh-CN" w:bidi="ar-SA"/>
              </w:rPr>
              <w:t>3</w:t>
            </w:r>
            <w:r>
              <w:rPr>
                <w:rFonts w:hint="default" w:ascii="Times New Roman" w:hAnsi="Times New Roman" w:eastAsia="黑体" w:cs="Times New Roman"/>
                <w:b/>
                <w:bCs/>
                <w:color w:val="auto"/>
                <w:spacing w:val="0"/>
                <w:kern w:val="2"/>
                <w:sz w:val="21"/>
                <w:szCs w:val="21"/>
                <w:lang w:val="en-US" w:eastAsia="zh-CN" w:bidi="ar-SA"/>
              </w:rPr>
              <w:t xml:space="preserve">  噪声监测结果  </w:t>
            </w:r>
            <w:r>
              <w:rPr>
                <w:rFonts w:hint="eastAsia" w:ascii="Times New Roman" w:hAnsi="Times New Roman" w:eastAsia="黑体" w:cs="Times New Roman"/>
                <w:b/>
                <w:bCs/>
                <w:color w:val="auto"/>
                <w:spacing w:val="0"/>
                <w:kern w:val="2"/>
                <w:sz w:val="21"/>
                <w:szCs w:val="21"/>
                <w:lang w:val="en-US" w:eastAsia="zh-CN" w:bidi="ar-SA"/>
              </w:rPr>
              <w:t xml:space="preserve"> </w:t>
            </w:r>
            <w:r>
              <w:rPr>
                <w:rFonts w:hint="default" w:ascii="Times New Roman" w:hAnsi="Times New Roman" w:eastAsia="黑体" w:cs="Times New Roman"/>
                <w:b/>
                <w:bCs/>
                <w:color w:val="auto"/>
                <w:spacing w:val="0"/>
                <w:kern w:val="2"/>
                <w:sz w:val="21"/>
                <w:szCs w:val="21"/>
                <w:lang w:val="en-US" w:eastAsia="zh-CN" w:bidi="ar-SA"/>
              </w:rPr>
              <w:t>单位：dB（A）</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0"/>
              <w:gridCol w:w="1950"/>
              <w:gridCol w:w="1567"/>
              <w:gridCol w:w="1567"/>
              <w:gridCol w:w="1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1192"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黑体" w:cs="Times New Roman"/>
                      <w:color w:val="auto"/>
                      <w:spacing w:val="0"/>
                      <w:kern w:val="2"/>
                      <w:sz w:val="21"/>
                      <w:szCs w:val="21"/>
                      <w:vertAlign w:val="baseline"/>
                      <w:lang w:val="en-US" w:eastAsia="zh-CN" w:bidi="ar-SA"/>
                    </w:rPr>
                  </w:pPr>
                  <w:r>
                    <w:rPr>
                      <w:rFonts w:hint="eastAsia" w:ascii="Times New Roman" w:hAnsi="Times New Roman" w:eastAsia="黑体" w:cs="Times New Roman"/>
                      <w:color w:val="auto"/>
                      <w:spacing w:val="0"/>
                      <w:kern w:val="2"/>
                      <w:sz w:val="21"/>
                      <w:szCs w:val="21"/>
                      <w:vertAlign w:val="baseline"/>
                      <w:lang w:val="en-US" w:eastAsia="zh-CN" w:bidi="ar-SA"/>
                    </w:rPr>
                    <w:t>监测日期</w:t>
                  </w:r>
                </w:p>
              </w:tc>
              <w:tc>
                <w:tcPr>
                  <w:tcW w:w="1966"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黑体" w:cs="Times New Roman"/>
                      <w:color w:val="auto"/>
                      <w:spacing w:val="0"/>
                      <w:kern w:val="2"/>
                      <w:sz w:val="21"/>
                      <w:szCs w:val="21"/>
                      <w:vertAlign w:val="baseline"/>
                      <w:lang w:val="en-US" w:eastAsia="zh-CN" w:bidi="ar-SA"/>
                    </w:rPr>
                  </w:pPr>
                  <w:r>
                    <w:rPr>
                      <w:rFonts w:hint="eastAsia" w:ascii="Times New Roman" w:hAnsi="Times New Roman" w:eastAsia="黑体" w:cs="Times New Roman"/>
                      <w:color w:val="auto"/>
                      <w:spacing w:val="0"/>
                      <w:kern w:val="2"/>
                      <w:sz w:val="21"/>
                      <w:szCs w:val="21"/>
                      <w:vertAlign w:val="baseline"/>
                      <w:lang w:val="en-US" w:eastAsia="zh-CN" w:bidi="ar-SA"/>
                    </w:rPr>
                    <w:t>监测点位</w:t>
                  </w:r>
                </w:p>
              </w:tc>
              <w:tc>
                <w:tcPr>
                  <w:tcW w:w="1579"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黑体" w:cs="Times New Roman"/>
                      <w:color w:val="auto"/>
                      <w:spacing w:val="0"/>
                      <w:kern w:val="2"/>
                      <w:sz w:val="21"/>
                      <w:szCs w:val="21"/>
                      <w:vertAlign w:val="baseline"/>
                      <w:lang w:val="en-US" w:eastAsia="zh-CN" w:bidi="ar-SA"/>
                    </w:rPr>
                  </w:pPr>
                  <w:r>
                    <w:rPr>
                      <w:rFonts w:hint="eastAsia" w:ascii="Times New Roman" w:hAnsi="Times New Roman" w:eastAsia="黑体" w:cs="Times New Roman"/>
                      <w:color w:val="auto"/>
                      <w:spacing w:val="0"/>
                      <w:kern w:val="2"/>
                      <w:sz w:val="21"/>
                      <w:szCs w:val="21"/>
                      <w:vertAlign w:val="baseline"/>
                      <w:lang w:val="en-US" w:eastAsia="zh-CN" w:bidi="ar-SA"/>
                    </w:rPr>
                    <w:t>点位编号</w:t>
                  </w:r>
                </w:p>
              </w:tc>
              <w:tc>
                <w:tcPr>
                  <w:tcW w:w="3158" w:type="dxa"/>
                  <w:gridSpan w:val="2"/>
                  <w:tcBorders>
                    <w:bottom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黑体" w:cs="Times New Roman"/>
                      <w:color w:val="auto"/>
                      <w:spacing w:val="0"/>
                      <w:kern w:val="2"/>
                      <w:sz w:val="21"/>
                      <w:szCs w:val="21"/>
                      <w:vertAlign w:val="baseline"/>
                      <w:lang w:val="en-US" w:eastAsia="zh-CN" w:bidi="ar-SA"/>
                    </w:rPr>
                  </w:pPr>
                  <w:r>
                    <w:rPr>
                      <w:rFonts w:hint="eastAsia" w:ascii="Times New Roman" w:hAnsi="Times New Roman" w:eastAsia="黑体" w:cs="Times New Roman"/>
                      <w:color w:val="auto"/>
                      <w:spacing w:val="0"/>
                      <w:kern w:val="2"/>
                      <w:sz w:val="21"/>
                      <w:szCs w:val="21"/>
                      <w:vertAlign w:val="baseline"/>
                      <w:lang w:val="en-US" w:eastAsia="zh-CN" w:bidi="ar-SA"/>
                    </w:rPr>
                    <w:t>监测结果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1192"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黑体" w:cs="Times New Roman"/>
                      <w:color w:val="auto"/>
                      <w:spacing w:val="0"/>
                      <w:kern w:val="2"/>
                      <w:sz w:val="21"/>
                      <w:szCs w:val="21"/>
                      <w:vertAlign w:val="baseline"/>
                      <w:lang w:val="en-US" w:eastAsia="zh-CN" w:bidi="ar-SA"/>
                    </w:rPr>
                  </w:pPr>
                </w:p>
              </w:tc>
              <w:tc>
                <w:tcPr>
                  <w:tcW w:w="1966"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黑体" w:cs="Times New Roman"/>
                      <w:color w:val="auto"/>
                      <w:spacing w:val="0"/>
                      <w:kern w:val="2"/>
                      <w:sz w:val="21"/>
                      <w:szCs w:val="21"/>
                      <w:vertAlign w:val="baseline"/>
                      <w:lang w:val="en-US" w:eastAsia="zh-CN" w:bidi="ar-SA"/>
                    </w:rPr>
                  </w:pPr>
                </w:p>
              </w:tc>
              <w:tc>
                <w:tcPr>
                  <w:tcW w:w="1579"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黑体" w:cs="Times New Roman"/>
                      <w:color w:val="auto"/>
                      <w:spacing w:val="0"/>
                      <w:kern w:val="2"/>
                      <w:sz w:val="21"/>
                      <w:szCs w:val="21"/>
                      <w:vertAlign w:val="baseline"/>
                      <w:lang w:val="en-US" w:eastAsia="zh-CN" w:bidi="ar-SA"/>
                    </w:rPr>
                  </w:pPr>
                </w:p>
              </w:tc>
              <w:tc>
                <w:tcPr>
                  <w:tcW w:w="1579" w:type="dxa"/>
                  <w:tcBorders>
                    <w:top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黑体" w:cs="Times New Roman"/>
                      <w:color w:val="auto"/>
                      <w:spacing w:val="0"/>
                      <w:kern w:val="2"/>
                      <w:sz w:val="21"/>
                      <w:szCs w:val="21"/>
                      <w:vertAlign w:val="baseline"/>
                      <w:lang w:val="en-US" w:eastAsia="zh-CN" w:bidi="ar-SA"/>
                    </w:rPr>
                  </w:pPr>
                  <w:r>
                    <w:rPr>
                      <w:rFonts w:hint="eastAsia" w:ascii="Times New Roman" w:hAnsi="Times New Roman" w:eastAsia="黑体" w:cs="Times New Roman"/>
                      <w:color w:val="auto"/>
                      <w:spacing w:val="0"/>
                      <w:kern w:val="2"/>
                      <w:sz w:val="21"/>
                      <w:szCs w:val="21"/>
                      <w:vertAlign w:val="baseline"/>
                      <w:lang w:val="en-US" w:eastAsia="zh-CN" w:bidi="ar-SA"/>
                    </w:rPr>
                    <w:t>昼间</w:t>
                  </w:r>
                </w:p>
              </w:tc>
              <w:tc>
                <w:tcPr>
                  <w:tcW w:w="1579" w:type="dxa"/>
                  <w:tcBorders>
                    <w:top w:val="single" w:color="000000"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黑体" w:cs="Times New Roman"/>
                      <w:color w:val="auto"/>
                      <w:spacing w:val="0"/>
                      <w:kern w:val="2"/>
                      <w:sz w:val="21"/>
                      <w:szCs w:val="21"/>
                      <w:vertAlign w:val="baseline"/>
                      <w:lang w:val="en-US" w:eastAsia="zh-CN" w:bidi="ar-SA"/>
                    </w:rPr>
                  </w:pPr>
                  <w:r>
                    <w:rPr>
                      <w:rFonts w:hint="eastAsia" w:ascii="Times New Roman" w:hAnsi="Times New Roman" w:eastAsia="黑体" w:cs="Times New Roman"/>
                      <w:color w:val="auto"/>
                      <w:spacing w:val="0"/>
                      <w:kern w:val="2"/>
                      <w:sz w:val="21"/>
                      <w:szCs w:val="21"/>
                      <w:vertAlign w:val="baseline"/>
                      <w:lang w:val="en-US" w:eastAsia="zh-CN" w:bidi="ar-SA"/>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黑体" w:cs="Times New Roman"/>
                      <w:color w:val="auto"/>
                      <w:spacing w:val="0"/>
                      <w:kern w:val="2"/>
                      <w:sz w:val="21"/>
                      <w:szCs w:val="21"/>
                      <w:vertAlign w:val="baseline"/>
                      <w:lang w:val="en-US" w:eastAsia="zh-CN" w:bidi="ar-SA"/>
                    </w:rPr>
                  </w:pPr>
                  <w:r>
                    <w:rPr>
                      <w:rFonts w:hint="eastAsia" w:ascii="Times New Roman" w:hAnsi="Times New Roman" w:eastAsia="黑体" w:cs="Times New Roman"/>
                      <w:color w:val="auto"/>
                      <w:spacing w:val="0"/>
                      <w:kern w:val="2"/>
                      <w:sz w:val="21"/>
                      <w:szCs w:val="21"/>
                      <w:vertAlign w:val="baseline"/>
                      <w:lang w:val="en-US" w:eastAsia="zh-CN" w:bidi="ar-SA"/>
                    </w:rPr>
                    <w:t>2022.6.13</w:t>
                  </w:r>
                </w:p>
              </w:tc>
              <w:tc>
                <w:tcPr>
                  <w:tcW w:w="1966"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黑体" w:cs="Times New Roman"/>
                      <w:color w:val="auto"/>
                      <w:spacing w:val="0"/>
                      <w:kern w:val="2"/>
                      <w:sz w:val="21"/>
                      <w:szCs w:val="21"/>
                      <w:vertAlign w:val="baseline"/>
                      <w:lang w:val="en-US" w:eastAsia="zh-CN" w:bidi="ar-SA"/>
                    </w:rPr>
                  </w:pPr>
                  <w:r>
                    <w:rPr>
                      <w:rFonts w:hint="eastAsia" w:ascii="Times New Roman" w:hAnsi="Times New Roman" w:eastAsia="宋体" w:cs="Times New Roman"/>
                      <w:color w:val="auto"/>
                      <w:spacing w:val="0"/>
                      <w:sz w:val="21"/>
                      <w:szCs w:val="21"/>
                      <w:lang w:val="en-US" w:eastAsia="zh-CN"/>
                    </w:rPr>
                    <w:t>右岸新建护岸起点</w:t>
                  </w:r>
                </w:p>
              </w:tc>
              <w:tc>
                <w:tcPr>
                  <w:tcW w:w="157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黑体" w:cs="Times New Roman"/>
                      <w:color w:val="auto"/>
                      <w:spacing w:val="0"/>
                      <w:kern w:val="2"/>
                      <w:sz w:val="21"/>
                      <w:szCs w:val="21"/>
                      <w:vertAlign w:val="baseline"/>
                      <w:lang w:val="en-US" w:eastAsia="zh-CN" w:bidi="ar-SA"/>
                    </w:rPr>
                  </w:pPr>
                  <w:r>
                    <w:rPr>
                      <w:rFonts w:hint="eastAsia" w:ascii="Times New Roman" w:hAnsi="Times New Roman" w:eastAsia="黑体" w:cs="Times New Roman"/>
                      <w:color w:val="auto"/>
                      <w:spacing w:val="0"/>
                      <w:kern w:val="2"/>
                      <w:sz w:val="21"/>
                      <w:szCs w:val="21"/>
                      <w:vertAlign w:val="baseline"/>
                      <w:lang w:val="en-US" w:eastAsia="zh-CN" w:bidi="ar-SA"/>
                    </w:rPr>
                    <w:t>1#</w:t>
                  </w:r>
                </w:p>
              </w:tc>
              <w:tc>
                <w:tcPr>
                  <w:tcW w:w="157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黑体" w:cs="Times New Roman"/>
                      <w:color w:val="auto"/>
                      <w:spacing w:val="0"/>
                      <w:kern w:val="2"/>
                      <w:sz w:val="21"/>
                      <w:szCs w:val="21"/>
                      <w:vertAlign w:val="baseline"/>
                      <w:lang w:val="en-US" w:eastAsia="zh-CN" w:bidi="ar-SA"/>
                    </w:rPr>
                  </w:pPr>
                  <w:r>
                    <w:rPr>
                      <w:rFonts w:hint="eastAsia" w:ascii="Times New Roman" w:hAnsi="Times New Roman" w:eastAsia="黑体" w:cs="Times New Roman"/>
                      <w:color w:val="auto"/>
                      <w:spacing w:val="0"/>
                      <w:kern w:val="2"/>
                      <w:sz w:val="21"/>
                      <w:szCs w:val="21"/>
                      <w:vertAlign w:val="baseline"/>
                      <w:lang w:val="en-US" w:eastAsia="zh-CN" w:bidi="ar-SA"/>
                    </w:rPr>
                    <w:t>51</w:t>
                  </w:r>
                </w:p>
              </w:tc>
              <w:tc>
                <w:tcPr>
                  <w:tcW w:w="157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黑体" w:cs="Times New Roman"/>
                      <w:color w:val="auto"/>
                      <w:spacing w:val="0"/>
                      <w:kern w:val="2"/>
                      <w:sz w:val="21"/>
                      <w:szCs w:val="21"/>
                      <w:vertAlign w:val="baseline"/>
                      <w:lang w:val="en-US" w:eastAsia="zh-CN" w:bidi="ar-SA"/>
                    </w:rPr>
                  </w:pPr>
                  <w:r>
                    <w:rPr>
                      <w:rFonts w:hint="eastAsia" w:ascii="Times New Roman" w:hAnsi="Times New Roman" w:eastAsia="黑体" w:cs="Times New Roman"/>
                      <w:color w:val="auto"/>
                      <w:spacing w:val="0"/>
                      <w:kern w:val="2"/>
                      <w:sz w:val="21"/>
                      <w:szCs w:val="21"/>
                      <w:vertAlign w:val="baseline"/>
                      <w:lang w:val="en-US" w:eastAsia="zh-CN" w:bidi="ar-SA"/>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黑体" w:cs="Times New Roman"/>
                      <w:color w:val="auto"/>
                      <w:spacing w:val="0"/>
                      <w:kern w:val="2"/>
                      <w:sz w:val="21"/>
                      <w:szCs w:val="21"/>
                      <w:vertAlign w:val="baseline"/>
                      <w:lang w:val="en-US" w:eastAsia="zh-CN" w:bidi="ar-SA"/>
                    </w:rPr>
                  </w:pPr>
                </w:p>
              </w:tc>
              <w:tc>
                <w:tcPr>
                  <w:tcW w:w="1966"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黑体" w:cs="Times New Roman"/>
                      <w:color w:val="auto"/>
                      <w:spacing w:val="0"/>
                      <w:kern w:val="2"/>
                      <w:sz w:val="21"/>
                      <w:szCs w:val="21"/>
                      <w:vertAlign w:val="baseline"/>
                      <w:lang w:val="en-US" w:eastAsia="zh-CN" w:bidi="ar-SA"/>
                    </w:rPr>
                  </w:pPr>
                  <w:r>
                    <w:rPr>
                      <w:rFonts w:hint="eastAsia" w:ascii="Times New Roman" w:hAnsi="Times New Roman" w:eastAsia="宋体" w:cs="Times New Roman"/>
                      <w:color w:val="auto"/>
                      <w:spacing w:val="0"/>
                      <w:sz w:val="21"/>
                      <w:szCs w:val="21"/>
                      <w:lang w:val="en-US" w:eastAsia="zh-CN"/>
                    </w:rPr>
                    <w:t>右岸气盾坝</w:t>
                  </w:r>
                </w:p>
              </w:tc>
              <w:tc>
                <w:tcPr>
                  <w:tcW w:w="157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黑体" w:cs="Times New Roman"/>
                      <w:color w:val="auto"/>
                      <w:spacing w:val="0"/>
                      <w:kern w:val="2"/>
                      <w:sz w:val="21"/>
                      <w:szCs w:val="21"/>
                      <w:vertAlign w:val="baseline"/>
                      <w:lang w:val="en-US" w:eastAsia="zh-CN" w:bidi="ar-SA"/>
                    </w:rPr>
                  </w:pPr>
                  <w:r>
                    <w:rPr>
                      <w:rFonts w:hint="eastAsia" w:ascii="Times New Roman" w:hAnsi="Times New Roman" w:eastAsia="黑体" w:cs="Times New Roman"/>
                      <w:color w:val="auto"/>
                      <w:spacing w:val="0"/>
                      <w:kern w:val="2"/>
                      <w:sz w:val="21"/>
                      <w:szCs w:val="21"/>
                      <w:vertAlign w:val="baseline"/>
                      <w:lang w:val="en-US" w:eastAsia="zh-CN" w:bidi="ar-SA"/>
                    </w:rPr>
                    <w:t>2#</w:t>
                  </w:r>
                </w:p>
              </w:tc>
              <w:tc>
                <w:tcPr>
                  <w:tcW w:w="157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黑体" w:cs="Times New Roman"/>
                      <w:color w:val="auto"/>
                      <w:spacing w:val="0"/>
                      <w:kern w:val="2"/>
                      <w:sz w:val="21"/>
                      <w:szCs w:val="21"/>
                      <w:vertAlign w:val="baseline"/>
                      <w:lang w:val="en-US" w:eastAsia="zh-CN" w:bidi="ar-SA"/>
                    </w:rPr>
                  </w:pPr>
                  <w:r>
                    <w:rPr>
                      <w:rFonts w:hint="eastAsia" w:ascii="Times New Roman" w:hAnsi="Times New Roman" w:eastAsia="黑体" w:cs="Times New Roman"/>
                      <w:color w:val="auto"/>
                      <w:spacing w:val="0"/>
                      <w:kern w:val="2"/>
                      <w:sz w:val="21"/>
                      <w:szCs w:val="21"/>
                      <w:vertAlign w:val="baseline"/>
                      <w:lang w:val="en-US" w:eastAsia="zh-CN" w:bidi="ar-SA"/>
                    </w:rPr>
                    <w:t>54</w:t>
                  </w:r>
                </w:p>
              </w:tc>
              <w:tc>
                <w:tcPr>
                  <w:tcW w:w="157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黑体" w:cs="Times New Roman"/>
                      <w:color w:val="auto"/>
                      <w:spacing w:val="0"/>
                      <w:kern w:val="2"/>
                      <w:sz w:val="21"/>
                      <w:szCs w:val="21"/>
                      <w:vertAlign w:val="baseline"/>
                      <w:lang w:val="en-US" w:eastAsia="zh-CN" w:bidi="ar-SA"/>
                    </w:rPr>
                  </w:pPr>
                  <w:r>
                    <w:rPr>
                      <w:rFonts w:hint="eastAsia" w:ascii="Times New Roman" w:hAnsi="Times New Roman" w:eastAsia="黑体" w:cs="Times New Roman"/>
                      <w:color w:val="auto"/>
                      <w:spacing w:val="0"/>
                      <w:kern w:val="2"/>
                      <w:sz w:val="21"/>
                      <w:szCs w:val="21"/>
                      <w:vertAlign w:val="baseline"/>
                      <w:lang w:val="en-US" w:eastAsia="zh-CN" w:bidi="ar-SA"/>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黑体" w:cs="Times New Roman"/>
                      <w:color w:val="auto"/>
                      <w:spacing w:val="0"/>
                      <w:kern w:val="2"/>
                      <w:sz w:val="21"/>
                      <w:szCs w:val="21"/>
                      <w:vertAlign w:val="baseline"/>
                      <w:lang w:val="en-US" w:eastAsia="zh-CN" w:bidi="ar-SA"/>
                    </w:rPr>
                  </w:pPr>
                </w:p>
              </w:tc>
              <w:tc>
                <w:tcPr>
                  <w:tcW w:w="1966"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黑体" w:cs="Times New Roman"/>
                      <w:color w:val="auto"/>
                      <w:spacing w:val="0"/>
                      <w:kern w:val="2"/>
                      <w:sz w:val="21"/>
                      <w:szCs w:val="21"/>
                      <w:vertAlign w:val="baseline"/>
                      <w:lang w:val="en-US" w:eastAsia="zh-CN" w:bidi="ar-SA"/>
                    </w:rPr>
                  </w:pPr>
                  <w:r>
                    <w:rPr>
                      <w:rFonts w:hint="eastAsia" w:ascii="Times New Roman" w:hAnsi="Times New Roman" w:eastAsia="宋体" w:cs="Times New Roman"/>
                      <w:color w:val="auto"/>
                      <w:spacing w:val="0"/>
                      <w:sz w:val="21"/>
                      <w:szCs w:val="21"/>
                      <w:lang w:val="en-US" w:eastAsia="zh-CN"/>
                    </w:rPr>
                    <w:t>右岸住户处</w:t>
                  </w:r>
                </w:p>
              </w:tc>
              <w:tc>
                <w:tcPr>
                  <w:tcW w:w="157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黑体" w:cs="Times New Roman"/>
                      <w:color w:val="auto"/>
                      <w:spacing w:val="0"/>
                      <w:kern w:val="2"/>
                      <w:sz w:val="21"/>
                      <w:szCs w:val="21"/>
                      <w:vertAlign w:val="baseline"/>
                      <w:lang w:val="en-US" w:eastAsia="zh-CN" w:bidi="ar-SA"/>
                    </w:rPr>
                  </w:pPr>
                  <w:r>
                    <w:rPr>
                      <w:rFonts w:hint="eastAsia" w:ascii="Times New Roman" w:hAnsi="Times New Roman" w:eastAsia="黑体" w:cs="Times New Roman"/>
                      <w:color w:val="auto"/>
                      <w:spacing w:val="0"/>
                      <w:kern w:val="2"/>
                      <w:sz w:val="21"/>
                      <w:szCs w:val="21"/>
                      <w:vertAlign w:val="baseline"/>
                      <w:lang w:val="en-US" w:eastAsia="zh-CN" w:bidi="ar-SA"/>
                    </w:rPr>
                    <w:t>3#</w:t>
                  </w:r>
                </w:p>
              </w:tc>
              <w:tc>
                <w:tcPr>
                  <w:tcW w:w="157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黑体" w:cs="Times New Roman"/>
                      <w:color w:val="auto"/>
                      <w:spacing w:val="0"/>
                      <w:kern w:val="2"/>
                      <w:sz w:val="21"/>
                      <w:szCs w:val="21"/>
                      <w:vertAlign w:val="baseline"/>
                      <w:lang w:val="en-US" w:eastAsia="zh-CN" w:bidi="ar-SA"/>
                    </w:rPr>
                  </w:pPr>
                  <w:r>
                    <w:rPr>
                      <w:rFonts w:hint="eastAsia" w:ascii="Times New Roman" w:hAnsi="Times New Roman" w:eastAsia="黑体" w:cs="Times New Roman"/>
                      <w:color w:val="auto"/>
                      <w:spacing w:val="0"/>
                      <w:kern w:val="2"/>
                      <w:sz w:val="21"/>
                      <w:szCs w:val="21"/>
                      <w:vertAlign w:val="baseline"/>
                      <w:lang w:val="en-US" w:eastAsia="zh-CN" w:bidi="ar-SA"/>
                    </w:rPr>
                    <w:t>50</w:t>
                  </w:r>
                </w:p>
              </w:tc>
              <w:tc>
                <w:tcPr>
                  <w:tcW w:w="157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黑体" w:cs="Times New Roman"/>
                      <w:color w:val="auto"/>
                      <w:spacing w:val="0"/>
                      <w:kern w:val="2"/>
                      <w:sz w:val="21"/>
                      <w:szCs w:val="21"/>
                      <w:vertAlign w:val="baseline"/>
                      <w:lang w:val="en-US" w:eastAsia="zh-CN" w:bidi="ar-SA"/>
                    </w:rPr>
                  </w:pPr>
                  <w:r>
                    <w:rPr>
                      <w:rFonts w:hint="eastAsia" w:ascii="Times New Roman" w:hAnsi="Times New Roman" w:eastAsia="黑体" w:cs="Times New Roman"/>
                      <w:color w:val="auto"/>
                      <w:spacing w:val="0"/>
                      <w:kern w:val="2"/>
                      <w:sz w:val="21"/>
                      <w:szCs w:val="21"/>
                      <w:vertAlign w:val="baseline"/>
                      <w:lang w:val="en-US" w:eastAsia="zh-CN" w:bidi="ar-SA"/>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黑体" w:cs="Times New Roman"/>
                      <w:color w:val="auto"/>
                      <w:spacing w:val="0"/>
                      <w:kern w:val="2"/>
                      <w:sz w:val="21"/>
                      <w:szCs w:val="21"/>
                      <w:vertAlign w:val="baseline"/>
                      <w:lang w:val="en-US" w:eastAsia="zh-CN" w:bidi="ar-SA"/>
                    </w:rPr>
                  </w:pPr>
                </w:p>
              </w:tc>
              <w:tc>
                <w:tcPr>
                  <w:tcW w:w="1966"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黑体" w:cs="Times New Roman"/>
                      <w:color w:val="auto"/>
                      <w:spacing w:val="0"/>
                      <w:kern w:val="2"/>
                      <w:sz w:val="21"/>
                      <w:szCs w:val="21"/>
                      <w:vertAlign w:val="baseline"/>
                      <w:lang w:val="en-US" w:eastAsia="zh-CN" w:bidi="ar-SA"/>
                    </w:rPr>
                  </w:pPr>
                  <w:r>
                    <w:rPr>
                      <w:rFonts w:hint="eastAsia" w:ascii="Times New Roman" w:hAnsi="Times New Roman" w:eastAsia="宋体" w:cs="Times New Roman"/>
                      <w:color w:val="auto"/>
                      <w:spacing w:val="0"/>
                      <w:sz w:val="21"/>
                      <w:szCs w:val="21"/>
                      <w:lang w:val="en-US" w:eastAsia="zh-CN"/>
                    </w:rPr>
                    <w:t>左岸护坡起点</w:t>
                  </w:r>
                </w:p>
              </w:tc>
              <w:tc>
                <w:tcPr>
                  <w:tcW w:w="157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黑体" w:cs="Times New Roman"/>
                      <w:color w:val="auto"/>
                      <w:spacing w:val="0"/>
                      <w:kern w:val="2"/>
                      <w:sz w:val="21"/>
                      <w:szCs w:val="21"/>
                      <w:vertAlign w:val="baseline"/>
                      <w:lang w:val="en-US" w:eastAsia="zh-CN" w:bidi="ar-SA"/>
                    </w:rPr>
                  </w:pPr>
                  <w:r>
                    <w:rPr>
                      <w:rFonts w:hint="eastAsia" w:ascii="Times New Roman" w:hAnsi="Times New Roman" w:eastAsia="黑体" w:cs="Times New Roman"/>
                      <w:color w:val="auto"/>
                      <w:spacing w:val="0"/>
                      <w:kern w:val="2"/>
                      <w:sz w:val="21"/>
                      <w:szCs w:val="21"/>
                      <w:vertAlign w:val="baseline"/>
                      <w:lang w:val="en-US" w:eastAsia="zh-CN" w:bidi="ar-SA"/>
                    </w:rPr>
                    <w:t>4#</w:t>
                  </w:r>
                </w:p>
              </w:tc>
              <w:tc>
                <w:tcPr>
                  <w:tcW w:w="157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黑体" w:cs="Times New Roman"/>
                      <w:color w:val="auto"/>
                      <w:spacing w:val="0"/>
                      <w:kern w:val="2"/>
                      <w:sz w:val="21"/>
                      <w:szCs w:val="21"/>
                      <w:vertAlign w:val="baseline"/>
                      <w:lang w:val="en-US" w:eastAsia="zh-CN" w:bidi="ar-SA"/>
                    </w:rPr>
                  </w:pPr>
                  <w:r>
                    <w:rPr>
                      <w:rFonts w:hint="eastAsia" w:ascii="Times New Roman" w:hAnsi="Times New Roman" w:eastAsia="黑体" w:cs="Times New Roman"/>
                      <w:color w:val="auto"/>
                      <w:spacing w:val="0"/>
                      <w:kern w:val="2"/>
                      <w:sz w:val="21"/>
                      <w:szCs w:val="21"/>
                      <w:vertAlign w:val="baseline"/>
                      <w:lang w:val="en-US" w:eastAsia="zh-CN" w:bidi="ar-SA"/>
                    </w:rPr>
                    <w:t>53</w:t>
                  </w:r>
                </w:p>
              </w:tc>
              <w:tc>
                <w:tcPr>
                  <w:tcW w:w="157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黑体" w:cs="Times New Roman"/>
                      <w:color w:val="auto"/>
                      <w:spacing w:val="0"/>
                      <w:kern w:val="2"/>
                      <w:sz w:val="21"/>
                      <w:szCs w:val="21"/>
                      <w:vertAlign w:val="baseline"/>
                      <w:lang w:val="en-US" w:eastAsia="zh-CN" w:bidi="ar-SA"/>
                    </w:rPr>
                  </w:pPr>
                  <w:r>
                    <w:rPr>
                      <w:rFonts w:hint="eastAsia" w:ascii="Times New Roman" w:hAnsi="Times New Roman" w:eastAsia="黑体" w:cs="Times New Roman"/>
                      <w:color w:val="auto"/>
                      <w:spacing w:val="0"/>
                      <w:kern w:val="2"/>
                      <w:sz w:val="21"/>
                      <w:szCs w:val="21"/>
                      <w:vertAlign w:val="baseline"/>
                      <w:lang w:val="en-US" w:eastAsia="zh-CN" w:bidi="ar-SA"/>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黑体" w:cs="Times New Roman"/>
                      <w:color w:val="auto"/>
                      <w:spacing w:val="0"/>
                      <w:kern w:val="2"/>
                      <w:sz w:val="21"/>
                      <w:szCs w:val="21"/>
                      <w:vertAlign w:val="baseline"/>
                      <w:lang w:val="en-US" w:eastAsia="zh-CN" w:bidi="ar-SA"/>
                    </w:rPr>
                  </w:pPr>
                </w:p>
              </w:tc>
              <w:tc>
                <w:tcPr>
                  <w:tcW w:w="1966"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黑体" w:cs="Times New Roman"/>
                      <w:color w:val="auto"/>
                      <w:spacing w:val="0"/>
                      <w:kern w:val="2"/>
                      <w:sz w:val="21"/>
                      <w:szCs w:val="21"/>
                      <w:vertAlign w:val="baseline"/>
                      <w:lang w:val="en-US" w:eastAsia="zh-CN" w:bidi="ar-SA"/>
                    </w:rPr>
                  </w:pPr>
                  <w:r>
                    <w:rPr>
                      <w:rFonts w:hint="eastAsia" w:ascii="Times New Roman" w:hAnsi="Times New Roman" w:eastAsia="宋体" w:cs="Times New Roman"/>
                      <w:color w:val="auto"/>
                      <w:spacing w:val="0"/>
                      <w:sz w:val="21"/>
                      <w:szCs w:val="21"/>
                      <w:lang w:val="en-US" w:eastAsia="zh-CN"/>
                    </w:rPr>
                    <w:t>左岸住户处</w:t>
                  </w:r>
                </w:p>
              </w:tc>
              <w:tc>
                <w:tcPr>
                  <w:tcW w:w="157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黑体" w:cs="Times New Roman"/>
                      <w:color w:val="auto"/>
                      <w:spacing w:val="0"/>
                      <w:kern w:val="2"/>
                      <w:sz w:val="21"/>
                      <w:szCs w:val="21"/>
                      <w:vertAlign w:val="baseline"/>
                      <w:lang w:val="en-US" w:eastAsia="zh-CN" w:bidi="ar-SA"/>
                    </w:rPr>
                  </w:pPr>
                  <w:r>
                    <w:rPr>
                      <w:rFonts w:hint="eastAsia" w:ascii="Times New Roman" w:hAnsi="Times New Roman" w:eastAsia="黑体" w:cs="Times New Roman"/>
                      <w:color w:val="auto"/>
                      <w:spacing w:val="0"/>
                      <w:kern w:val="2"/>
                      <w:sz w:val="21"/>
                      <w:szCs w:val="21"/>
                      <w:vertAlign w:val="baseline"/>
                      <w:lang w:val="en-US" w:eastAsia="zh-CN" w:bidi="ar-SA"/>
                    </w:rPr>
                    <w:t>5#</w:t>
                  </w:r>
                </w:p>
              </w:tc>
              <w:tc>
                <w:tcPr>
                  <w:tcW w:w="157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黑体" w:cs="Times New Roman"/>
                      <w:color w:val="auto"/>
                      <w:spacing w:val="0"/>
                      <w:kern w:val="2"/>
                      <w:sz w:val="21"/>
                      <w:szCs w:val="21"/>
                      <w:vertAlign w:val="baseline"/>
                      <w:lang w:val="en-US" w:eastAsia="zh-CN" w:bidi="ar-SA"/>
                    </w:rPr>
                  </w:pPr>
                  <w:r>
                    <w:rPr>
                      <w:rFonts w:hint="eastAsia" w:ascii="Times New Roman" w:hAnsi="Times New Roman" w:eastAsia="黑体" w:cs="Times New Roman"/>
                      <w:color w:val="auto"/>
                      <w:spacing w:val="0"/>
                      <w:kern w:val="2"/>
                      <w:sz w:val="21"/>
                      <w:szCs w:val="21"/>
                      <w:vertAlign w:val="baseline"/>
                      <w:lang w:val="en-US" w:eastAsia="zh-CN" w:bidi="ar-SA"/>
                    </w:rPr>
                    <w:t>52</w:t>
                  </w:r>
                </w:p>
              </w:tc>
              <w:tc>
                <w:tcPr>
                  <w:tcW w:w="157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黑体" w:cs="Times New Roman"/>
                      <w:color w:val="auto"/>
                      <w:spacing w:val="0"/>
                      <w:kern w:val="2"/>
                      <w:sz w:val="21"/>
                      <w:szCs w:val="21"/>
                      <w:vertAlign w:val="baseline"/>
                      <w:lang w:val="en-US" w:eastAsia="zh-CN" w:bidi="ar-SA"/>
                    </w:rPr>
                  </w:pPr>
                  <w:r>
                    <w:rPr>
                      <w:rFonts w:hint="eastAsia" w:ascii="Times New Roman" w:hAnsi="Times New Roman" w:eastAsia="黑体" w:cs="Times New Roman"/>
                      <w:color w:val="auto"/>
                      <w:spacing w:val="0"/>
                      <w:kern w:val="2"/>
                      <w:sz w:val="21"/>
                      <w:szCs w:val="21"/>
                      <w:vertAlign w:val="baseline"/>
                      <w:lang w:val="en-US" w:eastAsia="zh-CN" w:bidi="ar-SA"/>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黑体" w:cs="Times New Roman"/>
                      <w:color w:val="auto"/>
                      <w:spacing w:val="0"/>
                      <w:kern w:val="2"/>
                      <w:sz w:val="21"/>
                      <w:szCs w:val="21"/>
                      <w:vertAlign w:val="baseline"/>
                      <w:lang w:val="en-US" w:eastAsia="zh-CN" w:bidi="ar-SA"/>
                    </w:rPr>
                  </w:pPr>
                </w:p>
              </w:tc>
              <w:tc>
                <w:tcPr>
                  <w:tcW w:w="1966"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黑体" w:cs="Times New Roman"/>
                      <w:color w:val="auto"/>
                      <w:spacing w:val="0"/>
                      <w:kern w:val="2"/>
                      <w:sz w:val="21"/>
                      <w:szCs w:val="21"/>
                      <w:vertAlign w:val="baseline"/>
                      <w:lang w:val="en-US" w:eastAsia="zh-CN" w:bidi="ar-SA"/>
                    </w:rPr>
                  </w:pPr>
                  <w:r>
                    <w:rPr>
                      <w:rFonts w:hint="eastAsia" w:ascii="Times New Roman" w:hAnsi="Times New Roman" w:eastAsia="宋体" w:cs="Times New Roman"/>
                      <w:color w:val="auto"/>
                      <w:spacing w:val="0"/>
                      <w:sz w:val="21"/>
                      <w:szCs w:val="21"/>
                      <w:lang w:val="en-US" w:eastAsia="zh-CN"/>
                    </w:rPr>
                    <w:t>施工工区处</w:t>
                  </w:r>
                </w:p>
              </w:tc>
              <w:tc>
                <w:tcPr>
                  <w:tcW w:w="157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黑体" w:cs="Times New Roman"/>
                      <w:color w:val="auto"/>
                      <w:spacing w:val="0"/>
                      <w:kern w:val="2"/>
                      <w:sz w:val="21"/>
                      <w:szCs w:val="21"/>
                      <w:vertAlign w:val="baseline"/>
                      <w:lang w:val="en-US" w:eastAsia="zh-CN" w:bidi="ar-SA"/>
                    </w:rPr>
                  </w:pPr>
                  <w:r>
                    <w:rPr>
                      <w:rFonts w:hint="eastAsia" w:ascii="Times New Roman" w:hAnsi="Times New Roman" w:eastAsia="黑体" w:cs="Times New Roman"/>
                      <w:color w:val="auto"/>
                      <w:spacing w:val="0"/>
                      <w:kern w:val="2"/>
                      <w:sz w:val="21"/>
                      <w:szCs w:val="21"/>
                      <w:vertAlign w:val="baseline"/>
                      <w:lang w:val="en-US" w:eastAsia="zh-CN" w:bidi="ar-SA"/>
                    </w:rPr>
                    <w:t>6#</w:t>
                  </w:r>
                </w:p>
              </w:tc>
              <w:tc>
                <w:tcPr>
                  <w:tcW w:w="157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黑体" w:cs="Times New Roman"/>
                      <w:color w:val="auto"/>
                      <w:spacing w:val="0"/>
                      <w:kern w:val="2"/>
                      <w:sz w:val="21"/>
                      <w:szCs w:val="21"/>
                      <w:vertAlign w:val="baseline"/>
                      <w:lang w:val="en-US" w:eastAsia="zh-CN" w:bidi="ar-SA"/>
                    </w:rPr>
                  </w:pPr>
                  <w:r>
                    <w:rPr>
                      <w:rFonts w:hint="eastAsia" w:ascii="Times New Roman" w:hAnsi="Times New Roman" w:eastAsia="黑体" w:cs="Times New Roman"/>
                      <w:color w:val="auto"/>
                      <w:spacing w:val="0"/>
                      <w:kern w:val="2"/>
                      <w:sz w:val="21"/>
                      <w:szCs w:val="21"/>
                      <w:vertAlign w:val="baseline"/>
                      <w:lang w:val="en-US" w:eastAsia="zh-CN" w:bidi="ar-SA"/>
                    </w:rPr>
                    <w:t>57</w:t>
                  </w:r>
                </w:p>
              </w:tc>
              <w:tc>
                <w:tcPr>
                  <w:tcW w:w="157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黑体" w:cs="Times New Roman"/>
                      <w:color w:val="auto"/>
                      <w:spacing w:val="0"/>
                      <w:kern w:val="2"/>
                      <w:sz w:val="21"/>
                      <w:szCs w:val="21"/>
                      <w:vertAlign w:val="baseline"/>
                      <w:lang w:val="en-US" w:eastAsia="zh-CN" w:bidi="ar-SA"/>
                    </w:rPr>
                  </w:pPr>
                  <w:r>
                    <w:rPr>
                      <w:rFonts w:hint="eastAsia" w:ascii="Times New Roman" w:hAnsi="Times New Roman" w:eastAsia="黑体" w:cs="Times New Roman"/>
                      <w:color w:val="auto"/>
                      <w:spacing w:val="0"/>
                      <w:kern w:val="2"/>
                      <w:sz w:val="21"/>
                      <w:szCs w:val="21"/>
                      <w:vertAlign w:val="baseline"/>
                      <w:lang w:val="en-US" w:eastAsia="zh-CN" w:bidi="ar-SA"/>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黑体" w:cs="Times New Roman"/>
                      <w:color w:val="auto"/>
                      <w:spacing w:val="0"/>
                      <w:kern w:val="2"/>
                      <w:sz w:val="21"/>
                      <w:szCs w:val="21"/>
                      <w:vertAlign w:val="baseline"/>
                      <w:lang w:val="en-US" w:eastAsia="zh-CN" w:bidi="ar-SA"/>
                    </w:rPr>
                  </w:pPr>
                  <w:r>
                    <w:rPr>
                      <w:rFonts w:hint="eastAsia" w:ascii="Times New Roman" w:hAnsi="Times New Roman" w:eastAsia="黑体" w:cs="Times New Roman"/>
                      <w:color w:val="auto"/>
                      <w:spacing w:val="0"/>
                      <w:kern w:val="2"/>
                      <w:sz w:val="21"/>
                      <w:szCs w:val="21"/>
                      <w:vertAlign w:val="baseline"/>
                      <w:lang w:val="en-US" w:eastAsia="zh-CN" w:bidi="ar-SA"/>
                    </w:rPr>
                    <w:t>2022.6.14</w:t>
                  </w:r>
                </w:p>
              </w:tc>
              <w:tc>
                <w:tcPr>
                  <w:tcW w:w="1966"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eastAsia"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右岸新建护岸起点</w:t>
                  </w:r>
                </w:p>
              </w:tc>
              <w:tc>
                <w:tcPr>
                  <w:tcW w:w="157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黑体" w:cs="Times New Roman"/>
                      <w:color w:val="auto"/>
                      <w:spacing w:val="0"/>
                      <w:kern w:val="2"/>
                      <w:sz w:val="21"/>
                      <w:szCs w:val="21"/>
                      <w:vertAlign w:val="baseline"/>
                      <w:lang w:val="en-US" w:eastAsia="zh-CN" w:bidi="ar-SA"/>
                    </w:rPr>
                  </w:pPr>
                  <w:r>
                    <w:rPr>
                      <w:rFonts w:hint="eastAsia" w:ascii="Times New Roman" w:hAnsi="Times New Roman" w:eastAsia="黑体" w:cs="Times New Roman"/>
                      <w:color w:val="auto"/>
                      <w:spacing w:val="0"/>
                      <w:kern w:val="2"/>
                      <w:sz w:val="21"/>
                      <w:szCs w:val="21"/>
                      <w:vertAlign w:val="baseline"/>
                      <w:lang w:val="en-US" w:eastAsia="zh-CN" w:bidi="ar-SA"/>
                    </w:rPr>
                    <w:t>1#</w:t>
                  </w:r>
                </w:p>
              </w:tc>
              <w:tc>
                <w:tcPr>
                  <w:tcW w:w="157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黑体" w:cs="Times New Roman"/>
                      <w:color w:val="auto"/>
                      <w:spacing w:val="0"/>
                      <w:kern w:val="2"/>
                      <w:sz w:val="21"/>
                      <w:szCs w:val="21"/>
                      <w:vertAlign w:val="baseline"/>
                      <w:lang w:val="en-US" w:eastAsia="zh-CN" w:bidi="ar-SA"/>
                    </w:rPr>
                  </w:pPr>
                  <w:r>
                    <w:rPr>
                      <w:rFonts w:hint="eastAsia" w:ascii="Times New Roman" w:hAnsi="Times New Roman" w:eastAsia="黑体" w:cs="Times New Roman"/>
                      <w:color w:val="auto"/>
                      <w:spacing w:val="0"/>
                      <w:kern w:val="2"/>
                      <w:sz w:val="21"/>
                      <w:szCs w:val="21"/>
                      <w:vertAlign w:val="baseline"/>
                      <w:lang w:val="en-US" w:eastAsia="zh-CN" w:bidi="ar-SA"/>
                    </w:rPr>
                    <w:t>52</w:t>
                  </w:r>
                </w:p>
              </w:tc>
              <w:tc>
                <w:tcPr>
                  <w:tcW w:w="157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黑体" w:cs="Times New Roman"/>
                      <w:color w:val="auto"/>
                      <w:spacing w:val="0"/>
                      <w:kern w:val="2"/>
                      <w:sz w:val="21"/>
                      <w:szCs w:val="21"/>
                      <w:vertAlign w:val="baseline"/>
                      <w:lang w:val="en-US" w:eastAsia="zh-CN" w:bidi="ar-SA"/>
                    </w:rPr>
                  </w:pPr>
                  <w:r>
                    <w:rPr>
                      <w:rFonts w:hint="eastAsia" w:ascii="Times New Roman" w:hAnsi="Times New Roman" w:eastAsia="黑体" w:cs="Times New Roman"/>
                      <w:color w:val="auto"/>
                      <w:spacing w:val="0"/>
                      <w:kern w:val="2"/>
                      <w:sz w:val="21"/>
                      <w:szCs w:val="21"/>
                      <w:vertAlign w:val="baseline"/>
                      <w:lang w:val="en-US" w:eastAsia="zh-CN" w:bidi="ar-SA"/>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黑体" w:cs="Times New Roman"/>
                      <w:color w:val="auto"/>
                      <w:spacing w:val="0"/>
                      <w:kern w:val="2"/>
                      <w:sz w:val="21"/>
                      <w:szCs w:val="21"/>
                      <w:vertAlign w:val="baseline"/>
                      <w:lang w:val="en-US" w:eastAsia="zh-CN" w:bidi="ar-SA"/>
                    </w:rPr>
                  </w:pPr>
                </w:p>
              </w:tc>
              <w:tc>
                <w:tcPr>
                  <w:tcW w:w="1966"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eastAsia"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右岸气盾坝</w:t>
                  </w:r>
                </w:p>
              </w:tc>
              <w:tc>
                <w:tcPr>
                  <w:tcW w:w="157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黑体" w:cs="Times New Roman"/>
                      <w:color w:val="auto"/>
                      <w:spacing w:val="0"/>
                      <w:kern w:val="2"/>
                      <w:sz w:val="21"/>
                      <w:szCs w:val="21"/>
                      <w:vertAlign w:val="baseline"/>
                      <w:lang w:val="en-US" w:eastAsia="zh-CN" w:bidi="ar-SA"/>
                    </w:rPr>
                  </w:pPr>
                  <w:r>
                    <w:rPr>
                      <w:rFonts w:hint="eastAsia" w:ascii="Times New Roman" w:hAnsi="Times New Roman" w:eastAsia="黑体" w:cs="Times New Roman"/>
                      <w:color w:val="auto"/>
                      <w:spacing w:val="0"/>
                      <w:kern w:val="2"/>
                      <w:sz w:val="21"/>
                      <w:szCs w:val="21"/>
                      <w:vertAlign w:val="baseline"/>
                      <w:lang w:val="en-US" w:eastAsia="zh-CN" w:bidi="ar-SA"/>
                    </w:rPr>
                    <w:t>2#</w:t>
                  </w:r>
                </w:p>
              </w:tc>
              <w:tc>
                <w:tcPr>
                  <w:tcW w:w="157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黑体" w:cs="Times New Roman"/>
                      <w:color w:val="auto"/>
                      <w:spacing w:val="0"/>
                      <w:kern w:val="2"/>
                      <w:sz w:val="21"/>
                      <w:szCs w:val="21"/>
                      <w:vertAlign w:val="baseline"/>
                      <w:lang w:val="en-US" w:eastAsia="zh-CN" w:bidi="ar-SA"/>
                    </w:rPr>
                  </w:pPr>
                  <w:r>
                    <w:rPr>
                      <w:rFonts w:hint="eastAsia" w:ascii="Times New Roman" w:hAnsi="Times New Roman" w:eastAsia="黑体" w:cs="Times New Roman"/>
                      <w:color w:val="auto"/>
                      <w:spacing w:val="0"/>
                      <w:kern w:val="2"/>
                      <w:sz w:val="21"/>
                      <w:szCs w:val="21"/>
                      <w:vertAlign w:val="baseline"/>
                      <w:lang w:val="en-US" w:eastAsia="zh-CN" w:bidi="ar-SA"/>
                    </w:rPr>
                    <w:t>57</w:t>
                  </w:r>
                </w:p>
              </w:tc>
              <w:tc>
                <w:tcPr>
                  <w:tcW w:w="157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黑体" w:cs="Times New Roman"/>
                      <w:color w:val="auto"/>
                      <w:spacing w:val="0"/>
                      <w:kern w:val="2"/>
                      <w:sz w:val="21"/>
                      <w:szCs w:val="21"/>
                      <w:vertAlign w:val="baseline"/>
                      <w:lang w:val="en-US" w:eastAsia="zh-CN" w:bidi="ar-SA"/>
                    </w:rPr>
                  </w:pPr>
                  <w:r>
                    <w:rPr>
                      <w:rFonts w:hint="eastAsia" w:ascii="Times New Roman" w:hAnsi="Times New Roman" w:eastAsia="黑体" w:cs="Times New Roman"/>
                      <w:color w:val="auto"/>
                      <w:spacing w:val="0"/>
                      <w:kern w:val="2"/>
                      <w:sz w:val="21"/>
                      <w:szCs w:val="21"/>
                      <w:vertAlign w:val="baseline"/>
                      <w:lang w:val="en-US" w:eastAsia="zh-CN" w:bidi="ar-SA"/>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黑体" w:cs="Times New Roman"/>
                      <w:color w:val="auto"/>
                      <w:spacing w:val="0"/>
                      <w:kern w:val="2"/>
                      <w:sz w:val="21"/>
                      <w:szCs w:val="21"/>
                      <w:vertAlign w:val="baseline"/>
                      <w:lang w:val="en-US" w:eastAsia="zh-CN" w:bidi="ar-SA"/>
                    </w:rPr>
                  </w:pPr>
                </w:p>
              </w:tc>
              <w:tc>
                <w:tcPr>
                  <w:tcW w:w="1966"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eastAsia"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右岸住户处</w:t>
                  </w:r>
                </w:p>
              </w:tc>
              <w:tc>
                <w:tcPr>
                  <w:tcW w:w="157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黑体" w:cs="Times New Roman"/>
                      <w:color w:val="auto"/>
                      <w:spacing w:val="0"/>
                      <w:kern w:val="2"/>
                      <w:sz w:val="21"/>
                      <w:szCs w:val="21"/>
                      <w:vertAlign w:val="baseline"/>
                      <w:lang w:val="en-US" w:eastAsia="zh-CN" w:bidi="ar-SA"/>
                    </w:rPr>
                  </w:pPr>
                  <w:r>
                    <w:rPr>
                      <w:rFonts w:hint="eastAsia" w:ascii="Times New Roman" w:hAnsi="Times New Roman" w:eastAsia="黑体" w:cs="Times New Roman"/>
                      <w:color w:val="auto"/>
                      <w:spacing w:val="0"/>
                      <w:kern w:val="2"/>
                      <w:sz w:val="21"/>
                      <w:szCs w:val="21"/>
                      <w:vertAlign w:val="baseline"/>
                      <w:lang w:val="en-US" w:eastAsia="zh-CN" w:bidi="ar-SA"/>
                    </w:rPr>
                    <w:t>3#</w:t>
                  </w:r>
                </w:p>
              </w:tc>
              <w:tc>
                <w:tcPr>
                  <w:tcW w:w="157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黑体" w:cs="Times New Roman"/>
                      <w:color w:val="auto"/>
                      <w:spacing w:val="0"/>
                      <w:kern w:val="2"/>
                      <w:sz w:val="21"/>
                      <w:szCs w:val="21"/>
                      <w:vertAlign w:val="baseline"/>
                      <w:lang w:val="en-US" w:eastAsia="zh-CN" w:bidi="ar-SA"/>
                    </w:rPr>
                  </w:pPr>
                  <w:r>
                    <w:rPr>
                      <w:rFonts w:hint="eastAsia" w:ascii="Times New Roman" w:hAnsi="Times New Roman" w:eastAsia="黑体" w:cs="Times New Roman"/>
                      <w:color w:val="auto"/>
                      <w:spacing w:val="0"/>
                      <w:kern w:val="2"/>
                      <w:sz w:val="21"/>
                      <w:szCs w:val="21"/>
                      <w:vertAlign w:val="baseline"/>
                      <w:lang w:val="en-US" w:eastAsia="zh-CN" w:bidi="ar-SA"/>
                    </w:rPr>
                    <w:t>52</w:t>
                  </w:r>
                </w:p>
              </w:tc>
              <w:tc>
                <w:tcPr>
                  <w:tcW w:w="157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黑体" w:cs="Times New Roman"/>
                      <w:color w:val="auto"/>
                      <w:spacing w:val="0"/>
                      <w:kern w:val="2"/>
                      <w:sz w:val="21"/>
                      <w:szCs w:val="21"/>
                      <w:vertAlign w:val="baseline"/>
                      <w:lang w:val="en-US" w:eastAsia="zh-CN" w:bidi="ar-SA"/>
                    </w:rPr>
                  </w:pPr>
                  <w:r>
                    <w:rPr>
                      <w:rFonts w:hint="eastAsia" w:ascii="Times New Roman" w:hAnsi="Times New Roman" w:eastAsia="黑体" w:cs="Times New Roman"/>
                      <w:color w:val="auto"/>
                      <w:spacing w:val="0"/>
                      <w:kern w:val="2"/>
                      <w:sz w:val="21"/>
                      <w:szCs w:val="21"/>
                      <w:vertAlign w:val="baseline"/>
                      <w:lang w:val="en-US" w:eastAsia="zh-CN" w:bidi="ar-SA"/>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黑体" w:cs="Times New Roman"/>
                      <w:color w:val="auto"/>
                      <w:spacing w:val="0"/>
                      <w:kern w:val="2"/>
                      <w:sz w:val="21"/>
                      <w:szCs w:val="21"/>
                      <w:vertAlign w:val="baseline"/>
                      <w:lang w:val="en-US" w:eastAsia="zh-CN" w:bidi="ar-SA"/>
                    </w:rPr>
                  </w:pPr>
                </w:p>
              </w:tc>
              <w:tc>
                <w:tcPr>
                  <w:tcW w:w="1966"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eastAsia"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左岸护坡起点</w:t>
                  </w:r>
                </w:p>
              </w:tc>
              <w:tc>
                <w:tcPr>
                  <w:tcW w:w="157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黑体" w:cs="Times New Roman"/>
                      <w:color w:val="auto"/>
                      <w:spacing w:val="0"/>
                      <w:kern w:val="2"/>
                      <w:sz w:val="21"/>
                      <w:szCs w:val="21"/>
                      <w:vertAlign w:val="baseline"/>
                      <w:lang w:val="en-US" w:eastAsia="zh-CN" w:bidi="ar-SA"/>
                    </w:rPr>
                  </w:pPr>
                  <w:r>
                    <w:rPr>
                      <w:rFonts w:hint="eastAsia" w:ascii="Times New Roman" w:hAnsi="Times New Roman" w:eastAsia="黑体" w:cs="Times New Roman"/>
                      <w:color w:val="auto"/>
                      <w:spacing w:val="0"/>
                      <w:kern w:val="2"/>
                      <w:sz w:val="21"/>
                      <w:szCs w:val="21"/>
                      <w:vertAlign w:val="baseline"/>
                      <w:lang w:val="en-US" w:eastAsia="zh-CN" w:bidi="ar-SA"/>
                    </w:rPr>
                    <w:t>4#</w:t>
                  </w:r>
                </w:p>
              </w:tc>
              <w:tc>
                <w:tcPr>
                  <w:tcW w:w="157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黑体" w:cs="Times New Roman"/>
                      <w:color w:val="auto"/>
                      <w:spacing w:val="0"/>
                      <w:kern w:val="2"/>
                      <w:sz w:val="21"/>
                      <w:szCs w:val="21"/>
                      <w:vertAlign w:val="baseline"/>
                      <w:lang w:val="en-US" w:eastAsia="zh-CN" w:bidi="ar-SA"/>
                    </w:rPr>
                  </w:pPr>
                  <w:r>
                    <w:rPr>
                      <w:rFonts w:hint="eastAsia" w:ascii="Times New Roman" w:hAnsi="Times New Roman" w:eastAsia="黑体" w:cs="Times New Roman"/>
                      <w:color w:val="auto"/>
                      <w:spacing w:val="0"/>
                      <w:kern w:val="2"/>
                      <w:sz w:val="21"/>
                      <w:szCs w:val="21"/>
                      <w:vertAlign w:val="baseline"/>
                      <w:lang w:val="en-US" w:eastAsia="zh-CN" w:bidi="ar-SA"/>
                    </w:rPr>
                    <w:t>52</w:t>
                  </w:r>
                </w:p>
              </w:tc>
              <w:tc>
                <w:tcPr>
                  <w:tcW w:w="157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黑体" w:cs="Times New Roman"/>
                      <w:color w:val="auto"/>
                      <w:spacing w:val="0"/>
                      <w:kern w:val="2"/>
                      <w:sz w:val="21"/>
                      <w:szCs w:val="21"/>
                      <w:vertAlign w:val="baseline"/>
                      <w:lang w:val="en-US" w:eastAsia="zh-CN" w:bidi="ar-SA"/>
                    </w:rPr>
                  </w:pPr>
                  <w:r>
                    <w:rPr>
                      <w:rFonts w:hint="eastAsia" w:ascii="Times New Roman" w:hAnsi="Times New Roman" w:eastAsia="黑体" w:cs="Times New Roman"/>
                      <w:color w:val="auto"/>
                      <w:spacing w:val="0"/>
                      <w:kern w:val="2"/>
                      <w:sz w:val="21"/>
                      <w:szCs w:val="21"/>
                      <w:vertAlign w:val="baseline"/>
                      <w:lang w:val="en-US" w:eastAsia="zh-CN" w:bidi="ar-SA"/>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黑体" w:cs="Times New Roman"/>
                      <w:color w:val="auto"/>
                      <w:spacing w:val="0"/>
                      <w:kern w:val="2"/>
                      <w:sz w:val="21"/>
                      <w:szCs w:val="21"/>
                      <w:vertAlign w:val="baseline"/>
                      <w:lang w:val="en-US" w:eastAsia="zh-CN" w:bidi="ar-SA"/>
                    </w:rPr>
                  </w:pPr>
                </w:p>
              </w:tc>
              <w:tc>
                <w:tcPr>
                  <w:tcW w:w="1966"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eastAsia"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左岸住户处</w:t>
                  </w:r>
                </w:p>
              </w:tc>
              <w:tc>
                <w:tcPr>
                  <w:tcW w:w="157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黑体" w:cs="Times New Roman"/>
                      <w:color w:val="auto"/>
                      <w:spacing w:val="0"/>
                      <w:kern w:val="2"/>
                      <w:sz w:val="21"/>
                      <w:szCs w:val="21"/>
                      <w:vertAlign w:val="baseline"/>
                      <w:lang w:val="en-US" w:eastAsia="zh-CN" w:bidi="ar-SA"/>
                    </w:rPr>
                  </w:pPr>
                  <w:r>
                    <w:rPr>
                      <w:rFonts w:hint="eastAsia" w:ascii="Times New Roman" w:hAnsi="Times New Roman" w:eastAsia="黑体" w:cs="Times New Roman"/>
                      <w:color w:val="auto"/>
                      <w:spacing w:val="0"/>
                      <w:kern w:val="2"/>
                      <w:sz w:val="21"/>
                      <w:szCs w:val="21"/>
                      <w:vertAlign w:val="baseline"/>
                      <w:lang w:val="en-US" w:eastAsia="zh-CN" w:bidi="ar-SA"/>
                    </w:rPr>
                    <w:t>5#</w:t>
                  </w:r>
                </w:p>
              </w:tc>
              <w:tc>
                <w:tcPr>
                  <w:tcW w:w="157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黑体" w:cs="Times New Roman"/>
                      <w:color w:val="auto"/>
                      <w:spacing w:val="0"/>
                      <w:kern w:val="2"/>
                      <w:sz w:val="21"/>
                      <w:szCs w:val="21"/>
                      <w:vertAlign w:val="baseline"/>
                      <w:lang w:val="en-US" w:eastAsia="zh-CN" w:bidi="ar-SA"/>
                    </w:rPr>
                  </w:pPr>
                  <w:r>
                    <w:rPr>
                      <w:rFonts w:hint="eastAsia" w:ascii="Times New Roman" w:hAnsi="Times New Roman" w:eastAsia="黑体" w:cs="Times New Roman"/>
                      <w:color w:val="auto"/>
                      <w:spacing w:val="0"/>
                      <w:kern w:val="2"/>
                      <w:sz w:val="21"/>
                      <w:szCs w:val="21"/>
                      <w:vertAlign w:val="baseline"/>
                      <w:lang w:val="en-US" w:eastAsia="zh-CN" w:bidi="ar-SA"/>
                    </w:rPr>
                    <w:t>48</w:t>
                  </w:r>
                </w:p>
              </w:tc>
              <w:tc>
                <w:tcPr>
                  <w:tcW w:w="157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黑体" w:cs="Times New Roman"/>
                      <w:color w:val="auto"/>
                      <w:spacing w:val="0"/>
                      <w:kern w:val="2"/>
                      <w:sz w:val="21"/>
                      <w:szCs w:val="21"/>
                      <w:vertAlign w:val="baseline"/>
                      <w:lang w:val="en-US" w:eastAsia="zh-CN" w:bidi="ar-SA"/>
                    </w:rPr>
                  </w:pPr>
                  <w:r>
                    <w:rPr>
                      <w:rFonts w:hint="eastAsia" w:ascii="Times New Roman" w:hAnsi="Times New Roman" w:eastAsia="黑体" w:cs="Times New Roman"/>
                      <w:color w:val="auto"/>
                      <w:spacing w:val="0"/>
                      <w:kern w:val="2"/>
                      <w:sz w:val="21"/>
                      <w:szCs w:val="21"/>
                      <w:vertAlign w:val="baseline"/>
                      <w:lang w:val="en-US" w:eastAsia="zh-CN" w:bidi="ar-SA"/>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2"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黑体" w:cs="Times New Roman"/>
                      <w:color w:val="auto"/>
                      <w:spacing w:val="0"/>
                      <w:kern w:val="2"/>
                      <w:sz w:val="21"/>
                      <w:szCs w:val="21"/>
                      <w:vertAlign w:val="baseline"/>
                      <w:lang w:val="en-US" w:eastAsia="zh-CN" w:bidi="ar-SA"/>
                    </w:rPr>
                  </w:pPr>
                </w:p>
              </w:tc>
              <w:tc>
                <w:tcPr>
                  <w:tcW w:w="1966"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eastAsia"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施工工区处</w:t>
                  </w:r>
                </w:p>
              </w:tc>
              <w:tc>
                <w:tcPr>
                  <w:tcW w:w="157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黑体" w:cs="Times New Roman"/>
                      <w:color w:val="auto"/>
                      <w:spacing w:val="0"/>
                      <w:kern w:val="2"/>
                      <w:sz w:val="21"/>
                      <w:szCs w:val="21"/>
                      <w:vertAlign w:val="baseline"/>
                      <w:lang w:val="en-US" w:eastAsia="zh-CN" w:bidi="ar-SA"/>
                    </w:rPr>
                  </w:pPr>
                  <w:r>
                    <w:rPr>
                      <w:rFonts w:hint="eastAsia" w:ascii="Times New Roman" w:hAnsi="Times New Roman" w:eastAsia="黑体" w:cs="Times New Roman"/>
                      <w:color w:val="auto"/>
                      <w:spacing w:val="0"/>
                      <w:kern w:val="2"/>
                      <w:sz w:val="21"/>
                      <w:szCs w:val="21"/>
                      <w:vertAlign w:val="baseline"/>
                      <w:lang w:val="en-US" w:eastAsia="zh-CN" w:bidi="ar-SA"/>
                    </w:rPr>
                    <w:t>6#</w:t>
                  </w:r>
                </w:p>
              </w:tc>
              <w:tc>
                <w:tcPr>
                  <w:tcW w:w="157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黑体" w:cs="Times New Roman"/>
                      <w:color w:val="auto"/>
                      <w:spacing w:val="0"/>
                      <w:kern w:val="2"/>
                      <w:sz w:val="21"/>
                      <w:szCs w:val="21"/>
                      <w:vertAlign w:val="baseline"/>
                      <w:lang w:val="en-US" w:eastAsia="zh-CN" w:bidi="ar-SA"/>
                    </w:rPr>
                  </w:pPr>
                  <w:r>
                    <w:rPr>
                      <w:rFonts w:hint="eastAsia" w:ascii="Times New Roman" w:hAnsi="Times New Roman" w:eastAsia="黑体" w:cs="Times New Roman"/>
                      <w:color w:val="auto"/>
                      <w:spacing w:val="0"/>
                      <w:kern w:val="2"/>
                      <w:sz w:val="21"/>
                      <w:szCs w:val="21"/>
                      <w:vertAlign w:val="baseline"/>
                      <w:lang w:val="en-US" w:eastAsia="zh-CN" w:bidi="ar-SA"/>
                    </w:rPr>
                    <w:t>55</w:t>
                  </w:r>
                </w:p>
              </w:tc>
              <w:tc>
                <w:tcPr>
                  <w:tcW w:w="1579"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黑体" w:cs="Times New Roman"/>
                      <w:color w:val="auto"/>
                      <w:spacing w:val="0"/>
                      <w:kern w:val="2"/>
                      <w:sz w:val="21"/>
                      <w:szCs w:val="21"/>
                      <w:vertAlign w:val="baseline"/>
                      <w:lang w:val="en-US" w:eastAsia="zh-CN" w:bidi="ar-SA"/>
                    </w:rPr>
                  </w:pPr>
                  <w:r>
                    <w:rPr>
                      <w:rFonts w:hint="eastAsia" w:ascii="Times New Roman" w:hAnsi="Times New Roman" w:eastAsia="黑体" w:cs="Times New Roman"/>
                      <w:color w:val="auto"/>
                      <w:spacing w:val="0"/>
                      <w:kern w:val="2"/>
                      <w:sz w:val="21"/>
                      <w:szCs w:val="21"/>
                      <w:vertAlign w:val="baseline"/>
                      <w:lang w:val="en-US" w:eastAsia="zh-CN" w:bidi="ar-SA"/>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5" w:type="dxa"/>
                  <w:gridSpan w:val="5"/>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rPr>
                      <w:rFonts w:hint="eastAsia" w:ascii="Times New Roman" w:hAnsi="Times New Roman" w:eastAsia="宋体" w:cs="Times New Roman"/>
                      <w:color w:val="auto"/>
                      <w:spacing w:val="0"/>
                      <w:kern w:val="2"/>
                      <w:sz w:val="21"/>
                      <w:szCs w:val="21"/>
                      <w:lang w:val="en-US" w:eastAsia="zh-CN" w:bidi="ar-SA"/>
                    </w:rPr>
                  </w:pPr>
                  <w:r>
                    <w:rPr>
                      <w:rFonts w:hint="default" w:ascii="Times New Roman" w:hAnsi="Times New Roman" w:cs="Times New Roman"/>
                      <w:color w:val="auto"/>
                      <w:spacing w:val="0"/>
                      <w:sz w:val="21"/>
                    </w:rPr>
                    <w:t>《声环境质量标准》（</w:t>
                  </w:r>
                  <w:r>
                    <w:rPr>
                      <w:rFonts w:hint="default" w:ascii="Times New Roman" w:hAnsi="Times New Roman" w:eastAsia="Times New Roman" w:cs="Times New Roman"/>
                      <w:color w:val="auto"/>
                      <w:spacing w:val="0"/>
                      <w:sz w:val="21"/>
                    </w:rPr>
                    <w:t>GB3096-2008</w:t>
                  </w:r>
                  <w:r>
                    <w:rPr>
                      <w:rFonts w:hint="default" w:ascii="Times New Roman" w:hAnsi="Times New Roman" w:cs="Times New Roman"/>
                      <w:color w:val="auto"/>
                      <w:spacing w:val="0"/>
                      <w:sz w:val="21"/>
                    </w:rPr>
                    <w:t>）</w:t>
                  </w:r>
                  <w:r>
                    <w:rPr>
                      <w:rFonts w:hint="default" w:ascii="Times New Roman" w:hAnsi="Times New Roman" w:eastAsia="Times New Roman" w:cs="Times New Roman"/>
                      <w:color w:val="auto"/>
                      <w:spacing w:val="0"/>
                      <w:sz w:val="21"/>
                    </w:rPr>
                    <w:t xml:space="preserve">2 </w:t>
                  </w:r>
                  <w:r>
                    <w:rPr>
                      <w:rFonts w:hint="default" w:ascii="Times New Roman" w:hAnsi="Times New Roman" w:cs="Times New Roman"/>
                      <w:color w:val="auto"/>
                      <w:spacing w:val="0"/>
                      <w:sz w:val="21"/>
                    </w:rPr>
                    <w:t>类标准：昼间：</w:t>
                  </w:r>
                  <w:r>
                    <w:rPr>
                      <w:rFonts w:hint="default" w:ascii="Times New Roman" w:hAnsi="Times New Roman" w:eastAsia="Times New Roman" w:cs="Times New Roman"/>
                      <w:color w:val="auto"/>
                      <w:spacing w:val="0"/>
                      <w:sz w:val="21"/>
                    </w:rPr>
                    <w:t>60dB</w:t>
                  </w:r>
                  <w:r>
                    <w:rPr>
                      <w:rFonts w:hint="default" w:ascii="Times New Roman" w:hAnsi="Times New Roman" w:cs="Times New Roman"/>
                      <w:color w:val="auto"/>
                      <w:spacing w:val="0"/>
                      <w:sz w:val="21"/>
                    </w:rPr>
                    <w:t>（</w:t>
                  </w:r>
                  <w:r>
                    <w:rPr>
                      <w:rFonts w:hint="default" w:ascii="Times New Roman" w:hAnsi="Times New Roman" w:eastAsia="Times New Roman" w:cs="Times New Roman"/>
                      <w:color w:val="auto"/>
                      <w:spacing w:val="0"/>
                      <w:sz w:val="21"/>
                    </w:rPr>
                    <w:t>A</w:t>
                  </w:r>
                  <w:r>
                    <w:rPr>
                      <w:rFonts w:hint="default" w:ascii="Times New Roman" w:hAnsi="Times New Roman" w:cs="Times New Roman"/>
                      <w:color w:val="auto"/>
                      <w:spacing w:val="0"/>
                      <w:sz w:val="21"/>
                    </w:rPr>
                    <w:t>）</w:t>
                  </w:r>
                  <w:r>
                    <w:rPr>
                      <w:rFonts w:hint="default" w:ascii="Times New Roman" w:hAnsi="Times New Roman" w:cs="Times New Roman"/>
                      <w:color w:val="auto"/>
                      <w:spacing w:val="0"/>
                      <w:sz w:val="21"/>
                      <w:lang w:val="en-US" w:eastAsia="zh-CN"/>
                    </w:rPr>
                    <w:t xml:space="preserve">  </w:t>
                  </w:r>
                  <w:r>
                    <w:rPr>
                      <w:rFonts w:hint="default" w:ascii="Times New Roman" w:hAnsi="Times New Roman" w:cs="Times New Roman"/>
                      <w:color w:val="auto"/>
                      <w:spacing w:val="0"/>
                      <w:w w:val="95"/>
                      <w:sz w:val="21"/>
                    </w:rPr>
                    <w:t>夜间：</w:t>
                  </w:r>
                  <w:r>
                    <w:rPr>
                      <w:rFonts w:hint="default" w:ascii="Times New Roman" w:hAnsi="Times New Roman" w:eastAsia="Times New Roman" w:cs="Times New Roman"/>
                      <w:color w:val="auto"/>
                      <w:spacing w:val="0"/>
                      <w:w w:val="95"/>
                      <w:sz w:val="21"/>
                    </w:rPr>
                    <w:t>50B</w:t>
                  </w:r>
                  <w:r>
                    <w:rPr>
                      <w:rFonts w:hint="default" w:ascii="Times New Roman" w:hAnsi="Times New Roman" w:cs="Times New Roman"/>
                      <w:color w:val="auto"/>
                      <w:spacing w:val="0"/>
                      <w:w w:val="95"/>
                      <w:sz w:val="21"/>
                    </w:rPr>
                    <w:t>（</w:t>
                  </w:r>
                  <w:r>
                    <w:rPr>
                      <w:rFonts w:hint="default" w:ascii="Times New Roman" w:hAnsi="Times New Roman" w:eastAsia="Times New Roman" w:cs="Times New Roman"/>
                      <w:color w:val="auto"/>
                      <w:spacing w:val="0"/>
                      <w:w w:val="95"/>
                      <w:sz w:val="21"/>
                    </w:rPr>
                    <w:t>A</w:t>
                  </w:r>
                  <w:r>
                    <w:rPr>
                      <w:rFonts w:hint="default" w:ascii="Times New Roman" w:hAnsi="Times New Roman" w:cs="Times New Roman"/>
                      <w:color w:val="auto"/>
                      <w:spacing w:val="0"/>
                      <w:w w:val="95"/>
                      <w:sz w:val="21"/>
                    </w:rPr>
                    <w:t>）</w:t>
                  </w:r>
                </w:p>
              </w:tc>
            </w:tr>
          </w:tbl>
          <w:p>
            <w:pPr>
              <w:pStyle w:val="40"/>
              <w:keepNext w:val="0"/>
              <w:keepLines w:val="0"/>
              <w:pageBreakBefore w:val="0"/>
              <w:widowControl w:val="0"/>
              <w:tabs>
                <w:tab w:val="left" w:pos="420"/>
                <w:tab w:val="left" w:pos="870"/>
                <w:tab w:val="left" w:pos="3150"/>
              </w:tabs>
              <w:kinsoku/>
              <w:wordWrap/>
              <w:overflowPunct/>
              <w:topLinePunct w:val="0"/>
              <w:autoSpaceDE w:val="0"/>
              <w:autoSpaceDN w:val="0"/>
              <w:bidi w:val="0"/>
              <w:adjustRightInd w:val="0"/>
              <w:snapToGrid w:val="0"/>
              <w:spacing w:after="0" w:line="360" w:lineRule="auto"/>
              <w:ind w:leftChars="0" w:firstLine="567"/>
              <w:textAlignment w:val="baseline"/>
              <w:rPr>
                <w:rFonts w:hint="default" w:ascii="Times New Roman" w:hAnsi="Times New Roman" w:cs="Times New Roman"/>
                <w:color w:val="0000FF"/>
                <w:kern w:val="0"/>
                <w:szCs w:val="21"/>
              </w:rPr>
            </w:pPr>
            <w:r>
              <w:rPr>
                <w:rFonts w:hint="default" w:ascii="Times New Roman" w:hAnsi="Times New Roman" w:eastAsia="宋体" w:cs="Times New Roman"/>
                <w:snapToGrid/>
                <w:color w:val="auto"/>
                <w:spacing w:val="0"/>
                <w:kern w:val="0"/>
                <w:sz w:val="24"/>
                <w:szCs w:val="24"/>
                <w:lang w:val="en-US" w:eastAsia="zh-CN" w:bidi="ar-SA"/>
              </w:rPr>
              <w:t>监测统计结果表明，项目评价范围内昼、夜声环境质量满足《声环境质量标准》（GB3096－2008）的2类标准，本项目所在地声环境质量现状良好。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1"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kern w:val="0"/>
                <w:szCs w:val="21"/>
              </w:rPr>
            </w:pPr>
            <w:r>
              <w:rPr>
                <w:rFonts w:hint="default" w:ascii="Times New Roman" w:hAnsi="Times New Roman" w:cs="Times New Roman"/>
                <w:bCs/>
                <w:szCs w:val="21"/>
              </w:rPr>
              <w:t>与项目有关的原有环境污染和生态破坏问题</w:t>
            </w:r>
          </w:p>
        </w:tc>
        <w:tc>
          <w:tcPr>
            <w:tcW w:w="766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580" w:firstLineChars="242"/>
              <w:jc w:val="left"/>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本次苏稽安福堰综合整治工程河段位于峨眉河下游，地处峨眉河平原和浅丘地带、乐山市市中区苏稽镇场镇下游。安福堰建于解放前，取水口为</w:t>
            </w:r>
            <w:r>
              <w:rPr>
                <w:rFonts w:hint="default" w:ascii="Times New Roman" w:hAnsi="Times New Roman" w:cs="Times New Roman"/>
                <w:color w:val="auto"/>
                <w:sz w:val="24"/>
                <w:highlight w:val="none"/>
                <w:lang w:val="en-US" w:eastAsia="zh-CN"/>
              </w:rPr>
              <w:t>浆砌条石</w:t>
            </w:r>
            <w:r>
              <w:rPr>
                <w:rFonts w:hint="default" w:ascii="Times New Roman" w:hAnsi="Times New Roman" w:cs="Times New Roman"/>
                <w:color w:val="auto"/>
                <w:sz w:val="24"/>
                <w:highlight w:val="none"/>
              </w:rPr>
              <w:t>低坝，堰顶高程</w:t>
            </w:r>
            <w:r>
              <w:rPr>
                <w:rFonts w:hint="default" w:ascii="Times New Roman" w:hAnsi="Times New Roman" w:cs="Times New Roman"/>
                <w:color w:val="auto"/>
                <w:sz w:val="24"/>
                <w:highlight w:val="none"/>
                <w:lang w:eastAsia="zh-CN"/>
              </w:rPr>
              <w:t>370.</w:t>
            </w:r>
            <w:r>
              <w:rPr>
                <w:rFonts w:hint="default" w:ascii="Times New Roman" w:hAnsi="Times New Roman" w:cs="Times New Roman"/>
                <w:color w:val="auto"/>
                <w:sz w:val="24"/>
                <w:highlight w:val="none"/>
                <w:lang w:val="en-US" w:eastAsia="zh-CN"/>
              </w:rPr>
              <w:t>8</w:t>
            </w:r>
            <w:r>
              <w:rPr>
                <w:rFonts w:hint="default" w:ascii="Times New Roman" w:hAnsi="Times New Roman" w:cs="Times New Roman"/>
                <w:color w:val="auto"/>
                <w:sz w:val="24"/>
                <w:highlight w:val="none"/>
                <w:lang w:eastAsia="zh-CN"/>
              </w:rPr>
              <w:t>0</w:t>
            </w:r>
            <w:r>
              <w:rPr>
                <w:rFonts w:hint="default" w:ascii="Times New Roman" w:hAnsi="Times New Roman" w:cs="Times New Roman"/>
                <w:color w:val="auto"/>
                <w:sz w:val="24"/>
                <w:highlight w:val="none"/>
              </w:rPr>
              <w:t>m，目前堰体局部遭破坏，水位无法满足引水需求。本次拟将安福堰大坝拆除</w:t>
            </w:r>
            <w:r>
              <w:rPr>
                <w:rFonts w:hint="default" w:ascii="Times New Roman" w:hAnsi="Times New Roman" w:cs="Times New Roman"/>
                <w:color w:val="auto"/>
                <w:sz w:val="24"/>
                <w:highlight w:val="none"/>
                <w:lang w:val="en-US" w:eastAsia="zh-CN"/>
              </w:rPr>
              <w:t>重建为气盾坝</w:t>
            </w:r>
            <w:r>
              <w:rPr>
                <w:rFonts w:hint="default" w:ascii="Times New Roman" w:hAnsi="Times New Roman" w:cs="Times New Roman"/>
                <w:color w:val="auto"/>
                <w:sz w:val="24"/>
                <w:highlight w:val="none"/>
              </w:rPr>
              <w:t>，在该坝</w:t>
            </w:r>
            <w:r>
              <w:rPr>
                <w:rFonts w:hint="default" w:ascii="Times New Roman" w:hAnsi="Times New Roman" w:cs="Times New Roman"/>
                <w:color w:val="auto"/>
                <w:sz w:val="24"/>
                <w:highlight w:val="none"/>
                <w:lang w:val="en-US" w:eastAsia="zh-CN"/>
              </w:rPr>
              <w:t>右段</w:t>
            </w:r>
            <w:r>
              <w:rPr>
                <w:rFonts w:hint="default" w:ascii="Times New Roman" w:hAnsi="Times New Roman" w:cs="Times New Roman"/>
                <w:color w:val="auto"/>
                <w:sz w:val="24"/>
                <w:highlight w:val="none"/>
              </w:rPr>
              <w:t>新建取水口，</w:t>
            </w:r>
            <w:r>
              <w:rPr>
                <w:rFonts w:hint="default" w:ascii="Times New Roman" w:hAnsi="Times New Roman" w:cs="Times New Roman"/>
                <w:color w:val="auto"/>
                <w:sz w:val="24"/>
                <w:highlight w:val="none"/>
                <w:lang w:val="en-US" w:eastAsia="zh-CN"/>
              </w:rPr>
              <w:t>取水口后接</w:t>
            </w:r>
            <w:r>
              <w:rPr>
                <w:rFonts w:hint="default" w:ascii="Times New Roman" w:hAnsi="Times New Roman" w:cs="Times New Roman"/>
                <w:color w:val="auto"/>
                <w:sz w:val="24"/>
                <w:highlight w:val="none"/>
              </w:rPr>
              <w:t>安福堰。该取水口同时满足安福堰灌溉取水以及该段景观坝的预留景观用水。</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3"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lang w:eastAsia="zh-CN"/>
                    </w:rPr>
                  </w:pPr>
                  <w:r>
                    <w:rPr>
                      <w:rFonts w:hint="eastAsia"/>
                      <w:lang w:eastAsia="zh-CN"/>
                    </w:rPr>
                    <w:drawing>
                      <wp:inline distT="0" distB="0" distL="114300" distR="114300">
                        <wp:extent cx="4639945" cy="2322195"/>
                        <wp:effectExtent l="0" t="0" r="8255" b="1905"/>
                        <wp:docPr id="198" name="图片 18" descr="IMG_20210225_110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8" descr="IMG_20210225_110918"/>
                                <pic:cNvPicPr>
                                  <a:picLocks noChangeAspect="1"/>
                                </pic:cNvPicPr>
                              </pic:nvPicPr>
                              <pic:blipFill>
                                <a:blip r:embed="rId40"/>
                                <a:stretch>
                                  <a:fillRect/>
                                </a:stretch>
                              </pic:blipFill>
                              <pic:spPr>
                                <a:xfrm>
                                  <a:off x="0" y="0"/>
                                  <a:ext cx="4639945" cy="2322195"/>
                                </a:xfrm>
                                <a:prstGeom prst="rect">
                                  <a:avLst/>
                                </a:prstGeom>
                                <a:noFill/>
                                <a:ln>
                                  <a:noFill/>
                                </a:ln>
                              </pic:spPr>
                            </pic:pic>
                          </a:graphicData>
                        </a:graphic>
                      </wp:inline>
                    </w:drawing>
                  </w:r>
                </w:p>
                <w:p>
                  <w:pPr>
                    <w:pStyle w:val="2"/>
                    <w:jc w:val="center"/>
                    <w:rPr>
                      <w:rFonts w:hint="default"/>
                      <w:lang w:val="en-US" w:eastAsia="zh-CN"/>
                    </w:rPr>
                  </w:pPr>
                  <w:r>
                    <w:rPr>
                      <w:rFonts w:hint="eastAsia" w:eastAsia="宋体"/>
                      <w:b/>
                      <w:bCs/>
                      <w:color w:val="auto"/>
                      <w:lang w:val="en-US" w:eastAsia="zh-CN"/>
                    </w:rPr>
                    <w:t>图3-3  现有引水渠道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83" w:type="dxa"/>
                  <w:noWrap w:val="0"/>
                  <w:vAlign w:val="top"/>
                </w:tcPr>
                <w:p>
                  <w:pPr>
                    <w:pStyle w:val="2"/>
                    <w:jc w:val="center"/>
                  </w:pPr>
                  <w:r>
                    <w:rPr>
                      <w:sz w:val="18"/>
                    </w:rPr>
                    <mc:AlternateContent>
                      <mc:Choice Requires="wps">
                        <w:drawing>
                          <wp:anchor distT="0" distB="0" distL="114300" distR="114300" simplePos="0" relativeHeight="251667456" behindDoc="0" locked="0" layoutInCell="1" allowOverlap="1">
                            <wp:simplePos x="0" y="0"/>
                            <wp:positionH relativeFrom="column">
                              <wp:posOffset>2672715</wp:posOffset>
                            </wp:positionH>
                            <wp:positionV relativeFrom="paragraph">
                              <wp:posOffset>1189990</wp:posOffset>
                            </wp:positionV>
                            <wp:extent cx="643255" cy="285750"/>
                            <wp:effectExtent l="173990" t="4445" r="20955" b="300355"/>
                            <wp:wrapNone/>
                            <wp:docPr id="199" name="矩形标注 199"/>
                            <wp:cNvGraphicFramePr/>
                            <a:graphic xmlns:a="http://schemas.openxmlformats.org/drawingml/2006/main">
                              <a:graphicData uri="http://schemas.microsoft.com/office/word/2010/wordprocessingShape">
                                <wps:wsp>
                                  <wps:cNvSpPr/>
                                  <wps:spPr>
                                    <a:xfrm>
                                      <a:off x="0" y="0"/>
                                      <a:ext cx="643255" cy="285750"/>
                                    </a:xfrm>
                                    <a:prstGeom prst="wedgeRectCallout">
                                      <a:avLst>
                                        <a:gd name="adj1" fmla="val -72444"/>
                                        <a:gd name="adj2" fmla="val 143111"/>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现坝址</w:t>
                                        </w:r>
                                      </w:p>
                                    </w:txbxContent>
                                  </wps:txbx>
                                  <wps:bodyPr upright="1"/>
                                </wps:wsp>
                              </a:graphicData>
                            </a:graphic>
                          </wp:anchor>
                        </w:drawing>
                      </mc:Choice>
                      <mc:Fallback>
                        <w:pict>
                          <v:shape id="_x0000_s1026" o:spid="_x0000_s1026" o:spt="61" type="#_x0000_t61" style="position:absolute;left:0pt;margin-left:210.45pt;margin-top:93.7pt;height:22.5pt;width:50.65pt;z-index:251667456;mso-width-relative:page;mso-height-relative:page;" fillcolor="#FFFFFF" filled="t" stroked="t" coordsize="21600,21600" o:gfxdata="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OxCy+1wAAAAsBAAAPAAAAAAAAAAEAIAAAACIAAABkcnMvZG93&#10;bnJldi54bWxQSwECFAAUAAAACACHTuJAXrmUCDoCAACRBAAADgAAAAAAAAABACAAAAAmAQAAZHJz&#10;L2Uyb0RvYy54bWxQSwUGAAAAAAYABgBZAQAA0gUAAAAA&#10;" adj="-4848,41712">
                            <v:path/>
                            <v:fill on="t" focussize="0,0"/>
                            <v:stroke/>
                            <v:imagedata o:title=""/>
                            <o:lock v:ext="edit" aspectratio="f"/>
                            <v:textbox>
                              <w:txbxContent>
                                <w:p>
                                  <w:pPr>
                                    <w:rPr>
                                      <w:rFonts w:hint="default" w:eastAsia="宋体"/>
                                      <w:lang w:val="en-US" w:eastAsia="zh-CN"/>
                                    </w:rPr>
                                  </w:pPr>
                                  <w:r>
                                    <w:rPr>
                                      <w:rFonts w:hint="eastAsia"/>
                                      <w:lang w:val="en-US" w:eastAsia="zh-CN"/>
                                    </w:rPr>
                                    <w:t>现坝址</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column">
                              <wp:posOffset>1245870</wp:posOffset>
                            </wp:positionH>
                            <wp:positionV relativeFrom="paragraph">
                              <wp:posOffset>856615</wp:posOffset>
                            </wp:positionV>
                            <wp:extent cx="2905125" cy="2214880"/>
                            <wp:effectExtent l="19050" t="25400" r="28575" b="26670"/>
                            <wp:wrapNone/>
                            <wp:docPr id="195" name="直接连接符 195"/>
                            <wp:cNvGraphicFramePr/>
                            <a:graphic xmlns:a="http://schemas.openxmlformats.org/drawingml/2006/main">
                              <a:graphicData uri="http://schemas.microsoft.com/office/word/2010/wordprocessingShape">
                                <wps:wsp>
                                  <wps:cNvSpPr/>
                                  <wps:spPr>
                                    <a:xfrm>
                                      <a:off x="0" y="0"/>
                                      <a:ext cx="2905125" cy="2214880"/>
                                    </a:xfrm>
                                    <a:prstGeom prst="line">
                                      <a:avLst/>
                                    </a:prstGeom>
                                    <a:ln w="6350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98.1pt;margin-top:67.45pt;height:174.4pt;width:228.75pt;z-index:251666432;mso-width-relative:page;mso-height-relative:page;" filled="f" stroked="t" coordsize="21600,21600" o:gfxdata="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41qOXWAAAACwEAAA8AAAAAAAAAAQAgAAAAIgAAAGRycy9kb3du&#10;cmV2LnhtbFBLAQIUABQAAAAIAIdO4kB4RwwTAQIAAO8DAAAOAAAAAAAAAAEAIAAAACUBAABkcnMv&#10;ZTJvRG9jLnhtbFBLBQYAAAAABgAGAFkBAACYBQAAAAA=&#10;">
                            <v:path arrowok="t"/>
                            <v:fill on="f" focussize="0,0"/>
                            <v:stroke weight="5pt" color="#FF0000"/>
                            <v:imagedata o:title=""/>
                            <o:lock v:ext="edit" aspectratio="f"/>
                          </v:line>
                        </w:pict>
                      </mc:Fallback>
                    </mc:AlternateContent>
                  </w:r>
                  <w:r>
                    <w:drawing>
                      <wp:inline distT="0" distB="0" distL="114300" distR="114300">
                        <wp:extent cx="4701540" cy="3232785"/>
                        <wp:effectExtent l="0" t="0" r="3810" b="5715"/>
                        <wp:docPr id="19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
                                <pic:cNvPicPr>
                                  <a:picLocks noChangeAspect="1"/>
                                </pic:cNvPicPr>
                              </pic:nvPicPr>
                              <pic:blipFill>
                                <a:blip r:embed="rId41"/>
                                <a:stretch>
                                  <a:fillRect/>
                                </a:stretch>
                              </pic:blipFill>
                              <pic:spPr>
                                <a:xfrm>
                                  <a:off x="0" y="0"/>
                                  <a:ext cx="4701540" cy="3232785"/>
                                </a:xfrm>
                                <a:prstGeom prst="rect">
                                  <a:avLst/>
                                </a:prstGeom>
                                <a:noFill/>
                                <a:ln>
                                  <a:noFill/>
                                </a:ln>
                              </pic:spPr>
                            </pic:pic>
                          </a:graphicData>
                        </a:graphic>
                      </wp:inline>
                    </w:drawing>
                  </w:r>
                </w:p>
                <w:p>
                  <w:pPr>
                    <w:pStyle w:val="2"/>
                    <w:jc w:val="center"/>
                    <w:rPr>
                      <w:rFonts w:hint="default" w:eastAsia="宋体"/>
                      <w:lang w:val="en-US" w:eastAsia="zh-CN"/>
                    </w:rPr>
                  </w:pPr>
                  <w:r>
                    <w:rPr>
                      <w:rFonts w:hint="eastAsia"/>
                      <w:b/>
                      <w:bCs/>
                      <w:sz w:val="21"/>
                      <w:szCs w:val="21"/>
                      <w:lang w:val="en-US" w:eastAsia="zh-CN"/>
                    </w:rPr>
                    <w:t>图3-4  现坝址</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580" w:firstLineChars="242"/>
              <w:jc w:val="left"/>
              <w:textAlignment w:val="auto"/>
              <w:rPr>
                <w:rFonts w:hint="default" w:ascii="宋体" w:hAnsi="宋体"/>
                <w:color w:val="auto"/>
                <w:sz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1"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kern w:val="0"/>
                <w:szCs w:val="21"/>
              </w:rPr>
            </w:pPr>
            <w:r>
              <w:rPr>
                <w:rFonts w:hint="default" w:ascii="Times New Roman" w:hAnsi="Times New Roman" w:cs="Times New Roman"/>
                <w:kern w:val="0"/>
                <w:szCs w:val="21"/>
              </w:rPr>
              <w:t>生态环境保护目标</w:t>
            </w:r>
          </w:p>
        </w:tc>
        <w:tc>
          <w:tcPr>
            <w:tcW w:w="766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lang w:val="en-US" w:eastAsia="zh-CN"/>
              </w:rPr>
              <w:t>项目线路没有穿越重要文物、 自然保护区、风景名胜区，因此本项目环境保护目标为评价区域生态环境。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lang w:val="en-US" w:eastAsia="zh-CN"/>
              </w:rPr>
              <w:t>大气环境：保护目标为项目所在区域的大气环境质量，应达到《环境空 气质量标准》(</w:t>
            </w:r>
            <w:r>
              <w:rPr>
                <w:rFonts w:hint="default" w:ascii="Times New Roman" w:hAnsi="Times New Roman" w:eastAsia="宋体" w:cs="Times New Roman"/>
                <w:color w:val="auto"/>
                <w:kern w:val="0"/>
                <w:sz w:val="24"/>
                <w:szCs w:val="24"/>
                <w:lang w:val="en-US" w:eastAsia="zh-CN"/>
              </w:rPr>
              <w:t>GB3095-2012</w:t>
            </w:r>
            <w:r>
              <w:rPr>
                <w:rFonts w:hint="eastAsia" w:ascii="Times New Roman" w:hAnsi="Times New Roman" w:eastAsia="宋体" w:cs="Times New Roman"/>
                <w:color w:val="auto"/>
                <w:kern w:val="0"/>
                <w:sz w:val="24"/>
                <w:szCs w:val="24"/>
                <w:lang w:val="en-US" w:eastAsia="zh-CN"/>
              </w:rPr>
              <w:t>) 中二级标准要求。本次大气环境影响评价范围 为项目边界向外</w:t>
            </w:r>
            <w:r>
              <w:rPr>
                <w:rFonts w:hint="default" w:ascii="Times New Roman" w:hAnsi="Times New Roman" w:eastAsia="宋体" w:cs="Times New Roman"/>
                <w:color w:val="auto"/>
                <w:kern w:val="0"/>
                <w:sz w:val="24"/>
                <w:szCs w:val="24"/>
                <w:lang w:val="en-US" w:eastAsia="zh-CN"/>
              </w:rPr>
              <w:t>500m</w:t>
            </w:r>
            <w:r>
              <w:rPr>
                <w:rFonts w:hint="eastAsia" w:ascii="Times New Roman" w:hAnsi="Times New Roman" w:eastAsia="宋体" w:cs="Times New Roman"/>
                <w:color w:val="auto"/>
                <w:kern w:val="0"/>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lang w:val="en-US" w:eastAsia="zh-CN"/>
              </w:rPr>
              <w:t>地表水环境：项目地表水为峨眉河，应保证峨眉河满足《地表水环 境质量标准》(</w:t>
            </w:r>
            <w:r>
              <w:rPr>
                <w:rFonts w:hint="default" w:ascii="Times New Roman" w:hAnsi="Times New Roman" w:eastAsia="宋体" w:cs="Times New Roman"/>
                <w:color w:val="auto"/>
                <w:kern w:val="0"/>
                <w:sz w:val="24"/>
                <w:szCs w:val="24"/>
                <w:lang w:val="en-US" w:eastAsia="zh-CN"/>
              </w:rPr>
              <w:t>GB 3838-2002</w:t>
            </w:r>
            <w:r>
              <w:rPr>
                <w:rFonts w:hint="eastAsia" w:ascii="Times New Roman" w:hAnsi="Times New Roman" w:eastAsia="宋体" w:cs="Times New Roman"/>
                <w:color w:val="auto"/>
                <w:kern w:val="0"/>
                <w:sz w:val="24"/>
                <w:szCs w:val="24"/>
                <w:lang w:val="en-US" w:eastAsia="zh-CN"/>
              </w:rPr>
              <w:t>) 中Ⅲ类标准要求，不因本项目建设而受到污染，其水体功能不被破坏。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lang w:val="en-US" w:eastAsia="zh-CN"/>
              </w:rPr>
              <w:t>声环境：项目所在区域声环境质量应达到国家《声环境质量标准》 (</w:t>
            </w:r>
            <w:r>
              <w:rPr>
                <w:rFonts w:hint="default" w:ascii="Times New Roman" w:hAnsi="Times New Roman" w:eastAsia="宋体" w:cs="Times New Roman"/>
                <w:color w:val="auto"/>
                <w:kern w:val="0"/>
                <w:sz w:val="24"/>
                <w:szCs w:val="24"/>
                <w:lang w:val="en-US" w:eastAsia="zh-CN"/>
              </w:rPr>
              <w:t>GB3096-2008</w:t>
            </w:r>
            <w:r>
              <w:rPr>
                <w:rFonts w:hint="eastAsia" w:ascii="Times New Roman" w:hAnsi="Times New Roman" w:eastAsia="宋体" w:cs="Times New Roman"/>
                <w:color w:val="auto"/>
                <w:kern w:val="0"/>
                <w:sz w:val="24"/>
                <w:szCs w:val="24"/>
                <w:lang w:val="en-US" w:eastAsia="zh-CN"/>
              </w:rPr>
              <w:t>) 中</w:t>
            </w:r>
            <w:r>
              <w:rPr>
                <w:rFonts w:hint="default" w:ascii="Times New Roman" w:hAnsi="Times New Roman" w:eastAsia="宋体" w:cs="Times New Roman"/>
                <w:color w:val="auto"/>
                <w:kern w:val="0"/>
                <w:sz w:val="24"/>
                <w:szCs w:val="24"/>
                <w:lang w:val="en-US" w:eastAsia="zh-CN"/>
              </w:rPr>
              <w:t>2</w:t>
            </w:r>
            <w:r>
              <w:rPr>
                <w:rFonts w:hint="eastAsia" w:ascii="Times New Roman" w:hAnsi="Times New Roman" w:eastAsia="宋体" w:cs="Times New Roman"/>
                <w:color w:val="auto"/>
                <w:kern w:val="0"/>
                <w:sz w:val="24"/>
                <w:szCs w:val="24"/>
                <w:lang w:val="en-US" w:eastAsia="zh-CN"/>
              </w:rPr>
              <w:t>类标准要求。本次声环境影响评价范围为项目边界向外</w:t>
            </w:r>
            <w:r>
              <w:rPr>
                <w:rFonts w:hint="default" w:ascii="Times New Roman" w:hAnsi="Times New Roman" w:eastAsia="宋体" w:cs="Times New Roman"/>
                <w:color w:val="auto"/>
                <w:kern w:val="0"/>
                <w:sz w:val="24"/>
                <w:szCs w:val="24"/>
                <w:lang w:val="en-US" w:eastAsia="zh-CN"/>
              </w:rPr>
              <w:t>50m</w:t>
            </w:r>
            <w:r>
              <w:rPr>
                <w:rFonts w:hint="eastAsia" w:ascii="Times New Roman" w:hAnsi="Times New Roman" w:eastAsia="宋体" w:cs="Times New Roman"/>
                <w:color w:val="auto"/>
                <w:kern w:val="0"/>
                <w:sz w:val="24"/>
                <w:szCs w:val="24"/>
                <w:lang w:val="en-US" w:eastAsia="zh-CN"/>
              </w:rPr>
              <w:t>作为声环境影响评价范围。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固体废物：项目产生的固体废物能得到妥善处置，不造成二次污染。</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生态环境及水土流失：根据《环境影响评价技术导则  生态环境》 (</w:t>
            </w:r>
            <w:r>
              <w:rPr>
                <w:rFonts w:hint="default" w:ascii="Times New Roman" w:hAnsi="Times New Roman" w:eastAsia="宋体" w:cs="Times New Roman"/>
                <w:color w:val="auto"/>
                <w:kern w:val="0"/>
                <w:sz w:val="24"/>
                <w:szCs w:val="24"/>
                <w:lang w:val="en-US" w:eastAsia="zh-CN"/>
              </w:rPr>
              <w:t>HJ19-2022</w:t>
            </w:r>
            <w:r>
              <w:rPr>
                <w:rFonts w:hint="eastAsia" w:ascii="Times New Roman" w:hAnsi="Times New Roman" w:eastAsia="宋体" w:cs="Times New Roman"/>
                <w:color w:val="auto"/>
                <w:kern w:val="0"/>
                <w:sz w:val="24"/>
                <w:szCs w:val="24"/>
                <w:lang w:val="en-US" w:eastAsia="zh-CN"/>
              </w:rPr>
              <w:t>) ，本项目为线性工程，生态评价范围为中心线向外延</w:t>
            </w:r>
            <w:r>
              <w:rPr>
                <w:rFonts w:hint="default" w:ascii="Times New Roman" w:hAnsi="Times New Roman" w:eastAsia="宋体" w:cs="Times New Roman"/>
                <w:color w:val="auto"/>
                <w:kern w:val="0"/>
                <w:sz w:val="24"/>
                <w:szCs w:val="24"/>
                <w:lang w:val="en-US" w:eastAsia="zh-CN"/>
              </w:rPr>
              <w:t xml:space="preserve">300m </w:t>
            </w:r>
            <w:r>
              <w:rPr>
                <w:rFonts w:hint="eastAsia" w:ascii="Times New Roman" w:hAnsi="Times New Roman" w:eastAsia="宋体" w:cs="Times New Roman"/>
                <w:color w:val="auto"/>
                <w:kern w:val="0"/>
                <w:sz w:val="24"/>
                <w:szCs w:val="24"/>
                <w:lang w:val="en-US" w:eastAsia="zh-CN"/>
              </w:rPr>
              <w:t>，根据现场踏勘，本项目所在区域内主要为城市生态系统，原生植被分布较少。 区内无大型野生动物及珍稀植物，无特殊文物保护单位，区域生态系统敏感 程度低。项目区域生态环境不会因本工程的实施受到较大影响，不会导致水土流失加剧。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项目周边分布有零散居民，项目东南侧75m为青峨村约600户1500人；东侧253m为青衣人家小区约800户约2400人，东北侧95m有10户住户约30人；北侧160m分别有乐山青峨屠宰有限公司、石材批发公司、乐山安捷汽车销售公司；西侧20m是吴村约80户约240人；西南侧460m是乐山商务学校约600人；西南侧178m是新联村商住户约1000户3000人；东北侧460m是罗村约60户180人；西侧480m是苏沙路；北侧510m是乐峨大桥。</w:t>
            </w:r>
          </w:p>
          <w:p>
            <w:pPr>
              <w:adjustRightInd w:val="0"/>
              <w:snapToGrid w:val="0"/>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项目</w:t>
            </w:r>
            <w:r>
              <w:rPr>
                <w:rFonts w:hint="eastAsia" w:ascii="Times New Roman" w:hAnsi="Times New Roman" w:cs="Times New Roman"/>
                <w:bCs/>
                <w:sz w:val="24"/>
                <w:lang w:val="en-US" w:eastAsia="zh-CN"/>
              </w:rPr>
              <w:t>主要</w:t>
            </w:r>
            <w:r>
              <w:rPr>
                <w:rFonts w:hint="default" w:ascii="Times New Roman" w:hAnsi="Times New Roman" w:cs="Times New Roman"/>
                <w:bCs/>
                <w:sz w:val="24"/>
              </w:rPr>
              <w:t>环境保护目标见下表</w:t>
            </w:r>
            <w:r>
              <w:rPr>
                <w:rFonts w:hint="eastAsia" w:ascii="Times New Roman" w:hAnsi="Times New Roman" w:cs="Times New Roman"/>
                <w:bCs/>
                <w:sz w:val="24"/>
                <w:lang w:val="en-US" w:eastAsia="zh-CN"/>
              </w:rPr>
              <w:t>3-4</w:t>
            </w:r>
            <w:r>
              <w:rPr>
                <w:rFonts w:hint="default" w:ascii="Times New Roman" w:hAnsi="Times New Roman" w:cs="Times New Roman"/>
                <w:bCs/>
                <w:sz w:val="24"/>
              </w:rPr>
              <w:t>。</w:t>
            </w:r>
          </w:p>
          <w:p>
            <w:pPr>
              <w:pStyle w:val="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cs="Times New Roman"/>
              </w:rPr>
            </w:pPr>
            <w:r>
              <w:rPr>
                <w:rFonts w:hint="default" w:ascii="Times New Roman" w:hAnsi="Times New Roman" w:cs="Times New Roman"/>
                <w:b/>
                <w:sz w:val="21"/>
                <w:szCs w:val="21"/>
              </w:rPr>
              <w:t>表3-</w:t>
            </w:r>
            <w:r>
              <w:rPr>
                <w:rFonts w:hint="eastAsia" w:ascii="Times New Roman" w:hAnsi="Times New Roman" w:cs="Times New Roman"/>
                <w:b/>
                <w:sz w:val="21"/>
                <w:szCs w:val="21"/>
                <w:lang w:val="en-US" w:eastAsia="zh-CN"/>
              </w:rPr>
              <w:t>4</w:t>
            </w:r>
            <w:r>
              <w:rPr>
                <w:rFonts w:hint="default" w:ascii="Times New Roman" w:hAnsi="Times New Roman" w:cs="Times New Roman"/>
                <w:b/>
                <w:sz w:val="21"/>
                <w:szCs w:val="21"/>
              </w:rPr>
              <w:t xml:space="preserve">  生态环境保护目标一览表</w:t>
            </w:r>
          </w:p>
          <w:tbl>
            <w:tblPr>
              <w:tblStyle w:val="41"/>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367"/>
              <w:gridCol w:w="1593"/>
              <w:gridCol w:w="1767"/>
              <w:gridCol w:w="1835"/>
              <w:gridCol w:w="2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234" w:type="pct"/>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rPr>
                    <w:t>类别</w:t>
                  </w:r>
                </w:p>
              </w:tc>
              <w:tc>
                <w:tcPr>
                  <w:tcW w:w="1017" w:type="pct"/>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rPr>
                    <w:t>保护目标</w:t>
                  </w:r>
                </w:p>
              </w:tc>
              <w:tc>
                <w:tcPr>
                  <w:tcW w:w="1128" w:type="pct"/>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rPr>
                    <w:t>方位、距离</w:t>
                  </w:r>
                </w:p>
              </w:tc>
              <w:tc>
                <w:tcPr>
                  <w:tcW w:w="1170" w:type="pct"/>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rPr>
                    <w:t>规模</w:t>
                  </w:r>
                </w:p>
              </w:tc>
              <w:tc>
                <w:tcPr>
                  <w:tcW w:w="1449" w:type="pct"/>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rPr>
                    <w:t>环境功能及要求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92" w:hRule="atLeast"/>
                <w:jc w:val="center"/>
              </w:trPr>
              <w:tc>
                <w:tcPr>
                  <w:tcW w:w="234" w:type="pct"/>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rPr>
                    <w:t>地表水环境</w:t>
                  </w:r>
                </w:p>
              </w:tc>
              <w:tc>
                <w:tcPr>
                  <w:tcW w:w="1017" w:type="pct"/>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峨眉河</w:t>
                  </w:r>
                </w:p>
              </w:tc>
              <w:tc>
                <w:tcPr>
                  <w:tcW w:w="1128" w:type="pct"/>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1170" w:type="pct"/>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灌溉、行洪</w:t>
                  </w:r>
                </w:p>
              </w:tc>
              <w:tc>
                <w:tcPr>
                  <w:tcW w:w="1449" w:type="pct"/>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bCs/>
                      <w:sz w:val="21"/>
                      <w:szCs w:val="21"/>
                    </w:rPr>
                    <w:t>《地表水环境质量标准》</w:t>
                  </w:r>
                  <w:r>
                    <w:rPr>
                      <w:rFonts w:hint="default" w:ascii="Times New Roman" w:hAnsi="Times New Roman" w:cs="Times New Roman"/>
                      <w:bCs/>
                      <w:sz w:val="21"/>
                      <w:szCs w:val="21"/>
                      <w:lang w:eastAsia="zh-CN"/>
                    </w:rPr>
                    <w:t>（</w:t>
                  </w:r>
                  <w:r>
                    <w:rPr>
                      <w:rFonts w:hint="default" w:ascii="Times New Roman" w:hAnsi="Times New Roman" w:cs="Times New Roman"/>
                      <w:bCs/>
                      <w:sz w:val="21"/>
                      <w:szCs w:val="21"/>
                    </w:rPr>
                    <w:t>GB3838-</w:t>
                  </w:r>
                  <w:r>
                    <w:rPr>
                      <w:rFonts w:hint="default" w:ascii="Times New Roman" w:hAnsi="Times New Roman" w:cs="Times New Roman"/>
                      <w:sz w:val="21"/>
                      <w:szCs w:val="21"/>
                    </w:rPr>
                    <w:t>2002</w:t>
                  </w:r>
                  <w:r>
                    <w:rPr>
                      <w:rFonts w:hint="default" w:ascii="Times New Roman" w:hAnsi="Times New Roman" w:cs="Times New Roman"/>
                      <w:bCs/>
                      <w:sz w:val="21"/>
                      <w:szCs w:val="21"/>
                      <w:lang w:eastAsia="zh-CN"/>
                    </w:rPr>
                    <w:t>）</w:t>
                  </w:r>
                  <w:r>
                    <w:rPr>
                      <w:rFonts w:hint="default" w:ascii="Times New Roman" w:hAnsi="Times New Roman" w:cs="Times New Roman"/>
                      <w:sz w:val="21"/>
                      <w:szCs w:val="21"/>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1" w:hRule="atLeast"/>
                <w:jc w:val="center"/>
              </w:trPr>
              <w:tc>
                <w:tcPr>
                  <w:tcW w:w="234" w:type="pct"/>
                  <w:vMerge w:val="restart"/>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cs="Times New Roman"/>
                      <w:b/>
                      <w:bCs/>
                      <w:sz w:val="21"/>
                      <w:szCs w:val="21"/>
                      <w:lang w:eastAsia="zh-CN"/>
                    </w:rPr>
                    <w:t>大气环境</w:t>
                  </w:r>
                </w:p>
              </w:tc>
              <w:tc>
                <w:tcPr>
                  <w:tcW w:w="1017" w:type="pct"/>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color w:val="auto"/>
                      <w:kern w:val="0"/>
                      <w:sz w:val="21"/>
                      <w:szCs w:val="21"/>
                      <w:lang w:val="en-US" w:eastAsia="zh-CN"/>
                    </w:rPr>
                    <w:t>青峨村</w:t>
                  </w:r>
                  <w:r>
                    <w:rPr>
                      <w:rFonts w:hint="default" w:ascii="Times New Roman" w:hAnsi="Times New Roman" w:eastAsia="宋体" w:cs="Times New Roman"/>
                      <w:sz w:val="21"/>
                      <w:szCs w:val="21"/>
                    </w:rPr>
                    <w:t>居民</w:t>
                  </w:r>
                </w:p>
              </w:tc>
              <w:tc>
                <w:tcPr>
                  <w:tcW w:w="1128" w:type="pct"/>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color w:val="auto"/>
                      <w:kern w:val="0"/>
                      <w:sz w:val="21"/>
                      <w:szCs w:val="21"/>
                      <w:lang w:val="en-US" w:eastAsia="zh-CN"/>
                    </w:rPr>
                    <w:t>东南侧75m</w:t>
                  </w:r>
                </w:p>
              </w:tc>
              <w:tc>
                <w:tcPr>
                  <w:tcW w:w="1170" w:type="pct"/>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color w:val="auto"/>
                      <w:kern w:val="0"/>
                      <w:sz w:val="21"/>
                      <w:szCs w:val="21"/>
                      <w:lang w:val="en-US" w:eastAsia="zh-CN"/>
                    </w:rPr>
                    <w:t>600户1500人</w:t>
                  </w:r>
                </w:p>
              </w:tc>
              <w:tc>
                <w:tcPr>
                  <w:tcW w:w="1449" w:type="pct"/>
                  <w:vMerge w:val="restart"/>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cs="Times New Roman"/>
                      <w:sz w:val="21"/>
                      <w:szCs w:val="21"/>
                    </w:rPr>
                  </w:pPr>
                </w:p>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bCs/>
                      <w:sz w:val="21"/>
                      <w:szCs w:val="21"/>
                    </w:rPr>
                    <w:t>《环境空气质量标准》（GB</w:t>
                  </w:r>
                  <w:r>
                    <w:rPr>
                      <w:rFonts w:hint="default" w:ascii="Times New Roman" w:hAnsi="Times New Roman" w:cs="Times New Roman"/>
                      <w:sz w:val="21"/>
                      <w:szCs w:val="21"/>
                    </w:rPr>
                    <w:t>3095</w:t>
                  </w:r>
                  <w:r>
                    <w:rPr>
                      <w:rFonts w:hint="default" w:ascii="Times New Roman" w:hAnsi="Times New Roman" w:cs="Times New Roman"/>
                      <w:bCs/>
                      <w:sz w:val="21"/>
                      <w:szCs w:val="21"/>
                    </w:rPr>
                    <w:t>-</w:t>
                  </w:r>
                  <w:r>
                    <w:rPr>
                      <w:rFonts w:hint="default" w:ascii="Times New Roman" w:hAnsi="Times New Roman" w:cs="Times New Roman"/>
                      <w:sz w:val="21"/>
                      <w:szCs w:val="21"/>
                    </w:rPr>
                    <w:t>2012</w:t>
                  </w:r>
                  <w:r>
                    <w:rPr>
                      <w:rFonts w:hint="default" w:ascii="Times New Roman" w:hAnsi="Times New Roman" w:cs="Times New Roman"/>
                      <w:bCs/>
                      <w:sz w:val="21"/>
                      <w:szCs w:val="21"/>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 w:hRule="atLeast"/>
                <w:jc w:val="center"/>
              </w:trPr>
              <w:tc>
                <w:tcPr>
                  <w:tcW w:w="234" w:type="pct"/>
                  <w:vMerge w:val="continue"/>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cs="Times New Roman"/>
                      <w:sz w:val="21"/>
                      <w:szCs w:val="21"/>
                    </w:rPr>
                  </w:pPr>
                </w:p>
              </w:tc>
              <w:tc>
                <w:tcPr>
                  <w:tcW w:w="1017" w:type="pct"/>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color w:val="auto"/>
                      <w:kern w:val="0"/>
                      <w:sz w:val="21"/>
                      <w:szCs w:val="21"/>
                      <w:lang w:val="en-US" w:eastAsia="zh-CN"/>
                    </w:rPr>
                    <w:t>青衣人家小区</w:t>
                  </w:r>
                </w:p>
              </w:tc>
              <w:tc>
                <w:tcPr>
                  <w:tcW w:w="1128" w:type="pct"/>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color w:val="auto"/>
                      <w:kern w:val="0"/>
                      <w:sz w:val="21"/>
                      <w:szCs w:val="21"/>
                      <w:lang w:val="en-US" w:eastAsia="zh-CN"/>
                    </w:rPr>
                    <w:t>东侧253m</w:t>
                  </w:r>
                </w:p>
              </w:tc>
              <w:tc>
                <w:tcPr>
                  <w:tcW w:w="1170" w:type="pct"/>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color w:val="auto"/>
                      <w:kern w:val="0"/>
                      <w:sz w:val="21"/>
                      <w:szCs w:val="21"/>
                      <w:lang w:val="en-US" w:eastAsia="zh-CN"/>
                    </w:rPr>
                    <w:t>800户约2400人</w:t>
                  </w:r>
                </w:p>
              </w:tc>
              <w:tc>
                <w:tcPr>
                  <w:tcW w:w="1449" w:type="pct"/>
                  <w:vMerge w:val="continue"/>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 w:hRule="atLeast"/>
                <w:jc w:val="center"/>
              </w:trPr>
              <w:tc>
                <w:tcPr>
                  <w:tcW w:w="234" w:type="pct"/>
                  <w:vMerge w:val="continue"/>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cs="Times New Roman"/>
                      <w:sz w:val="21"/>
                      <w:szCs w:val="21"/>
                    </w:rPr>
                  </w:pPr>
                </w:p>
              </w:tc>
              <w:tc>
                <w:tcPr>
                  <w:tcW w:w="1017" w:type="pct"/>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color w:val="auto"/>
                      <w:kern w:val="0"/>
                      <w:sz w:val="21"/>
                      <w:szCs w:val="21"/>
                      <w:lang w:val="en-US" w:eastAsia="zh-CN"/>
                    </w:rPr>
                    <w:t>吴村</w:t>
                  </w:r>
                  <w:r>
                    <w:rPr>
                      <w:rFonts w:hint="default" w:ascii="Times New Roman" w:hAnsi="Times New Roman" w:eastAsia="宋体" w:cs="Times New Roman"/>
                      <w:sz w:val="21"/>
                      <w:szCs w:val="21"/>
                    </w:rPr>
                    <w:t>居民</w:t>
                  </w:r>
                </w:p>
              </w:tc>
              <w:tc>
                <w:tcPr>
                  <w:tcW w:w="1128" w:type="pct"/>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color w:val="auto"/>
                      <w:kern w:val="0"/>
                      <w:sz w:val="21"/>
                      <w:szCs w:val="21"/>
                      <w:lang w:val="en-US" w:eastAsia="zh-CN"/>
                    </w:rPr>
                    <w:t>西侧20m</w:t>
                  </w:r>
                </w:p>
              </w:tc>
              <w:tc>
                <w:tcPr>
                  <w:tcW w:w="1170" w:type="pct"/>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color w:val="auto"/>
                      <w:kern w:val="0"/>
                      <w:sz w:val="21"/>
                      <w:szCs w:val="21"/>
                      <w:lang w:val="en-US" w:eastAsia="zh-CN"/>
                    </w:rPr>
                    <w:t>80户约240人</w:t>
                  </w:r>
                </w:p>
              </w:tc>
              <w:tc>
                <w:tcPr>
                  <w:tcW w:w="1449" w:type="pct"/>
                  <w:vMerge w:val="continue"/>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 w:hRule="atLeast"/>
                <w:jc w:val="center"/>
              </w:trPr>
              <w:tc>
                <w:tcPr>
                  <w:tcW w:w="234" w:type="pct"/>
                  <w:vMerge w:val="continue"/>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cs="Times New Roman"/>
                      <w:sz w:val="21"/>
                      <w:szCs w:val="21"/>
                    </w:rPr>
                  </w:pPr>
                </w:p>
              </w:tc>
              <w:tc>
                <w:tcPr>
                  <w:tcW w:w="1017" w:type="pct"/>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color w:val="auto"/>
                      <w:kern w:val="0"/>
                      <w:sz w:val="21"/>
                      <w:szCs w:val="21"/>
                      <w:lang w:val="en-US" w:eastAsia="zh-CN"/>
                    </w:rPr>
                    <w:t>乐山商务学校</w:t>
                  </w:r>
                </w:p>
              </w:tc>
              <w:tc>
                <w:tcPr>
                  <w:tcW w:w="1128" w:type="pct"/>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color w:val="auto"/>
                      <w:kern w:val="0"/>
                      <w:sz w:val="21"/>
                      <w:szCs w:val="21"/>
                      <w:lang w:val="en-US" w:eastAsia="zh-CN"/>
                    </w:rPr>
                    <w:t>西南侧460m</w:t>
                  </w:r>
                </w:p>
              </w:tc>
              <w:tc>
                <w:tcPr>
                  <w:tcW w:w="1170" w:type="pct"/>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color w:val="auto"/>
                      <w:kern w:val="0"/>
                      <w:sz w:val="21"/>
                      <w:szCs w:val="21"/>
                      <w:lang w:val="en-US" w:eastAsia="zh-CN"/>
                    </w:rPr>
                    <w:t>600人</w:t>
                  </w:r>
                </w:p>
              </w:tc>
              <w:tc>
                <w:tcPr>
                  <w:tcW w:w="1449" w:type="pct"/>
                  <w:vMerge w:val="continue"/>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234" w:type="pct"/>
                  <w:vMerge w:val="continue"/>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cs="Times New Roman"/>
                      <w:sz w:val="21"/>
                      <w:szCs w:val="21"/>
                    </w:rPr>
                  </w:pPr>
                </w:p>
              </w:tc>
              <w:tc>
                <w:tcPr>
                  <w:tcW w:w="1017" w:type="pct"/>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color w:val="auto"/>
                      <w:kern w:val="0"/>
                      <w:sz w:val="21"/>
                      <w:szCs w:val="21"/>
                      <w:lang w:val="en-US" w:eastAsia="zh-CN"/>
                    </w:rPr>
                    <w:t>新联村商住户</w:t>
                  </w:r>
                </w:p>
              </w:tc>
              <w:tc>
                <w:tcPr>
                  <w:tcW w:w="1128" w:type="pct"/>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color w:val="auto"/>
                      <w:kern w:val="0"/>
                      <w:sz w:val="21"/>
                      <w:szCs w:val="21"/>
                      <w:lang w:val="en-US" w:eastAsia="zh-CN"/>
                    </w:rPr>
                    <w:t>西南侧178m</w:t>
                  </w:r>
                </w:p>
              </w:tc>
              <w:tc>
                <w:tcPr>
                  <w:tcW w:w="1170" w:type="pct"/>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sz w:val="21"/>
                      <w:szCs w:val="21"/>
                    </w:rPr>
                  </w:pPr>
                  <w:r>
                    <w:rPr>
                      <w:rFonts w:hint="eastAsia" w:ascii="Times New Roman" w:hAnsi="Times New Roman" w:eastAsia="宋体" w:cs="Times New Roman"/>
                      <w:color w:val="auto"/>
                      <w:kern w:val="0"/>
                      <w:sz w:val="21"/>
                      <w:szCs w:val="21"/>
                      <w:lang w:val="en-US" w:eastAsia="zh-CN"/>
                    </w:rPr>
                    <w:t>1000户3000人</w:t>
                  </w:r>
                </w:p>
              </w:tc>
              <w:tc>
                <w:tcPr>
                  <w:tcW w:w="1449" w:type="pct"/>
                  <w:vMerge w:val="continue"/>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 w:hRule="atLeast"/>
                <w:jc w:val="center"/>
              </w:trPr>
              <w:tc>
                <w:tcPr>
                  <w:tcW w:w="234" w:type="pct"/>
                  <w:vMerge w:val="continue"/>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cs="Times New Roman"/>
                      <w:sz w:val="21"/>
                      <w:szCs w:val="21"/>
                    </w:rPr>
                  </w:pPr>
                </w:p>
              </w:tc>
              <w:tc>
                <w:tcPr>
                  <w:tcW w:w="1017" w:type="pct"/>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kern w:val="0"/>
                      <w:sz w:val="21"/>
                      <w:szCs w:val="21"/>
                      <w:lang w:val="en-US" w:eastAsia="zh-CN"/>
                    </w:rPr>
                    <w:t>罗村</w:t>
                  </w:r>
                  <w:r>
                    <w:rPr>
                      <w:rFonts w:hint="default" w:ascii="Times New Roman" w:hAnsi="Times New Roman" w:eastAsia="宋体" w:cs="Times New Roman"/>
                      <w:sz w:val="21"/>
                      <w:szCs w:val="21"/>
                      <w:lang w:val="en-US" w:eastAsia="zh-CN"/>
                    </w:rPr>
                    <w:t>居民</w:t>
                  </w:r>
                </w:p>
              </w:tc>
              <w:tc>
                <w:tcPr>
                  <w:tcW w:w="1128" w:type="pct"/>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kern w:val="0"/>
                      <w:sz w:val="21"/>
                      <w:szCs w:val="21"/>
                      <w:lang w:val="en-US" w:eastAsia="zh-CN"/>
                    </w:rPr>
                    <w:t>东北侧460m</w:t>
                  </w:r>
                </w:p>
              </w:tc>
              <w:tc>
                <w:tcPr>
                  <w:tcW w:w="1170" w:type="pct"/>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auto"/>
                      <w:kern w:val="0"/>
                      <w:sz w:val="21"/>
                      <w:szCs w:val="21"/>
                      <w:lang w:val="en-US" w:eastAsia="zh-CN"/>
                    </w:rPr>
                    <w:t>60户180人</w:t>
                  </w:r>
                </w:p>
              </w:tc>
              <w:tc>
                <w:tcPr>
                  <w:tcW w:w="1449" w:type="pct"/>
                  <w:vMerge w:val="continue"/>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7" w:hRule="atLeast"/>
                <w:jc w:val="center"/>
              </w:trPr>
              <w:tc>
                <w:tcPr>
                  <w:tcW w:w="234" w:type="pct"/>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b/>
                      <w:bCs/>
                      <w:sz w:val="21"/>
                      <w:szCs w:val="21"/>
                      <w:lang w:eastAsia="zh-CN"/>
                    </w:rPr>
                  </w:pPr>
                  <w:r>
                    <w:rPr>
                      <w:rFonts w:hint="default" w:ascii="Times New Roman" w:hAnsi="Times New Roman" w:cs="Times New Roman"/>
                      <w:b/>
                      <w:bCs/>
                      <w:sz w:val="21"/>
                      <w:szCs w:val="21"/>
                      <w:lang w:eastAsia="zh-CN"/>
                    </w:rPr>
                    <w:t>声环境</w:t>
                  </w:r>
                </w:p>
              </w:tc>
              <w:tc>
                <w:tcPr>
                  <w:tcW w:w="1017" w:type="pct"/>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auto"/>
                      <w:kern w:val="0"/>
                      <w:sz w:val="21"/>
                      <w:szCs w:val="21"/>
                      <w:lang w:val="en-US" w:eastAsia="zh-CN"/>
                    </w:rPr>
                    <w:t>吴村</w:t>
                  </w:r>
                  <w:r>
                    <w:rPr>
                      <w:rFonts w:hint="default" w:ascii="Times New Roman" w:hAnsi="Times New Roman" w:eastAsia="宋体" w:cs="Times New Roman"/>
                      <w:sz w:val="21"/>
                      <w:szCs w:val="21"/>
                    </w:rPr>
                    <w:t>居民</w:t>
                  </w:r>
                </w:p>
              </w:tc>
              <w:tc>
                <w:tcPr>
                  <w:tcW w:w="1128" w:type="pct"/>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auto"/>
                      <w:kern w:val="0"/>
                      <w:sz w:val="21"/>
                      <w:szCs w:val="21"/>
                      <w:lang w:val="en-US" w:eastAsia="zh-CN"/>
                    </w:rPr>
                    <w:t>西侧20m</w:t>
                  </w:r>
                </w:p>
              </w:tc>
              <w:tc>
                <w:tcPr>
                  <w:tcW w:w="1170" w:type="pct"/>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auto"/>
                      <w:kern w:val="0"/>
                      <w:sz w:val="21"/>
                      <w:szCs w:val="21"/>
                      <w:lang w:val="en-US" w:eastAsia="zh-CN"/>
                    </w:rPr>
                    <w:t>80户约240人</w:t>
                  </w:r>
                </w:p>
              </w:tc>
              <w:tc>
                <w:tcPr>
                  <w:tcW w:w="1449" w:type="pct"/>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《声环境质量标准》</w:t>
                  </w:r>
                  <w:r>
                    <w:rPr>
                      <w:rFonts w:hint="default" w:ascii="Times New Roman" w:hAnsi="Times New Roman" w:cs="Times New Roman"/>
                      <w:sz w:val="21"/>
                      <w:szCs w:val="21"/>
                      <w:lang w:eastAsia="zh-CN"/>
                    </w:rPr>
                    <w:t>（</w:t>
                  </w:r>
                  <w:r>
                    <w:rPr>
                      <w:rFonts w:hint="default" w:ascii="Times New Roman" w:hAnsi="Times New Roman" w:cs="Times New Roman"/>
                      <w:sz w:val="21"/>
                      <w:szCs w:val="21"/>
                    </w:rPr>
                    <w:t>GB 3096-2008</w:t>
                  </w:r>
                  <w:r>
                    <w:rPr>
                      <w:rFonts w:hint="default" w:ascii="Times New Roman" w:hAnsi="Times New Roman" w:cs="Times New Roman"/>
                      <w:sz w:val="21"/>
                      <w:szCs w:val="21"/>
                      <w:lang w:eastAsia="zh-CN"/>
                    </w:rPr>
                    <w:t>）</w:t>
                  </w:r>
                  <w:r>
                    <w:rPr>
                      <w:rFonts w:hint="default" w:ascii="Times New Roman" w:hAnsi="Times New Roman" w:cs="Times New Roman"/>
                      <w:sz w:val="21"/>
                      <w:szCs w:val="21"/>
                    </w:rPr>
                    <w:t>2类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61" w:hRule="atLeast"/>
                <w:jc w:val="center"/>
              </w:trPr>
              <w:tc>
                <w:tcPr>
                  <w:tcW w:w="234" w:type="pct"/>
                  <w:noWrap w:val="0"/>
                  <w:vAlign w:val="center"/>
                </w:tcPr>
                <w:p>
                  <w:pPr>
                    <w:pStyle w:val="54"/>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生态环境</w:t>
                  </w:r>
                </w:p>
              </w:tc>
              <w:tc>
                <w:tcPr>
                  <w:tcW w:w="3316" w:type="pct"/>
                  <w:gridSpan w:val="3"/>
                  <w:noWrap w:val="0"/>
                  <w:vAlign w:val="center"/>
                </w:tcPr>
                <w:p>
                  <w:pPr>
                    <w:pStyle w:val="54"/>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cs="Times New Roman"/>
                      <w:color w:val="auto"/>
                      <w:sz w:val="21"/>
                      <w:szCs w:val="21"/>
                    </w:rPr>
                  </w:pPr>
                  <w:r>
                    <w:rPr>
                      <w:rFonts w:hint="eastAsia" w:ascii="Times New Roman" w:cs="Times New Roman"/>
                      <w:color w:val="auto"/>
                      <w:sz w:val="21"/>
                      <w:szCs w:val="21"/>
                      <w:lang w:val="en-US" w:eastAsia="zh-CN"/>
                    </w:rPr>
                    <w:t>峨眉河</w:t>
                  </w:r>
                  <w:r>
                    <w:rPr>
                      <w:rFonts w:hint="default" w:ascii="Times New Roman" w:hAnsi="Times New Roman" w:cs="Times New Roman"/>
                      <w:color w:val="auto"/>
                      <w:sz w:val="21"/>
                      <w:szCs w:val="21"/>
                    </w:rPr>
                    <w:t>河道内及施工周边</w:t>
                  </w:r>
                </w:p>
              </w:tc>
              <w:tc>
                <w:tcPr>
                  <w:tcW w:w="1449" w:type="pct"/>
                  <w:noWrap w:val="0"/>
                  <w:vAlign w:val="center"/>
                </w:tcPr>
                <w:p>
                  <w:pPr>
                    <w:keepNext w:val="0"/>
                    <w:keepLines w:val="0"/>
                    <w:pageBreakBefore w:val="0"/>
                    <w:widowControl w:val="0"/>
                    <w:kinsoku/>
                    <w:wordWrap/>
                    <w:overflowPunct/>
                    <w:topLinePunct w:val="0"/>
                    <w:bidi w:val="0"/>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kern w:val="0"/>
                      <w:sz w:val="21"/>
                      <w:szCs w:val="21"/>
                    </w:rPr>
                    <w:t>生态环境以不减少区内濒危珍稀动植物和不破坏生态系统完整性为标准，水土流失以不改变土壤侵蚀类型为标准</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FF"/>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1"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kern w:val="0"/>
                <w:szCs w:val="21"/>
              </w:rPr>
            </w:pPr>
            <w:r>
              <w:rPr>
                <w:rFonts w:hint="default" w:ascii="Times New Roman" w:hAnsi="Times New Roman" w:cs="Times New Roman"/>
                <w:kern w:val="0"/>
                <w:szCs w:val="21"/>
              </w:rPr>
              <w:t>评价标准</w:t>
            </w:r>
          </w:p>
        </w:tc>
        <w:tc>
          <w:tcPr>
            <w:tcW w:w="7663" w:type="dxa"/>
            <w:noWrap w:val="0"/>
            <w:vAlign w:val="center"/>
          </w:tcPr>
          <w:p>
            <w:pPr>
              <w:adjustRightInd w:val="0"/>
              <w:snapToGrid w:val="0"/>
              <w:spacing w:line="360" w:lineRule="auto"/>
              <w:ind w:firstLine="482" w:firstLineChars="200"/>
              <w:rPr>
                <w:rFonts w:hint="default" w:ascii="Times New Roman" w:hAnsi="Times New Roman" w:cs="Times New Roman"/>
                <w:b/>
                <w:bCs/>
                <w:kern w:val="0"/>
                <w:sz w:val="24"/>
              </w:rPr>
            </w:pPr>
            <w:r>
              <w:rPr>
                <w:rFonts w:hint="default" w:ascii="Times New Roman" w:hAnsi="Times New Roman" w:cs="Times New Roman"/>
                <w:b/>
                <w:bCs/>
                <w:kern w:val="0"/>
                <w:sz w:val="24"/>
              </w:rPr>
              <w:t>1、</w:t>
            </w:r>
            <w:r>
              <w:rPr>
                <w:rFonts w:hint="default" w:ascii="Times New Roman" w:hAnsi="Times New Roman" w:cs="Times New Roman"/>
                <w:b/>
                <w:bCs/>
                <w:sz w:val="24"/>
              </w:rPr>
              <w:t>环境</w:t>
            </w:r>
            <w:r>
              <w:rPr>
                <w:rFonts w:hint="default" w:ascii="Times New Roman" w:hAnsi="Times New Roman" w:cs="Times New Roman"/>
                <w:b/>
                <w:bCs/>
                <w:kern w:val="0"/>
                <w:sz w:val="24"/>
              </w:rPr>
              <w:t>质量标准</w:t>
            </w:r>
          </w:p>
          <w:p>
            <w:pPr>
              <w:adjustRightInd w:val="0"/>
              <w:snapToGrid w:val="0"/>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（1）环境空气质量</w:t>
            </w:r>
          </w:p>
          <w:p>
            <w:pPr>
              <w:adjustRightInd w:val="0"/>
              <w:snapToGrid w:val="0"/>
              <w:spacing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项目所在地周围大气环境执行《环境空气质量标准》</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GB3095-2012</w:t>
            </w:r>
            <w:r>
              <w:rPr>
                <w:rFonts w:hint="default" w:ascii="Times New Roman" w:hAnsi="Times New Roman" w:eastAsia="宋体" w:cs="Times New Roman"/>
                <w:sz w:val="24"/>
                <w:lang w:eastAsia="zh-CN"/>
              </w:rPr>
              <w:t>）</w:t>
            </w:r>
            <w:r>
              <w:rPr>
                <w:rFonts w:hint="eastAsia" w:ascii="Times New Roman" w:hAnsi="Times New Roman" w:eastAsia="宋体" w:cs="Times New Roman"/>
                <w:sz w:val="24"/>
              </w:rPr>
              <w:t>《关于发布《环境空气质量标准》（GB3095-2012）修改单的公告》（生态环境部公告2018 年第29 号）中二级标准</w:t>
            </w:r>
            <w:r>
              <w:rPr>
                <w:rFonts w:hint="default" w:ascii="Times New Roman" w:hAnsi="Times New Roman" w:eastAsia="宋体" w:cs="Times New Roman"/>
                <w:sz w:val="24"/>
              </w:rPr>
              <w:t>，详见下表3-</w:t>
            </w:r>
            <w:r>
              <w:rPr>
                <w:rFonts w:hint="eastAsia" w:ascii="Times New Roman" w:hAnsi="Times New Roman" w:eastAsia="宋体" w:cs="Times New Roman"/>
                <w:sz w:val="24"/>
                <w:lang w:val="en-US" w:eastAsia="zh-CN"/>
              </w:rPr>
              <w:t>5</w:t>
            </w:r>
            <w:r>
              <w:rPr>
                <w:rFonts w:hint="default" w:ascii="Times New Roman" w:hAnsi="Times New Roman" w:eastAsia="宋体" w:cs="Times New Roman"/>
                <w:sz w:val="24"/>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b/>
                <w:bCs/>
                <w:szCs w:val="21"/>
              </w:rPr>
            </w:pPr>
            <w:r>
              <w:rPr>
                <w:rFonts w:hint="default" w:ascii="Times New Roman" w:hAnsi="Times New Roman" w:cs="Times New Roman"/>
                <w:b/>
                <w:bCs/>
                <w:szCs w:val="21"/>
              </w:rPr>
              <w:t>表3-</w:t>
            </w:r>
            <w:r>
              <w:rPr>
                <w:rFonts w:hint="eastAsia" w:ascii="Times New Roman" w:hAnsi="Times New Roman" w:cs="Times New Roman"/>
                <w:b/>
                <w:bCs/>
                <w:szCs w:val="21"/>
                <w:lang w:val="en-US" w:eastAsia="zh-CN"/>
              </w:rPr>
              <w:t>5</w:t>
            </w:r>
            <w:r>
              <w:rPr>
                <w:rFonts w:hint="default" w:ascii="Times New Roman" w:hAnsi="Times New Roman" w:cs="Times New Roman"/>
                <w:b/>
                <w:bCs/>
                <w:szCs w:val="21"/>
              </w:rPr>
              <w:t xml:space="preserve">  环境空气质量标准（摘录</w:t>
            </w:r>
            <w:r>
              <w:rPr>
                <w:rFonts w:hint="default" w:ascii="Times New Roman" w:hAnsi="Times New Roman" w:cs="Times New Roman"/>
                <w:b/>
                <w:bCs/>
                <w:szCs w:val="21"/>
                <w:lang w:eastAsia="zh-CN"/>
              </w:rPr>
              <w:t>）</w:t>
            </w:r>
            <w:r>
              <w:rPr>
                <w:rFonts w:hint="default" w:ascii="Times New Roman" w:hAnsi="Times New Roman" w:cs="Times New Roman"/>
                <w:b/>
                <w:bCs/>
                <w:szCs w:val="21"/>
              </w:rPr>
              <w:t xml:space="preserve">  单位：μg/m</w:t>
            </w:r>
            <w:r>
              <w:rPr>
                <w:rFonts w:hint="default" w:ascii="Times New Roman" w:hAnsi="Times New Roman" w:cs="Times New Roman"/>
                <w:b/>
                <w:bCs/>
                <w:szCs w:val="21"/>
                <w:vertAlign w:val="superscript"/>
              </w:rPr>
              <w:t>3</w:t>
            </w:r>
          </w:p>
          <w:tbl>
            <w:tblPr>
              <w:tblStyle w:val="4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3"/>
              <w:gridCol w:w="1396"/>
              <w:gridCol w:w="1537"/>
              <w:gridCol w:w="1073"/>
              <w:gridCol w:w="2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pct"/>
                  <w:vMerge w:val="restart"/>
                  <w:noWrap w:val="0"/>
                  <w:vAlign w:val="center"/>
                </w:tcPr>
                <w:p>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污染物</w:t>
                  </w:r>
                </w:p>
              </w:tc>
              <w:tc>
                <w:tcPr>
                  <w:tcW w:w="2590" w:type="pct"/>
                  <w:gridSpan w:val="3"/>
                  <w:noWrap w:val="0"/>
                  <w:vAlign w:val="center"/>
                </w:tcPr>
                <w:p>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污染物的浓度限值（ug/m</w:t>
                  </w:r>
                  <w:r>
                    <w:rPr>
                      <w:rFonts w:hint="default" w:ascii="Times New Roman" w:hAnsi="Times New Roman" w:cs="Times New Roman"/>
                      <w:b/>
                      <w:bCs/>
                      <w:szCs w:val="21"/>
                      <w:vertAlign w:val="superscript"/>
                    </w:rPr>
                    <w:t>3</w:t>
                  </w:r>
                  <w:r>
                    <w:rPr>
                      <w:rFonts w:hint="default" w:ascii="Times New Roman" w:hAnsi="Times New Roman" w:cs="Times New Roman"/>
                      <w:b/>
                      <w:bCs/>
                      <w:szCs w:val="21"/>
                    </w:rPr>
                    <w:t>）</w:t>
                  </w:r>
                </w:p>
              </w:tc>
              <w:tc>
                <w:tcPr>
                  <w:tcW w:w="1271" w:type="pct"/>
                  <w:vMerge w:val="restart"/>
                  <w:noWrap w:val="0"/>
                  <w:vAlign w:val="center"/>
                </w:tcPr>
                <w:p>
                  <w:pPr>
                    <w:adjustRightInd w:val="0"/>
                    <w:snapToGrid w:val="0"/>
                    <w:jc w:val="center"/>
                    <w:rPr>
                      <w:rFonts w:hint="default" w:ascii="Times New Roman" w:hAnsi="Times New Roman" w:cs="Times New Roman"/>
                      <w:b/>
                      <w:bCs/>
                      <w:szCs w:val="21"/>
                    </w:rPr>
                  </w:pPr>
                  <w:r>
                    <w:rPr>
                      <w:rFonts w:hint="default" w:ascii="Times New Roman" w:hAnsi="Times New Roman" w:cs="Times New Roman"/>
                      <w:b/>
                      <w:bCs/>
                      <w:szCs w:val="21"/>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pct"/>
                  <w:vMerge w:val="continue"/>
                  <w:noWrap w:val="0"/>
                  <w:vAlign w:val="center"/>
                </w:tcPr>
                <w:p>
                  <w:pPr>
                    <w:adjustRightInd w:val="0"/>
                    <w:snapToGrid w:val="0"/>
                    <w:jc w:val="center"/>
                    <w:rPr>
                      <w:rFonts w:hint="default" w:ascii="Times New Roman" w:hAnsi="Times New Roman" w:cs="Times New Roman"/>
                      <w:szCs w:val="21"/>
                    </w:rPr>
                  </w:pPr>
                </w:p>
              </w:tc>
              <w:tc>
                <w:tcPr>
                  <w:tcW w:w="902" w:type="pct"/>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1小时平均</w:t>
                  </w:r>
                </w:p>
              </w:tc>
              <w:tc>
                <w:tcPr>
                  <w:tcW w:w="992" w:type="pct"/>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24小时平均值</w:t>
                  </w:r>
                </w:p>
              </w:tc>
              <w:tc>
                <w:tcPr>
                  <w:tcW w:w="695" w:type="pct"/>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年平均</w:t>
                  </w:r>
                </w:p>
              </w:tc>
              <w:tc>
                <w:tcPr>
                  <w:tcW w:w="1271" w:type="pct"/>
                  <w:vMerge w:val="continue"/>
                  <w:noWrap w:val="0"/>
                  <w:vAlign w:val="center"/>
                </w:tcPr>
                <w:p>
                  <w:pPr>
                    <w:adjustRightInd w:val="0"/>
                    <w:snapToGrid w:val="0"/>
                    <w:jc w:val="cente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pct"/>
                  <w:noWrap w:val="0"/>
                  <w:vAlign w:val="center"/>
                </w:tcPr>
                <w:p>
                  <w:pPr>
                    <w:adjustRightInd w:val="0"/>
                    <w:snapToGrid w:val="0"/>
                    <w:jc w:val="center"/>
                    <w:rPr>
                      <w:rFonts w:hint="default" w:ascii="Times New Roman" w:hAnsi="Times New Roman" w:cs="Times New Roman"/>
                      <w:szCs w:val="21"/>
                      <w:vertAlign w:val="subscript"/>
                    </w:rPr>
                  </w:pPr>
                  <w:r>
                    <w:rPr>
                      <w:rFonts w:hint="default" w:ascii="Times New Roman" w:hAnsi="Times New Roman" w:cs="Times New Roman"/>
                      <w:szCs w:val="21"/>
                    </w:rPr>
                    <w:t>SO</w:t>
                  </w:r>
                  <w:r>
                    <w:rPr>
                      <w:rFonts w:hint="default" w:ascii="Times New Roman" w:hAnsi="Times New Roman" w:cs="Times New Roman"/>
                      <w:szCs w:val="21"/>
                      <w:vertAlign w:val="subscript"/>
                    </w:rPr>
                    <w:t>2</w:t>
                  </w:r>
                </w:p>
              </w:tc>
              <w:tc>
                <w:tcPr>
                  <w:tcW w:w="902" w:type="pct"/>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500</w:t>
                  </w:r>
                </w:p>
              </w:tc>
              <w:tc>
                <w:tcPr>
                  <w:tcW w:w="992" w:type="pct"/>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150</w:t>
                  </w:r>
                </w:p>
              </w:tc>
              <w:tc>
                <w:tcPr>
                  <w:tcW w:w="695" w:type="pct"/>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60</w:t>
                  </w:r>
                </w:p>
              </w:tc>
              <w:tc>
                <w:tcPr>
                  <w:tcW w:w="1271" w:type="pct"/>
                  <w:vMerge w:val="restart"/>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《环境空气质量标准》（GB3095-2012）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pct"/>
                  <w:noWrap w:val="0"/>
                  <w:vAlign w:val="center"/>
                </w:tcPr>
                <w:p>
                  <w:pPr>
                    <w:adjustRightInd w:val="0"/>
                    <w:snapToGrid w:val="0"/>
                    <w:jc w:val="center"/>
                    <w:rPr>
                      <w:rFonts w:hint="default" w:ascii="Times New Roman" w:hAnsi="Times New Roman" w:cs="Times New Roman"/>
                      <w:szCs w:val="21"/>
                      <w:vertAlign w:val="subscript"/>
                    </w:rPr>
                  </w:pPr>
                  <w:r>
                    <w:rPr>
                      <w:rFonts w:hint="default" w:ascii="Times New Roman" w:hAnsi="Times New Roman" w:cs="Times New Roman"/>
                      <w:szCs w:val="21"/>
                    </w:rPr>
                    <w:t>NO</w:t>
                  </w:r>
                  <w:r>
                    <w:rPr>
                      <w:rFonts w:hint="default" w:ascii="Times New Roman" w:hAnsi="Times New Roman" w:cs="Times New Roman"/>
                      <w:szCs w:val="21"/>
                      <w:vertAlign w:val="subscript"/>
                    </w:rPr>
                    <w:t>2</w:t>
                  </w:r>
                </w:p>
              </w:tc>
              <w:tc>
                <w:tcPr>
                  <w:tcW w:w="902" w:type="pct"/>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200</w:t>
                  </w:r>
                </w:p>
              </w:tc>
              <w:tc>
                <w:tcPr>
                  <w:tcW w:w="992" w:type="pct"/>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80</w:t>
                  </w:r>
                </w:p>
              </w:tc>
              <w:tc>
                <w:tcPr>
                  <w:tcW w:w="695" w:type="pct"/>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40</w:t>
                  </w:r>
                </w:p>
              </w:tc>
              <w:tc>
                <w:tcPr>
                  <w:tcW w:w="1271" w:type="pct"/>
                  <w:vMerge w:val="continue"/>
                  <w:noWrap w:val="0"/>
                  <w:vAlign w:val="center"/>
                </w:tcPr>
                <w:p>
                  <w:pPr>
                    <w:adjustRightInd w:val="0"/>
                    <w:snapToGrid w:val="0"/>
                    <w:jc w:val="cente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pct"/>
                  <w:noWrap w:val="0"/>
                  <w:vAlign w:val="center"/>
                </w:tcPr>
                <w:p>
                  <w:pPr>
                    <w:adjustRightInd w:val="0"/>
                    <w:snapToGrid w:val="0"/>
                    <w:jc w:val="center"/>
                    <w:rPr>
                      <w:rFonts w:hint="default" w:ascii="Times New Roman" w:hAnsi="Times New Roman" w:cs="Times New Roman"/>
                      <w:szCs w:val="21"/>
                      <w:vertAlign w:val="subscript"/>
                    </w:rPr>
                  </w:pPr>
                  <w:r>
                    <w:rPr>
                      <w:rFonts w:hint="default" w:ascii="Times New Roman" w:hAnsi="Times New Roman" w:cs="Times New Roman"/>
                      <w:szCs w:val="21"/>
                    </w:rPr>
                    <w:t>PM</w:t>
                  </w:r>
                  <w:r>
                    <w:rPr>
                      <w:rFonts w:hint="default" w:ascii="Times New Roman" w:hAnsi="Times New Roman" w:cs="Times New Roman"/>
                      <w:szCs w:val="21"/>
                      <w:vertAlign w:val="subscript"/>
                    </w:rPr>
                    <w:t>10</w:t>
                  </w:r>
                </w:p>
              </w:tc>
              <w:tc>
                <w:tcPr>
                  <w:tcW w:w="902" w:type="pct"/>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w:t>
                  </w:r>
                </w:p>
              </w:tc>
              <w:tc>
                <w:tcPr>
                  <w:tcW w:w="992" w:type="pct"/>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150</w:t>
                  </w:r>
                </w:p>
              </w:tc>
              <w:tc>
                <w:tcPr>
                  <w:tcW w:w="695" w:type="pct"/>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70</w:t>
                  </w:r>
                </w:p>
              </w:tc>
              <w:tc>
                <w:tcPr>
                  <w:tcW w:w="1271" w:type="pct"/>
                  <w:vMerge w:val="continue"/>
                  <w:noWrap w:val="0"/>
                  <w:vAlign w:val="center"/>
                </w:tcPr>
                <w:p>
                  <w:pPr>
                    <w:adjustRightInd w:val="0"/>
                    <w:snapToGrid w:val="0"/>
                    <w:jc w:val="cente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pct"/>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PM</w:t>
                  </w:r>
                  <w:r>
                    <w:rPr>
                      <w:rFonts w:hint="default" w:ascii="Times New Roman" w:hAnsi="Times New Roman" w:cs="Times New Roman"/>
                      <w:szCs w:val="21"/>
                      <w:vertAlign w:val="subscript"/>
                    </w:rPr>
                    <w:t>2.5</w:t>
                  </w:r>
                </w:p>
              </w:tc>
              <w:tc>
                <w:tcPr>
                  <w:tcW w:w="902" w:type="pct"/>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w:t>
                  </w:r>
                </w:p>
              </w:tc>
              <w:tc>
                <w:tcPr>
                  <w:tcW w:w="992" w:type="pct"/>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75</w:t>
                  </w:r>
                </w:p>
              </w:tc>
              <w:tc>
                <w:tcPr>
                  <w:tcW w:w="695" w:type="pct"/>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35</w:t>
                  </w:r>
                </w:p>
              </w:tc>
              <w:tc>
                <w:tcPr>
                  <w:tcW w:w="1271" w:type="pct"/>
                  <w:vMerge w:val="continue"/>
                  <w:noWrap w:val="0"/>
                  <w:vAlign w:val="center"/>
                </w:tcPr>
                <w:p>
                  <w:pPr>
                    <w:adjustRightInd w:val="0"/>
                    <w:snapToGrid w:val="0"/>
                    <w:jc w:val="cente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pct"/>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CO</w:t>
                  </w:r>
                </w:p>
              </w:tc>
              <w:tc>
                <w:tcPr>
                  <w:tcW w:w="902" w:type="pct"/>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10000</w:t>
                  </w:r>
                </w:p>
              </w:tc>
              <w:tc>
                <w:tcPr>
                  <w:tcW w:w="992" w:type="pct"/>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4000</w:t>
                  </w:r>
                </w:p>
              </w:tc>
              <w:tc>
                <w:tcPr>
                  <w:tcW w:w="695" w:type="pct"/>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w:t>
                  </w:r>
                </w:p>
              </w:tc>
              <w:tc>
                <w:tcPr>
                  <w:tcW w:w="1271" w:type="pct"/>
                  <w:vMerge w:val="continue"/>
                  <w:noWrap w:val="0"/>
                  <w:vAlign w:val="center"/>
                </w:tcPr>
                <w:p>
                  <w:pPr>
                    <w:adjustRightInd w:val="0"/>
                    <w:snapToGrid w:val="0"/>
                    <w:jc w:val="cente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7" w:type="pct"/>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O</w:t>
                  </w:r>
                  <w:r>
                    <w:rPr>
                      <w:rFonts w:hint="default" w:ascii="Times New Roman" w:hAnsi="Times New Roman" w:cs="Times New Roman"/>
                      <w:szCs w:val="21"/>
                      <w:vertAlign w:val="subscript"/>
                    </w:rPr>
                    <w:t>3</w:t>
                  </w:r>
                </w:p>
              </w:tc>
              <w:tc>
                <w:tcPr>
                  <w:tcW w:w="902" w:type="pct"/>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200</w:t>
                  </w:r>
                </w:p>
              </w:tc>
              <w:tc>
                <w:tcPr>
                  <w:tcW w:w="992" w:type="pct"/>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160</w:t>
                  </w:r>
                </w:p>
              </w:tc>
              <w:tc>
                <w:tcPr>
                  <w:tcW w:w="695" w:type="pct"/>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w:t>
                  </w:r>
                </w:p>
              </w:tc>
              <w:tc>
                <w:tcPr>
                  <w:tcW w:w="1271" w:type="pct"/>
                  <w:vMerge w:val="continue"/>
                  <w:noWrap w:val="0"/>
                  <w:vAlign w:val="center"/>
                </w:tcPr>
                <w:p>
                  <w:pPr>
                    <w:adjustRightInd w:val="0"/>
                    <w:snapToGrid w:val="0"/>
                    <w:jc w:val="center"/>
                    <w:rPr>
                      <w:rFonts w:hint="default" w:ascii="Times New Roman" w:hAnsi="Times New Roman" w:cs="Times New Roman"/>
                      <w:szCs w:val="21"/>
                    </w:rPr>
                  </w:pPr>
                </w:p>
              </w:tc>
            </w:tr>
          </w:tbl>
          <w:p>
            <w:pPr>
              <w:adjustRightInd w:val="0"/>
              <w:snapToGrid w:val="0"/>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（2）地表水环境质量</w:t>
            </w:r>
          </w:p>
          <w:p>
            <w:pPr>
              <w:adjustRightInd w:val="0"/>
              <w:snapToGrid w:val="0"/>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执行《地表水环境质量标准》（GB3838-2002）Ⅲ类水域标准，详见表3-</w:t>
            </w:r>
            <w:r>
              <w:rPr>
                <w:rFonts w:hint="eastAsia" w:ascii="Times New Roman" w:hAnsi="Times New Roman" w:cs="Times New Roman"/>
                <w:sz w:val="24"/>
                <w:lang w:val="en-US" w:eastAsia="zh-CN"/>
              </w:rPr>
              <w:t>6</w:t>
            </w:r>
            <w:r>
              <w:rPr>
                <w:rFonts w:hint="default" w:ascii="Times New Roman" w:hAnsi="Times New Roman" w:cs="Times New Roman"/>
                <w:sz w:val="24"/>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b/>
                <w:bCs/>
                <w:szCs w:val="21"/>
              </w:rPr>
            </w:pPr>
            <w:r>
              <w:rPr>
                <w:rFonts w:hint="default" w:ascii="Times New Roman" w:hAnsi="Times New Roman" w:cs="Times New Roman"/>
                <w:b/>
                <w:bCs/>
                <w:szCs w:val="21"/>
              </w:rPr>
              <w:t>表3-</w:t>
            </w:r>
            <w:r>
              <w:rPr>
                <w:rFonts w:hint="eastAsia" w:ascii="Times New Roman" w:hAnsi="Times New Roman" w:cs="Times New Roman"/>
                <w:b/>
                <w:bCs/>
                <w:szCs w:val="21"/>
                <w:lang w:val="en-US" w:eastAsia="zh-CN"/>
              </w:rPr>
              <w:t>6</w:t>
            </w:r>
            <w:r>
              <w:rPr>
                <w:rFonts w:hint="default" w:ascii="Times New Roman" w:hAnsi="Times New Roman" w:cs="Times New Roman"/>
                <w:b/>
                <w:bCs/>
                <w:szCs w:val="21"/>
              </w:rPr>
              <w:t xml:space="preserve">  地表水环境质量标准（GB3838-2002）（摘录）  单位：mg/L</w:t>
            </w:r>
          </w:p>
          <w:tbl>
            <w:tblPr>
              <w:tblStyle w:val="4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246"/>
              <w:gridCol w:w="3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70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b/>
                      <w:bCs/>
                      <w:color w:val="auto"/>
                      <w:spacing w:val="0"/>
                      <w:sz w:val="21"/>
                      <w:szCs w:val="21"/>
                      <w:lang w:val="zh-CN"/>
                    </w:rPr>
                  </w:pPr>
                  <w:r>
                    <w:rPr>
                      <w:rFonts w:hint="default" w:ascii="Times New Roman" w:hAnsi="Times New Roman" w:cs="Times New Roman"/>
                      <w:b/>
                      <w:bCs/>
                      <w:color w:val="auto"/>
                      <w:spacing w:val="0"/>
                      <w:sz w:val="21"/>
                      <w:szCs w:val="21"/>
                      <w:lang w:val="zh-CN"/>
                    </w:rPr>
                    <w:t>项  目</w:t>
                  </w:r>
                </w:p>
              </w:tc>
              <w:tc>
                <w:tcPr>
                  <w:tcW w:w="229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b/>
                      <w:bCs/>
                      <w:color w:val="auto"/>
                      <w:spacing w:val="0"/>
                      <w:sz w:val="21"/>
                      <w:szCs w:val="21"/>
                      <w:lang w:val="zh-CN"/>
                    </w:rPr>
                  </w:pPr>
                  <w:r>
                    <w:rPr>
                      <w:rFonts w:hint="default" w:ascii="Times New Roman" w:hAnsi="Times New Roman" w:cs="Times New Roman"/>
                      <w:b/>
                      <w:bCs/>
                      <w:color w:val="auto"/>
                      <w:spacing w:val="0"/>
                      <w:sz w:val="21"/>
                      <w:szCs w:val="21"/>
                      <w:lang w:val="zh-CN"/>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70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pacing w:val="0"/>
                      <w:sz w:val="21"/>
                      <w:szCs w:val="21"/>
                      <w:lang w:val="zh-CN"/>
                    </w:rPr>
                  </w:pPr>
                  <w:r>
                    <w:rPr>
                      <w:rFonts w:hint="default" w:ascii="Times New Roman" w:hAnsi="Times New Roman" w:cs="Times New Roman"/>
                      <w:color w:val="auto"/>
                      <w:spacing w:val="0"/>
                      <w:sz w:val="21"/>
                      <w:szCs w:val="21"/>
                      <w:lang w:val="zh-CN"/>
                    </w:rPr>
                    <w:t>pH</w:t>
                  </w:r>
                </w:p>
              </w:tc>
              <w:tc>
                <w:tcPr>
                  <w:tcW w:w="229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pacing w:val="0"/>
                      <w:sz w:val="21"/>
                      <w:szCs w:val="21"/>
                      <w:lang w:val="zh-CN"/>
                    </w:rPr>
                  </w:pPr>
                  <w:r>
                    <w:rPr>
                      <w:rFonts w:hint="default" w:ascii="Times New Roman" w:hAnsi="Times New Roman" w:cs="Times New Roman"/>
                      <w:color w:val="auto"/>
                      <w:spacing w:val="0"/>
                      <w:sz w:val="21"/>
                      <w:szCs w:val="21"/>
                      <w:lang w:val="zh-CN"/>
                    </w:rPr>
                    <w:t>6～9（无量纲）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70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pacing w:val="0"/>
                      <w:sz w:val="21"/>
                      <w:szCs w:val="21"/>
                      <w:lang w:val="zh-CN"/>
                    </w:rPr>
                  </w:pPr>
                  <w:r>
                    <w:rPr>
                      <w:rFonts w:hint="default" w:ascii="Times New Roman" w:hAnsi="Times New Roman" w:cs="Times New Roman"/>
                      <w:color w:val="auto"/>
                      <w:spacing w:val="0"/>
                      <w:sz w:val="21"/>
                      <w:szCs w:val="21"/>
                      <w:lang w:val="zh-CN"/>
                    </w:rPr>
                    <w:t>溶解氧</w:t>
                  </w:r>
                </w:p>
              </w:tc>
              <w:tc>
                <w:tcPr>
                  <w:tcW w:w="229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sz w:val="21"/>
                      <w:szCs w:val="21"/>
                      <w:lang w:val="en-US" w:eastAsia="zh-CN"/>
                    </w:rPr>
                  </w:pPr>
                  <w:r>
                    <w:rPr>
                      <w:rFonts w:hint="default" w:ascii="Times New Roman" w:hAnsi="Times New Roman" w:cs="Times New Roman"/>
                      <w:color w:val="auto"/>
                      <w:spacing w:val="0"/>
                      <w:sz w:val="21"/>
                      <w:szCs w:val="21"/>
                      <w:lang w:val="zh-CN"/>
                    </w:rPr>
                    <w:t>≥</w:t>
                  </w:r>
                  <w:r>
                    <w:rPr>
                      <w:rFonts w:hint="default" w:ascii="Times New Roman" w:hAnsi="Times New Roman" w:cs="Times New Roman"/>
                      <w:color w:val="auto"/>
                      <w:spacing w:val="0"/>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70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pacing w:val="0"/>
                      <w:sz w:val="21"/>
                      <w:szCs w:val="21"/>
                      <w:lang w:val="zh-CN"/>
                    </w:rPr>
                  </w:pPr>
                  <w:r>
                    <w:rPr>
                      <w:rFonts w:hint="default" w:ascii="Times New Roman" w:hAnsi="Times New Roman" w:cs="Times New Roman"/>
                      <w:color w:val="auto"/>
                      <w:spacing w:val="0"/>
                      <w:sz w:val="21"/>
                      <w:szCs w:val="21"/>
                      <w:lang w:val="zh-CN"/>
                    </w:rPr>
                    <w:t>COD</w:t>
                  </w:r>
                </w:p>
              </w:tc>
              <w:tc>
                <w:tcPr>
                  <w:tcW w:w="229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sz w:val="21"/>
                      <w:szCs w:val="21"/>
                      <w:lang w:val="en-US" w:eastAsia="zh-CN"/>
                    </w:rPr>
                  </w:pPr>
                  <w:r>
                    <w:rPr>
                      <w:rFonts w:hint="default" w:ascii="Times New Roman" w:hAnsi="Times New Roman" w:cs="Times New Roman"/>
                      <w:color w:val="auto"/>
                      <w:spacing w:val="0"/>
                      <w:sz w:val="21"/>
                      <w:szCs w:val="21"/>
                      <w:lang w:val="zh-CN"/>
                    </w:rPr>
                    <w:t>≤</w:t>
                  </w:r>
                  <w:r>
                    <w:rPr>
                      <w:rFonts w:hint="default" w:ascii="Times New Roman" w:hAnsi="Times New Roman" w:cs="Times New Roman"/>
                      <w:color w:val="auto"/>
                      <w:spacing w:val="0"/>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70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pacing w:val="0"/>
                      <w:sz w:val="21"/>
                      <w:szCs w:val="21"/>
                      <w:lang w:val="zh-CN"/>
                    </w:rPr>
                  </w:pPr>
                  <w:r>
                    <w:rPr>
                      <w:rFonts w:hint="default" w:ascii="Times New Roman" w:hAnsi="Times New Roman" w:cs="Times New Roman"/>
                      <w:color w:val="auto"/>
                      <w:spacing w:val="0"/>
                      <w:sz w:val="21"/>
                      <w:szCs w:val="21"/>
                      <w:lang w:val="zh-CN"/>
                    </w:rPr>
                    <w:t>高锰酸盐指数</w:t>
                  </w:r>
                </w:p>
              </w:tc>
              <w:tc>
                <w:tcPr>
                  <w:tcW w:w="229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sz w:val="21"/>
                      <w:szCs w:val="21"/>
                      <w:lang w:eastAsia="zh-CN"/>
                    </w:rPr>
                  </w:pPr>
                  <w:r>
                    <w:rPr>
                      <w:rFonts w:hint="default" w:ascii="Times New Roman" w:hAnsi="Times New Roman" w:cs="Times New Roman"/>
                      <w:color w:val="auto"/>
                      <w:spacing w:val="0"/>
                      <w:sz w:val="21"/>
                      <w:szCs w:val="21"/>
                      <w:lang w:val="zh-CN"/>
                    </w:rPr>
                    <w:t>≤</w:t>
                  </w:r>
                  <w:r>
                    <w:rPr>
                      <w:rFonts w:hint="default" w:ascii="Times New Roman" w:hAnsi="Times New Roman" w:cs="Times New Roman"/>
                      <w:color w:val="auto"/>
                      <w:spacing w:val="0"/>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70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pacing w:val="0"/>
                      <w:sz w:val="21"/>
                      <w:szCs w:val="21"/>
                      <w:lang w:val="zh-CN"/>
                    </w:rPr>
                  </w:pPr>
                  <w:r>
                    <w:rPr>
                      <w:rFonts w:hint="default" w:ascii="Times New Roman" w:hAnsi="Times New Roman" w:cs="Times New Roman"/>
                      <w:color w:val="auto"/>
                      <w:spacing w:val="0"/>
                      <w:sz w:val="21"/>
                      <w:szCs w:val="21"/>
                      <w:lang w:val="zh-CN"/>
                    </w:rPr>
                    <w:t>BOD</w:t>
                  </w:r>
                  <w:r>
                    <w:rPr>
                      <w:rFonts w:hint="default" w:ascii="Times New Roman" w:hAnsi="Times New Roman" w:cs="Times New Roman"/>
                      <w:color w:val="auto"/>
                      <w:spacing w:val="0"/>
                      <w:sz w:val="21"/>
                      <w:szCs w:val="21"/>
                      <w:vertAlign w:val="subscript"/>
                      <w:lang w:val="zh-CN"/>
                    </w:rPr>
                    <w:t>5</w:t>
                  </w:r>
                </w:p>
              </w:tc>
              <w:tc>
                <w:tcPr>
                  <w:tcW w:w="229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lang w:val="zh-CN"/>
                    </w:rPr>
                    <w:t>≤</w:t>
                  </w:r>
                  <w:r>
                    <w:rPr>
                      <w:rFonts w:hint="default" w:ascii="Times New Roman" w:hAnsi="Times New Roman" w:cs="Times New Roman"/>
                      <w:color w:val="auto"/>
                      <w:spacing w:val="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70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pacing w:val="0"/>
                      <w:sz w:val="21"/>
                      <w:szCs w:val="21"/>
                      <w:lang w:val="zh-CN"/>
                    </w:rPr>
                  </w:pPr>
                  <w:r>
                    <w:rPr>
                      <w:rFonts w:hint="default" w:ascii="Times New Roman" w:hAnsi="Times New Roman" w:cs="Times New Roman"/>
                      <w:color w:val="auto"/>
                      <w:spacing w:val="0"/>
                      <w:sz w:val="21"/>
                      <w:szCs w:val="21"/>
                      <w:lang w:val="zh-CN"/>
                    </w:rPr>
                    <w:t>氨氮（NH</w:t>
                  </w:r>
                  <w:r>
                    <w:rPr>
                      <w:rFonts w:hint="default" w:ascii="Times New Roman" w:hAnsi="Times New Roman" w:cs="Times New Roman"/>
                      <w:color w:val="auto"/>
                      <w:spacing w:val="0"/>
                      <w:sz w:val="21"/>
                      <w:szCs w:val="21"/>
                      <w:vertAlign w:val="subscript"/>
                      <w:lang w:val="zh-CN"/>
                    </w:rPr>
                    <w:t>3</w:t>
                  </w:r>
                  <w:r>
                    <w:rPr>
                      <w:rFonts w:hint="default" w:ascii="Times New Roman" w:hAnsi="Times New Roman" w:cs="Times New Roman"/>
                      <w:color w:val="auto"/>
                      <w:spacing w:val="0"/>
                      <w:sz w:val="21"/>
                      <w:szCs w:val="21"/>
                      <w:lang w:val="zh-CN"/>
                    </w:rPr>
                    <w:t>-N）</w:t>
                  </w:r>
                </w:p>
              </w:tc>
              <w:tc>
                <w:tcPr>
                  <w:tcW w:w="229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pacing w:val="0"/>
                      <w:sz w:val="21"/>
                      <w:szCs w:val="21"/>
                    </w:rPr>
                  </w:pPr>
                  <w:r>
                    <w:rPr>
                      <w:rFonts w:hint="default" w:ascii="Times New Roman" w:hAnsi="Times New Roman" w:cs="Times New Roman"/>
                      <w:color w:val="auto"/>
                      <w:spacing w:val="0"/>
                      <w:sz w:val="21"/>
                      <w:szCs w:val="21"/>
                      <w:lang w:val="zh-CN"/>
                    </w:rPr>
                    <w:t>≤</w:t>
                  </w:r>
                  <w:r>
                    <w:rPr>
                      <w:rFonts w:hint="default" w:ascii="Times New Roman" w:hAnsi="Times New Roman" w:cs="Times New Roman"/>
                      <w:color w:val="auto"/>
                      <w:spacing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70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pacing w:val="0"/>
                      <w:sz w:val="21"/>
                      <w:szCs w:val="21"/>
                      <w:lang w:val="zh-CN"/>
                    </w:rPr>
                  </w:pPr>
                  <w:r>
                    <w:rPr>
                      <w:rFonts w:hint="default" w:ascii="Times New Roman" w:hAnsi="Times New Roman" w:cs="Times New Roman"/>
                      <w:color w:val="auto"/>
                      <w:spacing w:val="0"/>
                      <w:sz w:val="21"/>
                      <w:szCs w:val="21"/>
                      <w:lang w:val="zh-CN"/>
                    </w:rPr>
                    <w:t>氟化物</w:t>
                  </w:r>
                </w:p>
              </w:tc>
              <w:tc>
                <w:tcPr>
                  <w:tcW w:w="229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pacing w:val="0"/>
                      <w:sz w:val="21"/>
                      <w:szCs w:val="21"/>
                      <w:lang w:val="zh-CN"/>
                    </w:rPr>
                  </w:pPr>
                  <w:r>
                    <w:rPr>
                      <w:rFonts w:hint="default" w:ascii="Times New Roman" w:hAnsi="Times New Roman" w:cs="Times New Roman"/>
                      <w:color w:val="auto"/>
                      <w:spacing w:val="0"/>
                      <w:sz w:val="21"/>
                      <w:szCs w:val="21"/>
                      <w:lang w:val="zh-CN"/>
                    </w:rPr>
                    <w:t>≤</w:t>
                  </w:r>
                  <w:r>
                    <w:rPr>
                      <w:rFonts w:hint="default" w:ascii="Times New Roman" w:hAnsi="Times New Roman" w:cs="Times New Roman"/>
                      <w:color w:val="auto"/>
                      <w:spacing w:val="0"/>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70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pacing w:val="0"/>
                      <w:sz w:val="21"/>
                      <w:szCs w:val="21"/>
                      <w:lang w:val="zh-CN"/>
                    </w:rPr>
                  </w:pPr>
                  <w:r>
                    <w:rPr>
                      <w:rFonts w:hint="default" w:ascii="Times New Roman" w:hAnsi="Times New Roman" w:cs="Times New Roman"/>
                      <w:color w:val="auto"/>
                      <w:spacing w:val="0"/>
                      <w:sz w:val="21"/>
                      <w:szCs w:val="21"/>
                      <w:lang w:val="zh-CN"/>
                    </w:rPr>
                    <w:t>总氮（以N计）</w:t>
                  </w:r>
                </w:p>
              </w:tc>
              <w:tc>
                <w:tcPr>
                  <w:tcW w:w="229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pacing w:val="0"/>
                      <w:sz w:val="21"/>
                      <w:szCs w:val="21"/>
                      <w:lang w:val="zh-CN"/>
                    </w:rPr>
                  </w:pPr>
                  <w:r>
                    <w:rPr>
                      <w:rFonts w:hint="default" w:ascii="Times New Roman" w:hAnsi="Times New Roman" w:cs="Times New Roman"/>
                      <w:color w:val="auto"/>
                      <w:spacing w:val="0"/>
                      <w:sz w:val="21"/>
                      <w:szCs w:val="21"/>
                      <w:lang w:val="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70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pacing w:val="0"/>
                      <w:sz w:val="21"/>
                      <w:szCs w:val="21"/>
                      <w:lang w:val="zh-CN"/>
                    </w:rPr>
                  </w:pPr>
                  <w:r>
                    <w:rPr>
                      <w:rFonts w:hint="default" w:ascii="Times New Roman" w:hAnsi="Times New Roman" w:cs="Times New Roman"/>
                      <w:color w:val="auto"/>
                      <w:spacing w:val="0"/>
                      <w:sz w:val="21"/>
                      <w:szCs w:val="21"/>
                      <w:lang w:val="zh-CN"/>
                    </w:rPr>
                    <w:t>总磷（以P计）</w:t>
                  </w:r>
                </w:p>
              </w:tc>
              <w:tc>
                <w:tcPr>
                  <w:tcW w:w="2291" w:type="pct"/>
                  <w:noWrap w:val="0"/>
                  <w:vAlign w:val="center"/>
                </w:tcPr>
                <w:p>
                  <w:pPr>
                    <w:pStyle w:val="257"/>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jc w:val="center"/>
                    <w:textAlignment w:val="baseline"/>
                    <w:rPr>
                      <w:rFonts w:hint="default" w:ascii="Times New Roman" w:hAnsi="Times New Roman" w:eastAsia="宋体" w:cs="Times New Roman"/>
                      <w:color w:val="auto"/>
                      <w:spacing w:val="0"/>
                      <w:sz w:val="21"/>
                      <w:szCs w:val="21"/>
                      <w:lang w:val="zh-CN" w:eastAsia="zh-CN"/>
                    </w:rPr>
                  </w:pPr>
                  <w:r>
                    <w:rPr>
                      <w:rFonts w:hint="default" w:ascii="Times New Roman" w:hAnsi="Times New Roman" w:cs="Times New Roman"/>
                      <w:color w:val="auto"/>
                      <w:spacing w:val="0"/>
                      <w:sz w:val="21"/>
                      <w:szCs w:val="21"/>
                      <w:lang w:val="zh-CN"/>
                    </w:rPr>
                    <w:t>≤0.</w:t>
                  </w:r>
                  <w:r>
                    <w:rPr>
                      <w:rFonts w:hint="default" w:ascii="Times New Roman" w:hAnsi="Times New Roman" w:cs="Times New Roman"/>
                      <w:color w:val="auto"/>
                      <w:spacing w:val="0"/>
                      <w:sz w:val="21"/>
                      <w:szCs w:val="21"/>
                      <w:lang w:val="en-US" w:eastAsia="zh-CN"/>
                    </w:rPr>
                    <w:t>2</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pacing w:val="0"/>
                      <w:sz w:val="21"/>
                      <w:szCs w:val="21"/>
                      <w:lang w:val="zh-CN"/>
                    </w:rPr>
                  </w:pPr>
                  <w:r>
                    <w:rPr>
                      <w:rFonts w:hint="default" w:ascii="Times New Roman" w:hAnsi="Times New Roman" w:cs="Times New Roman"/>
                      <w:color w:val="auto"/>
                      <w:spacing w:val="0"/>
                      <w:sz w:val="21"/>
                      <w:szCs w:val="21"/>
                      <w:lang w:val="zh-CN"/>
                    </w:rPr>
                    <w:t>（湖、库0.0</w:t>
                  </w:r>
                  <w:r>
                    <w:rPr>
                      <w:rFonts w:hint="default" w:ascii="Times New Roman" w:hAnsi="Times New Roman" w:cs="Times New Roman"/>
                      <w:color w:val="auto"/>
                      <w:spacing w:val="0"/>
                      <w:sz w:val="21"/>
                      <w:szCs w:val="21"/>
                      <w:lang w:val="en-US" w:eastAsia="zh-CN"/>
                    </w:rPr>
                    <w:t>05</w:t>
                  </w:r>
                  <w:r>
                    <w:rPr>
                      <w:rFonts w:hint="default" w:ascii="Times New Roman" w:hAnsi="Times New Roman" w:cs="Times New Roman"/>
                      <w:color w:val="auto"/>
                      <w:spacing w:val="0"/>
                      <w:sz w:val="21"/>
                      <w:szCs w:val="21"/>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70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pacing w:val="0"/>
                      <w:sz w:val="21"/>
                      <w:szCs w:val="21"/>
                      <w:lang w:val="zh-CN"/>
                    </w:rPr>
                  </w:pPr>
                  <w:r>
                    <w:rPr>
                      <w:rFonts w:hint="default" w:ascii="Times New Roman" w:hAnsi="Times New Roman" w:cs="Times New Roman"/>
                      <w:color w:val="auto"/>
                      <w:spacing w:val="0"/>
                      <w:sz w:val="21"/>
                      <w:szCs w:val="21"/>
                      <w:lang w:val="zh-CN"/>
                    </w:rPr>
                    <w:t>氰化物</w:t>
                  </w:r>
                </w:p>
              </w:tc>
              <w:tc>
                <w:tcPr>
                  <w:tcW w:w="229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sz w:val="21"/>
                      <w:szCs w:val="21"/>
                      <w:lang w:val="zh-CN" w:eastAsia="zh-CN"/>
                    </w:rPr>
                  </w:pPr>
                  <w:r>
                    <w:rPr>
                      <w:rFonts w:hint="default" w:ascii="Times New Roman" w:hAnsi="Times New Roman" w:cs="Times New Roman"/>
                      <w:color w:val="auto"/>
                      <w:spacing w:val="0"/>
                      <w:sz w:val="21"/>
                      <w:szCs w:val="21"/>
                      <w:lang w:val="zh-CN"/>
                    </w:rPr>
                    <w:t>≤0.</w:t>
                  </w:r>
                  <w:r>
                    <w:rPr>
                      <w:rFonts w:hint="default" w:ascii="Times New Roman" w:hAnsi="Times New Roman" w:cs="Times New Roman"/>
                      <w:color w:val="auto"/>
                      <w:spacing w:val="0"/>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70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pacing w:val="0"/>
                      <w:sz w:val="21"/>
                      <w:szCs w:val="21"/>
                      <w:lang w:val="zh-CN"/>
                    </w:rPr>
                  </w:pPr>
                  <w:r>
                    <w:rPr>
                      <w:rFonts w:hint="default" w:ascii="Times New Roman" w:hAnsi="Times New Roman" w:cs="Times New Roman"/>
                      <w:color w:val="auto"/>
                      <w:spacing w:val="0"/>
                      <w:sz w:val="21"/>
                      <w:szCs w:val="21"/>
                      <w:lang w:val="zh-CN"/>
                    </w:rPr>
                    <w:t>挥发酚</w:t>
                  </w:r>
                </w:p>
              </w:tc>
              <w:tc>
                <w:tcPr>
                  <w:tcW w:w="229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sz w:val="21"/>
                      <w:szCs w:val="21"/>
                      <w:lang w:val="en-US" w:eastAsia="zh-CN"/>
                    </w:rPr>
                  </w:pPr>
                  <w:r>
                    <w:rPr>
                      <w:rFonts w:hint="default" w:ascii="Times New Roman" w:hAnsi="Times New Roman" w:cs="Times New Roman"/>
                      <w:color w:val="auto"/>
                      <w:spacing w:val="0"/>
                      <w:sz w:val="21"/>
                      <w:szCs w:val="21"/>
                      <w:lang w:val="zh-CN"/>
                    </w:rPr>
                    <w:t>≤0.00</w:t>
                  </w:r>
                  <w:r>
                    <w:rPr>
                      <w:rFonts w:hint="default" w:ascii="Times New Roman" w:hAnsi="Times New Roman" w:cs="Times New Roman"/>
                      <w:color w:val="auto"/>
                      <w:spacing w:val="0"/>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70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pacing w:val="0"/>
                      <w:sz w:val="21"/>
                      <w:szCs w:val="21"/>
                      <w:lang w:val="zh-CN"/>
                    </w:rPr>
                  </w:pPr>
                  <w:r>
                    <w:rPr>
                      <w:rFonts w:hint="default" w:ascii="Times New Roman" w:hAnsi="Times New Roman" w:cs="Times New Roman"/>
                      <w:color w:val="auto"/>
                      <w:spacing w:val="0"/>
                      <w:sz w:val="21"/>
                      <w:szCs w:val="21"/>
                      <w:lang w:val="zh-CN"/>
                    </w:rPr>
                    <w:t>石油类</w:t>
                  </w:r>
                </w:p>
              </w:tc>
              <w:tc>
                <w:tcPr>
                  <w:tcW w:w="229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pacing w:val="0"/>
                      <w:sz w:val="21"/>
                      <w:szCs w:val="21"/>
                      <w:lang w:val="zh-CN"/>
                    </w:rPr>
                  </w:pPr>
                  <w:r>
                    <w:rPr>
                      <w:rFonts w:hint="default" w:ascii="Times New Roman" w:hAnsi="Times New Roman" w:cs="Times New Roman"/>
                      <w:color w:val="auto"/>
                      <w:spacing w:val="0"/>
                      <w:sz w:val="21"/>
                      <w:szCs w:val="21"/>
                      <w:lang w:val="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70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pacing w:val="0"/>
                      <w:sz w:val="21"/>
                      <w:szCs w:val="21"/>
                      <w:lang w:val="zh-CN"/>
                    </w:rPr>
                  </w:pPr>
                  <w:r>
                    <w:rPr>
                      <w:rFonts w:hint="default" w:ascii="Times New Roman" w:hAnsi="Times New Roman" w:cs="Times New Roman"/>
                      <w:color w:val="auto"/>
                      <w:spacing w:val="0"/>
                      <w:sz w:val="21"/>
                      <w:szCs w:val="21"/>
                      <w:lang w:val="zh-CN"/>
                    </w:rPr>
                    <w:t>砷</w:t>
                  </w:r>
                </w:p>
              </w:tc>
              <w:tc>
                <w:tcPr>
                  <w:tcW w:w="229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pacing w:val="0"/>
                      <w:sz w:val="21"/>
                      <w:szCs w:val="21"/>
                      <w:lang w:val="zh-CN"/>
                    </w:rPr>
                  </w:pPr>
                  <w:r>
                    <w:rPr>
                      <w:rFonts w:hint="default" w:ascii="Times New Roman" w:hAnsi="Times New Roman" w:cs="Times New Roman"/>
                      <w:color w:val="auto"/>
                      <w:spacing w:val="0"/>
                      <w:sz w:val="21"/>
                      <w:szCs w:val="21"/>
                      <w:lang w:val="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70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pacing w:val="0"/>
                      <w:sz w:val="21"/>
                      <w:szCs w:val="21"/>
                      <w:lang w:val="zh-CN"/>
                    </w:rPr>
                  </w:pPr>
                  <w:r>
                    <w:rPr>
                      <w:rFonts w:hint="default" w:ascii="Times New Roman" w:hAnsi="Times New Roman" w:cs="Times New Roman"/>
                      <w:color w:val="auto"/>
                      <w:spacing w:val="0"/>
                      <w:sz w:val="21"/>
                      <w:szCs w:val="21"/>
                      <w:lang w:val="zh-CN"/>
                    </w:rPr>
                    <w:t>汞</w:t>
                  </w:r>
                </w:p>
              </w:tc>
              <w:tc>
                <w:tcPr>
                  <w:tcW w:w="229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sz w:val="21"/>
                      <w:szCs w:val="21"/>
                      <w:lang w:val="en-US" w:eastAsia="zh-CN"/>
                    </w:rPr>
                  </w:pPr>
                  <w:r>
                    <w:rPr>
                      <w:rFonts w:hint="default" w:ascii="Times New Roman" w:hAnsi="Times New Roman" w:cs="Times New Roman"/>
                      <w:color w:val="auto"/>
                      <w:spacing w:val="0"/>
                      <w:sz w:val="21"/>
                      <w:szCs w:val="21"/>
                      <w:lang w:val="zh-CN"/>
                    </w:rPr>
                    <w:t>≤0.000</w:t>
                  </w:r>
                  <w:r>
                    <w:rPr>
                      <w:rFonts w:hint="default" w:ascii="Times New Roman" w:hAnsi="Times New Roman" w:cs="Times New Roman"/>
                      <w:color w:val="auto"/>
                      <w:spacing w:val="0"/>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70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pacing w:val="0"/>
                      <w:sz w:val="21"/>
                      <w:szCs w:val="21"/>
                      <w:lang w:val="zh-CN"/>
                    </w:rPr>
                  </w:pPr>
                  <w:r>
                    <w:rPr>
                      <w:rFonts w:hint="default" w:ascii="Times New Roman" w:hAnsi="Times New Roman" w:cs="Times New Roman"/>
                      <w:color w:val="auto"/>
                      <w:spacing w:val="0"/>
                      <w:sz w:val="21"/>
                      <w:szCs w:val="21"/>
                      <w:lang w:val="zh-CN"/>
                    </w:rPr>
                    <w:t>六价铬</w:t>
                  </w:r>
                </w:p>
              </w:tc>
              <w:tc>
                <w:tcPr>
                  <w:tcW w:w="229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pacing w:val="0"/>
                      <w:sz w:val="21"/>
                      <w:szCs w:val="21"/>
                      <w:lang w:val="zh-CN"/>
                    </w:rPr>
                  </w:pPr>
                  <w:r>
                    <w:rPr>
                      <w:rFonts w:hint="default" w:ascii="Times New Roman" w:hAnsi="Times New Roman" w:cs="Times New Roman"/>
                      <w:color w:val="auto"/>
                      <w:spacing w:val="0"/>
                      <w:sz w:val="21"/>
                      <w:szCs w:val="21"/>
                      <w:lang w:val="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708"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pacing w:val="0"/>
                      <w:sz w:val="21"/>
                      <w:szCs w:val="21"/>
                      <w:lang w:val="zh-CN"/>
                    </w:rPr>
                  </w:pPr>
                  <w:r>
                    <w:rPr>
                      <w:rFonts w:hint="default" w:ascii="Times New Roman" w:hAnsi="Times New Roman" w:cs="Times New Roman"/>
                      <w:color w:val="auto"/>
                      <w:spacing w:val="0"/>
                      <w:sz w:val="21"/>
                      <w:szCs w:val="21"/>
                      <w:lang w:val="zh-CN"/>
                    </w:rPr>
                    <w:t>阴离子表面活性剂</w:t>
                  </w:r>
                </w:p>
              </w:tc>
              <w:tc>
                <w:tcPr>
                  <w:tcW w:w="229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pacing w:val="0"/>
                      <w:sz w:val="21"/>
                      <w:szCs w:val="21"/>
                      <w:lang w:val="zh-CN"/>
                    </w:rPr>
                  </w:pPr>
                  <w:r>
                    <w:rPr>
                      <w:rFonts w:hint="default" w:ascii="Times New Roman" w:hAnsi="Times New Roman" w:cs="Times New Roman"/>
                      <w:color w:val="auto"/>
                      <w:spacing w:val="0"/>
                      <w:sz w:val="21"/>
                      <w:szCs w:val="21"/>
                      <w:lang w:val="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708" w:type="pct"/>
                  <w:noWrap w:val="0"/>
                  <w:vAlign w:val="center"/>
                </w:tcPr>
                <w:p>
                  <w:pPr>
                    <w:pStyle w:val="257"/>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firstLine="0"/>
                    <w:jc w:val="center"/>
                    <w:textAlignment w:val="baseline"/>
                    <w:rPr>
                      <w:rFonts w:hint="default" w:ascii="Times New Roman" w:hAnsi="Times New Roman" w:cs="Times New Roman"/>
                      <w:color w:val="auto"/>
                      <w:spacing w:val="0"/>
                      <w:sz w:val="21"/>
                      <w:szCs w:val="21"/>
                      <w:lang w:val="zh-CN"/>
                    </w:rPr>
                  </w:pPr>
                  <w:r>
                    <w:rPr>
                      <w:rFonts w:hint="default" w:ascii="Times New Roman" w:hAnsi="Times New Roman" w:cs="Times New Roman"/>
                      <w:color w:val="auto"/>
                      <w:spacing w:val="0"/>
                      <w:sz w:val="21"/>
                      <w:szCs w:val="21"/>
                      <w:lang w:val="zh-CN"/>
                    </w:rPr>
                    <w:t>粪大肠菌群</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pacing w:val="0"/>
                      <w:sz w:val="21"/>
                      <w:szCs w:val="21"/>
                      <w:lang w:val="zh-CN"/>
                    </w:rPr>
                  </w:pPr>
                  <w:r>
                    <w:rPr>
                      <w:rFonts w:hint="default" w:ascii="Times New Roman" w:hAnsi="Times New Roman" w:cs="Times New Roman"/>
                      <w:color w:val="auto"/>
                      <w:spacing w:val="0"/>
                      <w:sz w:val="21"/>
                      <w:szCs w:val="21"/>
                      <w:lang w:val="zh-CN"/>
                    </w:rPr>
                    <w:t>（个/L）</w:t>
                  </w:r>
                </w:p>
              </w:tc>
              <w:tc>
                <w:tcPr>
                  <w:tcW w:w="2291"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pacing w:val="0"/>
                      <w:sz w:val="21"/>
                      <w:szCs w:val="21"/>
                      <w:lang w:val="zh-CN"/>
                    </w:rPr>
                  </w:pPr>
                  <w:r>
                    <w:rPr>
                      <w:rFonts w:hint="default" w:ascii="Times New Roman" w:hAnsi="Times New Roman" w:cs="Times New Roman"/>
                      <w:color w:val="auto"/>
                      <w:spacing w:val="0"/>
                      <w:sz w:val="21"/>
                      <w:szCs w:val="21"/>
                      <w:lang w:val="zh-CN"/>
                    </w:rPr>
                    <w:t>≤</w:t>
                  </w:r>
                  <w:r>
                    <w:rPr>
                      <w:rFonts w:hint="default" w:ascii="Times New Roman" w:hAnsi="Times New Roman" w:cs="Times New Roman"/>
                      <w:color w:val="auto"/>
                      <w:spacing w:val="0"/>
                      <w:sz w:val="21"/>
                      <w:szCs w:val="21"/>
                      <w:lang w:val="en-US" w:eastAsia="zh-CN"/>
                    </w:rPr>
                    <w:t>10</w:t>
                  </w:r>
                  <w:r>
                    <w:rPr>
                      <w:rFonts w:hint="default" w:ascii="Times New Roman" w:hAnsi="Times New Roman" w:cs="Times New Roman"/>
                      <w:color w:val="auto"/>
                      <w:spacing w:val="0"/>
                      <w:sz w:val="21"/>
                      <w:szCs w:val="21"/>
                      <w:lang w:val="zh-CN"/>
                    </w:rPr>
                    <w:t>000</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sz w:val="24"/>
              </w:rPr>
            </w:pPr>
            <w:r>
              <w:rPr>
                <w:rFonts w:hint="default" w:ascii="Times New Roman" w:hAnsi="Times New Roman" w:cs="Times New Roman"/>
                <w:sz w:val="24"/>
              </w:rPr>
              <w:t>（3）声环境质量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sz w:val="24"/>
              </w:rPr>
            </w:pPr>
            <w:r>
              <w:rPr>
                <w:rFonts w:hint="default" w:ascii="Times New Roman" w:hAnsi="Times New Roman" w:cs="Times New Roman"/>
                <w:sz w:val="24"/>
              </w:rPr>
              <w:t>执行《声环境质量标准》（GB3096-2008）2类标准，标准限值见下表3-</w:t>
            </w:r>
            <w:r>
              <w:rPr>
                <w:rFonts w:hint="eastAsia" w:ascii="Times New Roman" w:hAnsi="Times New Roman" w:cs="Times New Roman"/>
                <w:sz w:val="24"/>
                <w:lang w:val="en-US" w:eastAsia="zh-CN"/>
              </w:rPr>
              <w:t>7</w:t>
            </w:r>
            <w:r>
              <w:rPr>
                <w:rFonts w:hint="default" w:ascii="Times New Roman" w:hAnsi="Times New Roman" w:cs="Times New Roman"/>
                <w:sz w:val="24"/>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cs="Times New Roman"/>
              </w:rPr>
            </w:pPr>
            <w:r>
              <w:rPr>
                <w:rFonts w:hint="default" w:ascii="Times New Roman" w:hAnsi="Times New Roman" w:cs="Times New Roman"/>
                <w:b/>
                <w:bCs/>
                <w:szCs w:val="21"/>
              </w:rPr>
              <w:t>表3-</w:t>
            </w:r>
            <w:r>
              <w:rPr>
                <w:rFonts w:hint="eastAsia" w:ascii="Times New Roman" w:hAnsi="Times New Roman" w:cs="Times New Roman"/>
                <w:b/>
                <w:bCs/>
                <w:szCs w:val="21"/>
                <w:lang w:val="en-US" w:eastAsia="zh-CN"/>
              </w:rPr>
              <w:t>7</w:t>
            </w:r>
            <w:r>
              <w:rPr>
                <w:rFonts w:hint="default" w:ascii="Times New Roman" w:hAnsi="Times New Roman" w:cs="Times New Roman"/>
                <w:b/>
                <w:bCs/>
                <w:szCs w:val="21"/>
              </w:rPr>
              <w:t xml:space="preserve">  《声环境质量标准》（GB3096-2008）（摘录）  单位：dB（A）</w:t>
            </w:r>
          </w:p>
          <w:tbl>
            <w:tblPr>
              <w:tblStyle w:val="41"/>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2286"/>
              <w:gridCol w:w="2593"/>
              <w:gridCol w:w="294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 w:hRule="atLeast"/>
                <w:jc w:val="center"/>
              </w:trPr>
              <w:tc>
                <w:tcPr>
                  <w:tcW w:w="1460" w:type="pct"/>
                  <w:noWrap w:val="0"/>
                  <w:vAlign w:val="center"/>
                </w:tcPr>
                <w:p>
                  <w:pPr>
                    <w:pStyle w:val="94"/>
                    <w:tabs>
                      <w:tab w:val="left" w:pos="480"/>
                    </w:tabs>
                    <w:snapToGrid w:val="0"/>
                    <w:spacing w:after="0" w:line="240" w:lineRule="auto"/>
                    <w:ind w:left="0" w:firstLine="0"/>
                    <w:rPr>
                      <w:rFonts w:hint="default" w:ascii="Times New Roman" w:hAnsi="Times New Roman" w:eastAsia="宋体" w:cs="Times New Roman"/>
                      <w:b/>
                      <w:bCs/>
                      <w:color w:val="auto"/>
                      <w:spacing w:val="0"/>
                      <w:sz w:val="21"/>
                      <w:szCs w:val="21"/>
                    </w:rPr>
                  </w:pPr>
                  <w:r>
                    <w:rPr>
                      <w:rFonts w:hint="default" w:ascii="Times New Roman" w:hAnsi="Times New Roman" w:eastAsia="宋体" w:cs="Times New Roman"/>
                      <w:b/>
                      <w:bCs/>
                      <w:color w:val="auto"/>
                      <w:spacing w:val="0"/>
                      <w:sz w:val="21"/>
                      <w:szCs w:val="21"/>
                    </w:rPr>
                    <w:t>类别</w:t>
                  </w:r>
                </w:p>
              </w:tc>
              <w:tc>
                <w:tcPr>
                  <w:tcW w:w="1656" w:type="pct"/>
                  <w:noWrap w:val="0"/>
                  <w:vAlign w:val="center"/>
                </w:tcPr>
                <w:p>
                  <w:pPr>
                    <w:pStyle w:val="94"/>
                    <w:tabs>
                      <w:tab w:val="left" w:pos="480"/>
                    </w:tabs>
                    <w:snapToGrid w:val="0"/>
                    <w:spacing w:after="0" w:line="240" w:lineRule="auto"/>
                    <w:ind w:left="0" w:firstLine="0"/>
                    <w:rPr>
                      <w:rFonts w:hint="default" w:ascii="Times New Roman" w:hAnsi="Times New Roman" w:eastAsia="宋体" w:cs="Times New Roman"/>
                      <w:b/>
                      <w:bCs/>
                      <w:color w:val="auto"/>
                      <w:spacing w:val="0"/>
                      <w:sz w:val="21"/>
                      <w:szCs w:val="21"/>
                    </w:rPr>
                  </w:pPr>
                  <w:r>
                    <w:rPr>
                      <w:rFonts w:hint="default" w:ascii="Times New Roman" w:hAnsi="Times New Roman" w:eastAsia="宋体" w:cs="Times New Roman"/>
                      <w:b/>
                      <w:bCs/>
                      <w:color w:val="auto"/>
                      <w:spacing w:val="0"/>
                      <w:sz w:val="21"/>
                      <w:szCs w:val="21"/>
                    </w:rPr>
                    <w:t>昼间</w:t>
                  </w:r>
                </w:p>
              </w:tc>
              <w:tc>
                <w:tcPr>
                  <w:tcW w:w="1883" w:type="pct"/>
                  <w:noWrap w:val="0"/>
                  <w:vAlign w:val="center"/>
                </w:tcPr>
                <w:p>
                  <w:pPr>
                    <w:pStyle w:val="94"/>
                    <w:tabs>
                      <w:tab w:val="left" w:pos="480"/>
                    </w:tabs>
                    <w:snapToGrid w:val="0"/>
                    <w:spacing w:after="0" w:line="240" w:lineRule="auto"/>
                    <w:ind w:left="0" w:firstLine="0"/>
                    <w:rPr>
                      <w:rFonts w:hint="default" w:ascii="Times New Roman" w:hAnsi="Times New Roman" w:eastAsia="宋体" w:cs="Times New Roman"/>
                      <w:b/>
                      <w:bCs/>
                      <w:color w:val="auto"/>
                      <w:spacing w:val="0"/>
                      <w:sz w:val="21"/>
                      <w:szCs w:val="21"/>
                    </w:rPr>
                  </w:pPr>
                  <w:r>
                    <w:rPr>
                      <w:rFonts w:hint="default" w:ascii="Times New Roman" w:hAnsi="Times New Roman" w:eastAsia="宋体" w:cs="Times New Roman"/>
                      <w:b/>
                      <w:bCs/>
                      <w:color w:val="auto"/>
                      <w:spacing w:val="0"/>
                      <w:sz w:val="21"/>
                      <w:szCs w:val="21"/>
                    </w:rPr>
                    <w:t>夜间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 w:hRule="atLeast"/>
                <w:jc w:val="center"/>
              </w:trPr>
              <w:tc>
                <w:tcPr>
                  <w:tcW w:w="1460" w:type="pct"/>
                  <w:noWrap w:val="0"/>
                  <w:vAlign w:val="center"/>
                </w:tcPr>
                <w:p>
                  <w:pPr>
                    <w:pStyle w:val="94"/>
                    <w:tabs>
                      <w:tab w:val="left" w:pos="480"/>
                    </w:tabs>
                    <w:snapToGrid w:val="0"/>
                    <w:spacing w:after="0" w:line="240" w:lineRule="auto"/>
                    <w:ind w:left="0" w:firstLine="0"/>
                    <w:rPr>
                      <w:rFonts w:hint="default" w:ascii="Times New Roman" w:hAnsi="Times New Roman" w:eastAsia="宋体" w:cs="Times New Roman"/>
                      <w:b w:val="0"/>
                      <w:bCs/>
                      <w:color w:val="auto"/>
                      <w:spacing w:val="0"/>
                      <w:sz w:val="21"/>
                      <w:szCs w:val="21"/>
                    </w:rPr>
                  </w:pPr>
                  <w:r>
                    <w:rPr>
                      <w:rFonts w:hint="default" w:ascii="Times New Roman" w:hAnsi="Times New Roman" w:eastAsia="宋体" w:cs="Times New Roman"/>
                      <w:b w:val="0"/>
                      <w:bCs/>
                      <w:color w:val="auto"/>
                      <w:spacing w:val="0"/>
                      <w:sz w:val="21"/>
                      <w:szCs w:val="21"/>
                    </w:rPr>
                    <w:t>2类</w:t>
                  </w:r>
                </w:p>
              </w:tc>
              <w:tc>
                <w:tcPr>
                  <w:tcW w:w="1656" w:type="pct"/>
                  <w:noWrap w:val="0"/>
                  <w:vAlign w:val="center"/>
                </w:tcPr>
                <w:p>
                  <w:pPr>
                    <w:pStyle w:val="94"/>
                    <w:tabs>
                      <w:tab w:val="left" w:pos="480"/>
                    </w:tabs>
                    <w:snapToGrid w:val="0"/>
                    <w:spacing w:after="0" w:line="240" w:lineRule="auto"/>
                    <w:ind w:left="0" w:firstLine="0"/>
                    <w:rPr>
                      <w:rFonts w:hint="default" w:ascii="Times New Roman" w:hAnsi="Times New Roman" w:eastAsia="宋体" w:cs="Times New Roman"/>
                      <w:b w:val="0"/>
                      <w:bCs/>
                      <w:color w:val="auto"/>
                      <w:spacing w:val="0"/>
                      <w:sz w:val="21"/>
                      <w:szCs w:val="21"/>
                    </w:rPr>
                  </w:pPr>
                  <w:r>
                    <w:rPr>
                      <w:rFonts w:hint="default" w:ascii="Times New Roman" w:hAnsi="Times New Roman" w:eastAsia="宋体" w:cs="Times New Roman"/>
                      <w:b w:val="0"/>
                      <w:bCs/>
                      <w:color w:val="auto"/>
                      <w:spacing w:val="0"/>
                      <w:sz w:val="21"/>
                      <w:szCs w:val="21"/>
                    </w:rPr>
                    <w:t>60</w:t>
                  </w:r>
                </w:p>
              </w:tc>
              <w:tc>
                <w:tcPr>
                  <w:tcW w:w="1883" w:type="pct"/>
                  <w:noWrap w:val="0"/>
                  <w:vAlign w:val="center"/>
                </w:tcPr>
                <w:p>
                  <w:pPr>
                    <w:pStyle w:val="94"/>
                    <w:tabs>
                      <w:tab w:val="left" w:pos="480"/>
                    </w:tabs>
                    <w:snapToGrid w:val="0"/>
                    <w:spacing w:after="0" w:line="240" w:lineRule="auto"/>
                    <w:ind w:left="0" w:firstLine="0"/>
                    <w:rPr>
                      <w:rFonts w:hint="default" w:ascii="Times New Roman" w:hAnsi="Times New Roman" w:eastAsia="宋体" w:cs="Times New Roman"/>
                      <w:b w:val="0"/>
                      <w:bCs/>
                      <w:color w:val="auto"/>
                      <w:spacing w:val="0"/>
                      <w:sz w:val="21"/>
                      <w:szCs w:val="21"/>
                    </w:rPr>
                  </w:pPr>
                  <w:r>
                    <w:rPr>
                      <w:rFonts w:hint="default" w:ascii="Times New Roman" w:hAnsi="Times New Roman" w:eastAsia="宋体" w:cs="Times New Roman"/>
                      <w:b w:val="0"/>
                      <w:bCs/>
                      <w:color w:val="auto"/>
                      <w:spacing w:val="0"/>
                      <w:sz w:val="21"/>
                      <w:szCs w:val="21"/>
                    </w:rPr>
                    <w:t>50</w:t>
                  </w:r>
                </w:p>
              </w:tc>
            </w:tr>
          </w:tbl>
          <w:p>
            <w:pPr>
              <w:spacing w:line="360" w:lineRule="auto"/>
              <w:ind w:right="41" w:rightChars="17" w:firstLine="480" w:firstLineChars="200"/>
              <w:jc w:val="left"/>
              <w:rPr>
                <w:rFonts w:hint="default" w:ascii="Times New Roman" w:hAnsi="Times New Roman" w:cs="Times New Roman"/>
                <w:kern w:val="0"/>
                <w:sz w:val="24"/>
                <w:lang w:bidi="ar"/>
              </w:rPr>
            </w:pPr>
            <w:r>
              <w:rPr>
                <w:rFonts w:hint="default" w:ascii="Times New Roman" w:hAnsi="Times New Roman" w:cs="Times New Roman"/>
                <w:kern w:val="0"/>
                <w:sz w:val="24"/>
                <w:lang w:bidi="ar"/>
              </w:rPr>
              <w:t>（</w:t>
            </w:r>
            <w:r>
              <w:rPr>
                <w:rFonts w:hint="eastAsia" w:ascii="Times New Roman" w:hAnsi="Times New Roman" w:cs="Times New Roman"/>
                <w:kern w:val="0"/>
                <w:sz w:val="24"/>
                <w:lang w:val="en-US" w:eastAsia="zh-CN" w:bidi="ar"/>
              </w:rPr>
              <w:t>4</w:t>
            </w:r>
            <w:r>
              <w:rPr>
                <w:rFonts w:hint="default" w:ascii="Times New Roman" w:hAnsi="Times New Roman" w:cs="Times New Roman"/>
                <w:kern w:val="0"/>
                <w:sz w:val="24"/>
                <w:lang w:bidi="ar"/>
              </w:rPr>
              <w:t>）生态环境</w:t>
            </w:r>
          </w:p>
          <w:p>
            <w:pPr>
              <w:adjustRightInd w:val="0"/>
              <w:snapToGrid w:val="0"/>
              <w:spacing w:line="360" w:lineRule="auto"/>
              <w:ind w:firstLine="480" w:firstLineChars="200"/>
              <w:rPr>
                <w:rFonts w:hint="default" w:ascii="Times New Roman" w:hAnsi="Times New Roman" w:cs="Times New Roman"/>
                <w:kern w:val="0"/>
                <w:szCs w:val="21"/>
              </w:rPr>
            </w:pPr>
            <w:r>
              <w:rPr>
                <w:rFonts w:hint="default" w:ascii="Times New Roman" w:hAnsi="Times New Roman" w:cs="Times New Roman"/>
                <w:kern w:val="0"/>
                <w:sz w:val="24"/>
                <w:lang w:bidi="ar"/>
              </w:rPr>
              <w:t>以不减少区域内濒危珍稀动植物和不破坏当地生态系统完整性为标准。</w:t>
            </w:r>
          </w:p>
          <w:p>
            <w:pPr>
              <w:adjustRightInd w:val="0"/>
              <w:snapToGrid w:val="0"/>
              <w:spacing w:line="360" w:lineRule="auto"/>
              <w:ind w:firstLine="482" w:firstLineChars="200"/>
              <w:rPr>
                <w:rFonts w:hint="default" w:ascii="Times New Roman" w:hAnsi="Times New Roman" w:cs="Times New Roman"/>
                <w:b/>
                <w:bCs/>
                <w:kern w:val="0"/>
                <w:sz w:val="24"/>
              </w:rPr>
            </w:pPr>
            <w:r>
              <w:rPr>
                <w:rFonts w:hint="default" w:ascii="Times New Roman" w:hAnsi="Times New Roman" w:cs="Times New Roman"/>
                <w:b/>
                <w:bCs/>
                <w:kern w:val="0"/>
                <w:sz w:val="24"/>
              </w:rPr>
              <w:t>2、</w:t>
            </w:r>
            <w:r>
              <w:rPr>
                <w:rFonts w:hint="default" w:ascii="Times New Roman" w:hAnsi="Times New Roman" w:cs="Times New Roman"/>
                <w:b/>
                <w:bCs/>
                <w:sz w:val="24"/>
              </w:rPr>
              <w:t>污染物</w:t>
            </w:r>
            <w:r>
              <w:rPr>
                <w:rFonts w:hint="default" w:ascii="Times New Roman" w:hAnsi="Times New Roman" w:cs="Times New Roman"/>
                <w:b/>
                <w:bCs/>
                <w:kern w:val="0"/>
                <w:sz w:val="24"/>
              </w:rPr>
              <w:t>排放标准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sz w:val="24"/>
              </w:rPr>
            </w:pPr>
            <w:r>
              <w:rPr>
                <w:rFonts w:hint="default" w:ascii="Times New Roman" w:hAnsi="Times New Roman" w:cs="Times New Roman"/>
                <w:sz w:val="24"/>
              </w:rPr>
              <w:t>（1）废气排放标准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sz w:val="24"/>
              </w:rPr>
            </w:pPr>
            <w:r>
              <w:rPr>
                <w:rFonts w:hint="default" w:ascii="Times New Roman" w:hAnsi="Times New Roman" w:cs="Times New Roman"/>
                <w:sz w:val="24"/>
              </w:rPr>
              <w:t>本项目施工期废气排放执行《四川省施工场地扬尘排放标准》（DB51/2682-2020）中规定的各施工阶段的废气限值标准。具体标准值见表3-</w:t>
            </w:r>
            <w:r>
              <w:rPr>
                <w:rFonts w:hint="eastAsia" w:ascii="Times New Roman" w:hAnsi="Times New Roman" w:cs="Times New Roman"/>
                <w:sz w:val="24"/>
                <w:lang w:val="en-US" w:eastAsia="zh-CN"/>
              </w:rPr>
              <w:t>9</w:t>
            </w:r>
            <w:r>
              <w:rPr>
                <w:rFonts w:hint="default" w:ascii="Times New Roman" w:hAnsi="Times New Roman" w:cs="Times New Roman"/>
                <w:sz w:val="24"/>
              </w:rPr>
              <w:t>。</w:t>
            </w:r>
          </w:p>
          <w:p>
            <w:pPr>
              <w:pStyle w:val="40"/>
              <w:keepNext w:val="0"/>
              <w:keepLines w:val="0"/>
              <w:pageBreakBefore w:val="0"/>
              <w:widowControl w:val="0"/>
              <w:tabs>
                <w:tab w:val="left" w:pos="420"/>
                <w:tab w:val="left" w:pos="870"/>
                <w:tab w:val="left" w:pos="3150"/>
              </w:tabs>
              <w:kinsoku/>
              <w:wordWrap/>
              <w:overflowPunct/>
              <w:topLinePunct w:val="0"/>
              <w:bidi w:val="0"/>
              <w:spacing w:after="0" w:line="240" w:lineRule="auto"/>
              <w:ind w:left="0" w:leftChars="0" w:firstLine="0" w:firstLineChars="0"/>
              <w:jc w:val="center"/>
              <w:rPr>
                <w:rFonts w:hint="default" w:ascii="Times New Roman" w:hAnsi="Times New Roman" w:cs="Times New Roman"/>
                <w:b/>
                <w:bCs/>
                <w:sz w:val="18"/>
                <w:szCs w:val="21"/>
              </w:rPr>
            </w:pPr>
            <w:r>
              <w:rPr>
                <w:rFonts w:hint="default" w:ascii="Times New Roman" w:hAnsi="Times New Roman" w:cs="Times New Roman"/>
                <w:b/>
                <w:bCs/>
                <w:szCs w:val="21"/>
              </w:rPr>
              <w:t>表3-</w:t>
            </w:r>
            <w:r>
              <w:rPr>
                <w:rFonts w:hint="eastAsia" w:ascii="Times New Roman" w:hAnsi="Times New Roman" w:cs="Times New Roman"/>
                <w:b/>
                <w:bCs/>
                <w:szCs w:val="21"/>
                <w:lang w:val="en-US" w:eastAsia="zh-CN"/>
              </w:rPr>
              <w:t>9</w:t>
            </w:r>
            <w:r>
              <w:rPr>
                <w:rFonts w:hint="default" w:ascii="Times New Roman" w:hAnsi="Times New Roman" w:cs="Times New Roman"/>
                <w:b/>
                <w:bCs/>
                <w:szCs w:val="21"/>
              </w:rPr>
              <w:t xml:space="preserve">  四川省施工场地扬尘排放标准  单位：μg/m</w:t>
            </w:r>
            <w:r>
              <w:rPr>
                <w:rFonts w:hint="default" w:ascii="Times New Roman" w:hAnsi="Times New Roman" w:cs="Times New Roman"/>
                <w:b/>
                <w:bCs/>
                <w:szCs w:val="21"/>
                <w:vertAlign w:val="superscript"/>
              </w:rPr>
              <w:t>3</w:t>
            </w:r>
          </w:p>
          <w:tbl>
            <w:tblPr>
              <w:tblStyle w:val="252"/>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22"/>
              <w:gridCol w:w="2318"/>
              <w:gridCol w:w="2561"/>
              <w:gridCol w:w="184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715"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21"/>
                      <w:szCs w:val="21"/>
                    </w:rPr>
                  </w:pPr>
                  <w:r>
                    <w:rPr>
                      <w:rFonts w:ascii="宋体" w:hAnsi="宋体" w:eastAsia="宋体" w:cs="宋体"/>
                      <w:spacing w:val="7"/>
                      <w:sz w:val="21"/>
                      <w:szCs w:val="21"/>
                    </w:rPr>
                    <w:t>监测项目</w:t>
                  </w:r>
                </w:p>
              </w:tc>
              <w:tc>
                <w:tcPr>
                  <w:tcW w:w="1477"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21"/>
                      <w:szCs w:val="21"/>
                    </w:rPr>
                  </w:pPr>
                  <w:r>
                    <w:rPr>
                      <w:rFonts w:ascii="宋体" w:hAnsi="宋体" w:eastAsia="宋体" w:cs="宋体"/>
                      <w:spacing w:val="9"/>
                      <w:sz w:val="21"/>
                      <w:szCs w:val="21"/>
                    </w:rPr>
                    <w:t>施</w:t>
                  </w:r>
                  <w:r>
                    <w:rPr>
                      <w:rFonts w:ascii="宋体" w:hAnsi="宋体" w:eastAsia="宋体" w:cs="宋体"/>
                      <w:spacing w:val="7"/>
                      <w:sz w:val="21"/>
                      <w:szCs w:val="21"/>
                    </w:rPr>
                    <w:t>工阶段</w:t>
                  </w:r>
                </w:p>
              </w:tc>
              <w:tc>
                <w:tcPr>
                  <w:tcW w:w="1632"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21"/>
                      <w:szCs w:val="21"/>
                    </w:rPr>
                  </w:pPr>
                  <w:r>
                    <w:rPr>
                      <w:rFonts w:ascii="宋体" w:hAnsi="宋体" w:eastAsia="宋体" w:cs="宋体"/>
                      <w:spacing w:val="12"/>
                      <w:position w:val="2"/>
                      <w:sz w:val="21"/>
                      <w:szCs w:val="21"/>
                    </w:rPr>
                    <w:t>监</w:t>
                  </w:r>
                  <w:r>
                    <w:rPr>
                      <w:rFonts w:ascii="宋体" w:hAnsi="宋体" w:eastAsia="宋体" w:cs="宋体"/>
                      <w:spacing w:val="7"/>
                      <w:position w:val="2"/>
                      <w:sz w:val="21"/>
                      <w:szCs w:val="21"/>
                    </w:rPr>
                    <w:t>测</w:t>
                  </w:r>
                  <w:r>
                    <w:rPr>
                      <w:rFonts w:ascii="宋体" w:hAnsi="宋体" w:eastAsia="宋体" w:cs="宋体"/>
                      <w:spacing w:val="6"/>
                      <w:position w:val="2"/>
                      <w:sz w:val="21"/>
                      <w:szCs w:val="21"/>
                    </w:rPr>
                    <w:t>点排放限值 (</w:t>
                  </w:r>
                  <w:r>
                    <w:rPr>
                      <w:rFonts w:ascii="Times New Roman" w:hAnsi="Times New Roman" w:eastAsia="Times New Roman" w:cs="Times New Roman"/>
                      <w:spacing w:val="6"/>
                      <w:position w:val="2"/>
                      <w:sz w:val="21"/>
                      <w:szCs w:val="21"/>
                    </w:rPr>
                    <w:t>μ</w:t>
                  </w:r>
                  <w:r>
                    <w:rPr>
                      <w:rFonts w:ascii="Times New Roman" w:hAnsi="Times New Roman" w:eastAsia="Times New Roman" w:cs="Times New Roman"/>
                      <w:position w:val="2"/>
                      <w:sz w:val="21"/>
                      <w:szCs w:val="21"/>
                    </w:rPr>
                    <w:t>g</w:t>
                  </w:r>
                  <w:r>
                    <w:rPr>
                      <w:rFonts w:ascii="Times New Roman" w:hAnsi="Times New Roman" w:eastAsia="Times New Roman" w:cs="Times New Roman"/>
                      <w:spacing w:val="6"/>
                      <w:position w:val="2"/>
                      <w:sz w:val="21"/>
                      <w:szCs w:val="21"/>
                    </w:rPr>
                    <w:t>/</w:t>
                  </w:r>
                  <w:r>
                    <w:rPr>
                      <w:rFonts w:ascii="Times New Roman" w:hAnsi="Times New Roman" w:eastAsia="Times New Roman" w:cs="Times New Roman"/>
                      <w:position w:val="2"/>
                      <w:sz w:val="21"/>
                      <w:szCs w:val="21"/>
                    </w:rPr>
                    <w:t>m</w:t>
                  </w:r>
                  <w:r>
                    <w:rPr>
                      <w:rFonts w:ascii="Times New Roman" w:hAnsi="Times New Roman" w:eastAsia="Times New Roman" w:cs="Times New Roman"/>
                      <w:spacing w:val="6"/>
                      <w:position w:val="8"/>
                      <w:sz w:val="21"/>
                      <w:szCs w:val="21"/>
                    </w:rPr>
                    <w:t xml:space="preserve">3 </w:t>
                  </w:r>
                  <w:r>
                    <w:rPr>
                      <w:rFonts w:ascii="宋体" w:hAnsi="宋体" w:eastAsia="宋体" w:cs="宋体"/>
                      <w:spacing w:val="6"/>
                      <w:position w:val="2"/>
                      <w:sz w:val="21"/>
                      <w:szCs w:val="21"/>
                    </w:rPr>
                    <w:t>)</w:t>
                  </w:r>
                </w:p>
              </w:tc>
              <w:tc>
                <w:tcPr>
                  <w:tcW w:w="1174"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21"/>
                      <w:szCs w:val="21"/>
                    </w:rPr>
                  </w:pPr>
                  <w:r>
                    <w:rPr>
                      <w:rFonts w:ascii="宋体" w:hAnsi="宋体" w:eastAsia="宋体" w:cs="宋体"/>
                      <w:spacing w:val="7"/>
                      <w:sz w:val="21"/>
                      <w:szCs w:val="21"/>
                    </w:rPr>
                    <w:t>监测时间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715" w:type="pct"/>
                  <w:vMerge w:val="restar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21"/>
                      <w:szCs w:val="21"/>
                    </w:rPr>
                  </w:pPr>
                  <w:r>
                    <w:rPr>
                      <w:rFonts w:ascii="宋体" w:hAnsi="宋体" w:eastAsia="宋体" w:cs="宋体"/>
                      <w:spacing w:val="9"/>
                      <w:sz w:val="21"/>
                      <w:szCs w:val="21"/>
                    </w:rPr>
                    <w:t>总</w:t>
                  </w:r>
                  <w:r>
                    <w:rPr>
                      <w:rFonts w:ascii="宋体" w:hAnsi="宋体" w:eastAsia="宋体" w:cs="宋体"/>
                      <w:spacing w:val="6"/>
                      <w:sz w:val="21"/>
                      <w:szCs w:val="21"/>
                    </w:rPr>
                    <w:t>悬浮颗</w:t>
                  </w: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21"/>
                      <w:szCs w:val="21"/>
                    </w:rPr>
                  </w:pPr>
                  <w:r>
                    <w:rPr>
                      <w:rFonts w:ascii="宋体" w:hAnsi="宋体" w:eastAsia="宋体" w:cs="宋体"/>
                      <w:spacing w:val="5"/>
                      <w:sz w:val="21"/>
                      <w:szCs w:val="21"/>
                    </w:rPr>
                    <w:t>粒</w:t>
                  </w:r>
                  <w:r>
                    <w:rPr>
                      <w:rFonts w:ascii="宋体" w:hAnsi="宋体" w:eastAsia="宋体" w:cs="宋体"/>
                      <w:spacing w:val="4"/>
                      <w:sz w:val="21"/>
                      <w:szCs w:val="21"/>
                    </w:rPr>
                    <w:t>物</w:t>
                  </w: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21"/>
                      <w:szCs w:val="21"/>
                    </w:rPr>
                  </w:pPr>
                  <w:r>
                    <w:rPr>
                      <w:rFonts w:ascii="宋体" w:hAnsi="宋体" w:eastAsia="宋体" w:cs="宋体"/>
                      <w:spacing w:val="53"/>
                      <w:sz w:val="21"/>
                      <w:szCs w:val="21"/>
                    </w:rPr>
                    <w:t>(</w:t>
                  </w:r>
                  <w:r>
                    <w:rPr>
                      <w:rFonts w:ascii="Times New Roman" w:hAnsi="Times New Roman" w:eastAsia="Times New Roman" w:cs="Times New Roman"/>
                      <w:sz w:val="21"/>
                      <w:szCs w:val="21"/>
                    </w:rPr>
                    <w:t>TSP</w:t>
                  </w:r>
                  <w:r>
                    <w:rPr>
                      <w:rFonts w:ascii="宋体" w:hAnsi="宋体" w:eastAsia="宋体" w:cs="宋体"/>
                      <w:spacing w:val="53"/>
                      <w:sz w:val="21"/>
                      <w:szCs w:val="21"/>
                    </w:rPr>
                    <w:t>)</w:t>
                  </w:r>
                </w:p>
              </w:tc>
              <w:tc>
                <w:tcPr>
                  <w:tcW w:w="1477"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21"/>
                      <w:szCs w:val="21"/>
                    </w:rPr>
                  </w:pPr>
                  <w:r>
                    <w:rPr>
                      <w:rFonts w:ascii="宋体" w:hAnsi="宋体" w:eastAsia="宋体" w:cs="宋体"/>
                      <w:spacing w:val="13"/>
                      <w:sz w:val="21"/>
                      <w:szCs w:val="21"/>
                    </w:rPr>
                    <w:t>拆</w:t>
                  </w:r>
                  <w:r>
                    <w:rPr>
                      <w:rFonts w:ascii="宋体" w:hAnsi="宋体" w:eastAsia="宋体" w:cs="宋体"/>
                      <w:spacing w:val="7"/>
                      <w:sz w:val="21"/>
                      <w:szCs w:val="21"/>
                    </w:rPr>
                    <w:t>除工程</w:t>
                  </w:r>
                  <w:r>
                    <w:rPr>
                      <w:rFonts w:ascii="Times New Roman" w:hAnsi="Times New Roman" w:eastAsia="Times New Roman" w:cs="Times New Roman"/>
                      <w:spacing w:val="7"/>
                      <w:sz w:val="21"/>
                      <w:szCs w:val="21"/>
                    </w:rPr>
                    <w:t>/</w:t>
                  </w:r>
                  <w:r>
                    <w:rPr>
                      <w:rFonts w:ascii="宋体" w:hAnsi="宋体" w:eastAsia="宋体" w:cs="宋体"/>
                      <w:spacing w:val="7"/>
                      <w:sz w:val="21"/>
                      <w:szCs w:val="21"/>
                    </w:rPr>
                    <w:t>土方开挖</w:t>
                  </w:r>
                  <w:r>
                    <w:rPr>
                      <w:rFonts w:ascii="Times New Roman" w:hAnsi="Times New Roman" w:eastAsia="Times New Roman" w:cs="Times New Roman"/>
                      <w:spacing w:val="7"/>
                      <w:sz w:val="21"/>
                      <w:szCs w:val="21"/>
                    </w:rPr>
                    <w:t>/</w:t>
                  </w:r>
                  <w:r>
                    <w:rPr>
                      <w:rFonts w:ascii="Times New Roman" w:hAnsi="Times New Roman" w:eastAsia="Times New Roman" w:cs="Times New Roman"/>
                      <w:sz w:val="21"/>
                      <w:szCs w:val="21"/>
                    </w:rPr>
                    <w:t xml:space="preserve"> </w:t>
                  </w:r>
                  <w:r>
                    <w:rPr>
                      <w:rFonts w:ascii="宋体" w:hAnsi="宋体" w:eastAsia="宋体" w:cs="宋体"/>
                      <w:spacing w:val="8"/>
                      <w:sz w:val="21"/>
                      <w:szCs w:val="21"/>
                    </w:rPr>
                    <w:t>土方回填阶段</w:t>
                  </w:r>
                </w:p>
              </w:tc>
              <w:tc>
                <w:tcPr>
                  <w:tcW w:w="1632"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600</w:t>
                  </w:r>
                </w:p>
              </w:tc>
              <w:tc>
                <w:tcPr>
                  <w:tcW w:w="1174" w:type="pct"/>
                  <w:vMerge w:val="restar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21"/>
                      <w:szCs w:val="21"/>
                    </w:rPr>
                  </w:pPr>
                  <w:r>
                    <w:rPr>
                      <w:rFonts w:ascii="宋体" w:hAnsi="宋体" w:eastAsia="宋体" w:cs="宋体"/>
                      <w:spacing w:val="4"/>
                      <w:sz w:val="21"/>
                      <w:szCs w:val="21"/>
                    </w:rPr>
                    <w:t>自</w:t>
                  </w:r>
                  <w:r>
                    <w:rPr>
                      <w:rFonts w:ascii="宋体" w:hAnsi="宋体" w:eastAsia="宋体" w:cs="宋体"/>
                      <w:spacing w:val="3"/>
                      <w:sz w:val="21"/>
                      <w:szCs w:val="21"/>
                    </w:rPr>
                    <w:t>监</w:t>
                  </w:r>
                  <w:r>
                    <w:rPr>
                      <w:rFonts w:ascii="宋体" w:hAnsi="宋体" w:eastAsia="宋体" w:cs="宋体"/>
                      <w:spacing w:val="2"/>
                      <w:sz w:val="21"/>
                      <w:szCs w:val="21"/>
                    </w:rPr>
                    <w:t>测起持续</w:t>
                  </w:r>
                  <w:r>
                    <w:rPr>
                      <w:rFonts w:ascii="宋体" w:hAnsi="宋体" w:eastAsia="宋体" w:cs="宋体"/>
                      <w:sz w:val="21"/>
                      <w:szCs w:val="21"/>
                    </w:rPr>
                    <w:t xml:space="preserve"> </w:t>
                  </w:r>
                  <w:r>
                    <w:rPr>
                      <w:rFonts w:ascii="Times New Roman" w:hAnsi="Times New Roman" w:eastAsia="Times New Roman" w:cs="Times New Roman"/>
                      <w:spacing w:val="1"/>
                      <w:sz w:val="21"/>
                      <w:szCs w:val="21"/>
                    </w:rPr>
                    <w:t xml:space="preserve">15 </w:t>
                  </w:r>
                  <w:r>
                    <w:rPr>
                      <w:rFonts w:ascii="宋体" w:hAnsi="宋体" w:eastAsia="宋体" w:cs="宋体"/>
                      <w:spacing w:val="1"/>
                      <w:sz w:val="21"/>
                      <w:szCs w:val="21"/>
                    </w:rPr>
                    <w:t>分</w:t>
                  </w:r>
                  <w:r>
                    <w:rPr>
                      <w:rFonts w:ascii="宋体" w:hAnsi="宋体" w:eastAsia="宋体" w:cs="宋体"/>
                      <w:sz w:val="21"/>
                      <w:szCs w:val="21"/>
                    </w:rPr>
                    <w:t>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715" w:type="pct"/>
                  <w:vMerge w:val="continue"/>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sz w:val="21"/>
                      <w:szCs w:val="21"/>
                    </w:rPr>
                  </w:pPr>
                </w:p>
              </w:tc>
              <w:tc>
                <w:tcPr>
                  <w:tcW w:w="1477"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宋体" w:hAnsi="宋体" w:eastAsia="宋体" w:cs="宋体"/>
                      <w:sz w:val="21"/>
                      <w:szCs w:val="21"/>
                    </w:rPr>
                  </w:pPr>
                  <w:r>
                    <w:rPr>
                      <w:rFonts w:ascii="宋体" w:hAnsi="宋体" w:eastAsia="宋体" w:cs="宋体"/>
                      <w:spacing w:val="8"/>
                      <w:sz w:val="21"/>
                      <w:szCs w:val="21"/>
                    </w:rPr>
                    <w:t>其他工程阶段</w:t>
                  </w:r>
                </w:p>
              </w:tc>
              <w:tc>
                <w:tcPr>
                  <w:tcW w:w="1632"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2</w:t>
                  </w:r>
                  <w:r>
                    <w:rPr>
                      <w:rFonts w:ascii="Times New Roman" w:hAnsi="Times New Roman" w:eastAsia="Times New Roman" w:cs="Times New Roman"/>
                      <w:spacing w:val="3"/>
                      <w:sz w:val="21"/>
                      <w:szCs w:val="21"/>
                    </w:rPr>
                    <w:t>50</w:t>
                  </w:r>
                </w:p>
              </w:tc>
              <w:tc>
                <w:tcPr>
                  <w:tcW w:w="1174" w:type="pct"/>
                  <w:vMerge w:val="continue"/>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ascii="Arial"/>
                      <w:sz w:val="21"/>
                      <w:szCs w:val="21"/>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2</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废水排放标准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rPr>
            </w:pPr>
            <w:r>
              <w:rPr>
                <w:rFonts w:hint="default" w:ascii="Times New Roman" w:hAnsi="Times New Roman" w:eastAsia="宋体" w:cs="Times New Roman"/>
                <w:sz w:val="24"/>
              </w:rPr>
              <w:t>施工期污水不外排，营运期无废水排放。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rPr>
            </w:pPr>
            <w:r>
              <w:rPr>
                <w:rFonts w:hint="default" w:ascii="Times New Roman" w:hAnsi="Times New Roman" w:eastAsia="宋体" w:cs="Times New Roman"/>
                <w:sz w:val="24"/>
              </w:rPr>
              <w:t>（3）噪声排放标准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sz w:val="24"/>
              </w:rPr>
            </w:pPr>
            <w:r>
              <w:rPr>
                <w:rFonts w:hint="default" w:ascii="Times New Roman" w:hAnsi="Times New Roman" w:eastAsia="宋体" w:cs="Times New Roman"/>
                <w:sz w:val="24"/>
              </w:rPr>
              <w:t>项目施工期执行《建筑施工场界环境</w:t>
            </w:r>
            <w:r>
              <w:rPr>
                <w:rFonts w:hint="default" w:ascii="Times New Roman" w:hAnsi="Times New Roman" w:cs="Times New Roman"/>
                <w:sz w:val="24"/>
              </w:rPr>
              <w:t>噪声排放标准》（GB12523-2011）标准。运行期执行《工业企业厂界环境噪声排放标准》（GB12348-2008）中</w:t>
            </w:r>
            <w:r>
              <w:rPr>
                <w:rFonts w:hint="eastAsia" w:ascii="Times New Roman" w:hAnsi="Times New Roman" w:cs="Times New Roman"/>
                <w:sz w:val="24"/>
                <w:lang w:val="en-US" w:eastAsia="zh-CN"/>
              </w:rPr>
              <w:t>2</w:t>
            </w:r>
            <w:r>
              <w:rPr>
                <w:rFonts w:hint="default" w:ascii="Times New Roman" w:hAnsi="Times New Roman" w:cs="Times New Roman"/>
                <w:sz w:val="24"/>
              </w:rPr>
              <w:t>类标准</w:t>
            </w:r>
            <w:r>
              <w:rPr>
                <w:rFonts w:hint="eastAsia" w:ascii="Times New Roman" w:hAnsi="Times New Roman" w:cs="Times New Roman"/>
                <w:sz w:val="24"/>
                <w:lang w:eastAsia="zh-CN"/>
              </w:rPr>
              <w:t>。</w:t>
            </w:r>
            <w:r>
              <w:rPr>
                <w:rFonts w:hint="default" w:ascii="Times New Roman" w:hAnsi="Times New Roman" w:cs="Times New Roman"/>
                <w:sz w:val="24"/>
              </w:rPr>
              <w:t>标准限值见下表3-</w:t>
            </w:r>
            <w:r>
              <w:rPr>
                <w:rFonts w:hint="eastAsia" w:ascii="Times New Roman" w:hAnsi="Times New Roman" w:cs="Times New Roman"/>
                <w:sz w:val="24"/>
                <w:lang w:val="en-US" w:eastAsia="zh-CN"/>
              </w:rPr>
              <w:t>10、3-11</w:t>
            </w:r>
            <w:r>
              <w:rPr>
                <w:rFonts w:hint="default" w:ascii="Times New Roman" w:hAnsi="Times New Roman" w:cs="Times New Roman"/>
                <w:sz w:val="24"/>
              </w:rPr>
              <w:t>。</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表3-</w:t>
            </w:r>
            <w:r>
              <w:rPr>
                <w:rFonts w:hint="eastAsia" w:ascii="Times New Roman" w:hAnsi="Times New Roman" w:eastAsia="宋体" w:cs="Times New Roman"/>
                <w:b/>
                <w:bCs/>
                <w:kern w:val="2"/>
                <w:sz w:val="21"/>
                <w:szCs w:val="21"/>
                <w:lang w:val="en-US" w:eastAsia="zh-CN" w:bidi="ar-SA"/>
              </w:rPr>
              <w:t>10</w:t>
            </w:r>
            <w:r>
              <w:rPr>
                <w:rFonts w:hint="default" w:ascii="Times New Roman" w:hAnsi="Times New Roman" w:eastAsia="宋体" w:cs="Times New Roman"/>
                <w:b/>
                <w:bCs/>
                <w:kern w:val="2"/>
                <w:sz w:val="21"/>
                <w:szCs w:val="21"/>
                <w:lang w:val="en-US" w:eastAsia="zh-CN" w:bidi="ar-SA"/>
              </w:rPr>
              <w:t xml:space="preserve">  建筑施工场界环境噪声排放标准  单位：dB（A）</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19"/>
              <w:gridCol w:w="3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21" w:type="dxa"/>
                  <w:noWrap w:val="0"/>
                  <w:vAlign w:val="center"/>
                </w:tcPr>
                <w:p>
                  <w:pPr>
                    <w:tabs>
                      <w:tab w:val="left" w:pos="2592"/>
                    </w:tabs>
                    <w:jc w:val="center"/>
                    <w:rPr>
                      <w:rFonts w:hint="default" w:ascii="Times New Roman" w:hAnsi="Times New Roman" w:cs="Times New Roman"/>
                      <w:b/>
                      <w:bCs/>
                      <w:szCs w:val="21"/>
                    </w:rPr>
                  </w:pPr>
                  <w:r>
                    <w:rPr>
                      <w:rFonts w:hint="default" w:ascii="Times New Roman" w:hAnsi="Times New Roman" w:cs="Times New Roman"/>
                      <w:b/>
                      <w:bCs/>
                      <w:szCs w:val="21"/>
                    </w:rPr>
                    <w:t>昼间</w:t>
                  </w:r>
                </w:p>
              </w:tc>
              <w:tc>
                <w:tcPr>
                  <w:tcW w:w="4524" w:type="dxa"/>
                  <w:noWrap w:val="0"/>
                  <w:vAlign w:val="center"/>
                </w:tcPr>
                <w:p>
                  <w:pPr>
                    <w:tabs>
                      <w:tab w:val="left" w:pos="2592"/>
                    </w:tabs>
                    <w:jc w:val="center"/>
                    <w:rPr>
                      <w:rFonts w:hint="default" w:ascii="Times New Roman" w:hAnsi="Times New Roman" w:cs="Times New Roman"/>
                      <w:b/>
                      <w:bCs/>
                      <w:szCs w:val="21"/>
                    </w:rPr>
                  </w:pPr>
                  <w:r>
                    <w:rPr>
                      <w:rFonts w:hint="default" w:ascii="Times New Roman" w:hAnsi="Times New Roman" w:cs="Times New Roman"/>
                      <w:b/>
                      <w:bCs/>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1" w:type="dxa"/>
                  <w:noWrap w:val="0"/>
                  <w:vAlign w:val="center"/>
                </w:tcPr>
                <w:p>
                  <w:pPr>
                    <w:tabs>
                      <w:tab w:val="left" w:pos="2592"/>
                    </w:tabs>
                    <w:jc w:val="center"/>
                    <w:rPr>
                      <w:rFonts w:hint="default" w:ascii="Times New Roman" w:hAnsi="Times New Roman" w:cs="Times New Roman"/>
                      <w:szCs w:val="21"/>
                    </w:rPr>
                  </w:pPr>
                  <w:r>
                    <w:rPr>
                      <w:rFonts w:hint="default" w:ascii="Times New Roman" w:hAnsi="Times New Roman" w:cs="Times New Roman"/>
                      <w:szCs w:val="21"/>
                    </w:rPr>
                    <w:t>70</w:t>
                  </w:r>
                </w:p>
              </w:tc>
              <w:tc>
                <w:tcPr>
                  <w:tcW w:w="4524" w:type="dxa"/>
                  <w:noWrap w:val="0"/>
                  <w:vAlign w:val="center"/>
                </w:tcPr>
                <w:p>
                  <w:pPr>
                    <w:tabs>
                      <w:tab w:val="left" w:pos="2592"/>
                    </w:tabs>
                    <w:jc w:val="center"/>
                    <w:rPr>
                      <w:rFonts w:hint="default" w:ascii="Times New Roman" w:hAnsi="Times New Roman" w:cs="Times New Roman"/>
                      <w:szCs w:val="21"/>
                    </w:rPr>
                  </w:pPr>
                  <w:r>
                    <w:rPr>
                      <w:rFonts w:hint="default" w:ascii="Times New Roman" w:hAnsi="Times New Roman" w:cs="Times New Roman"/>
                      <w:szCs w:val="21"/>
                    </w:rPr>
                    <w:t>55</w:t>
                  </w:r>
                </w:p>
              </w:tc>
            </w:tr>
          </w:tbl>
          <w:p>
            <w:pPr>
              <w:adjustRightInd w:val="0"/>
              <w:snapToGrid w:val="0"/>
              <w:spacing w:line="360" w:lineRule="auto"/>
              <w:jc w:val="center"/>
              <w:textAlignment w:val="baseline"/>
              <w:rPr>
                <w:rFonts w:hint="default" w:ascii="Times New Roman" w:hAnsi="Times New Roman" w:cs="Times New Roman"/>
                <w:b/>
                <w:bCs/>
                <w:szCs w:val="21"/>
              </w:rPr>
            </w:pPr>
          </w:p>
          <w:p>
            <w:pPr>
              <w:adjustRightInd w:val="0"/>
              <w:snapToGrid w:val="0"/>
              <w:spacing w:line="360" w:lineRule="auto"/>
              <w:jc w:val="center"/>
              <w:textAlignment w:val="baseline"/>
              <w:rPr>
                <w:rFonts w:hint="default" w:ascii="Times New Roman" w:hAnsi="Times New Roman" w:eastAsia="宋体" w:cs="Times New Roman"/>
                <w:b/>
                <w:bCs/>
                <w:szCs w:val="21"/>
                <w:lang w:eastAsia="zh-CN"/>
              </w:rPr>
            </w:pPr>
            <w:r>
              <w:rPr>
                <w:rFonts w:hint="default" w:ascii="Times New Roman" w:hAnsi="Times New Roman" w:cs="Times New Roman"/>
                <w:b/>
                <w:bCs/>
                <w:szCs w:val="21"/>
              </w:rPr>
              <w:t>表3-</w:t>
            </w:r>
            <w:r>
              <w:rPr>
                <w:rFonts w:hint="default" w:ascii="Times New Roman" w:hAnsi="Times New Roman" w:cs="Times New Roman"/>
                <w:b/>
                <w:bCs/>
                <w:szCs w:val="21"/>
                <w:lang w:val="en-US" w:eastAsia="zh-CN"/>
              </w:rPr>
              <w:t>1</w:t>
            </w:r>
            <w:r>
              <w:rPr>
                <w:rFonts w:hint="eastAsia" w:ascii="Times New Roman" w:hAnsi="Times New Roman" w:cs="Times New Roman"/>
                <w:b/>
                <w:bCs/>
                <w:szCs w:val="21"/>
                <w:lang w:val="en-US" w:eastAsia="zh-CN"/>
              </w:rPr>
              <w:t>1</w:t>
            </w:r>
            <w:r>
              <w:rPr>
                <w:rFonts w:hint="default" w:ascii="Times New Roman" w:hAnsi="Times New Roman" w:cs="Times New Roman"/>
                <w:b/>
                <w:bCs/>
                <w:szCs w:val="21"/>
              </w:rPr>
              <w:t xml:space="preserve">  工业企业厂界环境噪声排放标准  单位：dB</w:t>
            </w:r>
            <w:r>
              <w:rPr>
                <w:rFonts w:hint="default" w:ascii="Times New Roman" w:hAnsi="Times New Roman" w:cs="Times New Roman"/>
                <w:b/>
                <w:bCs/>
                <w:szCs w:val="21"/>
                <w:lang w:eastAsia="zh-CN"/>
              </w:rPr>
              <w:t>（</w:t>
            </w:r>
            <w:r>
              <w:rPr>
                <w:rFonts w:hint="default" w:ascii="Times New Roman" w:hAnsi="Times New Roman" w:cs="Times New Roman"/>
                <w:b/>
                <w:bCs/>
                <w:szCs w:val="21"/>
              </w:rPr>
              <w:t>A</w:t>
            </w:r>
            <w:r>
              <w:rPr>
                <w:rFonts w:hint="default" w:ascii="Times New Roman" w:hAnsi="Times New Roman" w:cs="Times New Roman"/>
                <w:b/>
                <w:bCs/>
                <w:szCs w:val="21"/>
                <w:lang w:eastAsia="zh-CN"/>
              </w:rPr>
              <w:t>）</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3"/>
              <w:gridCol w:w="2613"/>
              <w:gridCol w:w="2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24" w:type="dxa"/>
                  <w:noWrap w:val="0"/>
                  <w:vAlign w:val="center"/>
                </w:tcPr>
                <w:p>
                  <w:pPr>
                    <w:tabs>
                      <w:tab w:val="left" w:pos="2592"/>
                    </w:tabs>
                    <w:jc w:val="center"/>
                    <w:rPr>
                      <w:rFonts w:hint="default" w:ascii="Times New Roman" w:hAnsi="Times New Roman" w:eastAsia="宋体" w:cs="Times New Roman"/>
                      <w:b/>
                      <w:bCs/>
                      <w:szCs w:val="21"/>
                      <w:lang w:eastAsia="zh-CN"/>
                    </w:rPr>
                  </w:pPr>
                  <w:r>
                    <w:rPr>
                      <w:rFonts w:hint="default" w:ascii="Times New Roman" w:hAnsi="Times New Roman" w:cs="Times New Roman"/>
                      <w:b/>
                      <w:bCs/>
                      <w:szCs w:val="21"/>
                      <w:lang w:eastAsia="zh-CN"/>
                    </w:rPr>
                    <w:t>类别</w:t>
                  </w:r>
                </w:p>
              </w:tc>
              <w:tc>
                <w:tcPr>
                  <w:tcW w:w="2624" w:type="dxa"/>
                  <w:noWrap w:val="0"/>
                  <w:vAlign w:val="center"/>
                </w:tcPr>
                <w:p>
                  <w:pPr>
                    <w:tabs>
                      <w:tab w:val="left" w:pos="2592"/>
                    </w:tabs>
                    <w:jc w:val="center"/>
                    <w:rPr>
                      <w:rFonts w:hint="default" w:ascii="Times New Roman" w:hAnsi="Times New Roman" w:cs="Times New Roman"/>
                      <w:b/>
                      <w:bCs/>
                      <w:szCs w:val="21"/>
                    </w:rPr>
                  </w:pPr>
                  <w:r>
                    <w:rPr>
                      <w:rFonts w:hint="default" w:ascii="Times New Roman" w:hAnsi="Times New Roman" w:cs="Times New Roman"/>
                      <w:b/>
                      <w:bCs/>
                      <w:szCs w:val="21"/>
                    </w:rPr>
                    <w:t>昼间</w:t>
                  </w:r>
                </w:p>
              </w:tc>
              <w:tc>
                <w:tcPr>
                  <w:tcW w:w="2626" w:type="dxa"/>
                  <w:noWrap w:val="0"/>
                  <w:vAlign w:val="center"/>
                </w:tcPr>
                <w:p>
                  <w:pPr>
                    <w:tabs>
                      <w:tab w:val="left" w:pos="2592"/>
                    </w:tabs>
                    <w:jc w:val="center"/>
                    <w:rPr>
                      <w:rFonts w:hint="default" w:ascii="Times New Roman" w:hAnsi="Times New Roman" w:cs="Times New Roman"/>
                      <w:b/>
                      <w:bCs/>
                      <w:szCs w:val="21"/>
                    </w:rPr>
                  </w:pPr>
                  <w:r>
                    <w:rPr>
                      <w:rFonts w:hint="default" w:ascii="Times New Roman" w:hAnsi="Times New Roman" w:cs="Times New Roman"/>
                      <w:b/>
                      <w:bCs/>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24" w:type="dxa"/>
                  <w:noWrap w:val="0"/>
                  <w:vAlign w:val="center"/>
                </w:tcPr>
                <w:p>
                  <w:pPr>
                    <w:tabs>
                      <w:tab w:val="left" w:pos="2592"/>
                    </w:tabs>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2</w:t>
                  </w:r>
                  <w:r>
                    <w:rPr>
                      <w:rFonts w:hint="default" w:ascii="Times New Roman" w:hAnsi="Times New Roman" w:cs="Times New Roman"/>
                      <w:szCs w:val="21"/>
                      <w:lang w:val="en-US" w:eastAsia="zh-CN"/>
                    </w:rPr>
                    <w:t>类</w:t>
                  </w:r>
                </w:p>
              </w:tc>
              <w:tc>
                <w:tcPr>
                  <w:tcW w:w="2624" w:type="dxa"/>
                  <w:noWrap w:val="0"/>
                  <w:vAlign w:val="center"/>
                </w:tcPr>
                <w:p>
                  <w:pPr>
                    <w:tabs>
                      <w:tab w:val="left" w:pos="2592"/>
                    </w:tabs>
                    <w:jc w:val="center"/>
                    <w:rPr>
                      <w:rFonts w:hint="default" w:ascii="Times New Roman" w:hAnsi="Times New Roman" w:cs="Times New Roman"/>
                      <w:szCs w:val="21"/>
                    </w:rPr>
                  </w:pPr>
                  <w:r>
                    <w:rPr>
                      <w:rFonts w:hint="eastAsia" w:ascii="Times New Roman" w:hAnsi="Times New Roman" w:cs="Times New Roman"/>
                      <w:szCs w:val="21"/>
                      <w:lang w:val="en-US" w:eastAsia="zh-CN"/>
                    </w:rPr>
                    <w:t>6</w:t>
                  </w:r>
                  <w:r>
                    <w:rPr>
                      <w:rFonts w:hint="default" w:ascii="Times New Roman" w:hAnsi="Times New Roman" w:cs="Times New Roman"/>
                      <w:szCs w:val="21"/>
                    </w:rPr>
                    <w:t>0</w:t>
                  </w:r>
                </w:p>
              </w:tc>
              <w:tc>
                <w:tcPr>
                  <w:tcW w:w="2626" w:type="dxa"/>
                  <w:noWrap w:val="0"/>
                  <w:vAlign w:val="center"/>
                </w:tcPr>
                <w:p>
                  <w:pPr>
                    <w:tabs>
                      <w:tab w:val="left" w:pos="2592"/>
                    </w:tabs>
                    <w:jc w:val="center"/>
                    <w:rPr>
                      <w:rFonts w:hint="eastAsia" w:ascii="Times New Roman" w:hAnsi="Times New Roman" w:eastAsia="宋体" w:cs="Times New Roman"/>
                      <w:szCs w:val="21"/>
                      <w:lang w:eastAsia="zh-CN"/>
                    </w:rPr>
                  </w:pPr>
                  <w:r>
                    <w:rPr>
                      <w:rFonts w:hint="default" w:ascii="Times New Roman" w:hAnsi="Times New Roman" w:cs="Times New Roman"/>
                      <w:szCs w:val="21"/>
                    </w:rPr>
                    <w:t>5</w:t>
                  </w:r>
                  <w:r>
                    <w:rPr>
                      <w:rFonts w:hint="eastAsia" w:ascii="Times New Roman" w:hAnsi="Times New Roman" w:cs="Times New Roman"/>
                      <w:szCs w:val="21"/>
                      <w:lang w:val="en-US" w:eastAsia="zh-CN"/>
                    </w:rPr>
                    <w:t>0</w:t>
                  </w:r>
                </w:p>
              </w:tc>
            </w:tr>
          </w:tbl>
          <w:p>
            <w:pPr>
              <w:adjustRightInd w:val="0"/>
              <w:snapToGrid w:val="0"/>
              <w:spacing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（4）固废</w:t>
            </w:r>
          </w:p>
          <w:p>
            <w:pPr>
              <w:adjustRightInd w:val="0"/>
              <w:snapToGrid w:val="0"/>
              <w:spacing w:line="360" w:lineRule="auto"/>
              <w:ind w:firstLine="480" w:firstLineChars="200"/>
              <w:jc w:val="left"/>
              <w:rPr>
                <w:rFonts w:hint="default" w:ascii="Times New Roman" w:hAnsi="Times New Roman" w:eastAsia="宋体" w:cs="Times New Roman"/>
                <w:sz w:val="24"/>
                <w:lang w:val="en-US" w:eastAsia="zh-CN"/>
              </w:rPr>
            </w:pPr>
            <w:r>
              <w:rPr>
                <w:rFonts w:hint="default" w:ascii="Times New Roman" w:hAnsi="Times New Roman" w:eastAsia="宋体" w:cs="Times New Roman"/>
                <w:sz w:val="24"/>
              </w:rPr>
              <w:t>执行《一般工业固体废物贮存和填埋污染控制标准》（GB18599-2020）。危险废物执行《危险废物贮存污染物控制标准》（GB18597-2001）及修订单。</w:t>
            </w:r>
            <w:r>
              <w:rPr>
                <w:rFonts w:hint="default" w:ascii="Times New Roman" w:hAnsi="Times New Roman" w:eastAsia="宋体" w:cs="Times New Roman"/>
                <w:sz w:val="24"/>
                <w:lang w:val="en-US" w:eastAsia="zh-CN"/>
              </w:rPr>
              <w:t xml:space="preserve"> </w:t>
            </w:r>
          </w:p>
          <w:p>
            <w:pPr>
              <w:numPr>
                <w:ilvl w:val="0"/>
                <w:numId w:val="11"/>
              </w:numPr>
              <w:adjustRightInd w:val="0"/>
              <w:snapToGrid w:val="0"/>
              <w:spacing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生态环境</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FF"/>
                <w:kern w:val="0"/>
                <w:szCs w:val="21"/>
              </w:rPr>
            </w:pPr>
            <w:r>
              <w:rPr>
                <w:rFonts w:hint="default" w:ascii="Times New Roman" w:hAnsi="Times New Roman" w:eastAsia="宋体" w:cs="Times New Roman"/>
                <w:sz w:val="24"/>
              </w:rPr>
              <w:t>生态环境以不减少工程区域内动植物种类和不破坏生态系统完整性为目标。水土流失以加剧土壤侵蚀强度为标准，土壤侵蚀标准执行《土壤侵蚀分类分级标准》（SL190-2007）中相关限值。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91" w:hRule="atLeast"/>
          <w:jc w:val="center"/>
        </w:trPr>
        <w:tc>
          <w:tcPr>
            <w:tcW w:w="841"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kern w:val="0"/>
                <w:szCs w:val="21"/>
              </w:rPr>
            </w:pPr>
            <w:r>
              <w:rPr>
                <w:rFonts w:hint="default" w:ascii="Times New Roman" w:hAnsi="Times New Roman" w:cs="Times New Roman"/>
                <w:kern w:val="0"/>
                <w:szCs w:val="21"/>
              </w:rPr>
              <w:t>其他</w:t>
            </w:r>
          </w:p>
        </w:tc>
        <w:tc>
          <w:tcPr>
            <w:tcW w:w="766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0000FF"/>
                <w:kern w:val="0"/>
                <w:szCs w:val="21"/>
              </w:rPr>
            </w:pPr>
            <w:r>
              <w:rPr>
                <w:rFonts w:hint="default" w:ascii="Times New Roman" w:hAnsi="Times New Roman" w:cs="Times New Roman"/>
                <w:sz w:val="24"/>
              </w:rPr>
              <w:t>本项目属非污染类项目，不设置总量控制指标。</w:t>
            </w:r>
          </w:p>
        </w:tc>
      </w:tr>
    </w:tbl>
    <w:p>
      <w:pPr>
        <w:pStyle w:val="37"/>
        <w:keepNext w:val="0"/>
        <w:keepLines w:val="0"/>
        <w:pageBreakBefore w:val="0"/>
        <w:kinsoku/>
        <w:wordWrap/>
        <w:overflowPunct/>
        <w:topLinePunct w:val="0"/>
        <w:bidi w:val="0"/>
        <w:adjustRightInd w:val="0"/>
        <w:snapToGrid w:val="0"/>
        <w:spacing w:before="0" w:beforeAutospacing="0" w:after="0" w:afterAutospacing="0" w:line="14" w:lineRule="auto"/>
        <w:jc w:val="center"/>
        <w:textAlignment w:val="auto"/>
        <w:outlineLvl w:val="0"/>
        <w:rPr>
          <w:rFonts w:hint="default" w:ascii="Times New Roman" w:hAnsi="Times New Roman" w:eastAsia="黑体" w:cs="Times New Roman"/>
          <w:snapToGrid w:val="0"/>
          <w:kern w:val="2"/>
          <w:sz w:val="36"/>
          <w:szCs w:val="36"/>
        </w:rPr>
      </w:pPr>
    </w:p>
    <w:p>
      <w:pPr>
        <w:pStyle w:val="37"/>
        <w:keepNext w:val="0"/>
        <w:keepLines w:val="0"/>
        <w:pageBreakBefore w:val="0"/>
        <w:widowControl/>
        <w:kinsoku/>
        <w:wordWrap/>
        <w:overflowPunct/>
        <w:topLinePunct w:val="0"/>
        <w:autoSpaceDE/>
        <w:autoSpaceDN/>
        <w:bidi w:val="0"/>
        <w:adjustRightInd w:val="0"/>
        <w:snapToGrid w:val="0"/>
        <w:jc w:val="center"/>
        <w:textAlignment w:val="auto"/>
        <w:outlineLvl w:val="0"/>
        <w:rPr>
          <w:rFonts w:hint="default" w:ascii="Times New Roman" w:hAnsi="Times New Roman" w:eastAsia="黑体" w:cs="Times New Roman"/>
          <w:snapToGrid w:val="0"/>
          <w:sz w:val="30"/>
          <w:szCs w:val="30"/>
        </w:rPr>
      </w:pPr>
      <w:r>
        <w:rPr>
          <w:rFonts w:hint="default" w:ascii="Times New Roman" w:hAnsi="Times New Roman" w:eastAsia="黑体" w:cs="Times New Roman"/>
          <w:snapToGrid w:val="0"/>
          <w:kern w:val="2"/>
          <w:sz w:val="36"/>
          <w:szCs w:val="36"/>
        </w:rPr>
        <w:br w:type="page"/>
      </w:r>
      <w:r>
        <w:rPr>
          <w:rFonts w:hint="default" w:ascii="Times New Roman" w:hAnsi="Times New Roman" w:eastAsia="黑体" w:cs="Times New Roman"/>
          <w:snapToGrid w:val="0"/>
          <w:sz w:val="30"/>
          <w:szCs w:val="30"/>
        </w:rPr>
        <w:t>四、生态环境影响分析</w:t>
      </w:r>
    </w:p>
    <w:tbl>
      <w:tblPr>
        <w:tblStyle w:val="41"/>
        <w:tblW w:w="85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40"/>
        <w:gridCol w:w="756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40" w:type="dxa"/>
            <w:noWrap w:val="0"/>
            <w:tcMar>
              <w:left w:w="28" w:type="dxa"/>
              <w:right w:w="28" w:type="dxa"/>
            </w:tcMar>
            <w:vAlign w:val="center"/>
          </w:tcPr>
          <w:p>
            <w:pPr>
              <w:pStyle w:val="37"/>
              <w:keepNext w:val="0"/>
              <w:keepLines w:val="0"/>
              <w:pageBreakBefore w:val="0"/>
              <w:kinsoku/>
              <w:wordWrap/>
              <w:overflowPunct/>
              <w:topLinePunct w:val="0"/>
              <w:bidi w:val="0"/>
              <w:adjustRightInd w:val="0"/>
              <w:snapToGrid w:val="0"/>
              <w:spacing w:before="0" w:beforeAutospacing="0" w:after="0" w:afterAutospacing="0"/>
              <w:jc w:val="center"/>
              <w:textAlignment w:val="auto"/>
              <w:rPr>
                <w:rFonts w:hint="default" w:ascii="Times New Roman" w:hAnsi="Times New Roman" w:cs="Times New Roman"/>
                <w:bCs/>
                <w:kern w:val="2"/>
                <w:sz w:val="21"/>
                <w:szCs w:val="21"/>
              </w:rPr>
            </w:pPr>
            <w:r>
              <w:rPr>
                <w:rFonts w:hint="default" w:ascii="Times New Roman" w:hAnsi="Times New Roman" w:cs="Times New Roman"/>
                <w:bCs/>
                <w:spacing w:val="10"/>
                <w:kern w:val="2"/>
                <w:sz w:val="24"/>
                <w:szCs w:val="24"/>
              </w:rPr>
              <w:t>施工期生态环境影响分析</w:t>
            </w:r>
          </w:p>
        </w:tc>
        <w:tc>
          <w:tcPr>
            <w:tcW w:w="756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工程建设过程中，主体工程建设、</w:t>
            </w:r>
            <w:r>
              <w:rPr>
                <w:rFonts w:hint="eastAsia" w:ascii="Times New Roman" w:hAnsi="Times New Roman" w:cs="Times New Roman"/>
                <w:bCs/>
                <w:color w:val="auto"/>
                <w:sz w:val="24"/>
                <w:szCs w:val="24"/>
                <w:lang w:val="en-US" w:eastAsia="zh-CN"/>
              </w:rPr>
              <w:t>基础</w:t>
            </w:r>
            <w:r>
              <w:rPr>
                <w:rFonts w:hint="default" w:ascii="Times New Roman" w:hAnsi="Times New Roman" w:cs="Times New Roman"/>
                <w:bCs/>
                <w:color w:val="auto"/>
                <w:sz w:val="24"/>
                <w:szCs w:val="24"/>
              </w:rPr>
              <w:t>开挖等施工活动，需进行土石方开挖、混凝土浇筑、各种施工机械和运输车辆（船舶）的作业，以及人员日常生活活动等，将会带来不同程度的“三废一噪”影响，并产生新的水土流失，对生态环境造成破坏，并对环境质量、社会经济、人群健康等自然和社会环境产生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bCs/>
                <w:color w:val="auto"/>
                <w:szCs w:val="21"/>
              </w:rPr>
            </w:pPr>
            <w:r>
              <w:rPr>
                <w:rFonts w:hint="default" w:ascii="Times New Roman" w:hAnsi="Times New Roman" w:eastAsia="宋体" w:cs="Times New Roman"/>
                <w:b/>
                <w:bCs/>
                <w:color w:val="auto"/>
                <w:sz w:val="24"/>
                <w:szCs w:val="24"/>
              </w:rPr>
              <w:t>1、生态环境影响分析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（1）水土流失影响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本项目在基础开挖时，因改变表土结构，挖出的土石方因结构松散，如开挖期间遇暴雨，水土流失量将有所增大；在施工区域内，会因机具车辆碾压、施工人员的践踏和土石的堆放等因素会使土地原有植被受破坏，土壤裸露，极易被雨水冲刷，造成一定的水土流失。</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（2）植物、植被的影响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项目共设置</w:t>
            </w:r>
            <w:r>
              <w:rPr>
                <w:rFonts w:hint="eastAsia" w:ascii="Times New Roman" w:hAnsi="Times New Roman" w:cs="Times New Roman"/>
                <w:bCs/>
                <w:color w:val="auto"/>
                <w:sz w:val="24"/>
                <w:szCs w:val="24"/>
                <w:lang w:val="en-US" w:eastAsia="zh-CN"/>
              </w:rPr>
              <w:t>2</w:t>
            </w:r>
            <w:r>
              <w:rPr>
                <w:rFonts w:hint="default" w:ascii="Times New Roman" w:hAnsi="Times New Roman" w:cs="Times New Roman"/>
                <w:bCs/>
                <w:color w:val="auto"/>
                <w:sz w:val="24"/>
                <w:szCs w:val="24"/>
              </w:rPr>
              <w:t>个临时施工场地，施工场地</w:t>
            </w:r>
            <w:r>
              <w:rPr>
                <w:rFonts w:hint="default" w:ascii="Times New Roman" w:hAnsi="Times New Roman" w:cs="Times New Roman"/>
                <w:bCs/>
                <w:color w:val="auto"/>
                <w:sz w:val="24"/>
                <w:szCs w:val="24"/>
                <w:lang w:eastAsia="zh-CN"/>
              </w:rPr>
              <w:t>不涉及</w:t>
            </w:r>
            <w:r>
              <w:rPr>
                <w:rFonts w:hint="default" w:ascii="Times New Roman" w:hAnsi="Times New Roman" w:cs="Times New Roman"/>
                <w:bCs/>
                <w:color w:val="auto"/>
                <w:sz w:val="24"/>
                <w:szCs w:val="24"/>
              </w:rPr>
              <w:t>珍稀濒危动植物物种，无国家和地方重点保护野生动植物和地方特有野生动植物的生境或成片原生植被，不涉及省级及以上自然保护区或风景名胜区，施工期结束后通过迹地恢复，项目建设对生物量减少和物种的多样性减少无影响</w:t>
            </w: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不会造成植物、植被生物量的减少。</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（3）对野生动物的影响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施工队伍进驻施工场地带来的人类活动频繁，以及各类施工活动产生的噪声、扬尘、废气等，都将对施工区及其附近的野生动物产生惊吓，干扰，使之远离施工区域。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（4）对水生生物的影响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lang w:val="en-US" w:eastAsia="zh-CN"/>
              </w:rPr>
              <w:t>1</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对</w:t>
            </w:r>
            <w:r>
              <w:rPr>
                <w:rFonts w:hint="eastAsia" w:ascii="Times New Roman" w:hAnsi="Times New Roman" w:eastAsia="宋体" w:cs="Times New Roman"/>
                <w:bCs/>
                <w:color w:val="auto"/>
                <w:sz w:val="24"/>
                <w:szCs w:val="24"/>
                <w:lang w:val="en-US" w:eastAsia="zh-CN"/>
              </w:rPr>
              <w:t>水生植物</w:t>
            </w:r>
            <w:r>
              <w:rPr>
                <w:rFonts w:hint="default" w:ascii="Times New Roman" w:hAnsi="Times New Roman" w:eastAsia="宋体" w:cs="Times New Roman"/>
                <w:bCs/>
                <w:color w:val="auto"/>
                <w:sz w:val="24"/>
                <w:szCs w:val="24"/>
              </w:rPr>
              <w:t>的影响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本项目导流施工为局部施工而非全面铺开，且施工导流建筑的建设和拆除工期较短，导流施工在枯水期进行，因此水体浑浊度的增加仅限于局部地区的短时期内，这一不利影响将随施工导流建筑的建设和拆除结束而消失，同时项目严禁在施工期间向河道倾倒建筑垃圾、生活垃圾以及废弃土方，因此，本项目的实施对水生植物的影响较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2</w:t>
            </w:r>
            <w:r>
              <w:rPr>
                <w:rFonts w:hint="default" w:ascii="Times New Roman" w:hAnsi="Times New Roman" w:eastAsia="宋体" w:cs="Times New Roman"/>
                <w:bCs/>
                <w:color w:val="auto"/>
                <w:sz w:val="24"/>
                <w:szCs w:val="24"/>
                <w:lang w:val="en-US" w:eastAsia="zh-CN"/>
              </w:rPr>
              <w:t>）对</w:t>
            </w:r>
            <w:r>
              <w:rPr>
                <w:rFonts w:hint="eastAsia" w:ascii="Times New Roman" w:hAnsi="Times New Roman" w:eastAsia="宋体" w:cs="Times New Roman"/>
                <w:bCs/>
                <w:color w:val="auto"/>
                <w:sz w:val="24"/>
                <w:szCs w:val="24"/>
                <w:lang w:val="en-US" w:eastAsia="zh-CN"/>
              </w:rPr>
              <w:t>水生</w:t>
            </w:r>
            <w:r>
              <w:rPr>
                <w:rFonts w:hint="default" w:ascii="Times New Roman" w:hAnsi="Times New Roman" w:eastAsia="宋体" w:cs="Times New Roman"/>
                <w:bCs/>
                <w:color w:val="auto"/>
                <w:sz w:val="24"/>
                <w:szCs w:val="24"/>
                <w:lang w:val="en-US" w:eastAsia="zh-CN"/>
              </w:rPr>
              <w:t>动物的影响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本项目导流施工为局部施工而非全面铺开，且施工导流建筑的建设和拆除工期较短，因此水体浑浊度的增加仅限于局部地区的短时期内，这一不利影响将随施工导流建筑的建设和拆除结束而消失，待工程完工后，水生动物的资源将逐步恢复至施工前，同时项目严禁在施工期间向河道倾倒建筑垃圾、生活垃圾以及废弃土方，因此本项目的实施对水生动物的影响较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3</w:t>
            </w:r>
            <w:r>
              <w:rPr>
                <w:rFonts w:hint="default" w:ascii="Times New Roman" w:hAnsi="Times New Roman" w:eastAsia="宋体" w:cs="Times New Roman"/>
                <w:bCs/>
                <w:color w:val="auto"/>
                <w:sz w:val="24"/>
                <w:szCs w:val="24"/>
                <w:lang w:val="en-US" w:eastAsia="zh-CN"/>
              </w:rPr>
              <w:t>）对鱼类资源的影响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 xml:space="preserve">a对鱼类洄游通道的影响分析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 xml:space="preserve">安福堰综合整治工程，采用两期围堰导流的方式进行施工。一期导流围堰时段为第一年 </w:t>
            </w:r>
            <w:r>
              <w:rPr>
                <w:rFonts w:hint="default" w:ascii="Times New Roman" w:hAnsi="Times New Roman" w:eastAsia="宋体" w:cs="Times New Roman"/>
                <w:bCs/>
                <w:color w:val="auto"/>
                <w:sz w:val="24"/>
                <w:szCs w:val="24"/>
                <w:lang w:val="en-US" w:eastAsia="zh-CN"/>
              </w:rPr>
              <w:t xml:space="preserve">9 </w:t>
            </w:r>
            <w:r>
              <w:rPr>
                <w:rFonts w:hint="eastAsia" w:ascii="Times New Roman" w:hAnsi="Times New Roman" w:eastAsia="宋体" w:cs="Times New Roman"/>
                <w:bCs/>
                <w:color w:val="auto"/>
                <w:sz w:val="24"/>
                <w:szCs w:val="24"/>
                <w:lang w:val="en-US" w:eastAsia="zh-CN"/>
              </w:rPr>
              <w:t xml:space="preserve">月至 </w:t>
            </w:r>
            <w:r>
              <w:rPr>
                <w:rFonts w:hint="default" w:ascii="Times New Roman" w:hAnsi="Times New Roman" w:eastAsia="宋体" w:cs="Times New Roman"/>
                <w:bCs/>
                <w:color w:val="auto"/>
                <w:sz w:val="24"/>
                <w:szCs w:val="24"/>
                <w:lang w:val="en-US" w:eastAsia="zh-CN"/>
              </w:rPr>
              <w:t xml:space="preserve">11 </w:t>
            </w:r>
            <w:r>
              <w:rPr>
                <w:rFonts w:hint="eastAsia" w:ascii="Times New Roman" w:hAnsi="Times New Roman" w:eastAsia="宋体" w:cs="Times New Roman"/>
                <w:bCs/>
                <w:color w:val="auto"/>
                <w:sz w:val="24"/>
                <w:szCs w:val="24"/>
                <w:lang w:val="en-US" w:eastAsia="zh-CN"/>
              </w:rPr>
              <w:t xml:space="preserve">月底，先围安福堰右岸河段，左侧河道过流，二期导流围堰时段为 </w:t>
            </w:r>
            <w:r>
              <w:rPr>
                <w:rFonts w:hint="default" w:ascii="Times New Roman" w:hAnsi="Times New Roman" w:eastAsia="宋体" w:cs="Times New Roman"/>
                <w:bCs/>
                <w:color w:val="auto"/>
                <w:sz w:val="24"/>
                <w:szCs w:val="24"/>
                <w:lang w:val="en-US" w:eastAsia="zh-CN"/>
              </w:rPr>
              <w:t xml:space="preserve">11 </w:t>
            </w:r>
            <w:r>
              <w:rPr>
                <w:rFonts w:hint="eastAsia" w:ascii="Times New Roman" w:hAnsi="Times New Roman" w:eastAsia="宋体" w:cs="Times New Roman"/>
                <w:bCs/>
                <w:color w:val="auto"/>
                <w:sz w:val="24"/>
                <w:szCs w:val="24"/>
                <w:lang w:val="en-US" w:eastAsia="zh-CN"/>
              </w:rPr>
              <w:t xml:space="preserve">月至第二年 </w:t>
            </w:r>
            <w:r>
              <w:rPr>
                <w:rFonts w:hint="default" w:ascii="Times New Roman" w:hAnsi="Times New Roman" w:eastAsia="宋体" w:cs="Times New Roman"/>
                <w:bCs/>
                <w:color w:val="auto"/>
                <w:sz w:val="24"/>
                <w:szCs w:val="24"/>
                <w:lang w:val="en-US" w:eastAsia="zh-CN"/>
              </w:rPr>
              <w:t xml:space="preserve">3 </w:t>
            </w:r>
            <w:r>
              <w:rPr>
                <w:rFonts w:hint="eastAsia" w:ascii="Times New Roman" w:hAnsi="Times New Roman" w:eastAsia="宋体" w:cs="Times New Roman"/>
                <w:bCs/>
                <w:color w:val="auto"/>
                <w:sz w:val="24"/>
                <w:szCs w:val="24"/>
                <w:lang w:val="en-US" w:eastAsia="zh-CN"/>
              </w:rPr>
              <w:t xml:space="preserve">月，二期利用已建的气盾坝过流。尽管施工方法既考虑了鱼类生长繁殖所需要的生态流量，又考虑了拦河气盾坝和消能建筑工程施工易操作性，但施工围堰束窄了河流的过流断面，束窄率约 </w:t>
            </w:r>
            <w:r>
              <w:rPr>
                <w:rFonts w:hint="default" w:ascii="Times New Roman" w:hAnsi="Times New Roman" w:eastAsia="宋体" w:cs="Times New Roman"/>
                <w:bCs/>
                <w:color w:val="auto"/>
                <w:sz w:val="24"/>
                <w:szCs w:val="24"/>
                <w:lang w:val="en-US" w:eastAsia="zh-CN"/>
              </w:rPr>
              <w:t>50%</w:t>
            </w:r>
            <w:r>
              <w:rPr>
                <w:rFonts w:hint="eastAsia" w:ascii="Times New Roman" w:hAnsi="Times New Roman" w:eastAsia="宋体" w:cs="Times New Roman"/>
                <w:bCs/>
                <w:color w:val="auto"/>
                <w:sz w:val="24"/>
                <w:szCs w:val="24"/>
                <w:lang w:val="en-US" w:eastAsia="zh-CN"/>
              </w:rPr>
              <w:t xml:space="preserve">，虽没有完全阻断河道，但影响了鱼类的洄游通道。剩余工程施工过程，会使用到噪声和振动非常大的工 具，例如焊接切割钢条设备、运输车辆、施工机械的使用以及人员的活动等都会产生噪声和震动，对工程河段鱼类的洄游习性会产生不利影响。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 xml:space="preserve">b对鱼类“三场”的影响分析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 xml:space="preserve">项目施工期由于两期土石围堰，先后约 </w:t>
            </w:r>
            <w:r>
              <w:rPr>
                <w:rFonts w:hint="default" w:ascii="Times New Roman" w:hAnsi="Times New Roman" w:eastAsia="宋体" w:cs="Times New Roman"/>
                <w:bCs/>
                <w:color w:val="auto"/>
                <w:sz w:val="24"/>
                <w:szCs w:val="24"/>
                <w:lang w:val="en-US" w:eastAsia="zh-CN"/>
              </w:rPr>
              <w:t>2</w:t>
            </w:r>
            <w:r>
              <w:rPr>
                <w:rFonts w:hint="eastAsia" w:ascii="Times New Roman" w:hAnsi="Times New Roman" w:eastAsia="宋体" w:cs="Times New Roman"/>
                <w:bCs/>
                <w:color w:val="auto"/>
                <w:sz w:val="24"/>
                <w:szCs w:val="24"/>
                <w:lang w:val="en-US" w:eastAsia="zh-CN"/>
              </w:rPr>
              <w:t>～</w:t>
            </w:r>
            <w:r>
              <w:rPr>
                <w:rFonts w:hint="default" w:ascii="Times New Roman" w:hAnsi="Times New Roman" w:eastAsia="宋体" w:cs="Times New Roman"/>
                <w:bCs/>
                <w:color w:val="auto"/>
                <w:sz w:val="24"/>
                <w:szCs w:val="24"/>
                <w:lang w:val="en-US" w:eastAsia="zh-CN"/>
              </w:rPr>
              <w:t xml:space="preserve">3 </w:t>
            </w:r>
            <w:r>
              <w:rPr>
                <w:rFonts w:hint="eastAsia" w:ascii="Times New Roman" w:hAnsi="Times New Roman" w:eastAsia="宋体" w:cs="Times New Roman"/>
                <w:bCs/>
                <w:color w:val="auto"/>
                <w:sz w:val="24"/>
                <w:szCs w:val="24"/>
                <w:lang w:val="en-US" w:eastAsia="zh-CN"/>
              </w:rPr>
              <w:t xml:space="preserve">个月分别占用坝下游 </w:t>
            </w:r>
            <w:r>
              <w:rPr>
                <w:rFonts w:hint="default" w:ascii="Times New Roman" w:hAnsi="Times New Roman" w:eastAsia="宋体" w:cs="Times New Roman"/>
                <w:bCs/>
                <w:color w:val="auto"/>
                <w:sz w:val="24"/>
                <w:szCs w:val="24"/>
                <w:lang w:val="en-US" w:eastAsia="zh-CN"/>
              </w:rPr>
              <w:t xml:space="preserve">300m </w:t>
            </w:r>
            <w:r>
              <w:rPr>
                <w:rFonts w:hint="eastAsia" w:ascii="Times New Roman" w:hAnsi="Times New Roman" w:eastAsia="宋体" w:cs="Times New Roman"/>
                <w:bCs/>
                <w:color w:val="auto"/>
                <w:sz w:val="24"/>
                <w:szCs w:val="24"/>
                <w:lang w:val="en-US" w:eastAsia="zh-CN"/>
              </w:rPr>
              <w:t xml:space="preserve">左右岸河道，使坝下河段水动力过程发生了较大变化，流水生境减少，原安福堰坝下的流水石滩产卵场消失，生活在原坝下约 </w:t>
            </w:r>
            <w:r>
              <w:rPr>
                <w:rFonts w:hint="default" w:ascii="Times New Roman" w:hAnsi="Times New Roman" w:eastAsia="宋体" w:cs="Times New Roman"/>
                <w:bCs/>
                <w:color w:val="auto"/>
                <w:sz w:val="24"/>
                <w:szCs w:val="24"/>
                <w:lang w:val="en-US" w:eastAsia="zh-CN"/>
              </w:rPr>
              <w:t xml:space="preserve">300m </w:t>
            </w:r>
            <w:r>
              <w:rPr>
                <w:rFonts w:hint="eastAsia" w:ascii="Times New Roman" w:hAnsi="Times New Roman" w:eastAsia="宋体" w:cs="Times New Roman"/>
                <w:bCs/>
                <w:color w:val="auto"/>
                <w:sz w:val="24"/>
                <w:szCs w:val="24"/>
                <w:lang w:val="en-US" w:eastAsia="zh-CN"/>
              </w:rPr>
              <w:t xml:space="preserve">河段的喜流水、高氧耗鱼类生活环境和生存空间被压缩，但该工程河段坝下约 </w:t>
            </w:r>
            <w:r>
              <w:rPr>
                <w:rFonts w:hint="default" w:ascii="Times New Roman" w:hAnsi="Times New Roman" w:eastAsia="宋体" w:cs="Times New Roman"/>
                <w:bCs/>
                <w:color w:val="auto"/>
                <w:sz w:val="24"/>
                <w:szCs w:val="24"/>
                <w:lang w:val="en-US" w:eastAsia="zh-CN"/>
              </w:rPr>
              <w:t xml:space="preserve">1km </w:t>
            </w:r>
            <w:r>
              <w:rPr>
                <w:rFonts w:hint="eastAsia" w:ascii="Times New Roman" w:hAnsi="Times New Roman" w:eastAsia="宋体" w:cs="Times New Roman"/>
                <w:bCs/>
                <w:color w:val="auto"/>
                <w:sz w:val="24"/>
                <w:szCs w:val="24"/>
                <w:lang w:val="en-US" w:eastAsia="zh-CN"/>
              </w:rPr>
              <w:t>左右，还有较大的流水石滩产卵场的分布，在一定程度上可以弥补工程施工造成的流水生境减少带来的不利影响。护岸工程的施工对工程河段沿岸的水草型产卵场会造成破坏，但其工程上下游河段均有一定量的水草型产卵场分布，产粘性卵的鱼类会迁移到工程上下游河段沿岸水草产卵，不会对其生长繁殖产生大的不利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 xml:space="preserve">c对鱼类资源量的影响分析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 xml:space="preserve">安福堰综合整治工程剩余工程的施工，主要包括左岸拦河气盾坝的修建、消能建筑物布置、施工围堰拆除以及气盾坝的安装调试。施工过程，都会使用到噪声和振动非常大的工具，例如焊接切割钢条设备、运输车辆、施工机械的使用以及人员的活动等都会产生噪声和震动。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 xml:space="preserve">最新研究显示，一直被超负荷值的噪音影响的鱼类，其进食量比处在正常生长环境下的鱼类进食少，且对赖以生存的环境感到陌生，表现得极为紧张，缺乏归属感。实际生活中，由于鱼类长久生存在噪音的环境下，导致其对食物的摄取量减少，致使鱼类的生长速度降低，对成活率及对下一代的繁殖率都有影响。鱼类原本的生存环境被破坏，它们需要去到更远的去捕食，这对于食物链下游的鱼类是极大的考验，增加了其被食物链上游鱼类吃掉的危险，同时也限制了它们的活动范围与时间。这可能直接导致鱼的种类与数量的减少，生物量与密度降低。由于安福堰综合整治工程的施工时间较短且在冬季进行，工程河段多数鱼类已进入深水区越冬，所以工程施工人为活动、机械噪声对鱼类资源量的不利影响会减弱。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eastAsia="zh-CN"/>
              </w:rPr>
              <w:t>总之，施工作业会影响水质及浮游生物、底栖动物的数量，从而改变部分鱼类局部生境，进而对鱼类繁殖、觅食和栖息造成影响。但这种影响是暂时的，会随着施工结束而逐渐消失，对评价范围</w:t>
            </w:r>
            <w:r>
              <w:rPr>
                <w:rFonts w:hint="eastAsia" w:ascii="Times New Roman" w:hAnsi="Times New Roman" w:eastAsia="宋体" w:cs="Times New Roman"/>
                <w:bCs/>
                <w:color w:val="auto"/>
                <w:sz w:val="24"/>
                <w:szCs w:val="24"/>
                <w:lang w:val="en-US" w:eastAsia="zh-CN"/>
              </w:rPr>
              <w:t>河</w:t>
            </w:r>
            <w:r>
              <w:rPr>
                <w:rFonts w:hint="default" w:ascii="Times New Roman" w:hAnsi="Times New Roman" w:eastAsia="宋体" w:cs="Times New Roman"/>
                <w:bCs/>
                <w:color w:val="auto"/>
                <w:sz w:val="24"/>
                <w:szCs w:val="24"/>
                <w:lang w:eastAsia="zh-CN"/>
              </w:rPr>
              <w:t>段的鱼类影响总</w:t>
            </w:r>
            <w:r>
              <w:rPr>
                <w:rFonts w:hint="default" w:ascii="Times New Roman" w:hAnsi="Times New Roman" w:eastAsia="宋体" w:cs="Times New Roman"/>
                <w:bCs/>
                <w:color w:val="auto"/>
                <w:sz w:val="24"/>
                <w:szCs w:val="24"/>
                <w:lang w:val="en-US" w:eastAsia="zh-CN"/>
              </w:rPr>
              <w:t>体较小，且较为有限。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4</w:t>
            </w:r>
            <w:r>
              <w:rPr>
                <w:rFonts w:hint="default" w:ascii="Times New Roman" w:hAnsi="Times New Roman" w:eastAsia="宋体" w:cs="Times New Roman"/>
                <w:bCs/>
                <w:color w:val="auto"/>
                <w:sz w:val="24"/>
                <w:szCs w:val="24"/>
                <w:lang w:val="en-US" w:eastAsia="zh-CN"/>
              </w:rPr>
              <w:t>）对</w:t>
            </w:r>
            <w:r>
              <w:rPr>
                <w:rFonts w:hint="eastAsia" w:ascii="Times New Roman" w:hAnsi="Times New Roman" w:eastAsia="宋体" w:cs="Times New Roman"/>
                <w:bCs/>
                <w:color w:val="auto"/>
                <w:sz w:val="24"/>
                <w:szCs w:val="24"/>
                <w:lang w:val="en-US" w:eastAsia="zh-CN"/>
              </w:rPr>
              <w:t>水生生物</w:t>
            </w:r>
            <w:r>
              <w:rPr>
                <w:rFonts w:hint="default" w:ascii="Times New Roman" w:hAnsi="Times New Roman" w:eastAsia="宋体" w:cs="Times New Roman"/>
                <w:bCs/>
                <w:color w:val="auto"/>
                <w:sz w:val="24"/>
                <w:szCs w:val="24"/>
                <w:lang w:val="en-US" w:eastAsia="zh-CN"/>
              </w:rPr>
              <w:t>生境的影响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施工围堰的拆除对河段水生生物影响较为严重，导致河段内着生藻类和底栖动物种群密度和生物量较天然河道有所下降。施工围堰拆除后，水深变深，水体沉降和自净能力增强，底质中有害物质清除后，水质将会有一定程度的改善，对浮游动植物多样性的恢复有一定积极效果，同时对下游水生生态环境也有一定的改善作用。本项目施工河道较短，水生生物可迁移到河流上下游生存，由于施工期的影响是暂时的，在施工活动结束后，水生生物生境将逐步恢复，本项目施工对水生生物生境的影响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auto"/>
                <w:sz w:val="24"/>
                <w:szCs w:val="24"/>
                <w:lang w:val="en-US" w:eastAsia="zh-CN"/>
              </w:rPr>
            </w:pPr>
            <w:r>
              <w:rPr>
                <w:rFonts w:hint="eastAsia" w:ascii="Times New Roman" w:hAnsi="Times New Roman" w:cs="Times New Roman"/>
                <w:bCs/>
                <w:color w:val="auto"/>
                <w:sz w:val="24"/>
                <w:szCs w:val="24"/>
                <w:lang w:val="en-US" w:eastAsia="zh-CN"/>
              </w:rPr>
              <w:t>同时，建设单位应</w:t>
            </w:r>
            <w:r>
              <w:rPr>
                <w:rFonts w:hint="default" w:ascii="Times New Roman" w:hAnsi="Times New Roman" w:cs="Times New Roman"/>
                <w:bCs/>
                <w:color w:val="auto"/>
                <w:sz w:val="24"/>
                <w:szCs w:val="24"/>
                <w:lang w:val="en-US" w:eastAsia="zh-CN"/>
              </w:rPr>
              <w:t>合理安排施工计划、时间，工程需在枯水期进行施工，减少对水体的扰动，</w:t>
            </w:r>
            <w:r>
              <w:rPr>
                <w:rFonts w:hint="eastAsia" w:ascii="Times New Roman" w:hAnsi="Times New Roman" w:cs="Times New Roman"/>
                <w:bCs/>
                <w:color w:val="auto"/>
                <w:sz w:val="24"/>
                <w:szCs w:val="24"/>
                <w:lang w:val="en-US" w:eastAsia="zh-CN"/>
              </w:rPr>
              <w:t>采取</w:t>
            </w:r>
            <w:r>
              <w:rPr>
                <w:rFonts w:hint="default" w:ascii="Times New Roman" w:hAnsi="Times New Roman" w:cs="Times New Roman"/>
                <w:bCs/>
                <w:color w:val="auto"/>
                <w:sz w:val="24"/>
                <w:szCs w:val="24"/>
                <w:lang w:val="en-US" w:eastAsia="zh-CN"/>
              </w:rPr>
              <w:t>禁渔期停止</w:t>
            </w:r>
            <w:r>
              <w:rPr>
                <w:rFonts w:hint="eastAsia" w:ascii="Times New Roman" w:hAnsi="Times New Roman" w:cs="Times New Roman"/>
                <w:bCs/>
                <w:color w:val="auto"/>
                <w:sz w:val="24"/>
                <w:szCs w:val="24"/>
                <w:lang w:val="en-US" w:eastAsia="zh-CN"/>
              </w:rPr>
              <w:t>涉水</w:t>
            </w:r>
            <w:r>
              <w:rPr>
                <w:rFonts w:hint="default" w:ascii="Times New Roman" w:hAnsi="Times New Roman" w:cs="Times New Roman"/>
                <w:bCs/>
                <w:color w:val="auto"/>
                <w:sz w:val="24"/>
                <w:szCs w:val="24"/>
                <w:lang w:val="en-US" w:eastAsia="zh-CN"/>
              </w:rPr>
              <w:t>施工作业</w:t>
            </w:r>
            <w:r>
              <w:rPr>
                <w:rFonts w:hint="eastAsia" w:ascii="Times New Roman" w:hAnsi="Times New Roman" w:cs="Times New Roman"/>
                <w:bCs/>
                <w:color w:val="auto"/>
                <w:sz w:val="24"/>
                <w:szCs w:val="24"/>
                <w:lang w:val="en-US" w:eastAsia="zh-CN"/>
              </w:rPr>
              <w:t>等措施减少对鱼类影响。</w:t>
            </w:r>
          </w:p>
          <w:p>
            <w:pPr>
              <w:pStyle w:val="6"/>
              <w:keepNext w:val="0"/>
              <w:keepLines w:val="0"/>
              <w:pageBreakBefore w:val="0"/>
              <w:widowControl w:val="0"/>
              <w:numPr>
                <w:ilvl w:val="2"/>
                <w:numId w:val="0"/>
              </w:numPr>
              <w:kinsoku/>
              <w:wordWrap/>
              <w:overflowPunct/>
              <w:topLinePunct w:val="0"/>
              <w:autoSpaceDE w:val="0"/>
              <w:autoSpaceDN w:val="0"/>
              <w:bidi w:val="0"/>
              <w:adjustRightInd w:val="0"/>
              <w:snapToGrid w:val="0"/>
              <w:spacing w:before="0" w:after="0" w:line="360" w:lineRule="auto"/>
              <w:ind w:leftChars="0" w:firstLine="482" w:firstLineChars="200"/>
              <w:textAlignment w:val="baseline"/>
              <w:rPr>
                <w:rFonts w:hint="default" w:ascii="Times New Roman" w:hAnsi="Times New Roman" w:eastAsia="宋体" w:cs="Times New Roman"/>
                <w:b/>
                <w:bCs w:val="0"/>
                <w:color w:val="auto"/>
                <w:spacing w:val="0"/>
                <w:sz w:val="24"/>
                <w:szCs w:val="24"/>
              </w:rPr>
            </w:pPr>
            <w:r>
              <w:rPr>
                <w:rFonts w:hint="default" w:ascii="Times New Roman" w:hAnsi="Times New Roman" w:eastAsia="宋体" w:cs="Times New Roman"/>
                <w:b/>
                <w:bCs w:val="0"/>
                <w:color w:val="auto"/>
                <w:spacing w:val="0"/>
                <w:sz w:val="24"/>
                <w:szCs w:val="24"/>
                <w:lang w:val="en-US" w:eastAsia="zh-CN"/>
              </w:rPr>
              <w:t>2、</w:t>
            </w:r>
            <w:r>
              <w:rPr>
                <w:rFonts w:hint="default" w:ascii="Times New Roman" w:hAnsi="Times New Roman" w:eastAsia="宋体" w:cs="Times New Roman"/>
                <w:b/>
                <w:bCs w:val="0"/>
                <w:color w:val="auto"/>
                <w:spacing w:val="0"/>
                <w:sz w:val="24"/>
                <w:szCs w:val="24"/>
                <w:lang w:eastAsia="zh-CN"/>
              </w:rPr>
              <w:t>水文情势</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textAlignment w:val="auto"/>
              <w:rPr>
                <w:rFonts w:hint="default" w:ascii="Times New Roman" w:hAnsi="Times New Roman" w:eastAsia="宋体" w:cs="Times New Roman"/>
                <w:color w:val="auto"/>
                <w:spacing w:val="0"/>
                <w:sz w:val="24"/>
                <w:szCs w:val="24"/>
                <w:lang w:val="en-US" w:eastAsia="zh-CN"/>
              </w:rPr>
            </w:pPr>
            <w:r>
              <w:rPr>
                <w:rFonts w:hint="eastAsia" w:ascii="Times New Roman" w:hAnsi="Times New Roman" w:eastAsia="宋体" w:cs="Times New Roman"/>
                <w:color w:val="auto"/>
                <w:spacing w:val="0"/>
                <w:sz w:val="24"/>
                <w:szCs w:val="24"/>
                <w:lang w:val="en-US" w:eastAsia="zh-CN"/>
              </w:rPr>
              <w:t xml:space="preserve">安福堰综合整治工程施工期对水文情势的影响主要表现在施工临时围堰对工程河段的束窄影响，本工程施工围堰采用土石结构，安排在枯期第一年 </w:t>
            </w:r>
            <w:r>
              <w:rPr>
                <w:rFonts w:hint="default" w:ascii="Times New Roman" w:hAnsi="Times New Roman" w:eastAsia="宋体" w:cs="Times New Roman"/>
                <w:color w:val="auto"/>
                <w:spacing w:val="0"/>
                <w:sz w:val="24"/>
                <w:szCs w:val="24"/>
                <w:lang w:val="en-US" w:eastAsia="zh-CN"/>
              </w:rPr>
              <w:t xml:space="preserve">9 </w:t>
            </w:r>
            <w:r>
              <w:rPr>
                <w:rFonts w:hint="eastAsia" w:ascii="Times New Roman" w:hAnsi="Times New Roman" w:eastAsia="宋体" w:cs="Times New Roman"/>
                <w:color w:val="auto"/>
                <w:spacing w:val="0"/>
                <w:sz w:val="24"/>
                <w:szCs w:val="24"/>
                <w:lang w:val="en-US" w:eastAsia="zh-CN"/>
              </w:rPr>
              <w:t xml:space="preserve">月至第二年 </w:t>
            </w:r>
            <w:r>
              <w:rPr>
                <w:rFonts w:hint="default" w:ascii="Times New Roman" w:hAnsi="Times New Roman" w:eastAsia="宋体" w:cs="Times New Roman"/>
                <w:color w:val="auto"/>
                <w:spacing w:val="0"/>
                <w:sz w:val="24"/>
                <w:szCs w:val="24"/>
                <w:lang w:val="en-US" w:eastAsia="zh-CN"/>
              </w:rPr>
              <w:t xml:space="preserve">3 </w:t>
            </w:r>
            <w:r>
              <w:rPr>
                <w:rFonts w:hint="eastAsia" w:ascii="Times New Roman" w:hAnsi="Times New Roman" w:eastAsia="宋体" w:cs="Times New Roman"/>
                <w:color w:val="auto"/>
                <w:spacing w:val="0"/>
                <w:sz w:val="24"/>
                <w:szCs w:val="24"/>
                <w:lang w:val="en-US" w:eastAsia="zh-CN"/>
              </w:rPr>
              <w:t xml:space="preserve">月分两期施工，一期导流时段为第一年 </w:t>
            </w:r>
            <w:r>
              <w:rPr>
                <w:rFonts w:hint="default" w:ascii="Times New Roman" w:hAnsi="Times New Roman" w:eastAsia="宋体" w:cs="Times New Roman"/>
                <w:color w:val="auto"/>
                <w:spacing w:val="0"/>
                <w:sz w:val="24"/>
                <w:szCs w:val="24"/>
                <w:lang w:val="en-US" w:eastAsia="zh-CN"/>
              </w:rPr>
              <w:t xml:space="preserve">9 </w:t>
            </w:r>
            <w:r>
              <w:rPr>
                <w:rFonts w:hint="eastAsia" w:ascii="Times New Roman" w:hAnsi="Times New Roman" w:eastAsia="宋体" w:cs="Times New Roman"/>
                <w:color w:val="auto"/>
                <w:spacing w:val="0"/>
                <w:sz w:val="24"/>
                <w:szCs w:val="24"/>
                <w:lang w:val="en-US" w:eastAsia="zh-CN"/>
              </w:rPr>
              <w:t xml:space="preserve">月至 </w:t>
            </w:r>
            <w:r>
              <w:rPr>
                <w:rFonts w:hint="default" w:ascii="Times New Roman" w:hAnsi="Times New Roman" w:eastAsia="宋体" w:cs="Times New Roman"/>
                <w:color w:val="auto"/>
                <w:spacing w:val="0"/>
                <w:sz w:val="24"/>
                <w:szCs w:val="24"/>
                <w:lang w:val="en-US" w:eastAsia="zh-CN"/>
              </w:rPr>
              <w:t xml:space="preserve">11 </w:t>
            </w:r>
            <w:r>
              <w:rPr>
                <w:rFonts w:hint="eastAsia" w:ascii="Times New Roman" w:hAnsi="Times New Roman" w:eastAsia="宋体" w:cs="Times New Roman"/>
                <w:color w:val="auto"/>
                <w:spacing w:val="0"/>
                <w:sz w:val="24"/>
                <w:szCs w:val="24"/>
                <w:lang w:val="en-US" w:eastAsia="zh-CN"/>
              </w:rPr>
              <w:t xml:space="preserve">月，一期围堰围主体工程右岸，围堰长 </w:t>
            </w:r>
            <w:r>
              <w:rPr>
                <w:rFonts w:hint="default" w:ascii="Times New Roman" w:hAnsi="Times New Roman" w:eastAsia="宋体" w:cs="Times New Roman"/>
                <w:color w:val="auto"/>
                <w:spacing w:val="0"/>
                <w:sz w:val="24"/>
                <w:szCs w:val="24"/>
                <w:lang w:val="en-US" w:eastAsia="zh-CN"/>
              </w:rPr>
              <w:t>319.74m</w:t>
            </w:r>
            <w:r>
              <w:rPr>
                <w:rFonts w:hint="eastAsia" w:ascii="Times New Roman" w:hAnsi="Times New Roman" w:eastAsia="宋体" w:cs="Times New Roman"/>
                <w:color w:val="auto"/>
                <w:spacing w:val="0"/>
                <w:sz w:val="24"/>
                <w:szCs w:val="24"/>
                <w:lang w:val="en-US" w:eastAsia="zh-CN"/>
              </w:rPr>
              <w:t xml:space="preserve">，堰顶宽 </w:t>
            </w:r>
            <w:r>
              <w:rPr>
                <w:rFonts w:hint="default" w:ascii="Times New Roman" w:hAnsi="Times New Roman" w:eastAsia="宋体" w:cs="Times New Roman"/>
                <w:color w:val="auto"/>
                <w:spacing w:val="0"/>
                <w:sz w:val="24"/>
                <w:szCs w:val="24"/>
                <w:lang w:val="en-US" w:eastAsia="zh-CN"/>
              </w:rPr>
              <w:t>3m</w:t>
            </w:r>
            <w:r>
              <w:rPr>
                <w:rFonts w:hint="eastAsia" w:ascii="Times New Roman" w:hAnsi="Times New Roman" w:eastAsia="宋体" w:cs="Times New Roman"/>
                <w:color w:val="auto"/>
                <w:spacing w:val="0"/>
                <w:sz w:val="24"/>
                <w:szCs w:val="24"/>
                <w:lang w:val="en-US" w:eastAsia="zh-CN"/>
              </w:rPr>
              <w:t xml:space="preserve">，最大堰高 </w:t>
            </w:r>
            <w:r>
              <w:rPr>
                <w:rFonts w:hint="default" w:ascii="Times New Roman" w:hAnsi="Times New Roman" w:eastAsia="宋体" w:cs="Times New Roman"/>
                <w:color w:val="auto"/>
                <w:spacing w:val="0"/>
                <w:sz w:val="24"/>
                <w:szCs w:val="24"/>
                <w:lang w:val="en-US" w:eastAsia="zh-CN"/>
              </w:rPr>
              <w:t>2.5m</w:t>
            </w:r>
            <w:r>
              <w:rPr>
                <w:rFonts w:hint="eastAsia" w:ascii="Times New Roman" w:hAnsi="Times New Roman" w:eastAsia="宋体" w:cs="Times New Roman"/>
                <w:color w:val="auto"/>
                <w:spacing w:val="0"/>
                <w:sz w:val="24"/>
                <w:szCs w:val="24"/>
                <w:lang w:val="en-US" w:eastAsia="zh-CN"/>
              </w:rPr>
              <w:t xml:space="preserve">，堰顶高程 </w:t>
            </w:r>
            <w:r>
              <w:rPr>
                <w:rFonts w:hint="default" w:ascii="Times New Roman" w:hAnsi="Times New Roman" w:eastAsia="宋体" w:cs="Times New Roman"/>
                <w:color w:val="auto"/>
                <w:spacing w:val="0"/>
                <w:sz w:val="24"/>
                <w:szCs w:val="24"/>
                <w:lang w:val="en-US" w:eastAsia="zh-CN"/>
              </w:rPr>
              <w:t>370.90~369.80m</w:t>
            </w:r>
            <w:r>
              <w:rPr>
                <w:rFonts w:hint="eastAsia" w:ascii="Times New Roman" w:hAnsi="Times New Roman" w:eastAsia="宋体" w:cs="Times New Roman"/>
                <w:color w:val="auto"/>
                <w:spacing w:val="0"/>
                <w:sz w:val="24"/>
                <w:szCs w:val="24"/>
                <w:lang w:val="en-US" w:eastAsia="zh-CN"/>
              </w:rPr>
              <w:t xml:space="preserve">，堰体结构型式采用砂卵石填筑，迎水面采用编织袋装土方防冲，土工膜防渗。 </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textAlignment w:val="auto"/>
              <w:rPr>
                <w:rFonts w:hint="default" w:ascii="Times New Roman" w:hAnsi="Times New Roman" w:eastAsia="宋体" w:cs="Times New Roman"/>
                <w:color w:val="auto"/>
                <w:spacing w:val="0"/>
                <w:sz w:val="24"/>
                <w:szCs w:val="24"/>
                <w:lang w:val="en-US" w:eastAsia="zh-CN"/>
              </w:rPr>
            </w:pPr>
            <w:r>
              <w:rPr>
                <w:rFonts w:hint="eastAsia" w:ascii="Times New Roman" w:hAnsi="Times New Roman" w:eastAsia="宋体" w:cs="Times New Roman"/>
                <w:color w:val="auto"/>
                <w:spacing w:val="0"/>
                <w:sz w:val="24"/>
                <w:szCs w:val="24"/>
                <w:lang w:val="en-US" w:eastAsia="zh-CN"/>
              </w:rPr>
              <w:t xml:space="preserve">二期导流时段为第一年 </w:t>
            </w:r>
            <w:r>
              <w:rPr>
                <w:rFonts w:hint="default" w:ascii="Times New Roman" w:hAnsi="Times New Roman" w:eastAsia="宋体" w:cs="Times New Roman"/>
                <w:color w:val="auto"/>
                <w:spacing w:val="0"/>
                <w:sz w:val="24"/>
                <w:szCs w:val="24"/>
                <w:lang w:val="en-US" w:eastAsia="zh-CN"/>
              </w:rPr>
              <w:t xml:space="preserve">11 </w:t>
            </w:r>
            <w:r>
              <w:rPr>
                <w:rFonts w:hint="eastAsia" w:ascii="Times New Roman" w:hAnsi="Times New Roman" w:eastAsia="宋体" w:cs="Times New Roman"/>
                <w:color w:val="auto"/>
                <w:spacing w:val="0"/>
                <w:sz w:val="24"/>
                <w:szCs w:val="24"/>
                <w:lang w:val="en-US" w:eastAsia="zh-CN"/>
              </w:rPr>
              <w:t xml:space="preserve">月至第二年 </w:t>
            </w:r>
            <w:r>
              <w:rPr>
                <w:rFonts w:hint="default" w:ascii="Times New Roman" w:hAnsi="Times New Roman" w:eastAsia="宋体" w:cs="Times New Roman"/>
                <w:color w:val="auto"/>
                <w:spacing w:val="0"/>
                <w:sz w:val="24"/>
                <w:szCs w:val="24"/>
                <w:lang w:val="en-US" w:eastAsia="zh-CN"/>
              </w:rPr>
              <w:t xml:space="preserve">3 </w:t>
            </w:r>
            <w:r>
              <w:rPr>
                <w:rFonts w:hint="eastAsia" w:ascii="Times New Roman" w:hAnsi="Times New Roman" w:eastAsia="宋体" w:cs="Times New Roman"/>
                <w:color w:val="auto"/>
                <w:spacing w:val="0"/>
                <w:sz w:val="24"/>
                <w:szCs w:val="24"/>
                <w:lang w:val="en-US" w:eastAsia="zh-CN"/>
              </w:rPr>
              <w:t xml:space="preserve">月，二期围堰围主体工程左岸。二期上游围堰长约 </w:t>
            </w:r>
            <w:r>
              <w:rPr>
                <w:rFonts w:hint="default" w:ascii="Times New Roman" w:hAnsi="Times New Roman" w:eastAsia="宋体" w:cs="Times New Roman"/>
                <w:color w:val="auto"/>
                <w:spacing w:val="0"/>
                <w:sz w:val="24"/>
                <w:szCs w:val="24"/>
                <w:lang w:val="en-US" w:eastAsia="zh-CN"/>
              </w:rPr>
              <w:t>224.05m</w:t>
            </w:r>
            <w:r>
              <w:rPr>
                <w:rFonts w:hint="eastAsia" w:ascii="Times New Roman" w:hAnsi="Times New Roman" w:eastAsia="宋体" w:cs="Times New Roman"/>
                <w:color w:val="auto"/>
                <w:spacing w:val="0"/>
                <w:sz w:val="24"/>
                <w:szCs w:val="24"/>
                <w:lang w:val="en-US" w:eastAsia="zh-CN"/>
              </w:rPr>
              <w:t xml:space="preserve">，堰顶宽 </w:t>
            </w:r>
            <w:r>
              <w:rPr>
                <w:rFonts w:hint="default" w:ascii="Times New Roman" w:hAnsi="Times New Roman" w:eastAsia="宋体" w:cs="Times New Roman"/>
                <w:color w:val="auto"/>
                <w:spacing w:val="0"/>
                <w:sz w:val="24"/>
                <w:szCs w:val="24"/>
                <w:lang w:val="en-US" w:eastAsia="zh-CN"/>
              </w:rPr>
              <w:t>3m</w:t>
            </w:r>
            <w:r>
              <w:rPr>
                <w:rFonts w:hint="eastAsia" w:ascii="Times New Roman" w:hAnsi="Times New Roman" w:eastAsia="宋体" w:cs="Times New Roman"/>
                <w:color w:val="auto"/>
                <w:spacing w:val="0"/>
                <w:sz w:val="24"/>
                <w:szCs w:val="24"/>
                <w:lang w:val="en-US" w:eastAsia="zh-CN"/>
              </w:rPr>
              <w:t xml:space="preserve">，最大堰高 </w:t>
            </w:r>
            <w:r>
              <w:rPr>
                <w:rFonts w:hint="default" w:ascii="Times New Roman" w:hAnsi="Times New Roman" w:eastAsia="宋体" w:cs="Times New Roman"/>
                <w:color w:val="auto"/>
                <w:spacing w:val="0"/>
                <w:sz w:val="24"/>
                <w:szCs w:val="24"/>
                <w:lang w:val="en-US" w:eastAsia="zh-CN"/>
              </w:rPr>
              <w:t>3m</w:t>
            </w:r>
            <w:r>
              <w:rPr>
                <w:rFonts w:hint="eastAsia" w:ascii="Times New Roman" w:hAnsi="Times New Roman" w:eastAsia="宋体" w:cs="Times New Roman"/>
                <w:color w:val="auto"/>
                <w:spacing w:val="0"/>
                <w:sz w:val="24"/>
                <w:szCs w:val="24"/>
                <w:lang w:val="en-US" w:eastAsia="zh-CN"/>
              </w:rPr>
              <w:t xml:space="preserve">，堰顶高程 </w:t>
            </w:r>
            <w:r>
              <w:rPr>
                <w:rFonts w:hint="default" w:ascii="Times New Roman" w:hAnsi="Times New Roman" w:eastAsia="宋体" w:cs="Times New Roman"/>
                <w:color w:val="auto"/>
                <w:spacing w:val="0"/>
                <w:sz w:val="24"/>
                <w:szCs w:val="24"/>
                <w:lang w:val="en-US" w:eastAsia="zh-CN"/>
              </w:rPr>
              <w:t>371.90m</w:t>
            </w:r>
            <w:r>
              <w:rPr>
                <w:rFonts w:hint="eastAsia" w:ascii="Times New Roman" w:hAnsi="Times New Roman" w:eastAsia="宋体" w:cs="Times New Roman"/>
                <w:color w:val="auto"/>
                <w:spacing w:val="0"/>
                <w:sz w:val="24"/>
                <w:szCs w:val="24"/>
                <w:lang w:val="en-US" w:eastAsia="zh-CN"/>
              </w:rPr>
              <w:t xml:space="preserve">，二期下游围堰长约 </w:t>
            </w:r>
            <w:r>
              <w:rPr>
                <w:rFonts w:hint="default" w:ascii="Times New Roman" w:hAnsi="Times New Roman" w:eastAsia="宋体" w:cs="Times New Roman"/>
                <w:color w:val="auto"/>
                <w:spacing w:val="0"/>
                <w:sz w:val="24"/>
                <w:szCs w:val="24"/>
                <w:lang w:val="en-US" w:eastAsia="zh-CN"/>
              </w:rPr>
              <w:t>75.62m</w:t>
            </w:r>
            <w:r>
              <w:rPr>
                <w:rFonts w:hint="eastAsia" w:ascii="Times New Roman" w:hAnsi="Times New Roman" w:eastAsia="宋体" w:cs="Times New Roman"/>
                <w:color w:val="auto"/>
                <w:spacing w:val="0"/>
                <w:sz w:val="24"/>
                <w:szCs w:val="24"/>
                <w:lang w:val="en-US" w:eastAsia="zh-CN"/>
              </w:rPr>
              <w:t xml:space="preserve">，堰顶宽 </w:t>
            </w:r>
            <w:r>
              <w:rPr>
                <w:rFonts w:hint="default" w:ascii="Times New Roman" w:hAnsi="Times New Roman" w:eastAsia="宋体" w:cs="Times New Roman"/>
                <w:color w:val="auto"/>
                <w:spacing w:val="0"/>
                <w:sz w:val="24"/>
                <w:szCs w:val="24"/>
                <w:lang w:val="en-US" w:eastAsia="zh-CN"/>
              </w:rPr>
              <w:t>3m</w:t>
            </w:r>
            <w:r>
              <w:rPr>
                <w:rFonts w:hint="eastAsia" w:ascii="Times New Roman" w:hAnsi="Times New Roman" w:eastAsia="宋体" w:cs="Times New Roman"/>
                <w:color w:val="auto"/>
                <w:spacing w:val="0"/>
                <w:sz w:val="24"/>
                <w:szCs w:val="24"/>
                <w:lang w:val="en-US" w:eastAsia="zh-CN"/>
              </w:rPr>
              <w:t xml:space="preserve">，最大堰高 </w:t>
            </w:r>
            <w:r>
              <w:rPr>
                <w:rFonts w:hint="default" w:ascii="Times New Roman" w:hAnsi="Times New Roman" w:eastAsia="宋体" w:cs="Times New Roman"/>
                <w:color w:val="auto"/>
                <w:spacing w:val="0"/>
                <w:sz w:val="24"/>
                <w:szCs w:val="24"/>
                <w:lang w:val="en-US" w:eastAsia="zh-CN"/>
              </w:rPr>
              <w:t>1.8m</w:t>
            </w:r>
            <w:r>
              <w:rPr>
                <w:rFonts w:hint="eastAsia" w:ascii="Times New Roman" w:hAnsi="Times New Roman" w:eastAsia="宋体" w:cs="Times New Roman"/>
                <w:color w:val="auto"/>
                <w:spacing w:val="0"/>
                <w:sz w:val="24"/>
                <w:szCs w:val="24"/>
                <w:lang w:val="en-US" w:eastAsia="zh-CN"/>
              </w:rPr>
              <w:t xml:space="preserve">，堰顶高程 </w:t>
            </w:r>
            <w:r>
              <w:rPr>
                <w:rFonts w:hint="default" w:ascii="Times New Roman" w:hAnsi="Times New Roman" w:eastAsia="宋体" w:cs="Times New Roman"/>
                <w:color w:val="auto"/>
                <w:spacing w:val="0"/>
                <w:sz w:val="24"/>
                <w:szCs w:val="24"/>
                <w:lang w:val="en-US" w:eastAsia="zh-CN"/>
              </w:rPr>
              <w:t>368.80m</w:t>
            </w:r>
            <w:r>
              <w:rPr>
                <w:rFonts w:hint="eastAsia" w:ascii="Times New Roman" w:hAnsi="Times New Roman" w:eastAsia="宋体" w:cs="Times New Roman"/>
                <w:color w:val="auto"/>
                <w:spacing w:val="0"/>
                <w:sz w:val="24"/>
                <w:szCs w:val="24"/>
                <w:lang w:val="en-US" w:eastAsia="zh-CN"/>
              </w:rPr>
              <w:t xml:space="preserve">，堰体结构型式采用砂卵石填筑，迎水面采用编织袋装土方防冲，土工膜防渗。 </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textAlignment w:val="auto"/>
              <w:rPr>
                <w:rFonts w:hint="default" w:ascii="Times New Roman" w:hAnsi="Times New Roman" w:eastAsia="宋体" w:cs="Times New Roman"/>
                <w:color w:val="auto"/>
                <w:spacing w:val="0"/>
                <w:sz w:val="24"/>
                <w:szCs w:val="24"/>
                <w:lang w:val="en-US" w:eastAsia="zh-CN"/>
              </w:rPr>
            </w:pPr>
            <w:r>
              <w:rPr>
                <w:rFonts w:hint="eastAsia" w:ascii="Times New Roman" w:hAnsi="Times New Roman" w:eastAsia="宋体" w:cs="Times New Roman"/>
                <w:color w:val="auto"/>
                <w:spacing w:val="0"/>
                <w:sz w:val="24"/>
                <w:szCs w:val="24"/>
                <w:lang w:val="en-US" w:eastAsia="zh-CN"/>
              </w:rPr>
              <w:t xml:space="preserve">本项目土石围堰分两期进行，土石围堰的建设束窄了河流的过流断面，束窄率约 50%，但没有完全阻断河道，一期围堰占用河道面积约 960m2，一期围堰时，水流通过河流左岸过流，一期围堰时间短，两个月时间已进行了大部分围堰的拆除。二期围堰占用河道面积约 900m2，二期围堰时，水流通过河流右岸已建好的气盾坝过流，二期围堰占用河道的时长约 3～4 个月，预计 2023 年 4 月将全部清除。 </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textAlignment w:val="auto"/>
              <w:rPr>
                <w:rFonts w:hint="default" w:ascii="Times New Roman" w:hAnsi="Times New Roman" w:eastAsia="宋体" w:cs="Times New Roman"/>
                <w:color w:val="auto"/>
                <w:spacing w:val="0"/>
                <w:sz w:val="24"/>
                <w:szCs w:val="24"/>
                <w:lang w:val="en-US" w:eastAsia="zh-CN"/>
              </w:rPr>
            </w:pPr>
            <w:r>
              <w:rPr>
                <w:rFonts w:hint="eastAsia" w:ascii="Times New Roman" w:hAnsi="Times New Roman" w:eastAsia="宋体" w:cs="Times New Roman"/>
                <w:color w:val="auto"/>
                <w:spacing w:val="0"/>
                <w:sz w:val="24"/>
                <w:szCs w:val="24"/>
                <w:lang w:val="en-US" w:eastAsia="zh-CN"/>
              </w:rPr>
              <w:t>本项目主体施工围堰在枯水期进行，并在第二年汛期来临前全部拆除，土石围堰填筑作业对河道局部水文情势有一定影响，束窄了过流断面。由于本工程围堰时间短，且在枯水期进行，围堰分两期建设，没有全部阻断河道，随着围堰的的清除工程完成，围堰施工对水文情势的不利影响将逐渐消失。</w:t>
            </w:r>
          </w:p>
          <w:p>
            <w:pPr>
              <w:pStyle w:val="6"/>
              <w:keepNext w:val="0"/>
              <w:keepLines w:val="0"/>
              <w:pageBreakBefore w:val="0"/>
              <w:widowControl w:val="0"/>
              <w:numPr>
                <w:ilvl w:val="2"/>
                <w:numId w:val="0"/>
              </w:numPr>
              <w:kinsoku/>
              <w:wordWrap/>
              <w:overflowPunct/>
              <w:topLinePunct w:val="0"/>
              <w:autoSpaceDE w:val="0"/>
              <w:autoSpaceDN w:val="0"/>
              <w:bidi w:val="0"/>
              <w:adjustRightInd w:val="0"/>
              <w:snapToGrid w:val="0"/>
              <w:spacing w:before="0" w:after="0" w:line="360" w:lineRule="auto"/>
              <w:ind w:leftChars="0" w:firstLine="482" w:firstLineChars="200"/>
              <w:textAlignment w:val="baseline"/>
              <w:rPr>
                <w:rFonts w:hint="default" w:ascii="Times New Roman" w:hAnsi="Times New Roman" w:eastAsia="宋体" w:cs="Times New Roman"/>
                <w:b/>
                <w:bCs w:val="0"/>
                <w:color w:val="auto"/>
                <w:spacing w:val="0"/>
                <w:sz w:val="24"/>
                <w:szCs w:val="24"/>
                <w:lang w:val="en-US" w:eastAsia="zh-CN"/>
              </w:rPr>
            </w:pPr>
            <w:r>
              <w:rPr>
                <w:rFonts w:hint="default" w:ascii="Times New Roman" w:hAnsi="Times New Roman" w:eastAsia="宋体" w:cs="Times New Roman"/>
                <w:b/>
                <w:bCs w:val="0"/>
                <w:color w:val="auto"/>
                <w:spacing w:val="0"/>
                <w:sz w:val="24"/>
                <w:szCs w:val="24"/>
                <w:lang w:val="en-US" w:eastAsia="zh-CN"/>
              </w:rPr>
              <w:t>3、</w:t>
            </w:r>
            <w:r>
              <w:rPr>
                <w:rFonts w:hint="eastAsia" w:ascii="Times New Roman" w:hAnsi="Times New Roman" w:eastAsia="宋体" w:cs="Times New Roman"/>
                <w:b/>
                <w:bCs w:val="0"/>
                <w:color w:val="auto"/>
                <w:spacing w:val="0"/>
                <w:sz w:val="24"/>
                <w:szCs w:val="24"/>
                <w:lang w:val="en-US" w:eastAsia="zh-CN"/>
              </w:rPr>
              <w:t>施工期水污染影响分析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textAlignment w:val="auto"/>
              <w:rPr>
                <w:rFonts w:hint="default" w:ascii="Times New Roman" w:hAnsi="Times New Roman" w:eastAsia="宋体" w:cs="Times New Roman"/>
                <w:color w:val="auto"/>
                <w:spacing w:val="0"/>
                <w:sz w:val="24"/>
                <w:szCs w:val="24"/>
                <w:lang w:val="en-US" w:eastAsia="zh-CN"/>
              </w:rPr>
            </w:pPr>
            <w:r>
              <w:rPr>
                <w:rFonts w:hint="default" w:ascii="Times New Roman" w:hAnsi="Times New Roman" w:eastAsia="宋体" w:cs="Times New Roman"/>
                <w:color w:val="auto"/>
                <w:spacing w:val="0"/>
                <w:sz w:val="24"/>
                <w:szCs w:val="24"/>
                <w:lang w:val="en-US" w:eastAsia="zh-CN"/>
              </w:rPr>
              <w:t>本工程所需砂卵石全部成品外购，故不产生砂石料冲洗废水，砼采用购买商品砼，故本项目施工期废水包括施工机械、车辆冲洗废水，基坑及淤泥渗滤废水，施工人员生活废水，主要污染物为SS、石油类、BOD</w:t>
            </w:r>
            <w:r>
              <w:rPr>
                <w:rFonts w:hint="default" w:ascii="Times New Roman" w:hAnsi="Times New Roman" w:eastAsia="宋体" w:cs="Times New Roman"/>
                <w:color w:val="auto"/>
                <w:spacing w:val="0"/>
                <w:sz w:val="24"/>
                <w:szCs w:val="24"/>
                <w:vertAlign w:val="subscript"/>
                <w:lang w:val="en-US" w:eastAsia="zh-CN"/>
              </w:rPr>
              <w:t>5</w:t>
            </w:r>
            <w:r>
              <w:rPr>
                <w:rFonts w:hint="default" w:ascii="Times New Roman" w:hAnsi="Times New Roman" w:eastAsia="宋体" w:cs="Times New Roman"/>
                <w:color w:val="auto"/>
                <w:spacing w:val="0"/>
                <w:sz w:val="24"/>
                <w:szCs w:val="24"/>
                <w:lang w:val="en-US" w:eastAsia="zh-CN"/>
              </w:rPr>
              <w:t>、COD、氨氮。</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rPr>
                <w:rFonts w:hint="default" w:ascii="Times New Roman" w:hAnsi="Times New Roman" w:cs="Times New Roman"/>
                <w:b/>
                <w:bCs/>
                <w:color w:val="auto"/>
                <w:spacing w:val="0"/>
                <w:sz w:val="24"/>
                <w:szCs w:val="24"/>
                <w:lang w:val="en-US" w:eastAsia="zh-CN"/>
              </w:rPr>
            </w:pPr>
            <w:r>
              <w:rPr>
                <w:rFonts w:hint="default" w:ascii="Times New Roman" w:hAnsi="Times New Roman" w:cs="Times New Roman"/>
                <w:b/>
                <w:bCs/>
                <w:color w:val="auto"/>
                <w:spacing w:val="0"/>
                <w:sz w:val="24"/>
                <w:szCs w:val="24"/>
                <w:lang w:val="en-US" w:eastAsia="zh-CN"/>
              </w:rPr>
              <w:t>（1）</w:t>
            </w:r>
            <w:r>
              <w:rPr>
                <w:rFonts w:hint="eastAsia" w:ascii="Times New Roman" w:hAnsi="Times New Roman" w:cs="Times New Roman"/>
                <w:b/>
                <w:bCs/>
                <w:color w:val="auto"/>
                <w:spacing w:val="0"/>
                <w:sz w:val="24"/>
                <w:szCs w:val="24"/>
                <w:lang w:val="en-US" w:eastAsia="zh-CN"/>
              </w:rPr>
              <w:t>施工废水</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rPr>
                <w:rFonts w:hint="default" w:ascii="Times New Roman" w:hAnsi="Times New Roman" w:eastAsia="宋体" w:cs="Times New Roman"/>
                <w:color w:val="auto"/>
                <w:spacing w:val="0"/>
                <w:sz w:val="24"/>
                <w:szCs w:val="24"/>
                <w:lang w:val="en-US" w:eastAsia="zh-CN"/>
              </w:rPr>
            </w:pPr>
            <w:r>
              <w:rPr>
                <w:rFonts w:hint="default" w:ascii="Times New Roman" w:hAnsi="Times New Roman" w:eastAsia="宋体" w:cs="Times New Roman"/>
                <w:color w:val="auto"/>
                <w:spacing w:val="0"/>
                <w:sz w:val="24"/>
                <w:szCs w:val="24"/>
                <w:lang w:val="en-US" w:eastAsia="zh-CN"/>
              </w:rPr>
              <w:t>施工过程中产生的生产废水主要包括施工设备冲洗废水、基坑排水，该类废水主要含泥沙，pH值呈弱碱性，施工设备冲洗废水带有少量油污，基坑排水包括初期排水和经常性排水。初期排水主要是基坑积水(覆盖层含水)、降雨、围堰渗水和其他途径来水。经常性排水主要包括：围堰渗水、降雨等。</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rPr>
                <w:rFonts w:hint="default" w:ascii="Times New Roman" w:hAnsi="Times New Roman" w:eastAsia="宋体" w:cs="Times New Roman"/>
                <w:color w:val="auto"/>
                <w:spacing w:val="0"/>
                <w:sz w:val="24"/>
                <w:szCs w:val="24"/>
                <w:lang w:val="en-US" w:eastAsia="zh-CN"/>
              </w:rPr>
            </w:pPr>
            <w:r>
              <w:rPr>
                <w:rFonts w:hint="default" w:ascii="Times New Roman" w:hAnsi="Times New Roman" w:eastAsia="宋体" w:cs="Times New Roman"/>
                <w:color w:val="auto"/>
                <w:spacing w:val="0"/>
                <w:sz w:val="24"/>
                <w:szCs w:val="24"/>
                <w:lang w:val="en-US" w:eastAsia="zh-CN"/>
              </w:rPr>
              <w:t>针对本项目施工废水特点，评价要求施工机械和车辆在项目施工场地进出口处设置清洗设施及冲洗池，清洗和修理的施工机械、车辆所产生的含油废水不得随意排放，要求施工方配套建设排水沟和简易隔油沉淀池，施工机械及车辆冲洗废水经隔油沉淀处理后循环使用，可用于场地洒水降尘，不得随意排放。在各基坑内设置排水沟和集水坑，基坑排水经集水坑沉淀后，外排</w:t>
            </w:r>
            <w:r>
              <w:rPr>
                <w:rFonts w:hint="eastAsia" w:ascii="Times New Roman" w:hAnsi="Times New Roman" w:eastAsia="宋体" w:cs="Times New Roman"/>
                <w:color w:val="auto"/>
                <w:spacing w:val="0"/>
                <w:sz w:val="24"/>
                <w:szCs w:val="24"/>
                <w:lang w:val="en-US" w:eastAsia="zh-CN"/>
              </w:rPr>
              <w:t>峨眉河</w:t>
            </w:r>
            <w:r>
              <w:rPr>
                <w:rFonts w:hint="default" w:ascii="Times New Roman" w:hAnsi="Times New Roman" w:eastAsia="宋体" w:cs="Times New Roman"/>
                <w:color w:val="auto"/>
                <w:spacing w:val="0"/>
                <w:sz w:val="24"/>
                <w:szCs w:val="24"/>
                <w:lang w:val="en-US" w:eastAsia="zh-CN"/>
              </w:rPr>
              <w:t>，水量较小，这些废水不含有毒、有害物质，仅悬浮物含量有所增加，但废水量与</w:t>
            </w:r>
            <w:r>
              <w:rPr>
                <w:rFonts w:hint="eastAsia" w:ascii="Times New Roman" w:hAnsi="Times New Roman" w:eastAsia="宋体" w:cs="Times New Roman"/>
                <w:color w:val="auto"/>
                <w:spacing w:val="0"/>
                <w:sz w:val="24"/>
                <w:szCs w:val="24"/>
                <w:lang w:val="en-US" w:eastAsia="zh-CN"/>
              </w:rPr>
              <w:t>峨眉河</w:t>
            </w:r>
            <w:r>
              <w:rPr>
                <w:rFonts w:hint="default" w:ascii="Times New Roman" w:hAnsi="Times New Roman" w:eastAsia="宋体" w:cs="Times New Roman"/>
                <w:color w:val="auto"/>
                <w:spacing w:val="0"/>
                <w:sz w:val="24"/>
                <w:szCs w:val="24"/>
                <w:lang w:val="en-US" w:eastAsia="zh-CN"/>
              </w:rPr>
              <w:t>水量相比，污径比相当悬殊，因而pH、SS对</w:t>
            </w:r>
            <w:r>
              <w:rPr>
                <w:rFonts w:hint="eastAsia" w:ascii="Times New Roman" w:hAnsi="Times New Roman" w:eastAsia="宋体" w:cs="Times New Roman"/>
                <w:color w:val="auto"/>
                <w:spacing w:val="0"/>
                <w:sz w:val="24"/>
                <w:szCs w:val="24"/>
                <w:lang w:val="en-US" w:eastAsia="zh-CN"/>
              </w:rPr>
              <w:t>峨眉河</w:t>
            </w:r>
            <w:r>
              <w:rPr>
                <w:rFonts w:hint="default" w:ascii="Times New Roman" w:hAnsi="Times New Roman" w:eastAsia="宋体" w:cs="Times New Roman"/>
                <w:color w:val="auto"/>
                <w:spacing w:val="0"/>
                <w:sz w:val="24"/>
                <w:szCs w:val="24"/>
                <w:lang w:val="en-US" w:eastAsia="zh-CN"/>
              </w:rPr>
              <w:t>水质影响小。施工期废水全部得到有效处置，对表水体产生影响小。</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rPr>
                <w:rFonts w:hint="default" w:ascii="Times New Roman" w:hAnsi="Times New Roman" w:cs="Times New Roman"/>
                <w:b/>
                <w:bCs/>
                <w:color w:val="auto"/>
                <w:spacing w:val="0"/>
                <w:sz w:val="24"/>
                <w:szCs w:val="24"/>
                <w:lang w:val="en-US" w:eastAsia="zh-CN"/>
              </w:rPr>
            </w:pPr>
            <w:r>
              <w:rPr>
                <w:rFonts w:hint="default" w:ascii="Times New Roman" w:hAnsi="Times New Roman" w:cs="Times New Roman"/>
                <w:b/>
                <w:bCs/>
                <w:color w:val="auto"/>
                <w:spacing w:val="0"/>
                <w:sz w:val="24"/>
                <w:szCs w:val="24"/>
                <w:lang w:eastAsia="zh-CN"/>
              </w:rPr>
              <w:t>（</w:t>
            </w:r>
            <w:r>
              <w:rPr>
                <w:rFonts w:hint="default" w:ascii="Times New Roman" w:hAnsi="Times New Roman" w:cs="Times New Roman"/>
                <w:b/>
                <w:bCs/>
                <w:color w:val="auto"/>
                <w:spacing w:val="0"/>
                <w:sz w:val="24"/>
                <w:szCs w:val="24"/>
                <w:lang w:val="en-US" w:eastAsia="zh-CN"/>
              </w:rPr>
              <w:t>2</w:t>
            </w:r>
            <w:r>
              <w:rPr>
                <w:rFonts w:hint="default" w:ascii="Times New Roman" w:hAnsi="Times New Roman" w:cs="Times New Roman"/>
                <w:b/>
                <w:bCs/>
                <w:color w:val="auto"/>
                <w:spacing w:val="0"/>
                <w:sz w:val="24"/>
                <w:szCs w:val="24"/>
                <w:lang w:eastAsia="zh-CN"/>
              </w:rPr>
              <w:t>）</w:t>
            </w:r>
            <w:r>
              <w:rPr>
                <w:rFonts w:hint="default" w:ascii="Times New Roman" w:hAnsi="Times New Roman" w:cs="Times New Roman"/>
                <w:b/>
                <w:bCs/>
                <w:color w:val="auto"/>
                <w:spacing w:val="0"/>
                <w:sz w:val="24"/>
                <w:szCs w:val="24"/>
              </w:rPr>
              <w:t>施工人员的生活污水</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rPr>
                <w:rFonts w:hint="default" w:ascii="Times New Roman" w:hAnsi="Times New Roman" w:cs="Times New Roman"/>
                <w:b w:val="0"/>
                <w:bCs w:val="0"/>
                <w:color w:val="auto"/>
                <w:spacing w:val="0"/>
                <w:sz w:val="24"/>
                <w:szCs w:val="24"/>
                <w:lang w:val="en-US" w:eastAsia="zh-CN"/>
              </w:rPr>
            </w:pPr>
            <w:r>
              <w:rPr>
                <w:rFonts w:hint="default" w:ascii="Times New Roman" w:hAnsi="Times New Roman" w:cs="Times New Roman"/>
                <w:color w:val="auto"/>
                <w:spacing w:val="0"/>
                <w:sz w:val="24"/>
                <w:szCs w:val="24"/>
              </w:rPr>
              <w:t>施工过程中施工人员相对集中、稳定，将产生一定量的生活污水。</w:t>
            </w:r>
            <w:r>
              <w:rPr>
                <w:rFonts w:hint="default" w:ascii="Times New Roman" w:hAnsi="Times New Roman" w:cs="Times New Roman"/>
                <w:color w:val="auto"/>
                <w:spacing w:val="0"/>
                <w:sz w:val="24"/>
                <w:szCs w:val="24"/>
                <w:lang w:eastAsia="zh-CN"/>
              </w:rPr>
              <w:t>主</w:t>
            </w:r>
            <w:r>
              <w:rPr>
                <w:rFonts w:hint="default" w:ascii="Times New Roman" w:hAnsi="Times New Roman" w:cs="Times New Roman"/>
                <w:bCs/>
                <w:color w:val="auto"/>
                <w:sz w:val="24"/>
              </w:rPr>
              <w:t>要污染物为BOD、COD、SS</w:t>
            </w:r>
            <w:r>
              <w:rPr>
                <w:rFonts w:hint="default" w:ascii="Times New Roman" w:hAnsi="Times New Roman" w:cs="Times New Roman"/>
                <w:bCs/>
                <w:color w:val="auto"/>
                <w:sz w:val="24"/>
                <w:lang w:eastAsia="zh-CN"/>
              </w:rPr>
              <w:t>，</w:t>
            </w:r>
            <w:r>
              <w:rPr>
                <w:rFonts w:hint="default" w:ascii="Times New Roman" w:hAnsi="Times New Roman" w:cs="Times New Roman"/>
                <w:color w:val="auto"/>
                <w:spacing w:val="0"/>
                <w:sz w:val="24"/>
                <w:szCs w:val="24"/>
              </w:rPr>
              <w:t>项目施工高峰期民工约</w:t>
            </w:r>
            <w:r>
              <w:rPr>
                <w:rFonts w:hint="eastAsia" w:ascii="Times New Roman" w:hAnsi="Times New Roman" w:cs="Times New Roman"/>
                <w:color w:val="auto"/>
                <w:spacing w:val="0"/>
                <w:sz w:val="24"/>
                <w:szCs w:val="24"/>
                <w:lang w:val="en-US" w:eastAsia="zh-CN"/>
              </w:rPr>
              <w:t>8</w:t>
            </w:r>
            <w:r>
              <w:rPr>
                <w:rFonts w:hint="default" w:ascii="Times New Roman" w:hAnsi="Times New Roman" w:cs="Times New Roman"/>
                <w:color w:val="auto"/>
                <w:spacing w:val="0"/>
                <w:sz w:val="24"/>
                <w:szCs w:val="24"/>
                <w:lang w:val="en-US" w:eastAsia="zh-CN"/>
              </w:rPr>
              <w:t>0</w:t>
            </w:r>
            <w:r>
              <w:rPr>
                <w:rFonts w:hint="default" w:ascii="Times New Roman" w:hAnsi="Times New Roman" w:cs="Times New Roman"/>
                <w:color w:val="auto"/>
                <w:spacing w:val="0"/>
                <w:sz w:val="24"/>
                <w:szCs w:val="24"/>
              </w:rPr>
              <w:t>人左右，工地不设住宿和食堂，参照四川省人民政府关于印发《四川省用水定额》的通知（川府函〔2021〕8号）并结合项目实际情况，施工期人员用水定额按照50L/人·天计算，用水量为</w:t>
            </w:r>
            <w:r>
              <w:rPr>
                <w:rFonts w:hint="eastAsia" w:ascii="Times New Roman" w:hAnsi="Times New Roman" w:cs="Times New Roman"/>
                <w:color w:val="auto"/>
                <w:spacing w:val="0"/>
                <w:sz w:val="24"/>
                <w:szCs w:val="24"/>
                <w:lang w:val="en-US" w:eastAsia="zh-CN"/>
              </w:rPr>
              <w:t>4</w:t>
            </w:r>
            <w:r>
              <w:rPr>
                <w:rFonts w:hint="default" w:ascii="Times New Roman" w:hAnsi="Times New Roman" w:cs="Times New Roman"/>
                <w:color w:val="auto"/>
                <w:spacing w:val="0"/>
                <w:sz w:val="24"/>
                <w:szCs w:val="24"/>
              </w:rPr>
              <w:t>m³/d，其排放量按产生量的80%计，则民工生活污水排放量为</w:t>
            </w:r>
            <w:r>
              <w:rPr>
                <w:rFonts w:hint="eastAsia" w:ascii="Times New Roman" w:hAnsi="Times New Roman" w:cs="Times New Roman"/>
                <w:color w:val="auto"/>
                <w:spacing w:val="0"/>
                <w:sz w:val="24"/>
                <w:szCs w:val="24"/>
                <w:lang w:val="en-US" w:eastAsia="zh-CN"/>
              </w:rPr>
              <w:t>3.2</w:t>
            </w:r>
            <w:r>
              <w:rPr>
                <w:rFonts w:hint="default" w:ascii="Times New Roman" w:hAnsi="Times New Roman" w:cs="Times New Roman"/>
                <w:color w:val="auto"/>
                <w:spacing w:val="0"/>
                <w:sz w:val="24"/>
                <w:szCs w:val="24"/>
              </w:rPr>
              <w:t>m</w:t>
            </w:r>
            <w:r>
              <w:rPr>
                <w:rFonts w:hint="default" w:ascii="Times New Roman" w:hAnsi="Times New Roman" w:cs="Times New Roman"/>
                <w:color w:val="auto"/>
                <w:spacing w:val="0"/>
                <w:sz w:val="24"/>
                <w:szCs w:val="24"/>
                <w:vertAlign w:val="superscript"/>
              </w:rPr>
              <w:t>3</w:t>
            </w:r>
            <w:r>
              <w:rPr>
                <w:rFonts w:hint="default" w:ascii="Times New Roman" w:hAnsi="Times New Roman" w:cs="Times New Roman"/>
                <w:color w:val="auto"/>
                <w:spacing w:val="0"/>
                <w:sz w:val="24"/>
                <w:szCs w:val="24"/>
              </w:rPr>
              <w:t>/d。</w:t>
            </w:r>
            <w:r>
              <w:rPr>
                <w:rFonts w:hint="default" w:ascii="Times New Roman" w:hAnsi="Times New Roman" w:cs="Times New Roman"/>
                <w:b w:val="0"/>
                <w:bCs w:val="0"/>
                <w:color w:val="auto"/>
                <w:spacing w:val="0"/>
                <w:sz w:val="24"/>
                <w:szCs w:val="24"/>
                <w:lang w:val="en-US" w:eastAsia="zh-CN"/>
              </w:rPr>
              <w:t>项目施工期施工人员生活污水依托当地居民化粪池收集处理，对周围环境影响较小。</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rPr>
                <w:rFonts w:hint="default" w:ascii="Times New Roman" w:hAnsi="Times New Roman" w:cs="Times New Roman"/>
                <w:b/>
                <w:bCs/>
                <w:color w:val="auto"/>
                <w:spacing w:val="0"/>
                <w:sz w:val="24"/>
                <w:szCs w:val="24"/>
                <w:lang w:val="en-US" w:eastAsia="zh-CN"/>
              </w:rPr>
            </w:pPr>
            <w:r>
              <w:rPr>
                <w:rFonts w:hint="default" w:ascii="Times New Roman" w:hAnsi="Times New Roman" w:cs="Times New Roman"/>
                <w:b/>
                <w:bCs/>
                <w:color w:val="auto"/>
                <w:spacing w:val="0"/>
                <w:sz w:val="24"/>
                <w:szCs w:val="24"/>
                <w:lang w:val="en-US" w:eastAsia="zh-CN"/>
              </w:rPr>
              <w:t>（3）</w:t>
            </w:r>
            <w:r>
              <w:rPr>
                <w:rFonts w:hint="eastAsia" w:ascii="Times New Roman" w:hAnsi="Times New Roman" w:cs="Times New Roman"/>
                <w:b/>
                <w:bCs/>
                <w:color w:val="auto"/>
                <w:spacing w:val="0"/>
                <w:sz w:val="24"/>
                <w:szCs w:val="24"/>
                <w:lang w:val="en-US" w:eastAsia="zh-CN"/>
              </w:rPr>
              <w:t>基坑废水</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80" w:firstLineChars="200"/>
              <w:textAlignment w:val="baseline"/>
              <w:rPr>
                <w:rFonts w:hint="default" w:ascii="Times New Roman" w:hAnsi="Times New Roman" w:eastAsia="宋体" w:cs="Times New Roman"/>
                <w:color w:val="auto"/>
                <w:spacing w:val="0"/>
                <w:sz w:val="24"/>
                <w:szCs w:val="24"/>
                <w:lang w:val="en-US" w:eastAsia="zh-CN"/>
              </w:rPr>
            </w:pPr>
            <w:r>
              <w:rPr>
                <w:rFonts w:hint="default" w:ascii="Times New Roman" w:hAnsi="Times New Roman" w:eastAsia="宋体" w:cs="Times New Roman"/>
                <w:color w:val="auto"/>
                <w:spacing w:val="0"/>
                <w:sz w:val="24"/>
                <w:szCs w:val="24"/>
                <w:lang w:val="en-US" w:eastAsia="zh-CN"/>
              </w:rPr>
              <w:t>本项目基坑排水，分为初期排水和经常性排水。围堰</w:t>
            </w:r>
            <w:r>
              <w:rPr>
                <w:rFonts w:hint="eastAsia" w:ascii="Times New Roman" w:hAnsi="Times New Roman" w:eastAsia="宋体" w:cs="Times New Roman"/>
                <w:color w:val="auto"/>
                <w:spacing w:val="0"/>
                <w:sz w:val="24"/>
                <w:szCs w:val="24"/>
                <w:lang w:val="en-US" w:eastAsia="zh-CN"/>
              </w:rPr>
              <w:t>采用自上而下填筑闭气的方式进行</w:t>
            </w:r>
            <w:r>
              <w:rPr>
                <w:rFonts w:hint="default" w:ascii="Times New Roman" w:hAnsi="Times New Roman" w:eastAsia="宋体" w:cs="Times New Roman"/>
                <w:color w:val="auto"/>
                <w:spacing w:val="0"/>
                <w:sz w:val="24"/>
                <w:szCs w:val="24"/>
                <w:lang w:val="en-US" w:eastAsia="zh-CN"/>
              </w:rPr>
              <w:t>，</w:t>
            </w:r>
            <w:r>
              <w:rPr>
                <w:rFonts w:hint="eastAsia" w:ascii="Times New Roman" w:hAnsi="Times New Roman" w:eastAsia="宋体" w:cs="Times New Roman"/>
                <w:color w:val="auto"/>
                <w:spacing w:val="0"/>
                <w:sz w:val="24"/>
                <w:szCs w:val="24"/>
                <w:lang w:val="en-US" w:eastAsia="zh-CN"/>
              </w:rPr>
              <w:t>河道坡降较大，</w:t>
            </w:r>
            <w:r>
              <w:rPr>
                <w:rFonts w:hint="default" w:ascii="Times New Roman" w:hAnsi="Times New Roman" w:eastAsia="宋体" w:cs="Times New Roman"/>
                <w:color w:val="auto"/>
                <w:spacing w:val="0"/>
                <w:sz w:val="24"/>
                <w:szCs w:val="24"/>
                <w:lang w:val="en-US" w:eastAsia="zh-CN"/>
              </w:rPr>
              <w:t>因此初期排水较小，采用水泵强制排向围堰外即可。经常性排水，根据设计排水量为100m</w:t>
            </w:r>
            <w:r>
              <w:rPr>
                <w:rFonts w:hint="default" w:ascii="Times New Roman" w:hAnsi="Times New Roman" w:eastAsia="宋体" w:cs="Times New Roman"/>
                <w:color w:val="auto"/>
                <w:spacing w:val="0"/>
                <w:sz w:val="24"/>
                <w:szCs w:val="24"/>
                <w:vertAlign w:val="superscript"/>
                <w:lang w:val="en-US" w:eastAsia="zh-CN"/>
              </w:rPr>
              <w:t>3</w:t>
            </w:r>
            <w:r>
              <w:rPr>
                <w:rFonts w:hint="default" w:ascii="Times New Roman" w:hAnsi="Times New Roman" w:eastAsia="宋体" w:cs="Times New Roman"/>
                <w:color w:val="auto"/>
                <w:spacing w:val="0"/>
                <w:sz w:val="24"/>
                <w:szCs w:val="24"/>
                <w:lang w:val="en-US" w:eastAsia="zh-CN"/>
              </w:rPr>
              <w:t>/h。</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80" w:firstLineChars="200"/>
              <w:textAlignment w:val="baseline"/>
              <w:rPr>
                <w:rFonts w:hint="default" w:ascii="Times New Roman" w:hAnsi="Times New Roman" w:eastAsia="宋体" w:cs="Times New Roman"/>
                <w:color w:val="auto"/>
                <w:spacing w:val="0"/>
                <w:sz w:val="24"/>
                <w:szCs w:val="24"/>
                <w:lang w:val="en-US" w:eastAsia="zh-CN"/>
              </w:rPr>
            </w:pPr>
            <w:r>
              <w:rPr>
                <w:rFonts w:hint="eastAsia" w:ascii="Times New Roman" w:hAnsi="Times New Roman" w:eastAsia="宋体" w:cs="Times New Roman"/>
                <w:color w:val="auto"/>
                <w:spacing w:val="0"/>
                <w:sz w:val="24"/>
                <w:szCs w:val="24"/>
                <w:lang w:val="en-US" w:eastAsia="zh-CN"/>
              </w:rPr>
              <w:t>排水布置：</w:t>
            </w:r>
            <w:r>
              <w:rPr>
                <w:rFonts w:hint="default" w:ascii="Times New Roman" w:hAnsi="Times New Roman" w:eastAsia="宋体" w:cs="Times New Roman"/>
                <w:color w:val="auto"/>
                <w:spacing w:val="0"/>
                <w:sz w:val="24"/>
                <w:szCs w:val="24"/>
                <w:lang w:val="en-US" w:eastAsia="zh-CN"/>
              </w:rPr>
              <w:t>排水沿基坑设截流槽和集水坑，一期基坑设</w:t>
            </w:r>
            <w:r>
              <w:rPr>
                <w:rFonts w:hint="eastAsia" w:ascii="Times New Roman" w:hAnsi="Times New Roman" w:eastAsia="宋体" w:cs="Times New Roman"/>
                <w:color w:val="auto"/>
                <w:spacing w:val="0"/>
                <w:sz w:val="24"/>
                <w:szCs w:val="24"/>
                <w:lang w:val="en-US" w:eastAsia="zh-CN"/>
              </w:rPr>
              <w:t>3</w:t>
            </w:r>
            <w:r>
              <w:rPr>
                <w:rFonts w:hint="default" w:ascii="Times New Roman" w:hAnsi="Times New Roman" w:eastAsia="宋体" w:cs="Times New Roman"/>
                <w:color w:val="auto"/>
                <w:spacing w:val="0"/>
                <w:sz w:val="24"/>
                <w:szCs w:val="24"/>
                <w:lang w:val="en-US" w:eastAsia="zh-CN"/>
              </w:rPr>
              <w:t>个集水坑，二期基坑设</w:t>
            </w:r>
            <w:r>
              <w:rPr>
                <w:rFonts w:hint="eastAsia" w:ascii="Times New Roman" w:hAnsi="Times New Roman" w:eastAsia="宋体" w:cs="Times New Roman"/>
                <w:color w:val="auto"/>
                <w:spacing w:val="0"/>
                <w:sz w:val="24"/>
                <w:szCs w:val="24"/>
                <w:lang w:val="en-US" w:eastAsia="zh-CN"/>
              </w:rPr>
              <w:t>5</w:t>
            </w:r>
            <w:r>
              <w:rPr>
                <w:rFonts w:hint="default" w:ascii="Times New Roman" w:hAnsi="Times New Roman" w:eastAsia="宋体" w:cs="Times New Roman"/>
                <w:color w:val="auto"/>
                <w:spacing w:val="0"/>
                <w:sz w:val="24"/>
                <w:szCs w:val="24"/>
                <w:lang w:val="en-US" w:eastAsia="zh-CN"/>
              </w:rPr>
              <w:t>个集水坑，每个集水坑设1台100BJ15A型水泵，拟配备</w:t>
            </w:r>
            <w:r>
              <w:rPr>
                <w:rFonts w:hint="eastAsia" w:ascii="Times New Roman" w:hAnsi="Times New Roman" w:eastAsia="宋体" w:cs="Times New Roman"/>
                <w:color w:val="auto"/>
                <w:spacing w:val="0"/>
                <w:sz w:val="24"/>
                <w:szCs w:val="24"/>
                <w:lang w:val="en-US" w:eastAsia="zh-CN"/>
              </w:rPr>
              <w:t>5</w:t>
            </w:r>
            <w:r>
              <w:rPr>
                <w:rFonts w:hint="default" w:ascii="Times New Roman" w:hAnsi="Times New Roman" w:eastAsia="宋体" w:cs="Times New Roman"/>
                <w:color w:val="auto"/>
                <w:spacing w:val="0"/>
                <w:sz w:val="24"/>
                <w:szCs w:val="24"/>
                <w:lang w:val="en-US" w:eastAsia="zh-CN"/>
              </w:rPr>
              <w:t>台100BJ13A型水泵（分段调节使用）。</w:t>
            </w:r>
            <w:r>
              <w:rPr>
                <w:rFonts w:hint="eastAsia" w:ascii="Times New Roman" w:hAnsi="Times New Roman" w:eastAsia="宋体" w:cs="Times New Roman"/>
                <w:color w:val="auto"/>
                <w:spacing w:val="0"/>
                <w:sz w:val="24"/>
                <w:szCs w:val="24"/>
                <w:lang w:val="en-US" w:eastAsia="zh-CN"/>
              </w:rPr>
              <w:t>其中坝体部分</w:t>
            </w:r>
            <w:r>
              <w:rPr>
                <w:rFonts w:hint="default" w:ascii="Times New Roman" w:hAnsi="Times New Roman" w:eastAsia="宋体" w:cs="Times New Roman"/>
                <w:color w:val="auto"/>
                <w:spacing w:val="0"/>
                <w:sz w:val="24"/>
                <w:szCs w:val="24"/>
                <w:lang w:val="en-US" w:eastAsia="zh-CN"/>
              </w:rPr>
              <w:t>排水时段按45天设置，二期上游护岸排水时段按</w:t>
            </w:r>
            <w:r>
              <w:rPr>
                <w:rFonts w:hint="eastAsia" w:ascii="Times New Roman" w:hAnsi="Times New Roman" w:eastAsia="宋体" w:cs="Times New Roman"/>
                <w:color w:val="auto"/>
                <w:spacing w:val="0"/>
                <w:sz w:val="24"/>
                <w:szCs w:val="24"/>
                <w:lang w:val="en-US" w:eastAsia="zh-CN"/>
              </w:rPr>
              <w:t>15天设置，</w:t>
            </w:r>
            <w:r>
              <w:rPr>
                <w:rFonts w:hint="default" w:ascii="Times New Roman" w:hAnsi="Times New Roman" w:eastAsia="宋体" w:cs="Times New Roman"/>
                <w:color w:val="auto"/>
                <w:spacing w:val="0"/>
                <w:sz w:val="24"/>
                <w:szCs w:val="24"/>
                <w:lang w:val="en-US" w:eastAsia="zh-CN"/>
              </w:rPr>
              <w:t>计排水台时</w:t>
            </w:r>
            <w:r>
              <w:rPr>
                <w:rFonts w:hint="eastAsia" w:ascii="Times New Roman" w:hAnsi="Times New Roman" w:eastAsia="宋体" w:cs="Times New Roman"/>
                <w:color w:val="auto"/>
                <w:spacing w:val="0"/>
                <w:sz w:val="24"/>
                <w:szCs w:val="24"/>
                <w:lang w:val="en-US" w:eastAsia="zh-CN"/>
              </w:rPr>
              <w:t>7200</w:t>
            </w:r>
            <w:r>
              <w:rPr>
                <w:rFonts w:hint="default" w:ascii="Times New Roman" w:hAnsi="Times New Roman" w:eastAsia="宋体" w:cs="Times New Roman"/>
                <w:color w:val="auto"/>
                <w:spacing w:val="0"/>
                <w:sz w:val="24"/>
                <w:szCs w:val="24"/>
                <w:lang w:val="en-US" w:eastAsia="zh-CN"/>
              </w:rPr>
              <w:t>台时。</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80" w:firstLineChars="200"/>
              <w:textAlignment w:val="baseline"/>
              <w:rPr>
                <w:rFonts w:hint="default" w:ascii="Times New Roman" w:hAnsi="Times New Roman" w:eastAsia="宋体" w:cs="Times New Roman"/>
                <w:color w:val="000000"/>
                <w:spacing w:val="0"/>
                <w:sz w:val="24"/>
                <w:szCs w:val="24"/>
                <w:lang w:val="en-US" w:eastAsia="zh-CN"/>
              </w:rPr>
            </w:pPr>
            <w:r>
              <w:rPr>
                <w:rFonts w:hint="default" w:ascii="Times New Roman" w:hAnsi="Times New Roman" w:eastAsia="宋体" w:cs="Times New Roman"/>
                <w:color w:val="000000"/>
                <w:spacing w:val="0"/>
                <w:sz w:val="24"/>
                <w:szCs w:val="24"/>
                <w:lang w:val="en-US" w:eastAsia="zh-CN"/>
              </w:rPr>
              <w:t>水泵特性：100BJ15A型水泵（Q=144m</w:t>
            </w:r>
            <w:r>
              <w:rPr>
                <w:rFonts w:hint="default" w:ascii="Times New Roman" w:hAnsi="Times New Roman" w:eastAsia="宋体" w:cs="Times New Roman"/>
                <w:color w:val="000000"/>
                <w:spacing w:val="0"/>
                <w:sz w:val="24"/>
                <w:szCs w:val="24"/>
                <w:vertAlign w:val="superscript"/>
                <w:lang w:val="en-US" w:eastAsia="zh-CN"/>
              </w:rPr>
              <w:t>3</w:t>
            </w:r>
            <w:r>
              <w:rPr>
                <w:rFonts w:hint="default" w:ascii="Times New Roman" w:hAnsi="Times New Roman" w:eastAsia="宋体" w:cs="Times New Roman"/>
                <w:color w:val="000000"/>
                <w:spacing w:val="0"/>
                <w:sz w:val="24"/>
                <w:szCs w:val="24"/>
                <w:lang w:val="en-US" w:eastAsia="zh-CN"/>
              </w:rPr>
              <w:t>/h，N=7.5kw，H=9.5m）。</w:t>
            </w:r>
          </w:p>
          <w:p>
            <w:pPr>
              <w:pStyle w:val="7"/>
              <w:keepNext w:val="0"/>
              <w:keepLines w:val="0"/>
              <w:pageBreakBefore w:val="0"/>
              <w:widowControl w:val="0"/>
              <w:numPr>
                <w:ilvl w:val="3"/>
                <w:numId w:val="0"/>
              </w:numPr>
              <w:kinsoku/>
              <w:wordWrap/>
              <w:overflowPunct/>
              <w:topLinePunct w:val="0"/>
              <w:autoSpaceDE w:val="0"/>
              <w:autoSpaceDN w:val="0"/>
              <w:bidi w:val="0"/>
              <w:adjustRightInd w:val="0"/>
              <w:snapToGrid w:val="0"/>
              <w:spacing w:before="0" w:line="360" w:lineRule="auto"/>
              <w:ind w:left="0" w:leftChars="0" w:firstLine="482" w:firstLineChars="200"/>
              <w:textAlignment w:val="baseline"/>
              <w:rPr>
                <w:rFonts w:hint="default" w:ascii="Times New Roman" w:hAnsi="Times New Roman" w:eastAsia="宋体" w:cs="Times New Roman"/>
                <w:b/>
                <w:bCs w:val="0"/>
                <w:color w:val="auto"/>
                <w:spacing w:val="0"/>
                <w:sz w:val="24"/>
                <w:lang w:val="en-US" w:eastAsia="zh-CN" w:bidi="ar-SA"/>
              </w:rPr>
            </w:pPr>
            <w:r>
              <w:rPr>
                <w:rFonts w:hint="default" w:ascii="Times New Roman" w:hAnsi="Times New Roman" w:cs="Times New Roman"/>
                <w:b/>
                <w:bCs w:val="0"/>
                <w:color w:val="auto"/>
                <w:spacing w:val="0"/>
                <w:sz w:val="24"/>
                <w:lang w:val="en-US" w:eastAsia="zh-CN" w:bidi="ar-SA"/>
              </w:rPr>
              <w:t>4、</w:t>
            </w:r>
            <w:r>
              <w:rPr>
                <w:rFonts w:hint="eastAsia" w:ascii="Times New Roman" w:hAnsi="Times New Roman" w:eastAsia="宋体" w:cs="Times New Roman"/>
                <w:b/>
                <w:bCs w:val="0"/>
                <w:color w:val="auto"/>
                <w:spacing w:val="0"/>
                <w:sz w:val="24"/>
                <w:lang w:val="en-US" w:eastAsia="zh-CN" w:bidi="ar-SA"/>
              </w:rPr>
              <w:t>施工期大气污染分析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82" w:firstLineChars="200"/>
              <w:textAlignment w:val="baseline"/>
              <w:rPr>
                <w:rFonts w:hint="default" w:ascii="Times New Roman" w:hAnsi="Times New Roman" w:eastAsia="宋体" w:cs="Times New Roman"/>
                <w:b/>
                <w:bCs/>
                <w:color w:val="auto"/>
                <w:spacing w:val="0"/>
                <w:sz w:val="24"/>
                <w:szCs w:val="24"/>
                <w:lang w:val="en-US" w:eastAsia="zh-CN"/>
              </w:rPr>
            </w:pPr>
            <w:r>
              <w:rPr>
                <w:rFonts w:hint="eastAsia" w:ascii="Times New Roman" w:hAnsi="Times New Roman" w:eastAsia="宋体" w:cs="Times New Roman"/>
                <w:b/>
                <w:bCs/>
                <w:color w:val="auto"/>
                <w:spacing w:val="0"/>
                <w:sz w:val="24"/>
                <w:szCs w:val="24"/>
                <w:lang w:val="en-US" w:eastAsia="zh-CN"/>
              </w:rPr>
              <w:t>（1）施工扬尘</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80" w:firstLineChars="200"/>
              <w:textAlignment w:val="baseline"/>
              <w:rPr>
                <w:rFonts w:hint="default" w:ascii="Times New Roman" w:hAnsi="Times New Roman" w:eastAsia="宋体" w:cs="Times New Roman"/>
                <w:color w:val="auto"/>
                <w:spacing w:val="0"/>
                <w:sz w:val="24"/>
                <w:szCs w:val="24"/>
                <w:lang w:val="en-US" w:eastAsia="zh-CN"/>
              </w:rPr>
            </w:pPr>
            <w:r>
              <w:rPr>
                <w:rFonts w:hint="default" w:ascii="Times New Roman" w:hAnsi="Times New Roman" w:eastAsia="宋体" w:cs="Times New Roman"/>
                <w:color w:val="auto"/>
                <w:spacing w:val="0"/>
                <w:sz w:val="24"/>
                <w:szCs w:val="24"/>
                <w:lang w:val="en-US" w:eastAsia="zh-CN"/>
              </w:rPr>
              <w:t>本项目施工期对所在区域环境空气质量的影响主要是扬尘及施工机械废气，其易造成大气中TSP浓度增高，形成扬尘污染。施工期扬尘污染主要来自以下几个方面：施工开挖基坑、材料运输等。扬尘的产生量与风速、湿度、渣土分散度、抓斗倾倒的相对高度及采取的防护措施等有关。项目在施工建设过程中的大气污染主要来自施工场地的扬尘。在整个施工期，产生扬尘的作业有土地平整、开挖、回填、建材运输、露天堆放、装卸等 过程，如遇干旱无雨季节，加上大风，施工扬尘将更严重。因此，在施工过程中，施工单位必须严格依照城市扬尘防护规定进行施工，尽量减少扬尘对环境的影响程度。</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80" w:firstLineChars="200"/>
              <w:textAlignment w:val="baseline"/>
              <w:rPr>
                <w:rFonts w:hint="default" w:ascii="Times New Roman" w:hAnsi="Times New Roman" w:eastAsia="宋体" w:cs="Times New Roman"/>
                <w:color w:val="auto"/>
                <w:spacing w:val="0"/>
                <w:sz w:val="24"/>
                <w:szCs w:val="24"/>
                <w:lang w:val="en-US" w:eastAsia="zh-CN"/>
              </w:rPr>
            </w:pPr>
            <w:r>
              <w:rPr>
                <w:rFonts w:hint="default" w:ascii="Times New Roman" w:hAnsi="Times New Roman" w:eastAsia="宋体" w:cs="Times New Roman"/>
                <w:color w:val="auto"/>
                <w:spacing w:val="0"/>
                <w:sz w:val="24"/>
                <w:szCs w:val="24"/>
                <w:lang w:val="en-US" w:eastAsia="zh-CN"/>
              </w:rPr>
              <w:t>确保施工期扬尘满足《四川省施工场地扬尘排放标准》(DB51/2682-2020)表3中排放限值要求。</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82" w:firstLineChars="200"/>
              <w:textAlignment w:val="baseline"/>
              <w:rPr>
                <w:rFonts w:hint="default" w:ascii="Times New Roman" w:hAnsi="Times New Roman" w:eastAsia="宋体" w:cs="Times New Roman"/>
                <w:b/>
                <w:bCs/>
                <w:color w:val="auto"/>
                <w:spacing w:val="0"/>
                <w:sz w:val="24"/>
                <w:szCs w:val="24"/>
                <w:lang w:val="en-US" w:eastAsia="zh-CN"/>
              </w:rPr>
            </w:pPr>
            <w:r>
              <w:rPr>
                <w:rFonts w:hint="eastAsia" w:ascii="Times New Roman" w:hAnsi="Times New Roman" w:eastAsia="宋体" w:cs="Times New Roman"/>
                <w:b/>
                <w:bCs/>
                <w:color w:val="auto"/>
                <w:spacing w:val="0"/>
                <w:sz w:val="24"/>
                <w:szCs w:val="24"/>
                <w:lang w:val="en-US" w:eastAsia="zh-CN"/>
              </w:rPr>
              <w:t>（2）</w:t>
            </w:r>
            <w:r>
              <w:rPr>
                <w:rFonts w:hint="default" w:ascii="Times New Roman" w:hAnsi="Times New Roman" w:eastAsia="宋体" w:cs="Times New Roman"/>
                <w:b/>
                <w:bCs/>
                <w:color w:val="auto"/>
                <w:spacing w:val="0"/>
                <w:sz w:val="24"/>
                <w:szCs w:val="24"/>
                <w:lang w:val="en-US" w:eastAsia="zh-CN"/>
              </w:rPr>
              <w:t>施工机械废气</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80" w:firstLineChars="200"/>
              <w:textAlignment w:val="baseline"/>
              <w:rPr>
                <w:rFonts w:hint="eastAsia" w:ascii="Times New Roman" w:hAnsi="Times New Roman" w:eastAsia="宋体" w:cs="Times New Roman"/>
                <w:color w:val="auto"/>
                <w:spacing w:val="0"/>
                <w:sz w:val="24"/>
                <w:szCs w:val="24"/>
                <w:lang w:val="en-US" w:eastAsia="zh-CN"/>
              </w:rPr>
            </w:pPr>
            <w:r>
              <w:rPr>
                <w:rFonts w:hint="default" w:ascii="Times New Roman" w:hAnsi="Times New Roman" w:eastAsia="宋体" w:cs="Times New Roman"/>
                <w:color w:val="auto"/>
                <w:spacing w:val="0"/>
                <w:sz w:val="24"/>
                <w:szCs w:val="24"/>
                <w:lang w:val="en-US" w:eastAsia="zh-CN"/>
              </w:rPr>
              <w:t>根据施工组织设计，本工程主要施工机械设备有挖掘机、推土机、 自 卸汽车、装载机等，施工机械使用柴油、汽油，燃油机械产生的废气中含有TSP 、NO</w:t>
            </w:r>
            <w:r>
              <w:rPr>
                <w:rFonts w:hint="default" w:ascii="Times New Roman" w:hAnsi="Times New Roman" w:eastAsia="宋体" w:cs="Times New Roman"/>
                <w:color w:val="auto"/>
                <w:spacing w:val="0"/>
                <w:sz w:val="24"/>
                <w:szCs w:val="24"/>
                <w:vertAlign w:val="subscript"/>
                <w:lang w:val="en-US" w:eastAsia="zh-CN"/>
              </w:rPr>
              <w:t>X</w:t>
            </w:r>
            <w:r>
              <w:rPr>
                <w:rFonts w:hint="default" w:ascii="Times New Roman" w:hAnsi="Times New Roman" w:eastAsia="宋体" w:cs="Times New Roman"/>
                <w:color w:val="auto"/>
                <w:spacing w:val="0"/>
                <w:sz w:val="24"/>
                <w:szCs w:val="24"/>
                <w:lang w:val="en-US" w:eastAsia="zh-CN"/>
              </w:rPr>
              <w:t>等污染物。为减少机械废气对周边环境的影响，施工单位加强机械车辆维护管理，定期对燃油机械和车辆进行检修维护，使用合格燃油，燃油机械和车辆必须保证在正常状态下使用，保证废气达标排放。</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82" w:firstLineChars="200"/>
              <w:textAlignment w:val="baseline"/>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5、</w:t>
            </w:r>
            <w:r>
              <w:rPr>
                <w:rFonts w:hint="eastAsia" w:ascii="Times New Roman" w:hAnsi="Times New Roman" w:cs="Times New Roman"/>
                <w:b/>
                <w:bCs/>
                <w:sz w:val="24"/>
                <w:szCs w:val="24"/>
                <w:lang w:val="en-US" w:eastAsia="zh-CN"/>
              </w:rPr>
              <w:t>施工期噪</w:t>
            </w:r>
            <w:r>
              <w:rPr>
                <w:rFonts w:hint="default" w:ascii="Times New Roman" w:hAnsi="Times New Roman" w:cs="Times New Roman"/>
                <w:b/>
                <w:bCs/>
                <w:sz w:val="24"/>
                <w:szCs w:val="24"/>
              </w:rPr>
              <w:t>声</w:t>
            </w:r>
            <w:r>
              <w:rPr>
                <w:rFonts w:hint="eastAsia" w:ascii="Times New Roman" w:hAnsi="Times New Roman" w:cs="Times New Roman"/>
                <w:b/>
                <w:bCs/>
                <w:sz w:val="24"/>
                <w:szCs w:val="24"/>
                <w:lang w:val="en-US" w:eastAsia="zh-CN"/>
              </w:rPr>
              <w:t>污染</w:t>
            </w:r>
            <w:r>
              <w:rPr>
                <w:rFonts w:hint="default" w:ascii="Times New Roman" w:hAnsi="Times New Roman" w:cs="Times New Roman"/>
                <w:b/>
                <w:bCs/>
                <w:sz w:val="24"/>
                <w:szCs w:val="24"/>
              </w:rPr>
              <w:t>源</w:t>
            </w:r>
          </w:p>
          <w:p>
            <w:pPr>
              <w:keepNext w:val="0"/>
              <w:keepLines w:val="0"/>
              <w:pageBreakBefore w:val="0"/>
              <w:widowControl/>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施工期噪声是本项目主要的环境影响因子之一，主要可分为机械噪声、施工作业噪声和施工车辆噪声。机械噪声主要由施工机械所造成，多为点声源；施工作业噪声主要指一些零星的敲打声、装卸车辆的撞击声、混凝土浇筑振捣、拆装模板的撞击声等，多为瞬间噪声，施工车辆的噪声属于交通噪声。不同施工阶段和不同施工机械发出的噪声水平是不同的，且有大量设备交互作业，因此施工作业噪声将会对施工场地内、外环境带来一定的影响。</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pacing w:val="0"/>
                <w:kern w:val="0"/>
                <w:sz w:val="21"/>
                <w:szCs w:val="21"/>
                <w:lang w:val="en-US" w:eastAsia="zh-CN" w:bidi="ar-SA"/>
              </w:rPr>
            </w:pPr>
            <w:r>
              <w:rPr>
                <w:rFonts w:hint="default" w:ascii="Times New Roman" w:hAnsi="Times New Roman" w:eastAsia="宋体" w:cs="Times New Roman"/>
                <w:b/>
                <w:bCs/>
                <w:color w:val="auto"/>
                <w:spacing w:val="0"/>
                <w:kern w:val="0"/>
                <w:sz w:val="21"/>
                <w:szCs w:val="21"/>
                <w:lang w:val="en-US" w:eastAsia="zh-CN" w:bidi="ar-SA"/>
              </w:rPr>
              <w:t>表4-1  施工期主要噪声源及其声级值</w:t>
            </w:r>
          </w:p>
          <w:tbl>
            <w:tblPr>
              <w:tblStyle w:val="4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8"/>
              <w:gridCol w:w="1600"/>
              <w:gridCol w:w="1707"/>
              <w:gridCol w:w="1564"/>
              <w:gridCol w:w="1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2" w:type="pct"/>
                  <w:noWrap w:val="0"/>
                  <w:vAlign w:val="top"/>
                </w:tcPr>
                <w:p>
                  <w:pPr>
                    <w:adjustRightInd w:val="0"/>
                    <w:snapToGrid w:val="0"/>
                    <w:spacing w:line="240" w:lineRule="auto"/>
                    <w:jc w:val="center"/>
                    <w:rPr>
                      <w:rFonts w:hint="default" w:ascii="Times New Roman" w:hAnsi="Times New Roman" w:cs="Times New Roman"/>
                      <w:b/>
                      <w:bCs/>
                    </w:rPr>
                  </w:pPr>
                  <w:r>
                    <w:rPr>
                      <w:rFonts w:hint="default" w:ascii="Times New Roman" w:hAnsi="Times New Roman" w:cs="Times New Roman"/>
                      <w:b/>
                      <w:bCs/>
                    </w:rPr>
                    <w:t>序号</w:t>
                  </w:r>
                </w:p>
              </w:tc>
              <w:tc>
                <w:tcPr>
                  <w:tcW w:w="1090" w:type="pct"/>
                  <w:noWrap w:val="0"/>
                  <w:vAlign w:val="top"/>
                </w:tcPr>
                <w:p>
                  <w:pPr>
                    <w:adjustRightInd w:val="0"/>
                    <w:snapToGrid w:val="0"/>
                    <w:spacing w:line="240" w:lineRule="auto"/>
                    <w:jc w:val="center"/>
                    <w:rPr>
                      <w:rFonts w:hint="default" w:ascii="Times New Roman" w:hAnsi="Times New Roman" w:cs="Times New Roman"/>
                      <w:b/>
                      <w:bCs/>
                    </w:rPr>
                  </w:pPr>
                  <w:r>
                    <w:rPr>
                      <w:rFonts w:hint="default" w:ascii="Times New Roman" w:hAnsi="Times New Roman" w:cs="Times New Roman"/>
                      <w:b/>
                      <w:bCs/>
                    </w:rPr>
                    <w:t>设备名称</w:t>
                  </w:r>
                </w:p>
              </w:tc>
              <w:tc>
                <w:tcPr>
                  <w:tcW w:w="1163" w:type="pct"/>
                  <w:noWrap w:val="0"/>
                  <w:vAlign w:val="top"/>
                </w:tcPr>
                <w:p>
                  <w:pPr>
                    <w:adjustRightInd w:val="0"/>
                    <w:snapToGrid w:val="0"/>
                    <w:spacing w:line="240" w:lineRule="auto"/>
                    <w:jc w:val="center"/>
                    <w:rPr>
                      <w:rFonts w:hint="default" w:ascii="Times New Roman" w:hAnsi="Times New Roman" w:cs="Times New Roman"/>
                      <w:b/>
                      <w:bCs/>
                    </w:rPr>
                  </w:pPr>
                  <w:r>
                    <w:rPr>
                      <w:rFonts w:hint="default" w:ascii="Times New Roman" w:hAnsi="Times New Roman" w:cs="Times New Roman"/>
                      <w:b/>
                      <w:bCs/>
                    </w:rPr>
                    <w:t>规格型号</w:t>
                  </w:r>
                </w:p>
              </w:tc>
              <w:tc>
                <w:tcPr>
                  <w:tcW w:w="1066" w:type="pct"/>
                  <w:noWrap w:val="0"/>
                  <w:vAlign w:val="top"/>
                </w:tcPr>
                <w:p>
                  <w:pPr>
                    <w:adjustRightInd w:val="0"/>
                    <w:snapToGrid w:val="0"/>
                    <w:spacing w:line="240" w:lineRule="auto"/>
                    <w:jc w:val="center"/>
                    <w:rPr>
                      <w:rFonts w:hint="default" w:ascii="Times New Roman" w:hAnsi="Times New Roman" w:cs="Times New Roman"/>
                      <w:b/>
                      <w:bCs/>
                    </w:rPr>
                  </w:pPr>
                  <w:r>
                    <w:rPr>
                      <w:rFonts w:hint="default" w:ascii="Times New Roman" w:hAnsi="Times New Roman" w:cs="Times New Roman"/>
                      <w:b/>
                      <w:bCs/>
                    </w:rPr>
                    <w:t>噪声强度dB（A）</w:t>
                  </w:r>
                </w:p>
              </w:tc>
              <w:tc>
                <w:tcPr>
                  <w:tcW w:w="1066" w:type="pct"/>
                  <w:noWrap w:val="0"/>
                  <w:vAlign w:val="top"/>
                </w:tcPr>
                <w:p>
                  <w:pPr>
                    <w:adjustRightInd w:val="0"/>
                    <w:snapToGrid w:val="0"/>
                    <w:spacing w:line="240" w:lineRule="auto"/>
                    <w:jc w:val="center"/>
                    <w:rPr>
                      <w:rFonts w:hint="eastAsia" w:ascii="Times New Roman" w:hAnsi="Times New Roman" w:eastAsia="宋体" w:cs="Times New Roman"/>
                      <w:b/>
                      <w:bCs/>
                      <w:lang w:val="en-US" w:eastAsia="zh-CN"/>
                    </w:rPr>
                  </w:pPr>
                  <w:r>
                    <w:rPr>
                      <w:rFonts w:hint="eastAsia" w:ascii="Times New Roman" w:hAnsi="Times New Roman" w:cs="Times New Roman"/>
                      <w:b/>
                      <w:bCs/>
                      <w:lang w:val="en-US" w:eastAsia="zh-CN"/>
                    </w:rPr>
                    <w:t>数量（台）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2" w:type="pct"/>
                  <w:noWrap w:val="0"/>
                  <w:vAlign w:val="top"/>
                </w:tcPr>
                <w:p>
                  <w:pPr>
                    <w:adjustRightInd w:val="0"/>
                    <w:snapToGrid w:val="0"/>
                    <w:spacing w:line="240" w:lineRule="auto"/>
                    <w:jc w:val="center"/>
                    <w:rPr>
                      <w:rFonts w:hint="default" w:ascii="Times New Roman" w:hAnsi="Times New Roman" w:cs="Times New Roman"/>
                    </w:rPr>
                  </w:pPr>
                  <w:r>
                    <w:rPr>
                      <w:rFonts w:hint="default" w:ascii="Times New Roman" w:hAnsi="Times New Roman" w:cs="Times New Roman"/>
                    </w:rPr>
                    <w:t>1</w:t>
                  </w:r>
                </w:p>
              </w:tc>
              <w:tc>
                <w:tcPr>
                  <w:tcW w:w="109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rPr>
                  </w:pPr>
                  <w:r>
                    <w:rPr>
                      <w:rFonts w:hint="default" w:ascii="Times New Roman" w:hAnsi="Times New Roman" w:eastAsia="宋体" w:cs="Times New Roman"/>
                      <w:b w:val="0"/>
                      <w:bCs/>
                      <w:color w:val="auto"/>
                      <w:spacing w:val="0"/>
                      <w:sz w:val="21"/>
                      <w:szCs w:val="21"/>
                      <w:highlight w:val="none"/>
                      <w:lang w:val="en-US" w:eastAsia="zh-CN"/>
                    </w:rPr>
                    <w:t>挖掘机</w:t>
                  </w:r>
                </w:p>
              </w:tc>
              <w:tc>
                <w:tcPr>
                  <w:tcW w:w="116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
                    </w:rPr>
                    <w:t>1.6m</w:t>
                  </w:r>
                  <w:r>
                    <w:rPr>
                      <w:rFonts w:hint="default" w:ascii="Times New Roman" w:hAnsi="Times New Roman" w:eastAsia="宋体" w:cs="Times New Roman"/>
                      <w:kern w:val="2"/>
                      <w:sz w:val="21"/>
                      <w:szCs w:val="21"/>
                      <w:vertAlign w:val="superscript"/>
                      <w:lang w:val="en-US" w:eastAsia="zh-CN" w:bidi="ar"/>
                    </w:rPr>
                    <w:t>3</w:t>
                  </w:r>
                </w:p>
              </w:tc>
              <w:tc>
                <w:tcPr>
                  <w:tcW w:w="1066" w:type="pct"/>
                  <w:noWrap w:val="0"/>
                  <w:vAlign w:val="top"/>
                </w:tcPr>
                <w:p>
                  <w:pPr>
                    <w:adjustRightInd w:val="0"/>
                    <w:snapToGrid w:val="0"/>
                    <w:spacing w:line="240" w:lineRule="auto"/>
                    <w:jc w:val="center"/>
                    <w:rPr>
                      <w:rFonts w:hint="default" w:ascii="Times New Roman" w:hAnsi="Times New Roman" w:cs="Times New Roman"/>
                    </w:rPr>
                  </w:pPr>
                  <w:r>
                    <w:rPr>
                      <w:rFonts w:hint="default" w:ascii="Times New Roman" w:hAnsi="Times New Roman" w:cs="Times New Roman"/>
                    </w:rPr>
                    <w:t>85</w:t>
                  </w:r>
                </w:p>
              </w:tc>
              <w:tc>
                <w:tcPr>
                  <w:tcW w:w="1066" w:type="pct"/>
                  <w:noWrap w:val="0"/>
                  <w:vAlign w:val="top"/>
                </w:tcPr>
                <w:p>
                  <w:pPr>
                    <w:adjustRightInd w:val="0"/>
                    <w:snapToGrid w:val="0"/>
                    <w:spacing w:line="240" w:lineRule="auto"/>
                    <w:jc w:val="center"/>
                    <w:rPr>
                      <w:rFonts w:hint="eastAsia" w:ascii="Times New Roman" w:hAnsi="Times New Roman" w:eastAsia="宋体" w:cs="Times New Roman"/>
                      <w:lang w:val="en-US" w:eastAsia="zh-CN"/>
                    </w:rPr>
                  </w:pPr>
                  <w:r>
                    <w:rPr>
                      <w:rFonts w:hint="eastAsia" w:ascii="Times New Roman" w:hAnsi="Times New Roman" w:cs="Times New Roman"/>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2" w:type="pct"/>
                  <w:noWrap w:val="0"/>
                  <w:vAlign w:val="top"/>
                </w:tcPr>
                <w:p>
                  <w:pPr>
                    <w:adjustRightInd w:val="0"/>
                    <w:snapToGrid w:val="0"/>
                    <w:spacing w:line="240" w:lineRule="auto"/>
                    <w:jc w:val="center"/>
                    <w:rPr>
                      <w:rFonts w:hint="default" w:ascii="Times New Roman" w:hAnsi="Times New Roman" w:cs="Times New Roman"/>
                    </w:rPr>
                  </w:pPr>
                  <w:r>
                    <w:rPr>
                      <w:rFonts w:hint="default" w:ascii="Times New Roman" w:hAnsi="Times New Roman" w:cs="Times New Roman"/>
                    </w:rPr>
                    <w:t>2</w:t>
                  </w:r>
                </w:p>
              </w:tc>
              <w:tc>
                <w:tcPr>
                  <w:tcW w:w="109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rPr>
                  </w:pPr>
                  <w:r>
                    <w:rPr>
                      <w:rFonts w:hint="eastAsia" w:ascii="Times New Roman" w:hAnsi="Times New Roman" w:eastAsia="宋体" w:cs="Times New Roman"/>
                      <w:b w:val="0"/>
                      <w:bCs/>
                      <w:color w:val="auto"/>
                      <w:spacing w:val="0"/>
                      <w:sz w:val="21"/>
                      <w:szCs w:val="21"/>
                      <w:highlight w:val="none"/>
                      <w:lang w:val="en-US" w:eastAsia="zh-CN"/>
                    </w:rPr>
                    <w:t>推土机</w:t>
                  </w:r>
                </w:p>
              </w:tc>
              <w:tc>
                <w:tcPr>
                  <w:tcW w:w="116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
                    </w:rPr>
                    <w:t>88KW</w:t>
                  </w:r>
                </w:p>
              </w:tc>
              <w:tc>
                <w:tcPr>
                  <w:tcW w:w="1066" w:type="pct"/>
                  <w:noWrap w:val="0"/>
                  <w:vAlign w:val="top"/>
                </w:tcPr>
                <w:p>
                  <w:pPr>
                    <w:adjustRightInd w:val="0"/>
                    <w:snapToGrid w:val="0"/>
                    <w:spacing w:line="240" w:lineRule="auto"/>
                    <w:jc w:val="center"/>
                    <w:rPr>
                      <w:rFonts w:hint="default" w:ascii="Times New Roman" w:hAnsi="Times New Roman" w:cs="Times New Roman"/>
                    </w:rPr>
                  </w:pPr>
                  <w:r>
                    <w:rPr>
                      <w:rFonts w:hint="default" w:ascii="Times New Roman" w:hAnsi="Times New Roman" w:cs="Times New Roman"/>
                    </w:rPr>
                    <w:t>85</w:t>
                  </w:r>
                </w:p>
              </w:tc>
              <w:tc>
                <w:tcPr>
                  <w:tcW w:w="1066" w:type="pct"/>
                  <w:noWrap w:val="0"/>
                  <w:vAlign w:val="top"/>
                </w:tcPr>
                <w:p>
                  <w:pPr>
                    <w:adjustRightInd w:val="0"/>
                    <w:snapToGrid w:val="0"/>
                    <w:spacing w:line="240" w:lineRule="auto"/>
                    <w:jc w:val="center"/>
                    <w:rPr>
                      <w:rFonts w:hint="eastAsia" w:ascii="Times New Roman" w:hAnsi="Times New Roman" w:eastAsia="宋体" w:cs="Times New Roman"/>
                      <w:lang w:val="en-US" w:eastAsia="zh-CN"/>
                    </w:rPr>
                  </w:pPr>
                  <w:r>
                    <w:rPr>
                      <w:rFonts w:hint="eastAsia" w:ascii="Times New Roman" w:hAnsi="Times New Roman" w:cs="Times New Roman"/>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2" w:type="pct"/>
                  <w:noWrap w:val="0"/>
                  <w:vAlign w:val="top"/>
                </w:tcPr>
                <w:p>
                  <w:pPr>
                    <w:adjustRightInd w:val="0"/>
                    <w:snapToGrid w:val="0"/>
                    <w:spacing w:line="240" w:lineRule="auto"/>
                    <w:jc w:val="center"/>
                    <w:rPr>
                      <w:rFonts w:hint="default" w:ascii="Times New Roman" w:hAnsi="Times New Roman" w:cs="Times New Roman"/>
                    </w:rPr>
                  </w:pPr>
                  <w:r>
                    <w:rPr>
                      <w:rFonts w:hint="default" w:ascii="Times New Roman" w:hAnsi="Times New Roman" w:cs="Times New Roman"/>
                    </w:rPr>
                    <w:t>3</w:t>
                  </w:r>
                </w:p>
              </w:tc>
              <w:tc>
                <w:tcPr>
                  <w:tcW w:w="109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
                    </w:rPr>
                    <w:t>蛙式打夯机</w:t>
                  </w:r>
                </w:p>
              </w:tc>
              <w:tc>
                <w:tcPr>
                  <w:tcW w:w="116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
                    </w:rPr>
                    <w:t>2.8kw</w:t>
                  </w:r>
                </w:p>
              </w:tc>
              <w:tc>
                <w:tcPr>
                  <w:tcW w:w="1066" w:type="pct"/>
                  <w:noWrap w:val="0"/>
                  <w:vAlign w:val="top"/>
                </w:tcPr>
                <w:p>
                  <w:pPr>
                    <w:adjustRightInd w:val="0"/>
                    <w:snapToGrid w:val="0"/>
                    <w:spacing w:line="240" w:lineRule="auto"/>
                    <w:jc w:val="center"/>
                    <w:rPr>
                      <w:rFonts w:hint="default" w:ascii="Times New Roman" w:hAnsi="Times New Roman" w:cs="Times New Roman"/>
                    </w:rPr>
                  </w:pPr>
                  <w:r>
                    <w:rPr>
                      <w:rFonts w:hint="default" w:ascii="Times New Roman" w:hAnsi="Times New Roman" w:cs="Times New Roman"/>
                    </w:rPr>
                    <w:t>85</w:t>
                  </w:r>
                </w:p>
              </w:tc>
              <w:tc>
                <w:tcPr>
                  <w:tcW w:w="1066" w:type="pct"/>
                  <w:noWrap w:val="0"/>
                  <w:vAlign w:val="top"/>
                </w:tcPr>
                <w:p>
                  <w:pPr>
                    <w:adjustRightInd w:val="0"/>
                    <w:snapToGrid w:val="0"/>
                    <w:spacing w:line="240" w:lineRule="auto"/>
                    <w:jc w:val="center"/>
                    <w:rPr>
                      <w:rFonts w:hint="eastAsia" w:ascii="Times New Roman" w:hAnsi="Times New Roman" w:eastAsia="宋体" w:cs="Times New Roman"/>
                      <w:lang w:val="en-US" w:eastAsia="zh-CN"/>
                    </w:rPr>
                  </w:pPr>
                  <w:r>
                    <w:rPr>
                      <w:rFonts w:hint="eastAsia" w:ascii="Times New Roman" w:hAnsi="Times New Roman" w:cs="Times New Roman"/>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612" w:type="pct"/>
                  <w:noWrap w:val="0"/>
                  <w:vAlign w:val="top"/>
                </w:tcPr>
                <w:p>
                  <w:pPr>
                    <w:adjustRightInd w:val="0"/>
                    <w:snapToGrid w:val="0"/>
                    <w:spacing w:line="240" w:lineRule="auto"/>
                    <w:jc w:val="center"/>
                    <w:rPr>
                      <w:rFonts w:hint="default" w:ascii="Times New Roman" w:hAnsi="Times New Roman" w:cs="Times New Roman"/>
                    </w:rPr>
                  </w:pPr>
                  <w:r>
                    <w:rPr>
                      <w:rFonts w:hint="default" w:ascii="Times New Roman" w:hAnsi="Times New Roman" w:cs="Times New Roman"/>
                    </w:rPr>
                    <w:t>4</w:t>
                  </w:r>
                </w:p>
              </w:tc>
              <w:tc>
                <w:tcPr>
                  <w:tcW w:w="109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
                    </w:rPr>
                    <w:t>小型振动碾</w:t>
                  </w:r>
                </w:p>
              </w:tc>
              <w:tc>
                <w:tcPr>
                  <w:tcW w:w="116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rPr>
                  </w:pPr>
                  <w:r>
                    <w:rPr>
                      <w:rFonts w:hint="default" w:ascii="Times New Roman" w:hAnsi="Times New Roman" w:eastAsia="宋体" w:cs="Times New Roman"/>
                      <w:b w:val="0"/>
                      <w:bCs/>
                      <w:color w:val="auto"/>
                      <w:spacing w:val="0"/>
                      <w:sz w:val="21"/>
                      <w:szCs w:val="21"/>
                      <w:highlight w:val="none"/>
                      <w:lang w:val="en-US" w:eastAsia="zh-CN"/>
                    </w:rPr>
                    <w:t>/</w:t>
                  </w:r>
                </w:p>
              </w:tc>
              <w:tc>
                <w:tcPr>
                  <w:tcW w:w="1066" w:type="pct"/>
                  <w:noWrap w:val="0"/>
                  <w:vAlign w:val="top"/>
                </w:tcPr>
                <w:p>
                  <w:pPr>
                    <w:adjustRightInd w:val="0"/>
                    <w:snapToGrid w:val="0"/>
                    <w:spacing w:line="240" w:lineRule="auto"/>
                    <w:jc w:val="center"/>
                    <w:rPr>
                      <w:rFonts w:hint="default" w:ascii="Times New Roman" w:hAnsi="Times New Roman" w:cs="Times New Roman"/>
                    </w:rPr>
                  </w:pPr>
                  <w:r>
                    <w:rPr>
                      <w:rFonts w:hint="default" w:ascii="Times New Roman" w:hAnsi="Times New Roman" w:cs="Times New Roman"/>
                    </w:rPr>
                    <w:t>85</w:t>
                  </w:r>
                </w:p>
              </w:tc>
              <w:tc>
                <w:tcPr>
                  <w:tcW w:w="1066" w:type="pct"/>
                  <w:noWrap w:val="0"/>
                  <w:vAlign w:val="top"/>
                </w:tcPr>
                <w:p>
                  <w:pPr>
                    <w:adjustRightInd w:val="0"/>
                    <w:snapToGrid w:val="0"/>
                    <w:spacing w:line="240" w:lineRule="auto"/>
                    <w:jc w:val="center"/>
                    <w:rPr>
                      <w:rFonts w:hint="eastAsia" w:ascii="Times New Roman" w:hAnsi="Times New Roman" w:eastAsia="宋体" w:cs="Times New Roman"/>
                      <w:lang w:val="en-US" w:eastAsia="zh-CN"/>
                    </w:rPr>
                  </w:pPr>
                  <w:r>
                    <w:rPr>
                      <w:rFonts w:hint="eastAsia" w:ascii="Times New Roman" w:hAnsi="Times New Roman" w:cs="Times New Roman"/>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612" w:type="pct"/>
                  <w:noWrap w:val="0"/>
                  <w:vAlign w:val="top"/>
                </w:tcPr>
                <w:p>
                  <w:pPr>
                    <w:adjustRightInd w:val="0"/>
                    <w:snapToGrid w:val="0"/>
                    <w:spacing w:line="240" w:lineRule="auto"/>
                    <w:jc w:val="center"/>
                    <w:rPr>
                      <w:rFonts w:hint="default" w:ascii="Times New Roman" w:hAnsi="Times New Roman" w:cs="Times New Roman"/>
                    </w:rPr>
                  </w:pPr>
                  <w:r>
                    <w:rPr>
                      <w:rFonts w:hint="default" w:ascii="Times New Roman" w:hAnsi="Times New Roman" w:cs="Times New Roman"/>
                    </w:rPr>
                    <w:t>5</w:t>
                  </w:r>
                </w:p>
              </w:tc>
              <w:tc>
                <w:tcPr>
                  <w:tcW w:w="109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
                    </w:rPr>
                    <w:t>轮胎碾</w:t>
                  </w:r>
                </w:p>
              </w:tc>
              <w:tc>
                <w:tcPr>
                  <w:tcW w:w="116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rPr>
                  </w:pPr>
                  <w:r>
                    <w:rPr>
                      <w:rFonts w:hint="default" w:ascii="Times New Roman" w:hAnsi="Times New Roman" w:eastAsia="宋体" w:cs="Times New Roman"/>
                      <w:b w:val="0"/>
                      <w:bCs/>
                      <w:color w:val="auto"/>
                      <w:spacing w:val="0"/>
                      <w:sz w:val="21"/>
                      <w:szCs w:val="21"/>
                      <w:highlight w:val="none"/>
                      <w:lang w:val="en-US" w:eastAsia="zh-CN"/>
                    </w:rPr>
                    <w:t>/</w:t>
                  </w:r>
                </w:p>
              </w:tc>
              <w:tc>
                <w:tcPr>
                  <w:tcW w:w="1066" w:type="pct"/>
                  <w:noWrap w:val="0"/>
                  <w:vAlign w:val="top"/>
                </w:tcPr>
                <w:p>
                  <w:pPr>
                    <w:adjustRightInd w:val="0"/>
                    <w:snapToGrid w:val="0"/>
                    <w:spacing w:line="240" w:lineRule="auto"/>
                    <w:jc w:val="center"/>
                    <w:rPr>
                      <w:rFonts w:hint="default" w:ascii="Times New Roman" w:hAnsi="Times New Roman" w:cs="Times New Roman"/>
                    </w:rPr>
                  </w:pPr>
                  <w:r>
                    <w:rPr>
                      <w:rFonts w:hint="default" w:ascii="Times New Roman" w:hAnsi="Times New Roman" w:cs="Times New Roman"/>
                    </w:rPr>
                    <w:t>85</w:t>
                  </w:r>
                </w:p>
              </w:tc>
              <w:tc>
                <w:tcPr>
                  <w:tcW w:w="1066" w:type="pct"/>
                  <w:noWrap w:val="0"/>
                  <w:vAlign w:val="top"/>
                </w:tcPr>
                <w:p>
                  <w:pPr>
                    <w:adjustRightInd w:val="0"/>
                    <w:snapToGrid w:val="0"/>
                    <w:spacing w:line="240" w:lineRule="auto"/>
                    <w:jc w:val="center"/>
                    <w:rPr>
                      <w:rFonts w:hint="eastAsia" w:ascii="Times New Roman" w:hAnsi="Times New Roman" w:eastAsia="宋体" w:cs="Times New Roman"/>
                      <w:lang w:val="en-US" w:eastAsia="zh-CN"/>
                    </w:rPr>
                  </w:pPr>
                  <w:r>
                    <w:rPr>
                      <w:rFonts w:hint="eastAsia" w:ascii="Times New Roman" w:hAnsi="Times New Roman" w:cs="Times New Roman"/>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612" w:type="pct"/>
                  <w:noWrap w:val="0"/>
                  <w:vAlign w:val="top"/>
                </w:tcPr>
                <w:p>
                  <w:pPr>
                    <w:adjustRightInd w:val="0"/>
                    <w:snapToGrid w:val="0"/>
                    <w:spacing w:line="240" w:lineRule="auto"/>
                    <w:jc w:val="center"/>
                    <w:rPr>
                      <w:rFonts w:hint="default" w:ascii="Times New Roman" w:hAnsi="Times New Roman" w:cs="Times New Roman"/>
                    </w:rPr>
                  </w:pPr>
                  <w:r>
                    <w:rPr>
                      <w:rFonts w:hint="default" w:ascii="Times New Roman" w:hAnsi="Times New Roman" w:cs="Times New Roman"/>
                    </w:rPr>
                    <w:t>6</w:t>
                  </w:r>
                </w:p>
              </w:tc>
              <w:tc>
                <w:tcPr>
                  <w:tcW w:w="109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
                    </w:rPr>
                    <w:t>插入式振捣器</w:t>
                  </w:r>
                </w:p>
              </w:tc>
              <w:tc>
                <w:tcPr>
                  <w:tcW w:w="116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
                    </w:rPr>
                    <w:t>ZN30</w:t>
                  </w:r>
                </w:p>
              </w:tc>
              <w:tc>
                <w:tcPr>
                  <w:tcW w:w="1066" w:type="pct"/>
                  <w:noWrap w:val="0"/>
                  <w:vAlign w:val="top"/>
                </w:tcPr>
                <w:p>
                  <w:pPr>
                    <w:adjustRightInd w:val="0"/>
                    <w:snapToGrid w:val="0"/>
                    <w:spacing w:line="240" w:lineRule="auto"/>
                    <w:jc w:val="center"/>
                    <w:rPr>
                      <w:rFonts w:hint="default" w:ascii="Times New Roman" w:hAnsi="Times New Roman" w:cs="Times New Roman"/>
                    </w:rPr>
                  </w:pPr>
                  <w:r>
                    <w:rPr>
                      <w:rFonts w:hint="default" w:ascii="Times New Roman" w:hAnsi="Times New Roman" w:cs="Times New Roman"/>
                    </w:rPr>
                    <w:t>85</w:t>
                  </w:r>
                </w:p>
              </w:tc>
              <w:tc>
                <w:tcPr>
                  <w:tcW w:w="1066" w:type="pct"/>
                  <w:noWrap w:val="0"/>
                  <w:vAlign w:val="top"/>
                </w:tcPr>
                <w:p>
                  <w:pPr>
                    <w:adjustRightInd w:val="0"/>
                    <w:snapToGrid w:val="0"/>
                    <w:spacing w:line="240" w:lineRule="auto"/>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612" w:type="pct"/>
                  <w:noWrap w:val="0"/>
                  <w:vAlign w:val="top"/>
                </w:tcPr>
                <w:p>
                  <w:pPr>
                    <w:adjustRightInd w:val="0"/>
                    <w:snapToGrid w:val="0"/>
                    <w:spacing w:line="240" w:lineRule="auto"/>
                    <w:jc w:val="center"/>
                    <w:rPr>
                      <w:rFonts w:hint="default" w:ascii="Times New Roman" w:hAnsi="Times New Roman" w:cs="Times New Roman"/>
                    </w:rPr>
                  </w:pPr>
                  <w:r>
                    <w:rPr>
                      <w:rFonts w:hint="default" w:ascii="Times New Roman" w:hAnsi="Times New Roman" w:cs="Times New Roman"/>
                    </w:rPr>
                    <w:t>7</w:t>
                  </w:r>
                </w:p>
              </w:tc>
              <w:tc>
                <w:tcPr>
                  <w:tcW w:w="109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
                    </w:rPr>
                    <w:t>自卸汽车</w:t>
                  </w:r>
                </w:p>
              </w:tc>
              <w:tc>
                <w:tcPr>
                  <w:tcW w:w="116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rPr>
                  </w:pPr>
                  <w:r>
                    <w:rPr>
                      <w:rFonts w:hint="default" w:ascii="Times New Roman" w:hAnsi="Times New Roman" w:eastAsia="宋体" w:cs="Times New Roman"/>
                      <w:kern w:val="2"/>
                      <w:sz w:val="21"/>
                      <w:szCs w:val="21"/>
                      <w:lang w:val="en-US" w:eastAsia="zh-CN" w:bidi="ar"/>
                    </w:rPr>
                    <w:t>15t</w:t>
                  </w:r>
                </w:p>
              </w:tc>
              <w:tc>
                <w:tcPr>
                  <w:tcW w:w="1066" w:type="pct"/>
                  <w:noWrap w:val="0"/>
                  <w:vAlign w:val="top"/>
                </w:tcPr>
                <w:p>
                  <w:pPr>
                    <w:adjustRightInd w:val="0"/>
                    <w:snapToGrid w:val="0"/>
                    <w:spacing w:line="240" w:lineRule="auto"/>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85</w:t>
                  </w:r>
                </w:p>
              </w:tc>
              <w:tc>
                <w:tcPr>
                  <w:tcW w:w="1066" w:type="pct"/>
                  <w:noWrap w:val="0"/>
                  <w:vAlign w:val="top"/>
                </w:tcPr>
                <w:p>
                  <w:pPr>
                    <w:adjustRightInd w:val="0"/>
                    <w:snapToGrid w:val="0"/>
                    <w:spacing w:line="240" w:lineRule="auto"/>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612" w:type="pct"/>
                  <w:noWrap w:val="0"/>
                  <w:vAlign w:val="top"/>
                </w:tcPr>
                <w:p>
                  <w:pPr>
                    <w:adjustRightInd w:val="0"/>
                    <w:snapToGrid w:val="0"/>
                    <w:spacing w:line="240" w:lineRule="auto"/>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8</w:t>
                  </w:r>
                </w:p>
              </w:tc>
              <w:tc>
                <w:tcPr>
                  <w:tcW w:w="109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21"/>
                      <w:szCs w:val="21"/>
                      <w:highlight w:val="none"/>
                      <w:lang w:val="en-US" w:eastAsia="zh-CN"/>
                    </w:rPr>
                  </w:pPr>
                  <w:r>
                    <w:rPr>
                      <w:rFonts w:hint="default" w:ascii="Times New Roman" w:hAnsi="Times New Roman" w:eastAsia="宋体" w:cs="Times New Roman"/>
                      <w:color w:val="auto"/>
                      <w:sz w:val="21"/>
                      <w:szCs w:val="21"/>
                    </w:rPr>
                    <w:t>载重汽车</w:t>
                  </w:r>
                </w:p>
              </w:tc>
              <w:tc>
                <w:tcPr>
                  <w:tcW w:w="116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pacing w:val="0"/>
                      <w:sz w:val="21"/>
                      <w:szCs w:val="21"/>
                      <w:highlight w:val="none"/>
                      <w:lang w:val="en-US" w:eastAsia="zh-CN"/>
                    </w:rPr>
                  </w:pPr>
                  <w:r>
                    <w:rPr>
                      <w:rFonts w:hint="default" w:ascii="Times New Roman" w:hAnsi="Times New Roman" w:eastAsia="宋体" w:cs="Times New Roman"/>
                      <w:kern w:val="2"/>
                      <w:sz w:val="21"/>
                      <w:szCs w:val="21"/>
                      <w:lang w:val="en-US" w:eastAsia="zh-CN" w:bidi="ar"/>
                    </w:rPr>
                    <w:t>10t/15t</w:t>
                  </w:r>
                </w:p>
              </w:tc>
              <w:tc>
                <w:tcPr>
                  <w:tcW w:w="1066" w:type="pct"/>
                  <w:noWrap w:val="0"/>
                  <w:vAlign w:val="top"/>
                </w:tcPr>
                <w:p>
                  <w:pPr>
                    <w:adjustRightInd w:val="0"/>
                    <w:snapToGrid w:val="0"/>
                    <w:spacing w:line="240" w:lineRule="auto"/>
                    <w:jc w:val="center"/>
                    <w:rPr>
                      <w:rFonts w:hint="default" w:ascii="Times New Roman" w:hAnsi="Times New Roman" w:cs="Times New Roman"/>
                    </w:rPr>
                  </w:pPr>
                  <w:r>
                    <w:rPr>
                      <w:rFonts w:hint="default" w:ascii="Times New Roman" w:hAnsi="Times New Roman" w:cs="Times New Roman"/>
                      <w:lang w:val="en-US" w:eastAsia="zh-CN"/>
                    </w:rPr>
                    <w:t>80</w:t>
                  </w:r>
                </w:p>
              </w:tc>
              <w:tc>
                <w:tcPr>
                  <w:tcW w:w="1066" w:type="pct"/>
                  <w:noWrap w:val="0"/>
                  <w:vAlign w:val="top"/>
                </w:tcPr>
                <w:p>
                  <w:pPr>
                    <w:adjustRightInd w:val="0"/>
                    <w:snapToGrid w:val="0"/>
                    <w:spacing w:line="240" w:lineRule="auto"/>
                    <w:jc w:val="center"/>
                    <w:rPr>
                      <w:rFonts w:hint="default" w:ascii="Times New Roman" w:hAnsi="Times New Roman" w:cs="Times New Roman"/>
                      <w:lang w:val="en-US" w:eastAsia="zh-CN"/>
                    </w:rPr>
                  </w:pPr>
                  <w:r>
                    <w:rPr>
                      <w:rFonts w:hint="eastAsia" w:ascii="Times New Roman" w:hAnsi="Times New Roman" w:cs="Times New Roman"/>
                      <w:lang w:val="en-US" w:eastAsia="zh-CN"/>
                    </w:rPr>
                    <w:t>2/5</w:t>
                  </w:r>
                </w:p>
              </w:tc>
            </w:tr>
          </w:tbl>
          <w:p>
            <w:pPr>
              <w:widowControl/>
              <w:adjustRightInd w:val="0"/>
              <w:snapToGrid w:val="0"/>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本预测采用点声源衰减模式，仅考虑距离衰减值、场界围墙屏障等因素，其噪声预测公式为：</w:t>
            </w:r>
          </w:p>
          <w:p>
            <w:pPr>
              <w:widowControl/>
              <w:adjustRightInd w:val="0"/>
              <w:snapToGrid w:val="0"/>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L</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＝L</w:t>
            </w:r>
            <w:r>
              <w:rPr>
                <w:rFonts w:hint="default" w:ascii="Times New Roman" w:hAnsi="Times New Roman" w:cs="Times New Roman"/>
                <w:sz w:val="24"/>
                <w:szCs w:val="24"/>
                <w:vertAlign w:val="subscript"/>
              </w:rPr>
              <w:t>1</w:t>
            </w:r>
            <w:r>
              <w:rPr>
                <w:rFonts w:hint="default" w:ascii="Times New Roman" w:hAnsi="Times New Roman" w:cs="Times New Roman"/>
                <w:sz w:val="24"/>
                <w:szCs w:val="24"/>
              </w:rPr>
              <w:t>－20lgr</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/r</w:t>
            </w:r>
            <w:r>
              <w:rPr>
                <w:rFonts w:hint="default" w:ascii="Times New Roman" w:hAnsi="Times New Roman" w:cs="Times New Roman"/>
                <w:sz w:val="24"/>
                <w:szCs w:val="24"/>
                <w:vertAlign w:val="subscript"/>
              </w:rPr>
              <w:t>1</w:t>
            </w:r>
          </w:p>
          <w:p>
            <w:pPr>
              <w:widowControl/>
              <w:adjustRightInd w:val="0"/>
              <w:snapToGrid w:val="0"/>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式中：L</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——距声源r</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处声源值[dB（A）]；</w:t>
            </w:r>
          </w:p>
          <w:p>
            <w:pPr>
              <w:widowControl/>
              <w:adjustRightInd w:val="0"/>
              <w:snapToGrid w:val="0"/>
              <w:spacing w:line="360" w:lineRule="auto"/>
              <w:ind w:firstLine="1200" w:firstLineChars="500"/>
              <w:jc w:val="left"/>
              <w:rPr>
                <w:rFonts w:hint="default" w:ascii="Times New Roman" w:hAnsi="Times New Roman" w:cs="Times New Roman"/>
                <w:sz w:val="24"/>
                <w:szCs w:val="24"/>
              </w:rPr>
            </w:pPr>
            <w:r>
              <w:rPr>
                <w:rFonts w:hint="default" w:ascii="Times New Roman" w:hAnsi="Times New Roman" w:cs="Times New Roman"/>
                <w:sz w:val="24"/>
                <w:szCs w:val="24"/>
              </w:rPr>
              <w:t>L</w:t>
            </w:r>
            <w:r>
              <w:rPr>
                <w:rFonts w:hint="default" w:ascii="Times New Roman" w:hAnsi="Times New Roman" w:cs="Times New Roman"/>
                <w:sz w:val="24"/>
                <w:szCs w:val="24"/>
                <w:vertAlign w:val="subscript"/>
              </w:rPr>
              <w:t>1</w:t>
            </w:r>
            <w:r>
              <w:rPr>
                <w:rFonts w:hint="default" w:ascii="Times New Roman" w:hAnsi="Times New Roman" w:cs="Times New Roman"/>
                <w:sz w:val="24"/>
                <w:szCs w:val="24"/>
              </w:rPr>
              <w:t>——距声源r</w:t>
            </w:r>
            <w:r>
              <w:rPr>
                <w:rFonts w:hint="default" w:ascii="Times New Roman" w:hAnsi="Times New Roman" w:cs="Times New Roman"/>
                <w:sz w:val="24"/>
                <w:szCs w:val="24"/>
                <w:vertAlign w:val="subscript"/>
              </w:rPr>
              <w:t>1</w:t>
            </w:r>
            <w:r>
              <w:rPr>
                <w:rFonts w:hint="default" w:ascii="Times New Roman" w:hAnsi="Times New Roman" w:cs="Times New Roman"/>
                <w:sz w:val="24"/>
                <w:szCs w:val="24"/>
              </w:rPr>
              <w:t>处声源值[dB（A）]；</w:t>
            </w:r>
          </w:p>
          <w:p>
            <w:pPr>
              <w:widowControl/>
              <w:adjustRightInd w:val="0"/>
              <w:snapToGrid w:val="0"/>
              <w:spacing w:line="360" w:lineRule="auto"/>
              <w:ind w:firstLine="1200" w:firstLineChars="500"/>
              <w:jc w:val="left"/>
              <w:rPr>
                <w:rFonts w:hint="default" w:ascii="Times New Roman" w:hAnsi="Times New Roman" w:cs="Times New Roman"/>
                <w:sz w:val="24"/>
                <w:szCs w:val="24"/>
              </w:rPr>
            </w:pPr>
            <w:r>
              <w:rPr>
                <w:rFonts w:hint="default" w:ascii="Times New Roman" w:hAnsi="Times New Roman" w:cs="Times New Roman"/>
                <w:sz w:val="24"/>
                <w:szCs w:val="24"/>
              </w:rPr>
              <w:t>r</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、r</w:t>
            </w:r>
            <w:r>
              <w:rPr>
                <w:rFonts w:hint="default" w:ascii="Times New Roman" w:hAnsi="Times New Roman" w:cs="Times New Roman"/>
                <w:sz w:val="24"/>
                <w:szCs w:val="24"/>
                <w:vertAlign w:val="subscript"/>
              </w:rPr>
              <w:t>1</w:t>
            </w:r>
            <w:r>
              <w:rPr>
                <w:rFonts w:hint="default" w:ascii="Times New Roman" w:hAnsi="Times New Roman" w:cs="Times New Roman"/>
                <w:sz w:val="24"/>
                <w:szCs w:val="24"/>
              </w:rPr>
              <w:t>——与声源的距离（m）；</w:t>
            </w:r>
          </w:p>
          <w:p>
            <w:pPr>
              <w:widowControl/>
              <w:adjustRightInd w:val="0"/>
              <w:snapToGrid w:val="0"/>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由上式预测单个噪声源在评价点的贡献值，再将不同声源在该点的贡献值用对数法叠加，得出多个噪声源对该点噪声的贡献值，采用的模式如下：</w:t>
            </w:r>
          </w:p>
          <w:p>
            <w:pPr>
              <w:pStyle w:val="40"/>
              <w:tabs>
                <w:tab w:val="left" w:pos="420"/>
                <w:tab w:val="left" w:pos="870"/>
                <w:tab w:val="left" w:pos="3150"/>
              </w:tabs>
              <w:adjustRightInd w:val="0"/>
              <w:snapToGrid w:val="0"/>
              <w:spacing w:after="0" w:line="360" w:lineRule="auto"/>
              <w:ind w:left="0" w:leftChars="0" w:firstLine="0" w:firstLineChars="0"/>
              <w:jc w:val="center"/>
              <w:rPr>
                <w:rFonts w:hint="default" w:ascii="Times New Roman" w:hAnsi="Times New Roman" w:cs="Times New Roman"/>
                <w:sz w:val="24"/>
                <w:szCs w:val="24"/>
              </w:rPr>
            </w:pPr>
            <w:r>
              <w:rPr>
                <w:rFonts w:hint="default" w:ascii="Times New Roman" w:hAnsi="Times New Roman" w:cs="Times New Roman"/>
                <w:sz w:val="24"/>
                <w:szCs w:val="24"/>
              </w:rPr>
              <w:t>L=10lg</w:t>
            </w:r>
            <w:r>
              <w:rPr>
                <w:rFonts w:hint="default" w:ascii="Times New Roman" w:hAnsi="Times New Roman" w:cs="Times New Roman"/>
                <w:sz w:val="24"/>
                <w:szCs w:val="24"/>
              </w:rPr>
              <w:object>
                <v:shape id="_x0000_i1044" o:spt="75" type="#_x0000_t75" style="height:33.8pt;width:45.1pt;" o:ole="t" filled="f" o:preferrelative="t" stroked="f" coordsize="21600,21600">
                  <v:path/>
                  <v:fill on="f" focussize="0,0"/>
                  <v:stroke on="f"/>
                  <v:imagedata r:id="rId43" o:title=""/>
                  <o:lock v:ext="edit" aspectratio="t"/>
                  <w10:wrap type="none"/>
                  <w10:anchorlock/>
                </v:shape>
                <o:OLEObject Type="Embed" ProgID="Equation.3" ShapeID="_x0000_i1044" DrawAspect="Content" ObjectID="_1468075730" r:id="rId42">
                  <o:LockedField>false</o:LockedField>
                </o:OLEObject>
              </w:object>
            </w:r>
          </w:p>
          <w:p>
            <w:pPr>
              <w:widowControl/>
              <w:adjustRightInd w:val="0"/>
              <w:snapToGrid w:val="0"/>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式中：L——叠加后总声压级[dB（A）]；</w:t>
            </w:r>
          </w:p>
          <w:p>
            <w:pPr>
              <w:widowControl/>
              <w:adjustRightInd w:val="0"/>
              <w:snapToGrid w:val="0"/>
              <w:spacing w:line="360" w:lineRule="auto"/>
              <w:ind w:firstLine="1200" w:firstLineChars="500"/>
              <w:jc w:val="left"/>
              <w:rPr>
                <w:rFonts w:hint="default" w:ascii="Times New Roman" w:hAnsi="Times New Roman" w:cs="Times New Roman"/>
                <w:sz w:val="24"/>
                <w:szCs w:val="24"/>
              </w:rPr>
            </w:pPr>
            <w:r>
              <w:rPr>
                <w:rFonts w:hint="default" w:ascii="Times New Roman" w:hAnsi="Times New Roman" w:cs="Times New Roman"/>
                <w:sz w:val="24"/>
                <w:szCs w:val="24"/>
              </w:rPr>
              <w:t>Li——各声源的噪声值[dB（A）]；</w:t>
            </w:r>
          </w:p>
          <w:p>
            <w:pPr>
              <w:widowControl/>
              <w:adjustRightInd w:val="0"/>
              <w:snapToGrid w:val="0"/>
              <w:spacing w:line="360" w:lineRule="auto"/>
              <w:ind w:firstLine="1200" w:firstLineChars="500"/>
              <w:jc w:val="left"/>
              <w:rPr>
                <w:rFonts w:hint="default" w:ascii="Times New Roman" w:hAnsi="Times New Roman" w:cs="Times New Roman"/>
                <w:sz w:val="24"/>
                <w:szCs w:val="24"/>
              </w:rPr>
            </w:pPr>
            <w:r>
              <w:rPr>
                <w:rFonts w:hint="default" w:ascii="Times New Roman" w:hAnsi="Times New Roman" w:cs="Times New Roman"/>
                <w:sz w:val="24"/>
                <w:szCs w:val="24"/>
              </w:rPr>
              <w:t>n——声源个数。</w:t>
            </w:r>
          </w:p>
          <w:p>
            <w:pPr>
              <w:widowControl/>
              <w:adjustRightInd w:val="0"/>
              <w:snapToGrid w:val="0"/>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施工期噪声预测结果见下表。</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rPr>
            </w:pPr>
            <w:r>
              <w:rPr>
                <w:rFonts w:hint="default" w:ascii="Times New Roman" w:hAnsi="Times New Roman" w:cs="Times New Roman"/>
                <w:b/>
                <w:bCs/>
              </w:rPr>
              <w:t>表4-</w:t>
            </w:r>
            <w:r>
              <w:rPr>
                <w:rFonts w:hint="eastAsia" w:ascii="Times New Roman" w:hAnsi="Times New Roman" w:cs="Times New Roman"/>
                <w:b/>
                <w:bCs/>
                <w:lang w:val="en-US" w:eastAsia="zh-CN"/>
              </w:rPr>
              <w:t>2</w:t>
            </w:r>
            <w:r>
              <w:rPr>
                <w:rFonts w:hint="default" w:ascii="Times New Roman" w:hAnsi="Times New Roman" w:cs="Times New Roman"/>
                <w:b/>
                <w:bCs/>
              </w:rPr>
              <w:t xml:space="preserve">  施工期噪声预测结果表</w:t>
            </w:r>
          </w:p>
          <w:tbl>
            <w:tblPr>
              <w:tblStyle w:val="4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5"/>
              <w:gridCol w:w="711"/>
              <w:gridCol w:w="621"/>
              <w:gridCol w:w="656"/>
              <w:gridCol w:w="656"/>
              <w:gridCol w:w="656"/>
              <w:gridCol w:w="673"/>
              <w:gridCol w:w="673"/>
              <w:gridCol w:w="673"/>
              <w:gridCol w:w="673"/>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pct"/>
                  <w:vMerge w:val="restart"/>
                  <w:noWrap w:val="0"/>
                  <w:vAlign w:val="center"/>
                </w:tcPr>
                <w:p>
                  <w:pPr>
                    <w:widowControl/>
                    <w:adjustRightInd w:val="0"/>
                    <w:snapToGrid w:val="0"/>
                    <w:spacing w:line="24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rPr>
                    <w:t>噪声源强值</w:t>
                  </w:r>
                </w:p>
              </w:tc>
              <w:tc>
                <w:tcPr>
                  <w:tcW w:w="4080" w:type="pct"/>
                  <w:gridSpan w:val="9"/>
                  <w:noWrap w:val="0"/>
                  <w:vAlign w:val="center"/>
                </w:tcPr>
                <w:p>
                  <w:pPr>
                    <w:widowControl/>
                    <w:adjustRightInd w:val="0"/>
                    <w:snapToGrid w:val="0"/>
                    <w:spacing w:line="24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rPr>
                    <w:t>预测距离</w:t>
                  </w:r>
                </w:p>
              </w:tc>
              <w:tc>
                <w:tcPr>
                  <w:tcW w:w="291" w:type="pct"/>
                  <w:noWrap w:val="0"/>
                  <w:vAlign w:val="center"/>
                </w:tcPr>
                <w:p>
                  <w:pPr>
                    <w:widowControl/>
                    <w:adjustRightInd w:val="0"/>
                    <w:snapToGrid w:val="0"/>
                    <w:spacing w:line="24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pct"/>
                  <w:vMerge w:val="continue"/>
                  <w:noWrap w:val="0"/>
                  <w:vAlign w:val="center"/>
                </w:tcPr>
                <w:p>
                  <w:pPr>
                    <w:widowControl/>
                    <w:adjustRightInd w:val="0"/>
                    <w:snapToGrid w:val="0"/>
                    <w:spacing w:line="240" w:lineRule="auto"/>
                    <w:jc w:val="center"/>
                    <w:rPr>
                      <w:rFonts w:hint="default" w:ascii="Times New Roman" w:hAnsi="Times New Roman" w:cs="Times New Roman"/>
                      <w:sz w:val="21"/>
                      <w:szCs w:val="21"/>
                    </w:rPr>
                  </w:pPr>
                </w:p>
              </w:tc>
              <w:tc>
                <w:tcPr>
                  <w:tcW w:w="484" w:type="pct"/>
                  <w:noWrap w:val="0"/>
                  <w:vAlign w:val="center"/>
                </w:tcPr>
                <w:p>
                  <w:pPr>
                    <w:widowControl/>
                    <w:adjustRightInd w:val="0"/>
                    <w:snapToGrid w:val="0"/>
                    <w:spacing w:line="240" w:lineRule="auto"/>
                    <w:jc w:val="center"/>
                    <w:rPr>
                      <w:rFonts w:hint="default" w:ascii="Times New Roman" w:hAnsi="Times New Roman" w:cs="Times New Roman"/>
                      <w:b/>
                      <w:bCs/>
                      <w:sz w:val="18"/>
                      <w:szCs w:val="18"/>
                    </w:rPr>
                  </w:pPr>
                  <w:r>
                    <w:rPr>
                      <w:rFonts w:hint="default" w:ascii="Times New Roman" w:hAnsi="Times New Roman" w:cs="Times New Roman"/>
                      <w:b/>
                      <w:bCs/>
                      <w:sz w:val="18"/>
                      <w:szCs w:val="18"/>
                    </w:rPr>
                    <w:t>1m</w:t>
                  </w:r>
                </w:p>
              </w:tc>
              <w:tc>
                <w:tcPr>
                  <w:tcW w:w="391" w:type="pct"/>
                  <w:noWrap w:val="0"/>
                  <w:vAlign w:val="center"/>
                </w:tcPr>
                <w:p>
                  <w:pPr>
                    <w:widowControl/>
                    <w:adjustRightInd w:val="0"/>
                    <w:snapToGrid w:val="0"/>
                    <w:spacing w:line="240" w:lineRule="auto"/>
                    <w:jc w:val="center"/>
                    <w:rPr>
                      <w:rFonts w:hint="default" w:ascii="Times New Roman" w:hAnsi="Times New Roman" w:cs="Times New Roman"/>
                      <w:b/>
                      <w:bCs/>
                      <w:sz w:val="18"/>
                      <w:szCs w:val="18"/>
                    </w:rPr>
                  </w:pPr>
                  <w:r>
                    <w:rPr>
                      <w:rFonts w:hint="default" w:ascii="Times New Roman" w:hAnsi="Times New Roman" w:cs="Times New Roman"/>
                      <w:b/>
                      <w:bCs/>
                      <w:sz w:val="18"/>
                      <w:szCs w:val="18"/>
                    </w:rPr>
                    <w:t>10m</w:t>
                  </w:r>
                </w:p>
              </w:tc>
              <w:tc>
                <w:tcPr>
                  <w:tcW w:w="451" w:type="pct"/>
                  <w:noWrap w:val="0"/>
                  <w:vAlign w:val="center"/>
                </w:tcPr>
                <w:p>
                  <w:pPr>
                    <w:widowControl/>
                    <w:adjustRightInd w:val="0"/>
                    <w:snapToGrid w:val="0"/>
                    <w:spacing w:line="240" w:lineRule="auto"/>
                    <w:jc w:val="center"/>
                    <w:rPr>
                      <w:rFonts w:hint="default" w:ascii="Times New Roman" w:hAnsi="Times New Roman" w:cs="Times New Roman"/>
                      <w:b/>
                      <w:bCs/>
                      <w:sz w:val="18"/>
                      <w:szCs w:val="18"/>
                    </w:rPr>
                  </w:pPr>
                  <w:r>
                    <w:rPr>
                      <w:rFonts w:hint="default" w:ascii="Times New Roman" w:hAnsi="Times New Roman" w:cs="Times New Roman"/>
                      <w:b/>
                      <w:bCs/>
                      <w:sz w:val="18"/>
                      <w:szCs w:val="18"/>
                    </w:rPr>
                    <w:t>20m</w:t>
                  </w:r>
                </w:p>
              </w:tc>
              <w:tc>
                <w:tcPr>
                  <w:tcW w:w="451" w:type="pct"/>
                  <w:noWrap w:val="0"/>
                  <w:vAlign w:val="center"/>
                </w:tcPr>
                <w:p>
                  <w:pPr>
                    <w:widowControl/>
                    <w:adjustRightInd w:val="0"/>
                    <w:snapToGrid w:val="0"/>
                    <w:spacing w:line="240" w:lineRule="auto"/>
                    <w:jc w:val="center"/>
                    <w:rPr>
                      <w:rFonts w:hint="default" w:ascii="Times New Roman" w:hAnsi="Times New Roman" w:cs="Times New Roman"/>
                      <w:b/>
                      <w:bCs/>
                      <w:sz w:val="18"/>
                      <w:szCs w:val="18"/>
                    </w:rPr>
                  </w:pPr>
                  <w:r>
                    <w:rPr>
                      <w:rFonts w:hint="default" w:ascii="Times New Roman" w:hAnsi="Times New Roman" w:cs="Times New Roman"/>
                      <w:b/>
                      <w:bCs/>
                      <w:sz w:val="18"/>
                      <w:szCs w:val="18"/>
                    </w:rPr>
                    <w:t>50m</w:t>
                  </w:r>
                </w:p>
              </w:tc>
              <w:tc>
                <w:tcPr>
                  <w:tcW w:w="451" w:type="pct"/>
                  <w:noWrap w:val="0"/>
                  <w:vAlign w:val="center"/>
                </w:tcPr>
                <w:p>
                  <w:pPr>
                    <w:widowControl/>
                    <w:adjustRightInd w:val="0"/>
                    <w:snapToGrid w:val="0"/>
                    <w:spacing w:line="240" w:lineRule="auto"/>
                    <w:jc w:val="center"/>
                    <w:rPr>
                      <w:rFonts w:hint="default" w:ascii="Times New Roman" w:hAnsi="Times New Roman" w:cs="Times New Roman"/>
                      <w:b/>
                      <w:bCs/>
                      <w:sz w:val="18"/>
                      <w:szCs w:val="18"/>
                    </w:rPr>
                  </w:pPr>
                  <w:r>
                    <w:rPr>
                      <w:rFonts w:hint="default" w:ascii="Times New Roman" w:hAnsi="Times New Roman" w:cs="Times New Roman"/>
                      <w:b/>
                      <w:bCs/>
                      <w:sz w:val="18"/>
                      <w:szCs w:val="18"/>
                    </w:rPr>
                    <w:t>70m</w:t>
                  </w:r>
                </w:p>
              </w:tc>
              <w:tc>
                <w:tcPr>
                  <w:tcW w:w="463" w:type="pct"/>
                  <w:noWrap w:val="0"/>
                  <w:vAlign w:val="center"/>
                </w:tcPr>
                <w:p>
                  <w:pPr>
                    <w:widowControl/>
                    <w:adjustRightInd w:val="0"/>
                    <w:snapToGrid w:val="0"/>
                    <w:spacing w:line="240" w:lineRule="auto"/>
                    <w:jc w:val="center"/>
                    <w:rPr>
                      <w:rFonts w:hint="default" w:ascii="Times New Roman" w:hAnsi="Times New Roman" w:cs="Times New Roman"/>
                      <w:b/>
                      <w:bCs/>
                      <w:sz w:val="18"/>
                      <w:szCs w:val="18"/>
                    </w:rPr>
                  </w:pPr>
                  <w:r>
                    <w:rPr>
                      <w:rFonts w:hint="default" w:ascii="Times New Roman" w:hAnsi="Times New Roman" w:cs="Times New Roman"/>
                      <w:b/>
                      <w:bCs/>
                      <w:sz w:val="18"/>
                      <w:szCs w:val="18"/>
                    </w:rPr>
                    <w:t>100m</w:t>
                  </w:r>
                </w:p>
              </w:tc>
              <w:tc>
                <w:tcPr>
                  <w:tcW w:w="463" w:type="pct"/>
                  <w:noWrap w:val="0"/>
                  <w:vAlign w:val="center"/>
                </w:tcPr>
                <w:p>
                  <w:pPr>
                    <w:widowControl/>
                    <w:adjustRightInd w:val="0"/>
                    <w:snapToGrid w:val="0"/>
                    <w:spacing w:line="240" w:lineRule="auto"/>
                    <w:jc w:val="center"/>
                    <w:rPr>
                      <w:rFonts w:hint="default" w:ascii="Times New Roman" w:hAnsi="Times New Roman" w:cs="Times New Roman"/>
                      <w:b/>
                      <w:bCs/>
                      <w:sz w:val="18"/>
                      <w:szCs w:val="18"/>
                    </w:rPr>
                  </w:pPr>
                  <w:r>
                    <w:rPr>
                      <w:rFonts w:hint="default" w:ascii="Times New Roman" w:hAnsi="Times New Roman" w:cs="Times New Roman"/>
                      <w:b/>
                      <w:bCs/>
                      <w:sz w:val="18"/>
                      <w:szCs w:val="18"/>
                    </w:rPr>
                    <w:t>1</w:t>
                  </w:r>
                  <w:r>
                    <w:rPr>
                      <w:rFonts w:hint="eastAsia" w:ascii="Times New Roman" w:hAnsi="Times New Roman" w:cs="Times New Roman"/>
                      <w:b/>
                      <w:bCs/>
                      <w:sz w:val="18"/>
                      <w:szCs w:val="18"/>
                      <w:lang w:val="en-US" w:eastAsia="zh-CN"/>
                    </w:rPr>
                    <w:t>10</w:t>
                  </w:r>
                  <w:r>
                    <w:rPr>
                      <w:rFonts w:hint="default" w:ascii="Times New Roman" w:hAnsi="Times New Roman" w:cs="Times New Roman"/>
                      <w:b/>
                      <w:bCs/>
                      <w:sz w:val="18"/>
                      <w:szCs w:val="18"/>
                    </w:rPr>
                    <w:t>m</w:t>
                  </w:r>
                </w:p>
              </w:tc>
              <w:tc>
                <w:tcPr>
                  <w:tcW w:w="463" w:type="pct"/>
                  <w:noWrap w:val="0"/>
                  <w:vAlign w:val="center"/>
                </w:tcPr>
                <w:p>
                  <w:pPr>
                    <w:widowControl/>
                    <w:adjustRightInd w:val="0"/>
                    <w:snapToGrid w:val="0"/>
                    <w:spacing w:line="240" w:lineRule="auto"/>
                    <w:jc w:val="center"/>
                    <w:rPr>
                      <w:rFonts w:hint="default" w:ascii="Times New Roman" w:hAnsi="Times New Roman" w:cs="Times New Roman"/>
                      <w:b/>
                      <w:bCs/>
                      <w:sz w:val="18"/>
                      <w:szCs w:val="18"/>
                    </w:rPr>
                  </w:pPr>
                  <w:r>
                    <w:rPr>
                      <w:rFonts w:hint="default" w:ascii="Times New Roman" w:hAnsi="Times New Roman" w:cs="Times New Roman"/>
                      <w:b/>
                      <w:bCs/>
                      <w:sz w:val="18"/>
                      <w:szCs w:val="18"/>
                    </w:rPr>
                    <w:t>200m</w:t>
                  </w:r>
                </w:p>
              </w:tc>
              <w:tc>
                <w:tcPr>
                  <w:tcW w:w="459" w:type="pct"/>
                  <w:noWrap w:val="0"/>
                  <w:vAlign w:val="center"/>
                </w:tcPr>
                <w:p>
                  <w:pPr>
                    <w:widowControl/>
                    <w:adjustRightInd w:val="0"/>
                    <w:snapToGrid w:val="0"/>
                    <w:spacing w:line="240" w:lineRule="auto"/>
                    <w:jc w:val="center"/>
                    <w:rPr>
                      <w:rFonts w:hint="default" w:ascii="Times New Roman" w:hAnsi="Times New Roman" w:eastAsia="宋体" w:cs="Times New Roman"/>
                      <w:b/>
                      <w:bCs/>
                      <w:sz w:val="18"/>
                      <w:szCs w:val="18"/>
                      <w:lang w:val="en-US" w:eastAsia="zh-CN"/>
                    </w:rPr>
                  </w:pPr>
                  <w:r>
                    <w:rPr>
                      <w:rFonts w:hint="eastAsia" w:ascii="Times New Roman" w:hAnsi="Times New Roman" w:cs="Times New Roman"/>
                      <w:b/>
                      <w:bCs/>
                      <w:sz w:val="18"/>
                      <w:szCs w:val="18"/>
                      <w:lang w:val="en-US" w:eastAsia="zh-CN"/>
                    </w:rPr>
                    <w:t>360</w:t>
                  </w:r>
                  <w:r>
                    <w:rPr>
                      <w:rFonts w:hint="default" w:ascii="Times New Roman" w:hAnsi="Times New Roman" w:cs="Times New Roman"/>
                      <w:b/>
                      <w:bCs/>
                      <w:sz w:val="18"/>
                      <w:szCs w:val="18"/>
                      <w:lang w:val="en-US" w:eastAsia="zh-CN"/>
                    </w:rPr>
                    <w:t>m</w:t>
                  </w:r>
                </w:p>
              </w:tc>
              <w:tc>
                <w:tcPr>
                  <w:tcW w:w="291" w:type="pct"/>
                  <w:vMerge w:val="restart"/>
                  <w:noWrap w:val="0"/>
                  <w:vAlign w:val="center"/>
                </w:tcPr>
                <w:p>
                  <w:pPr>
                    <w:widowControl/>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以施工期最强噪声值预测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kern w:val="2"/>
                      <w:sz w:val="21"/>
                      <w:szCs w:val="21"/>
                      <w:lang w:val="en-US" w:eastAsia="zh-CN" w:bidi="ar-SA"/>
                    </w:rPr>
                  </w:pPr>
                  <w:r>
                    <w:rPr>
                      <w:rFonts w:hint="default" w:ascii="Times New Roman" w:hAnsi="Times New Roman" w:eastAsia="宋体" w:cs="Times New Roman"/>
                      <w:b w:val="0"/>
                      <w:bCs/>
                      <w:color w:val="auto"/>
                      <w:spacing w:val="0"/>
                      <w:sz w:val="21"/>
                      <w:szCs w:val="21"/>
                      <w:highlight w:val="none"/>
                      <w:lang w:val="en-US" w:eastAsia="zh-CN"/>
                    </w:rPr>
                    <w:t>挖掘机</w:t>
                  </w:r>
                </w:p>
              </w:tc>
              <w:tc>
                <w:tcPr>
                  <w:tcW w:w="484" w:type="pct"/>
                  <w:vMerge w:val="restart"/>
                  <w:noWrap w:val="0"/>
                  <w:vAlign w:val="center"/>
                </w:tcPr>
                <w:p>
                  <w:pPr>
                    <w:adjustRightInd w:val="0"/>
                    <w:snapToGrid w:val="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color w:val="auto"/>
                      <w:kern w:val="0"/>
                      <w:sz w:val="18"/>
                      <w:szCs w:val="18"/>
                      <w:lang w:val="en-US" w:eastAsia="zh-CN" w:bidi="ar"/>
                    </w:rPr>
                    <w:t>10</w:t>
                  </w:r>
                  <w:r>
                    <w:rPr>
                      <w:rFonts w:hint="eastAsia" w:ascii="Times New Roman" w:hAnsi="Times New Roman" w:eastAsia="宋体" w:cs="Times New Roman"/>
                      <w:color w:val="auto"/>
                      <w:kern w:val="0"/>
                      <w:sz w:val="18"/>
                      <w:szCs w:val="18"/>
                      <w:lang w:val="en-US" w:eastAsia="zh-CN" w:bidi="ar"/>
                    </w:rPr>
                    <w:t>0.91</w:t>
                  </w:r>
                </w:p>
              </w:tc>
              <w:tc>
                <w:tcPr>
                  <w:tcW w:w="391" w:type="pct"/>
                  <w:vMerge w:val="restart"/>
                  <w:noWrap w:val="0"/>
                  <w:vAlign w:val="center"/>
                </w:tcPr>
                <w:p>
                  <w:pPr>
                    <w:widowControl/>
                    <w:adjustRightInd w:val="0"/>
                    <w:snapToGrid w:val="0"/>
                    <w:jc w:val="center"/>
                    <w:rPr>
                      <w:rFonts w:hint="default" w:ascii="Times New Roman" w:hAnsi="Times New Roman" w:cs="Times New Roman"/>
                      <w:sz w:val="18"/>
                      <w:szCs w:val="18"/>
                      <w:lang w:val="en-US"/>
                    </w:rPr>
                  </w:pPr>
                  <w:r>
                    <w:rPr>
                      <w:rFonts w:hint="eastAsia" w:ascii="Times New Roman" w:hAnsi="Times New Roman" w:eastAsia="宋体" w:cs="Times New Roman"/>
                      <w:color w:val="auto"/>
                      <w:kern w:val="0"/>
                      <w:sz w:val="18"/>
                      <w:szCs w:val="18"/>
                      <w:lang w:val="en-US" w:eastAsia="zh-CN" w:bidi="ar"/>
                    </w:rPr>
                    <w:t>80.91</w:t>
                  </w:r>
                </w:p>
              </w:tc>
              <w:tc>
                <w:tcPr>
                  <w:tcW w:w="451" w:type="pct"/>
                  <w:vMerge w:val="restart"/>
                  <w:noWrap w:val="0"/>
                  <w:vAlign w:val="center"/>
                </w:tcPr>
                <w:p>
                  <w:pPr>
                    <w:widowControl/>
                    <w:adjustRightInd w:val="0"/>
                    <w:snapToGrid w:val="0"/>
                    <w:jc w:val="center"/>
                    <w:rPr>
                      <w:rFonts w:hint="default" w:ascii="Times New Roman" w:hAnsi="Times New Roman" w:cs="Times New Roman"/>
                      <w:sz w:val="18"/>
                      <w:szCs w:val="18"/>
                      <w:lang w:val="en-US"/>
                    </w:rPr>
                  </w:pPr>
                  <w:r>
                    <w:rPr>
                      <w:rFonts w:hint="eastAsia" w:ascii="Times New Roman" w:hAnsi="Times New Roman" w:eastAsia="宋体" w:cs="Times New Roman"/>
                      <w:color w:val="auto"/>
                      <w:kern w:val="0"/>
                      <w:sz w:val="18"/>
                      <w:szCs w:val="18"/>
                      <w:lang w:val="en-US" w:eastAsia="zh-CN" w:bidi="ar"/>
                    </w:rPr>
                    <w:t>74.89</w:t>
                  </w:r>
                </w:p>
              </w:tc>
              <w:tc>
                <w:tcPr>
                  <w:tcW w:w="451" w:type="pct"/>
                  <w:vMerge w:val="restart"/>
                  <w:noWrap w:val="0"/>
                  <w:vAlign w:val="center"/>
                </w:tcPr>
                <w:p>
                  <w:pPr>
                    <w:widowControl/>
                    <w:adjustRightInd w:val="0"/>
                    <w:snapToGrid w:val="0"/>
                    <w:jc w:val="center"/>
                    <w:rPr>
                      <w:rFonts w:hint="default" w:ascii="Times New Roman" w:hAnsi="Times New Roman" w:cs="Times New Roman"/>
                      <w:sz w:val="18"/>
                      <w:szCs w:val="18"/>
                      <w:lang w:val="en-US"/>
                    </w:rPr>
                  </w:pPr>
                  <w:r>
                    <w:rPr>
                      <w:rFonts w:hint="eastAsia" w:ascii="Times New Roman" w:hAnsi="Times New Roman" w:eastAsia="宋体" w:cs="Times New Roman"/>
                      <w:color w:val="auto"/>
                      <w:kern w:val="0"/>
                      <w:sz w:val="18"/>
                      <w:szCs w:val="18"/>
                      <w:lang w:val="en-US" w:eastAsia="zh-CN" w:bidi="ar"/>
                    </w:rPr>
                    <w:t>66.93</w:t>
                  </w:r>
                </w:p>
              </w:tc>
              <w:tc>
                <w:tcPr>
                  <w:tcW w:w="451" w:type="pct"/>
                  <w:vMerge w:val="restart"/>
                  <w:noWrap w:val="0"/>
                  <w:vAlign w:val="center"/>
                </w:tcPr>
                <w:p>
                  <w:pPr>
                    <w:widowControl/>
                    <w:adjustRightInd w:val="0"/>
                    <w:snapToGrid w:val="0"/>
                    <w:jc w:val="center"/>
                    <w:rPr>
                      <w:rFonts w:hint="default" w:ascii="Times New Roman" w:hAnsi="Times New Roman" w:cs="Times New Roman"/>
                      <w:sz w:val="18"/>
                      <w:szCs w:val="18"/>
                      <w:lang w:val="en-US"/>
                    </w:rPr>
                  </w:pPr>
                  <w:r>
                    <w:rPr>
                      <w:rFonts w:hint="eastAsia" w:ascii="Times New Roman" w:hAnsi="Times New Roman" w:eastAsia="宋体" w:cs="Times New Roman"/>
                      <w:color w:val="auto"/>
                      <w:kern w:val="0"/>
                      <w:sz w:val="18"/>
                      <w:szCs w:val="18"/>
                      <w:lang w:val="en-US" w:eastAsia="zh-CN" w:bidi="ar"/>
                    </w:rPr>
                    <w:t>64</w:t>
                  </w:r>
                </w:p>
              </w:tc>
              <w:tc>
                <w:tcPr>
                  <w:tcW w:w="463" w:type="pct"/>
                  <w:vMerge w:val="restart"/>
                  <w:noWrap w:val="0"/>
                  <w:vAlign w:val="center"/>
                </w:tcPr>
                <w:p>
                  <w:pPr>
                    <w:widowControl/>
                    <w:adjustRightInd w:val="0"/>
                    <w:snapToGrid w:val="0"/>
                    <w:jc w:val="center"/>
                    <w:rPr>
                      <w:rFonts w:hint="default" w:ascii="Times New Roman" w:hAnsi="Times New Roman" w:cs="Times New Roman"/>
                      <w:sz w:val="18"/>
                      <w:szCs w:val="18"/>
                      <w:lang w:val="en-US"/>
                    </w:rPr>
                  </w:pPr>
                  <w:r>
                    <w:rPr>
                      <w:rFonts w:hint="eastAsia" w:ascii="Times New Roman" w:hAnsi="Times New Roman" w:eastAsia="宋体" w:cs="Times New Roman"/>
                      <w:color w:val="auto"/>
                      <w:kern w:val="0"/>
                      <w:sz w:val="18"/>
                      <w:szCs w:val="18"/>
                      <w:lang w:val="en-US" w:eastAsia="zh-CN" w:bidi="ar"/>
                    </w:rPr>
                    <w:t>60.91</w:t>
                  </w:r>
                </w:p>
              </w:tc>
              <w:tc>
                <w:tcPr>
                  <w:tcW w:w="463" w:type="pct"/>
                  <w:vMerge w:val="restart"/>
                  <w:noWrap w:val="0"/>
                  <w:vAlign w:val="center"/>
                </w:tcPr>
                <w:p>
                  <w:pPr>
                    <w:widowControl/>
                    <w:adjustRightInd w:val="0"/>
                    <w:snapToGrid w:val="0"/>
                    <w:jc w:val="center"/>
                    <w:rPr>
                      <w:rFonts w:hint="default" w:ascii="Times New Roman" w:hAnsi="Times New Roman" w:cs="Times New Roman"/>
                      <w:sz w:val="18"/>
                      <w:szCs w:val="18"/>
                    </w:rPr>
                  </w:pPr>
                  <w:r>
                    <w:rPr>
                      <w:rFonts w:hint="default" w:ascii="Times New Roman" w:hAnsi="Times New Roman" w:eastAsia="宋体" w:cs="Times New Roman"/>
                      <w:color w:val="auto"/>
                      <w:kern w:val="0"/>
                      <w:sz w:val="18"/>
                      <w:szCs w:val="18"/>
                      <w:lang w:val="en-US" w:eastAsia="zh-CN" w:bidi="ar"/>
                    </w:rPr>
                    <w:t>6</w:t>
                  </w:r>
                  <w:r>
                    <w:rPr>
                      <w:rFonts w:hint="eastAsia" w:ascii="Times New Roman" w:hAnsi="Times New Roman" w:eastAsia="宋体" w:cs="Times New Roman"/>
                      <w:color w:val="auto"/>
                      <w:kern w:val="0"/>
                      <w:sz w:val="18"/>
                      <w:szCs w:val="18"/>
                      <w:lang w:val="en-US" w:eastAsia="zh-CN" w:bidi="ar"/>
                    </w:rPr>
                    <w:t>0</w:t>
                  </w:r>
                </w:p>
              </w:tc>
              <w:tc>
                <w:tcPr>
                  <w:tcW w:w="463" w:type="pct"/>
                  <w:vMerge w:val="restart"/>
                  <w:noWrap w:val="0"/>
                  <w:vAlign w:val="center"/>
                </w:tcPr>
                <w:p>
                  <w:pPr>
                    <w:widowControl/>
                    <w:adjustRightInd w:val="0"/>
                    <w:snapToGrid w:val="0"/>
                    <w:jc w:val="center"/>
                    <w:rPr>
                      <w:rFonts w:hint="default" w:ascii="Times New Roman" w:hAnsi="Times New Roman" w:cs="Times New Roman"/>
                      <w:sz w:val="18"/>
                      <w:szCs w:val="18"/>
                      <w:lang w:val="en-US"/>
                    </w:rPr>
                  </w:pPr>
                  <w:r>
                    <w:rPr>
                      <w:rFonts w:hint="eastAsia" w:ascii="Times New Roman" w:hAnsi="Times New Roman" w:eastAsia="宋体" w:cs="Times New Roman"/>
                      <w:color w:val="auto"/>
                      <w:kern w:val="0"/>
                      <w:sz w:val="18"/>
                      <w:szCs w:val="18"/>
                      <w:lang w:val="en-US" w:eastAsia="zh-CN" w:bidi="ar"/>
                    </w:rPr>
                    <w:t>54.89</w:t>
                  </w:r>
                </w:p>
              </w:tc>
              <w:tc>
                <w:tcPr>
                  <w:tcW w:w="459" w:type="pct"/>
                  <w:vMerge w:val="restart"/>
                  <w:noWrap w:val="0"/>
                  <w:vAlign w:val="center"/>
                </w:tcPr>
                <w:p>
                  <w:pPr>
                    <w:widowControl/>
                    <w:adjustRightInd w:val="0"/>
                    <w:snapToGrid w:val="0"/>
                    <w:jc w:val="center"/>
                    <w:rPr>
                      <w:rFonts w:hint="default" w:ascii="Times New Roman" w:hAnsi="Times New Roman" w:cs="Times New Roman"/>
                      <w:sz w:val="18"/>
                      <w:szCs w:val="18"/>
                      <w:lang w:val="en-US"/>
                    </w:rPr>
                  </w:pPr>
                  <w:r>
                    <w:rPr>
                      <w:rFonts w:hint="eastAsia" w:ascii="Times New Roman" w:hAnsi="Times New Roman" w:eastAsia="宋体" w:cs="Times New Roman"/>
                      <w:color w:val="auto"/>
                      <w:kern w:val="0"/>
                      <w:sz w:val="18"/>
                      <w:szCs w:val="18"/>
                      <w:lang w:val="en-US" w:eastAsia="zh-CN" w:bidi="ar"/>
                    </w:rPr>
                    <w:t>49.78</w:t>
                  </w:r>
                </w:p>
              </w:tc>
              <w:tc>
                <w:tcPr>
                  <w:tcW w:w="291" w:type="pct"/>
                  <w:vMerge w:val="continue"/>
                  <w:noWrap w:val="0"/>
                  <w:vAlign w:val="center"/>
                </w:tcPr>
                <w:p>
                  <w:pPr>
                    <w:widowControl/>
                    <w:adjustRightInd w:val="0"/>
                    <w:snapToGrid w:val="0"/>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kern w:val="2"/>
                      <w:sz w:val="21"/>
                      <w:szCs w:val="21"/>
                      <w:lang w:val="en-US" w:eastAsia="zh-CN" w:bidi="ar-SA"/>
                    </w:rPr>
                  </w:pPr>
                  <w:r>
                    <w:rPr>
                      <w:rFonts w:hint="eastAsia" w:ascii="Times New Roman" w:hAnsi="Times New Roman" w:eastAsia="宋体" w:cs="Times New Roman"/>
                      <w:b w:val="0"/>
                      <w:bCs/>
                      <w:color w:val="auto"/>
                      <w:spacing w:val="0"/>
                      <w:sz w:val="21"/>
                      <w:szCs w:val="21"/>
                      <w:highlight w:val="none"/>
                      <w:lang w:val="en-US" w:eastAsia="zh-CN"/>
                    </w:rPr>
                    <w:t>推土机</w:t>
                  </w:r>
                </w:p>
              </w:tc>
              <w:tc>
                <w:tcPr>
                  <w:tcW w:w="484" w:type="pct"/>
                  <w:vMerge w:val="continue"/>
                  <w:noWrap w:val="0"/>
                  <w:vAlign w:val="center"/>
                </w:tcPr>
                <w:p>
                  <w:pPr>
                    <w:adjustRightInd w:val="0"/>
                    <w:snapToGrid w:val="0"/>
                    <w:spacing w:line="240" w:lineRule="auto"/>
                    <w:jc w:val="center"/>
                    <w:rPr>
                      <w:rFonts w:hint="default" w:ascii="Times New Roman" w:hAnsi="Times New Roman" w:cs="Times New Roman"/>
                      <w:sz w:val="21"/>
                      <w:szCs w:val="21"/>
                    </w:rPr>
                  </w:pPr>
                </w:p>
              </w:tc>
              <w:tc>
                <w:tcPr>
                  <w:tcW w:w="391" w:type="pct"/>
                  <w:vMerge w:val="continue"/>
                  <w:noWrap w:val="0"/>
                  <w:vAlign w:val="center"/>
                </w:tcPr>
                <w:p>
                  <w:pPr>
                    <w:widowControl/>
                    <w:adjustRightInd w:val="0"/>
                    <w:snapToGrid w:val="0"/>
                    <w:spacing w:line="240" w:lineRule="auto"/>
                    <w:jc w:val="center"/>
                    <w:rPr>
                      <w:rFonts w:hint="default" w:ascii="Times New Roman" w:hAnsi="Times New Roman" w:cs="Times New Roman"/>
                      <w:sz w:val="21"/>
                      <w:szCs w:val="21"/>
                    </w:rPr>
                  </w:pPr>
                </w:p>
              </w:tc>
              <w:tc>
                <w:tcPr>
                  <w:tcW w:w="451" w:type="pct"/>
                  <w:vMerge w:val="continue"/>
                  <w:noWrap w:val="0"/>
                  <w:vAlign w:val="center"/>
                </w:tcPr>
                <w:p>
                  <w:pPr>
                    <w:widowControl/>
                    <w:adjustRightInd w:val="0"/>
                    <w:snapToGrid w:val="0"/>
                    <w:spacing w:line="240" w:lineRule="auto"/>
                    <w:jc w:val="center"/>
                    <w:rPr>
                      <w:rFonts w:hint="default" w:ascii="Times New Roman" w:hAnsi="Times New Roman" w:cs="Times New Roman"/>
                      <w:sz w:val="21"/>
                      <w:szCs w:val="21"/>
                    </w:rPr>
                  </w:pPr>
                </w:p>
              </w:tc>
              <w:tc>
                <w:tcPr>
                  <w:tcW w:w="451" w:type="pct"/>
                  <w:vMerge w:val="continue"/>
                  <w:noWrap w:val="0"/>
                  <w:vAlign w:val="center"/>
                </w:tcPr>
                <w:p>
                  <w:pPr>
                    <w:widowControl/>
                    <w:adjustRightInd w:val="0"/>
                    <w:snapToGrid w:val="0"/>
                    <w:spacing w:line="240" w:lineRule="auto"/>
                    <w:jc w:val="center"/>
                    <w:rPr>
                      <w:rFonts w:hint="default" w:ascii="Times New Roman" w:hAnsi="Times New Roman" w:cs="Times New Roman"/>
                      <w:sz w:val="21"/>
                      <w:szCs w:val="21"/>
                    </w:rPr>
                  </w:pPr>
                </w:p>
              </w:tc>
              <w:tc>
                <w:tcPr>
                  <w:tcW w:w="451" w:type="pct"/>
                  <w:vMerge w:val="continue"/>
                  <w:noWrap w:val="0"/>
                  <w:vAlign w:val="center"/>
                </w:tcPr>
                <w:p>
                  <w:pPr>
                    <w:widowControl/>
                    <w:adjustRightInd w:val="0"/>
                    <w:snapToGrid w:val="0"/>
                    <w:spacing w:line="240" w:lineRule="auto"/>
                    <w:jc w:val="center"/>
                    <w:rPr>
                      <w:rFonts w:hint="default" w:ascii="Times New Roman" w:hAnsi="Times New Roman" w:cs="Times New Roman"/>
                      <w:sz w:val="21"/>
                      <w:szCs w:val="21"/>
                    </w:rPr>
                  </w:pPr>
                </w:p>
              </w:tc>
              <w:tc>
                <w:tcPr>
                  <w:tcW w:w="463" w:type="pct"/>
                  <w:vMerge w:val="continue"/>
                  <w:noWrap w:val="0"/>
                  <w:vAlign w:val="center"/>
                </w:tcPr>
                <w:p>
                  <w:pPr>
                    <w:widowControl/>
                    <w:adjustRightInd w:val="0"/>
                    <w:snapToGrid w:val="0"/>
                    <w:spacing w:line="240" w:lineRule="auto"/>
                    <w:jc w:val="center"/>
                    <w:rPr>
                      <w:rFonts w:hint="default" w:ascii="Times New Roman" w:hAnsi="Times New Roman" w:cs="Times New Roman"/>
                      <w:sz w:val="21"/>
                      <w:szCs w:val="21"/>
                    </w:rPr>
                  </w:pPr>
                </w:p>
              </w:tc>
              <w:tc>
                <w:tcPr>
                  <w:tcW w:w="463" w:type="pct"/>
                  <w:vMerge w:val="continue"/>
                  <w:noWrap w:val="0"/>
                  <w:vAlign w:val="center"/>
                </w:tcPr>
                <w:p>
                  <w:pPr>
                    <w:widowControl/>
                    <w:adjustRightInd w:val="0"/>
                    <w:snapToGrid w:val="0"/>
                    <w:spacing w:line="240" w:lineRule="auto"/>
                    <w:jc w:val="center"/>
                    <w:rPr>
                      <w:rFonts w:hint="default" w:ascii="Times New Roman" w:hAnsi="Times New Roman" w:cs="Times New Roman"/>
                      <w:sz w:val="21"/>
                      <w:szCs w:val="21"/>
                    </w:rPr>
                  </w:pPr>
                </w:p>
              </w:tc>
              <w:tc>
                <w:tcPr>
                  <w:tcW w:w="463" w:type="pct"/>
                  <w:vMerge w:val="continue"/>
                  <w:noWrap w:val="0"/>
                  <w:vAlign w:val="center"/>
                </w:tcPr>
                <w:p>
                  <w:pPr>
                    <w:widowControl/>
                    <w:adjustRightInd w:val="0"/>
                    <w:snapToGrid w:val="0"/>
                    <w:spacing w:line="240" w:lineRule="auto"/>
                    <w:jc w:val="center"/>
                    <w:rPr>
                      <w:rFonts w:hint="default" w:ascii="Times New Roman" w:hAnsi="Times New Roman" w:cs="Times New Roman"/>
                      <w:sz w:val="21"/>
                      <w:szCs w:val="21"/>
                    </w:rPr>
                  </w:pPr>
                </w:p>
              </w:tc>
              <w:tc>
                <w:tcPr>
                  <w:tcW w:w="459" w:type="pct"/>
                  <w:vMerge w:val="continue"/>
                  <w:noWrap w:val="0"/>
                  <w:vAlign w:val="center"/>
                </w:tcPr>
                <w:p>
                  <w:pPr>
                    <w:widowControl/>
                    <w:adjustRightInd w:val="0"/>
                    <w:snapToGrid w:val="0"/>
                    <w:spacing w:line="240" w:lineRule="auto"/>
                    <w:jc w:val="center"/>
                    <w:rPr>
                      <w:rFonts w:hint="default" w:ascii="Times New Roman" w:hAnsi="Times New Roman" w:cs="Times New Roman"/>
                      <w:sz w:val="21"/>
                      <w:szCs w:val="21"/>
                    </w:rPr>
                  </w:pPr>
                </w:p>
              </w:tc>
              <w:tc>
                <w:tcPr>
                  <w:tcW w:w="291" w:type="pct"/>
                  <w:vMerge w:val="continue"/>
                  <w:noWrap w:val="0"/>
                  <w:vAlign w:val="center"/>
                </w:tcPr>
                <w:p>
                  <w:pPr>
                    <w:widowControl/>
                    <w:adjustRightInd w:val="0"/>
                    <w:snapToGrid w:val="0"/>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
                    </w:rPr>
                    <w:t>蛙式打夯机</w:t>
                  </w:r>
                </w:p>
              </w:tc>
              <w:tc>
                <w:tcPr>
                  <w:tcW w:w="484" w:type="pct"/>
                  <w:vMerge w:val="continue"/>
                  <w:noWrap w:val="0"/>
                  <w:vAlign w:val="center"/>
                </w:tcPr>
                <w:p>
                  <w:pPr>
                    <w:adjustRightInd w:val="0"/>
                    <w:snapToGrid w:val="0"/>
                    <w:spacing w:line="240" w:lineRule="auto"/>
                    <w:jc w:val="center"/>
                    <w:rPr>
                      <w:rFonts w:hint="default" w:ascii="Times New Roman" w:hAnsi="Times New Roman" w:cs="Times New Roman"/>
                      <w:sz w:val="21"/>
                      <w:szCs w:val="21"/>
                    </w:rPr>
                  </w:pPr>
                </w:p>
              </w:tc>
              <w:tc>
                <w:tcPr>
                  <w:tcW w:w="391" w:type="pct"/>
                  <w:vMerge w:val="continue"/>
                  <w:noWrap w:val="0"/>
                  <w:vAlign w:val="center"/>
                </w:tcPr>
                <w:p>
                  <w:pPr>
                    <w:widowControl/>
                    <w:adjustRightInd w:val="0"/>
                    <w:snapToGrid w:val="0"/>
                    <w:spacing w:line="240" w:lineRule="auto"/>
                    <w:jc w:val="center"/>
                    <w:rPr>
                      <w:rFonts w:hint="default" w:ascii="Times New Roman" w:hAnsi="Times New Roman" w:cs="Times New Roman"/>
                      <w:sz w:val="21"/>
                      <w:szCs w:val="21"/>
                    </w:rPr>
                  </w:pPr>
                </w:p>
              </w:tc>
              <w:tc>
                <w:tcPr>
                  <w:tcW w:w="451" w:type="pct"/>
                  <w:vMerge w:val="continue"/>
                  <w:noWrap w:val="0"/>
                  <w:vAlign w:val="center"/>
                </w:tcPr>
                <w:p>
                  <w:pPr>
                    <w:widowControl/>
                    <w:adjustRightInd w:val="0"/>
                    <w:snapToGrid w:val="0"/>
                    <w:spacing w:line="240" w:lineRule="auto"/>
                    <w:jc w:val="center"/>
                    <w:rPr>
                      <w:rFonts w:hint="default" w:ascii="Times New Roman" w:hAnsi="Times New Roman" w:cs="Times New Roman"/>
                      <w:sz w:val="21"/>
                      <w:szCs w:val="21"/>
                    </w:rPr>
                  </w:pPr>
                </w:p>
              </w:tc>
              <w:tc>
                <w:tcPr>
                  <w:tcW w:w="451" w:type="pct"/>
                  <w:vMerge w:val="continue"/>
                  <w:noWrap w:val="0"/>
                  <w:vAlign w:val="center"/>
                </w:tcPr>
                <w:p>
                  <w:pPr>
                    <w:widowControl/>
                    <w:adjustRightInd w:val="0"/>
                    <w:snapToGrid w:val="0"/>
                    <w:spacing w:line="240" w:lineRule="auto"/>
                    <w:jc w:val="center"/>
                    <w:rPr>
                      <w:rFonts w:hint="default" w:ascii="Times New Roman" w:hAnsi="Times New Roman" w:cs="Times New Roman"/>
                      <w:sz w:val="21"/>
                      <w:szCs w:val="21"/>
                    </w:rPr>
                  </w:pPr>
                </w:p>
              </w:tc>
              <w:tc>
                <w:tcPr>
                  <w:tcW w:w="451" w:type="pct"/>
                  <w:vMerge w:val="continue"/>
                  <w:noWrap w:val="0"/>
                  <w:vAlign w:val="center"/>
                </w:tcPr>
                <w:p>
                  <w:pPr>
                    <w:widowControl/>
                    <w:adjustRightInd w:val="0"/>
                    <w:snapToGrid w:val="0"/>
                    <w:spacing w:line="240" w:lineRule="auto"/>
                    <w:jc w:val="center"/>
                    <w:rPr>
                      <w:rFonts w:hint="default" w:ascii="Times New Roman" w:hAnsi="Times New Roman" w:cs="Times New Roman"/>
                      <w:sz w:val="21"/>
                      <w:szCs w:val="21"/>
                    </w:rPr>
                  </w:pPr>
                </w:p>
              </w:tc>
              <w:tc>
                <w:tcPr>
                  <w:tcW w:w="463" w:type="pct"/>
                  <w:vMerge w:val="continue"/>
                  <w:noWrap w:val="0"/>
                  <w:vAlign w:val="center"/>
                </w:tcPr>
                <w:p>
                  <w:pPr>
                    <w:widowControl/>
                    <w:adjustRightInd w:val="0"/>
                    <w:snapToGrid w:val="0"/>
                    <w:spacing w:line="240" w:lineRule="auto"/>
                    <w:jc w:val="center"/>
                    <w:rPr>
                      <w:rFonts w:hint="default" w:ascii="Times New Roman" w:hAnsi="Times New Roman" w:cs="Times New Roman"/>
                      <w:sz w:val="21"/>
                      <w:szCs w:val="21"/>
                    </w:rPr>
                  </w:pPr>
                </w:p>
              </w:tc>
              <w:tc>
                <w:tcPr>
                  <w:tcW w:w="463" w:type="pct"/>
                  <w:vMerge w:val="continue"/>
                  <w:noWrap w:val="0"/>
                  <w:vAlign w:val="center"/>
                </w:tcPr>
                <w:p>
                  <w:pPr>
                    <w:widowControl/>
                    <w:adjustRightInd w:val="0"/>
                    <w:snapToGrid w:val="0"/>
                    <w:spacing w:line="240" w:lineRule="auto"/>
                    <w:jc w:val="center"/>
                    <w:rPr>
                      <w:rFonts w:hint="default" w:ascii="Times New Roman" w:hAnsi="Times New Roman" w:cs="Times New Roman"/>
                      <w:sz w:val="21"/>
                      <w:szCs w:val="21"/>
                    </w:rPr>
                  </w:pPr>
                </w:p>
              </w:tc>
              <w:tc>
                <w:tcPr>
                  <w:tcW w:w="463" w:type="pct"/>
                  <w:vMerge w:val="continue"/>
                  <w:noWrap w:val="0"/>
                  <w:vAlign w:val="center"/>
                </w:tcPr>
                <w:p>
                  <w:pPr>
                    <w:widowControl/>
                    <w:adjustRightInd w:val="0"/>
                    <w:snapToGrid w:val="0"/>
                    <w:spacing w:line="240" w:lineRule="auto"/>
                    <w:jc w:val="center"/>
                    <w:rPr>
                      <w:rFonts w:hint="default" w:ascii="Times New Roman" w:hAnsi="Times New Roman" w:cs="Times New Roman"/>
                      <w:sz w:val="21"/>
                      <w:szCs w:val="21"/>
                    </w:rPr>
                  </w:pPr>
                </w:p>
              </w:tc>
              <w:tc>
                <w:tcPr>
                  <w:tcW w:w="459" w:type="pct"/>
                  <w:vMerge w:val="continue"/>
                  <w:noWrap w:val="0"/>
                  <w:vAlign w:val="center"/>
                </w:tcPr>
                <w:p>
                  <w:pPr>
                    <w:widowControl/>
                    <w:adjustRightInd w:val="0"/>
                    <w:snapToGrid w:val="0"/>
                    <w:spacing w:line="240" w:lineRule="auto"/>
                    <w:jc w:val="center"/>
                    <w:rPr>
                      <w:rFonts w:hint="default" w:ascii="Times New Roman" w:hAnsi="Times New Roman" w:cs="Times New Roman"/>
                      <w:sz w:val="21"/>
                      <w:szCs w:val="21"/>
                    </w:rPr>
                  </w:pPr>
                </w:p>
              </w:tc>
              <w:tc>
                <w:tcPr>
                  <w:tcW w:w="291" w:type="pct"/>
                  <w:vMerge w:val="continue"/>
                  <w:noWrap w:val="0"/>
                  <w:vAlign w:val="center"/>
                </w:tcPr>
                <w:p>
                  <w:pPr>
                    <w:widowControl/>
                    <w:adjustRightInd w:val="0"/>
                    <w:snapToGrid w:val="0"/>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
                    </w:rPr>
                    <w:t>小型振动碾</w:t>
                  </w:r>
                </w:p>
              </w:tc>
              <w:tc>
                <w:tcPr>
                  <w:tcW w:w="484" w:type="pct"/>
                  <w:vMerge w:val="continue"/>
                  <w:noWrap w:val="0"/>
                  <w:vAlign w:val="center"/>
                </w:tcPr>
                <w:p>
                  <w:pPr>
                    <w:adjustRightInd w:val="0"/>
                    <w:snapToGrid w:val="0"/>
                    <w:spacing w:line="240" w:lineRule="auto"/>
                    <w:jc w:val="center"/>
                    <w:rPr>
                      <w:rFonts w:hint="default" w:ascii="Times New Roman" w:hAnsi="Times New Roman" w:cs="Times New Roman"/>
                      <w:sz w:val="21"/>
                      <w:szCs w:val="21"/>
                    </w:rPr>
                  </w:pPr>
                </w:p>
              </w:tc>
              <w:tc>
                <w:tcPr>
                  <w:tcW w:w="391" w:type="pct"/>
                  <w:vMerge w:val="continue"/>
                  <w:noWrap w:val="0"/>
                  <w:vAlign w:val="center"/>
                </w:tcPr>
                <w:p>
                  <w:pPr>
                    <w:widowControl/>
                    <w:adjustRightInd w:val="0"/>
                    <w:snapToGrid w:val="0"/>
                    <w:spacing w:line="240" w:lineRule="auto"/>
                    <w:jc w:val="center"/>
                    <w:rPr>
                      <w:rFonts w:hint="default" w:ascii="Times New Roman" w:hAnsi="Times New Roman" w:cs="Times New Roman"/>
                      <w:sz w:val="21"/>
                      <w:szCs w:val="21"/>
                    </w:rPr>
                  </w:pPr>
                </w:p>
              </w:tc>
              <w:tc>
                <w:tcPr>
                  <w:tcW w:w="451" w:type="pct"/>
                  <w:vMerge w:val="continue"/>
                  <w:noWrap w:val="0"/>
                  <w:vAlign w:val="center"/>
                </w:tcPr>
                <w:p>
                  <w:pPr>
                    <w:widowControl/>
                    <w:adjustRightInd w:val="0"/>
                    <w:snapToGrid w:val="0"/>
                    <w:spacing w:line="240" w:lineRule="auto"/>
                    <w:jc w:val="center"/>
                    <w:rPr>
                      <w:rFonts w:hint="default" w:ascii="Times New Roman" w:hAnsi="Times New Roman" w:cs="Times New Roman"/>
                      <w:sz w:val="21"/>
                      <w:szCs w:val="21"/>
                    </w:rPr>
                  </w:pPr>
                </w:p>
              </w:tc>
              <w:tc>
                <w:tcPr>
                  <w:tcW w:w="451" w:type="pct"/>
                  <w:vMerge w:val="continue"/>
                  <w:noWrap w:val="0"/>
                  <w:vAlign w:val="center"/>
                </w:tcPr>
                <w:p>
                  <w:pPr>
                    <w:widowControl/>
                    <w:adjustRightInd w:val="0"/>
                    <w:snapToGrid w:val="0"/>
                    <w:spacing w:line="240" w:lineRule="auto"/>
                    <w:jc w:val="center"/>
                    <w:rPr>
                      <w:rFonts w:hint="default" w:ascii="Times New Roman" w:hAnsi="Times New Roman" w:cs="Times New Roman"/>
                      <w:sz w:val="21"/>
                      <w:szCs w:val="21"/>
                    </w:rPr>
                  </w:pPr>
                </w:p>
              </w:tc>
              <w:tc>
                <w:tcPr>
                  <w:tcW w:w="451" w:type="pct"/>
                  <w:vMerge w:val="continue"/>
                  <w:noWrap w:val="0"/>
                  <w:vAlign w:val="center"/>
                </w:tcPr>
                <w:p>
                  <w:pPr>
                    <w:widowControl/>
                    <w:adjustRightInd w:val="0"/>
                    <w:snapToGrid w:val="0"/>
                    <w:spacing w:line="240" w:lineRule="auto"/>
                    <w:jc w:val="center"/>
                    <w:rPr>
                      <w:rFonts w:hint="default" w:ascii="Times New Roman" w:hAnsi="Times New Roman" w:cs="Times New Roman"/>
                      <w:sz w:val="21"/>
                      <w:szCs w:val="21"/>
                    </w:rPr>
                  </w:pPr>
                </w:p>
              </w:tc>
              <w:tc>
                <w:tcPr>
                  <w:tcW w:w="463" w:type="pct"/>
                  <w:vMerge w:val="continue"/>
                  <w:noWrap w:val="0"/>
                  <w:vAlign w:val="center"/>
                </w:tcPr>
                <w:p>
                  <w:pPr>
                    <w:widowControl/>
                    <w:adjustRightInd w:val="0"/>
                    <w:snapToGrid w:val="0"/>
                    <w:spacing w:line="240" w:lineRule="auto"/>
                    <w:jc w:val="center"/>
                    <w:rPr>
                      <w:rFonts w:hint="default" w:ascii="Times New Roman" w:hAnsi="Times New Roman" w:cs="Times New Roman"/>
                      <w:sz w:val="21"/>
                      <w:szCs w:val="21"/>
                    </w:rPr>
                  </w:pPr>
                </w:p>
              </w:tc>
              <w:tc>
                <w:tcPr>
                  <w:tcW w:w="463" w:type="pct"/>
                  <w:vMerge w:val="continue"/>
                  <w:noWrap w:val="0"/>
                  <w:vAlign w:val="center"/>
                </w:tcPr>
                <w:p>
                  <w:pPr>
                    <w:widowControl/>
                    <w:adjustRightInd w:val="0"/>
                    <w:snapToGrid w:val="0"/>
                    <w:spacing w:line="240" w:lineRule="auto"/>
                    <w:jc w:val="center"/>
                    <w:rPr>
                      <w:rFonts w:hint="default" w:ascii="Times New Roman" w:hAnsi="Times New Roman" w:cs="Times New Roman"/>
                      <w:sz w:val="21"/>
                      <w:szCs w:val="21"/>
                    </w:rPr>
                  </w:pPr>
                </w:p>
              </w:tc>
              <w:tc>
                <w:tcPr>
                  <w:tcW w:w="463" w:type="pct"/>
                  <w:vMerge w:val="continue"/>
                  <w:noWrap w:val="0"/>
                  <w:vAlign w:val="center"/>
                </w:tcPr>
                <w:p>
                  <w:pPr>
                    <w:widowControl/>
                    <w:adjustRightInd w:val="0"/>
                    <w:snapToGrid w:val="0"/>
                    <w:spacing w:line="240" w:lineRule="auto"/>
                    <w:jc w:val="center"/>
                    <w:rPr>
                      <w:rFonts w:hint="default" w:ascii="Times New Roman" w:hAnsi="Times New Roman" w:cs="Times New Roman"/>
                      <w:sz w:val="21"/>
                      <w:szCs w:val="21"/>
                    </w:rPr>
                  </w:pPr>
                </w:p>
              </w:tc>
              <w:tc>
                <w:tcPr>
                  <w:tcW w:w="459" w:type="pct"/>
                  <w:vMerge w:val="continue"/>
                  <w:noWrap w:val="0"/>
                  <w:vAlign w:val="center"/>
                </w:tcPr>
                <w:p>
                  <w:pPr>
                    <w:widowControl/>
                    <w:adjustRightInd w:val="0"/>
                    <w:snapToGrid w:val="0"/>
                    <w:spacing w:line="240" w:lineRule="auto"/>
                    <w:jc w:val="center"/>
                    <w:rPr>
                      <w:rFonts w:hint="default" w:ascii="Times New Roman" w:hAnsi="Times New Roman" w:cs="Times New Roman"/>
                      <w:sz w:val="21"/>
                      <w:szCs w:val="21"/>
                    </w:rPr>
                  </w:pPr>
                </w:p>
              </w:tc>
              <w:tc>
                <w:tcPr>
                  <w:tcW w:w="291" w:type="pct"/>
                  <w:vMerge w:val="continue"/>
                  <w:noWrap w:val="0"/>
                  <w:vAlign w:val="center"/>
                </w:tcPr>
                <w:p>
                  <w:pPr>
                    <w:widowControl/>
                    <w:adjustRightInd w:val="0"/>
                    <w:snapToGrid w:val="0"/>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
                    </w:rPr>
                    <w:t>轮胎碾</w:t>
                  </w:r>
                </w:p>
              </w:tc>
              <w:tc>
                <w:tcPr>
                  <w:tcW w:w="484" w:type="pct"/>
                  <w:vMerge w:val="continue"/>
                  <w:noWrap w:val="0"/>
                  <w:vAlign w:val="center"/>
                </w:tcPr>
                <w:p>
                  <w:pPr>
                    <w:adjustRightInd w:val="0"/>
                    <w:snapToGrid w:val="0"/>
                    <w:spacing w:line="240" w:lineRule="auto"/>
                    <w:jc w:val="center"/>
                    <w:rPr>
                      <w:rFonts w:hint="default" w:ascii="Times New Roman" w:hAnsi="Times New Roman" w:cs="Times New Roman"/>
                      <w:sz w:val="21"/>
                      <w:szCs w:val="21"/>
                    </w:rPr>
                  </w:pPr>
                </w:p>
              </w:tc>
              <w:tc>
                <w:tcPr>
                  <w:tcW w:w="391" w:type="pct"/>
                  <w:vMerge w:val="continue"/>
                  <w:noWrap w:val="0"/>
                  <w:vAlign w:val="center"/>
                </w:tcPr>
                <w:p>
                  <w:pPr>
                    <w:widowControl/>
                    <w:adjustRightInd w:val="0"/>
                    <w:snapToGrid w:val="0"/>
                    <w:spacing w:line="240" w:lineRule="auto"/>
                    <w:jc w:val="center"/>
                    <w:rPr>
                      <w:rFonts w:hint="default" w:ascii="Times New Roman" w:hAnsi="Times New Roman" w:cs="Times New Roman"/>
                      <w:sz w:val="21"/>
                      <w:szCs w:val="21"/>
                    </w:rPr>
                  </w:pPr>
                </w:p>
              </w:tc>
              <w:tc>
                <w:tcPr>
                  <w:tcW w:w="451" w:type="pct"/>
                  <w:vMerge w:val="continue"/>
                  <w:noWrap w:val="0"/>
                  <w:vAlign w:val="center"/>
                </w:tcPr>
                <w:p>
                  <w:pPr>
                    <w:widowControl/>
                    <w:adjustRightInd w:val="0"/>
                    <w:snapToGrid w:val="0"/>
                    <w:spacing w:line="240" w:lineRule="auto"/>
                    <w:jc w:val="center"/>
                    <w:rPr>
                      <w:rFonts w:hint="default" w:ascii="Times New Roman" w:hAnsi="Times New Roman" w:cs="Times New Roman"/>
                      <w:sz w:val="21"/>
                      <w:szCs w:val="21"/>
                    </w:rPr>
                  </w:pPr>
                </w:p>
              </w:tc>
              <w:tc>
                <w:tcPr>
                  <w:tcW w:w="451" w:type="pct"/>
                  <w:vMerge w:val="continue"/>
                  <w:noWrap w:val="0"/>
                  <w:vAlign w:val="center"/>
                </w:tcPr>
                <w:p>
                  <w:pPr>
                    <w:widowControl/>
                    <w:adjustRightInd w:val="0"/>
                    <w:snapToGrid w:val="0"/>
                    <w:spacing w:line="240" w:lineRule="auto"/>
                    <w:jc w:val="center"/>
                    <w:rPr>
                      <w:rFonts w:hint="default" w:ascii="Times New Roman" w:hAnsi="Times New Roman" w:cs="Times New Roman"/>
                      <w:sz w:val="21"/>
                      <w:szCs w:val="21"/>
                    </w:rPr>
                  </w:pPr>
                </w:p>
              </w:tc>
              <w:tc>
                <w:tcPr>
                  <w:tcW w:w="451" w:type="pct"/>
                  <w:vMerge w:val="continue"/>
                  <w:noWrap w:val="0"/>
                  <w:vAlign w:val="center"/>
                </w:tcPr>
                <w:p>
                  <w:pPr>
                    <w:widowControl/>
                    <w:adjustRightInd w:val="0"/>
                    <w:snapToGrid w:val="0"/>
                    <w:spacing w:line="240" w:lineRule="auto"/>
                    <w:jc w:val="center"/>
                    <w:rPr>
                      <w:rFonts w:hint="default" w:ascii="Times New Roman" w:hAnsi="Times New Roman" w:cs="Times New Roman"/>
                      <w:sz w:val="21"/>
                      <w:szCs w:val="21"/>
                    </w:rPr>
                  </w:pPr>
                </w:p>
              </w:tc>
              <w:tc>
                <w:tcPr>
                  <w:tcW w:w="463" w:type="pct"/>
                  <w:vMerge w:val="continue"/>
                  <w:noWrap w:val="0"/>
                  <w:vAlign w:val="center"/>
                </w:tcPr>
                <w:p>
                  <w:pPr>
                    <w:widowControl/>
                    <w:adjustRightInd w:val="0"/>
                    <w:snapToGrid w:val="0"/>
                    <w:spacing w:line="240" w:lineRule="auto"/>
                    <w:jc w:val="center"/>
                    <w:rPr>
                      <w:rFonts w:hint="default" w:ascii="Times New Roman" w:hAnsi="Times New Roman" w:cs="Times New Roman"/>
                      <w:sz w:val="21"/>
                      <w:szCs w:val="21"/>
                    </w:rPr>
                  </w:pPr>
                </w:p>
              </w:tc>
              <w:tc>
                <w:tcPr>
                  <w:tcW w:w="463" w:type="pct"/>
                  <w:vMerge w:val="continue"/>
                  <w:noWrap w:val="0"/>
                  <w:vAlign w:val="center"/>
                </w:tcPr>
                <w:p>
                  <w:pPr>
                    <w:widowControl/>
                    <w:adjustRightInd w:val="0"/>
                    <w:snapToGrid w:val="0"/>
                    <w:spacing w:line="240" w:lineRule="auto"/>
                    <w:jc w:val="center"/>
                    <w:rPr>
                      <w:rFonts w:hint="default" w:ascii="Times New Roman" w:hAnsi="Times New Roman" w:cs="Times New Roman"/>
                      <w:sz w:val="21"/>
                      <w:szCs w:val="21"/>
                    </w:rPr>
                  </w:pPr>
                </w:p>
              </w:tc>
              <w:tc>
                <w:tcPr>
                  <w:tcW w:w="463" w:type="pct"/>
                  <w:vMerge w:val="continue"/>
                  <w:noWrap w:val="0"/>
                  <w:vAlign w:val="center"/>
                </w:tcPr>
                <w:p>
                  <w:pPr>
                    <w:widowControl/>
                    <w:adjustRightInd w:val="0"/>
                    <w:snapToGrid w:val="0"/>
                    <w:spacing w:line="240" w:lineRule="auto"/>
                    <w:jc w:val="center"/>
                    <w:rPr>
                      <w:rFonts w:hint="default" w:ascii="Times New Roman" w:hAnsi="Times New Roman" w:cs="Times New Roman"/>
                      <w:sz w:val="21"/>
                      <w:szCs w:val="21"/>
                    </w:rPr>
                  </w:pPr>
                </w:p>
              </w:tc>
              <w:tc>
                <w:tcPr>
                  <w:tcW w:w="459" w:type="pct"/>
                  <w:vMerge w:val="continue"/>
                  <w:noWrap w:val="0"/>
                  <w:vAlign w:val="center"/>
                </w:tcPr>
                <w:p>
                  <w:pPr>
                    <w:widowControl/>
                    <w:adjustRightInd w:val="0"/>
                    <w:snapToGrid w:val="0"/>
                    <w:spacing w:line="240" w:lineRule="auto"/>
                    <w:jc w:val="center"/>
                    <w:rPr>
                      <w:rFonts w:hint="default" w:ascii="Times New Roman" w:hAnsi="Times New Roman" w:cs="Times New Roman"/>
                      <w:sz w:val="21"/>
                      <w:szCs w:val="21"/>
                    </w:rPr>
                  </w:pPr>
                </w:p>
              </w:tc>
              <w:tc>
                <w:tcPr>
                  <w:tcW w:w="291" w:type="pct"/>
                  <w:vMerge w:val="continue"/>
                  <w:noWrap w:val="0"/>
                  <w:vAlign w:val="center"/>
                </w:tcPr>
                <w:p>
                  <w:pPr>
                    <w:widowControl/>
                    <w:adjustRightInd w:val="0"/>
                    <w:snapToGrid w:val="0"/>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
                    </w:rPr>
                    <w:t>插入式振捣器</w:t>
                  </w:r>
                </w:p>
              </w:tc>
              <w:tc>
                <w:tcPr>
                  <w:tcW w:w="484" w:type="pct"/>
                  <w:vMerge w:val="continue"/>
                  <w:noWrap w:val="0"/>
                  <w:vAlign w:val="center"/>
                </w:tcPr>
                <w:p>
                  <w:pPr>
                    <w:adjustRightInd w:val="0"/>
                    <w:snapToGrid w:val="0"/>
                    <w:spacing w:line="240" w:lineRule="auto"/>
                    <w:jc w:val="center"/>
                    <w:rPr>
                      <w:rFonts w:hint="default" w:ascii="Times New Roman" w:hAnsi="Times New Roman" w:cs="Times New Roman"/>
                      <w:sz w:val="21"/>
                      <w:szCs w:val="21"/>
                    </w:rPr>
                  </w:pPr>
                </w:p>
              </w:tc>
              <w:tc>
                <w:tcPr>
                  <w:tcW w:w="391" w:type="pct"/>
                  <w:vMerge w:val="continue"/>
                  <w:noWrap w:val="0"/>
                  <w:vAlign w:val="center"/>
                </w:tcPr>
                <w:p>
                  <w:pPr>
                    <w:widowControl/>
                    <w:adjustRightInd w:val="0"/>
                    <w:snapToGrid w:val="0"/>
                    <w:spacing w:line="240" w:lineRule="auto"/>
                    <w:jc w:val="center"/>
                    <w:rPr>
                      <w:rFonts w:hint="default" w:ascii="Times New Roman" w:hAnsi="Times New Roman" w:cs="Times New Roman"/>
                      <w:sz w:val="21"/>
                      <w:szCs w:val="21"/>
                    </w:rPr>
                  </w:pPr>
                </w:p>
              </w:tc>
              <w:tc>
                <w:tcPr>
                  <w:tcW w:w="451" w:type="pct"/>
                  <w:vMerge w:val="continue"/>
                  <w:noWrap w:val="0"/>
                  <w:vAlign w:val="center"/>
                </w:tcPr>
                <w:p>
                  <w:pPr>
                    <w:widowControl/>
                    <w:adjustRightInd w:val="0"/>
                    <w:snapToGrid w:val="0"/>
                    <w:spacing w:line="240" w:lineRule="auto"/>
                    <w:jc w:val="center"/>
                    <w:rPr>
                      <w:rFonts w:hint="default" w:ascii="Times New Roman" w:hAnsi="Times New Roman" w:cs="Times New Roman"/>
                      <w:sz w:val="21"/>
                      <w:szCs w:val="21"/>
                    </w:rPr>
                  </w:pPr>
                </w:p>
              </w:tc>
              <w:tc>
                <w:tcPr>
                  <w:tcW w:w="451" w:type="pct"/>
                  <w:vMerge w:val="continue"/>
                  <w:noWrap w:val="0"/>
                  <w:vAlign w:val="center"/>
                </w:tcPr>
                <w:p>
                  <w:pPr>
                    <w:widowControl/>
                    <w:adjustRightInd w:val="0"/>
                    <w:snapToGrid w:val="0"/>
                    <w:spacing w:line="240" w:lineRule="auto"/>
                    <w:jc w:val="center"/>
                    <w:rPr>
                      <w:rFonts w:hint="default" w:ascii="Times New Roman" w:hAnsi="Times New Roman" w:cs="Times New Roman"/>
                      <w:sz w:val="21"/>
                      <w:szCs w:val="21"/>
                    </w:rPr>
                  </w:pPr>
                </w:p>
              </w:tc>
              <w:tc>
                <w:tcPr>
                  <w:tcW w:w="451" w:type="pct"/>
                  <w:vMerge w:val="continue"/>
                  <w:noWrap w:val="0"/>
                  <w:vAlign w:val="center"/>
                </w:tcPr>
                <w:p>
                  <w:pPr>
                    <w:widowControl/>
                    <w:adjustRightInd w:val="0"/>
                    <w:snapToGrid w:val="0"/>
                    <w:spacing w:line="240" w:lineRule="auto"/>
                    <w:jc w:val="center"/>
                    <w:rPr>
                      <w:rFonts w:hint="default" w:ascii="Times New Roman" w:hAnsi="Times New Roman" w:cs="Times New Roman"/>
                      <w:sz w:val="21"/>
                      <w:szCs w:val="21"/>
                    </w:rPr>
                  </w:pPr>
                </w:p>
              </w:tc>
              <w:tc>
                <w:tcPr>
                  <w:tcW w:w="463" w:type="pct"/>
                  <w:vMerge w:val="continue"/>
                  <w:noWrap w:val="0"/>
                  <w:vAlign w:val="center"/>
                </w:tcPr>
                <w:p>
                  <w:pPr>
                    <w:widowControl/>
                    <w:adjustRightInd w:val="0"/>
                    <w:snapToGrid w:val="0"/>
                    <w:spacing w:line="240" w:lineRule="auto"/>
                    <w:jc w:val="center"/>
                    <w:rPr>
                      <w:rFonts w:hint="default" w:ascii="Times New Roman" w:hAnsi="Times New Roman" w:cs="Times New Roman"/>
                      <w:sz w:val="21"/>
                      <w:szCs w:val="21"/>
                    </w:rPr>
                  </w:pPr>
                </w:p>
              </w:tc>
              <w:tc>
                <w:tcPr>
                  <w:tcW w:w="463" w:type="pct"/>
                  <w:vMerge w:val="continue"/>
                  <w:noWrap w:val="0"/>
                  <w:vAlign w:val="center"/>
                </w:tcPr>
                <w:p>
                  <w:pPr>
                    <w:widowControl/>
                    <w:adjustRightInd w:val="0"/>
                    <w:snapToGrid w:val="0"/>
                    <w:spacing w:line="240" w:lineRule="auto"/>
                    <w:jc w:val="center"/>
                    <w:rPr>
                      <w:rFonts w:hint="default" w:ascii="Times New Roman" w:hAnsi="Times New Roman" w:cs="Times New Roman"/>
                      <w:sz w:val="21"/>
                      <w:szCs w:val="21"/>
                    </w:rPr>
                  </w:pPr>
                </w:p>
              </w:tc>
              <w:tc>
                <w:tcPr>
                  <w:tcW w:w="463" w:type="pct"/>
                  <w:vMerge w:val="continue"/>
                  <w:noWrap w:val="0"/>
                  <w:vAlign w:val="center"/>
                </w:tcPr>
                <w:p>
                  <w:pPr>
                    <w:widowControl/>
                    <w:adjustRightInd w:val="0"/>
                    <w:snapToGrid w:val="0"/>
                    <w:spacing w:line="240" w:lineRule="auto"/>
                    <w:jc w:val="center"/>
                    <w:rPr>
                      <w:rFonts w:hint="default" w:ascii="Times New Roman" w:hAnsi="Times New Roman" w:cs="Times New Roman"/>
                      <w:sz w:val="21"/>
                      <w:szCs w:val="21"/>
                    </w:rPr>
                  </w:pPr>
                </w:p>
              </w:tc>
              <w:tc>
                <w:tcPr>
                  <w:tcW w:w="459" w:type="pct"/>
                  <w:vMerge w:val="continue"/>
                  <w:noWrap w:val="0"/>
                  <w:vAlign w:val="center"/>
                </w:tcPr>
                <w:p>
                  <w:pPr>
                    <w:widowControl/>
                    <w:adjustRightInd w:val="0"/>
                    <w:snapToGrid w:val="0"/>
                    <w:spacing w:line="240" w:lineRule="auto"/>
                    <w:jc w:val="center"/>
                    <w:rPr>
                      <w:rFonts w:hint="default" w:ascii="Times New Roman" w:hAnsi="Times New Roman" w:cs="Times New Roman"/>
                      <w:sz w:val="21"/>
                      <w:szCs w:val="21"/>
                    </w:rPr>
                  </w:pPr>
                </w:p>
              </w:tc>
              <w:tc>
                <w:tcPr>
                  <w:tcW w:w="291" w:type="pct"/>
                  <w:vMerge w:val="continue"/>
                  <w:noWrap w:val="0"/>
                  <w:vAlign w:val="center"/>
                </w:tcPr>
                <w:p>
                  <w:pPr>
                    <w:widowControl/>
                    <w:adjustRightInd w:val="0"/>
                    <w:snapToGrid w:val="0"/>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6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
                    </w:rPr>
                    <w:t>自卸汽车</w:t>
                  </w:r>
                </w:p>
              </w:tc>
              <w:tc>
                <w:tcPr>
                  <w:tcW w:w="484" w:type="pct"/>
                  <w:vMerge w:val="continue"/>
                  <w:noWrap w:val="0"/>
                  <w:vAlign w:val="center"/>
                </w:tcPr>
                <w:p>
                  <w:pPr>
                    <w:adjustRightInd w:val="0"/>
                    <w:snapToGrid w:val="0"/>
                    <w:spacing w:line="240" w:lineRule="auto"/>
                    <w:jc w:val="center"/>
                    <w:rPr>
                      <w:rFonts w:hint="default" w:ascii="Times New Roman" w:hAnsi="Times New Roman" w:cs="Times New Roman"/>
                      <w:sz w:val="21"/>
                      <w:szCs w:val="21"/>
                    </w:rPr>
                  </w:pPr>
                </w:p>
              </w:tc>
              <w:tc>
                <w:tcPr>
                  <w:tcW w:w="391" w:type="pct"/>
                  <w:vMerge w:val="continue"/>
                  <w:noWrap w:val="0"/>
                  <w:vAlign w:val="center"/>
                </w:tcPr>
                <w:p>
                  <w:pPr>
                    <w:widowControl/>
                    <w:adjustRightInd w:val="0"/>
                    <w:snapToGrid w:val="0"/>
                    <w:spacing w:line="240" w:lineRule="auto"/>
                    <w:jc w:val="center"/>
                    <w:rPr>
                      <w:rFonts w:hint="default" w:ascii="Times New Roman" w:hAnsi="Times New Roman" w:cs="Times New Roman"/>
                      <w:sz w:val="21"/>
                      <w:szCs w:val="21"/>
                    </w:rPr>
                  </w:pPr>
                </w:p>
              </w:tc>
              <w:tc>
                <w:tcPr>
                  <w:tcW w:w="451" w:type="pct"/>
                  <w:vMerge w:val="continue"/>
                  <w:noWrap w:val="0"/>
                  <w:vAlign w:val="center"/>
                </w:tcPr>
                <w:p>
                  <w:pPr>
                    <w:widowControl/>
                    <w:adjustRightInd w:val="0"/>
                    <w:snapToGrid w:val="0"/>
                    <w:spacing w:line="240" w:lineRule="auto"/>
                    <w:jc w:val="center"/>
                    <w:rPr>
                      <w:rFonts w:hint="default" w:ascii="Times New Roman" w:hAnsi="Times New Roman" w:cs="Times New Roman"/>
                      <w:sz w:val="21"/>
                      <w:szCs w:val="21"/>
                    </w:rPr>
                  </w:pPr>
                </w:p>
              </w:tc>
              <w:tc>
                <w:tcPr>
                  <w:tcW w:w="451" w:type="pct"/>
                  <w:vMerge w:val="continue"/>
                  <w:noWrap w:val="0"/>
                  <w:vAlign w:val="center"/>
                </w:tcPr>
                <w:p>
                  <w:pPr>
                    <w:widowControl/>
                    <w:adjustRightInd w:val="0"/>
                    <w:snapToGrid w:val="0"/>
                    <w:spacing w:line="240" w:lineRule="auto"/>
                    <w:jc w:val="center"/>
                    <w:rPr>
                      <w:rFonts w:hint="default" w:ascii="Times New Roman" w:hAnsi="Times New Roman" w:cs="Times New Roman"/>
                      <w:sz w:val="21"/>
                      <w:szCs w:val="21"/>
                    </w:rPr>
                  </w:pPr>
                </w:p>
              </w:tc>
              <w:tc>
                <w:tcPr>
                  <w:tcW w:w="451" w:type="pct"/>
                  <w:vMerge w:val="continue"/>
                  <w:noWrap w:val="0"/>
                  <w:vAlign w:val="center"/>
                </w:tcPr>
                <w:p>
                  <w:pPr>
                    <w:widowControl/>
                    <w:adjustRightInd w:val="0"/>
                    <w:snapToGrid w:val="0"/>
                    <w:spacing w:line="240" w:lineRule="auto"/>
                    <w:jc w:val="center"/>
                    <w:rPr>
                      <w:rFonts w:hint="default" w:ascii="Times New Roman" w:hAnsi="Times New Roman" w:cs="Times New Roman"/>
                      <w:sz w:val="21"/>
                      <w:szCs w:val="21"/>
                    </w:rPr>
                  </w:pPr>
                </w:p>
              </w:tc>
              <w:tc>
                <w:tcPr>
                  <w:tcW w:w="463" w:type="pct"/>
                  <w:vMerge w:val="continue"/>
                  <w:noWrap w:val="0"/>
                  <w:vAlign w:val="center"/>
                </w:tcPr>
                <w:p>
                  <w:pPr>
                    <w:widowControl/>
                    <w:adjustRightInd w:val="0"/>
                    <w:snapToGrid w:val="0"/>
                    <w:spacing w:line="240" w:lineRule="auto"/>
                    <w:jc w:val="center"/>
                    <w:rPr>
                      <w:rFonts w:hint="default" w:ascii="Times New Roman" w:hAnsi="Times New Roman" w:cs="Times New Roman"/>
                      <w:sz w:val="21"/>
                      <w:szCs w:val="21"/>
                    </w:rPr>
                  </w:pPr>
                </w:p>
              </w:tc>
              <w:tc>
                <w:tcPr>
                  <w:tcW w:w="463" w:type="pct"/>
                  <w:vMerge w:val="continue"/>
                  <w:noWrap w:val="0"/>
                  <w:vAlign w:val="center"/>
                </w:tcPr>
                <w:p>
                  <w:pPr>
                    <w:widowControl/>
                    <w:adjustRightInd w:val="0"/>
                    <w:snapToGrid w:val="0"/>
                    <w:spacing w:line="240" w:lineRule="auto"/>
                    <w:jc w:val="center"/>
                    <w:rPr>
                      <w:rFonts w:hint="default" w:ascii="Times New Roman" w:hAnsi="Times New Roman" w:cs="Times New Roman"/>
                      <w:sz w:val="21"/>
                      <w:szCs w:val="21"/>
                    </w:rPr>
                  </w:pPr>
                </w:p>
              </w:tc>
              <w:tc>
                <w:tcPr>
                  <w:tcW w:w="463" w:type="pct"/>
                  <w:vMerge w:val="continue"/>
                  <w:noWrap w:val="0"/>
                  <w:vAlign w:val="center"/>
                </w:tcPr>
                <w:p>
                  <w:pPr>
                    <w:widowControl/>
                    <w:adjustRightInd w:val="0"/>
                    <w:snapToGrid w:val="0"/>
                    <w:spacing w:line="240" w:lineRule="auto"/>
                    <w:jc w:val="center"/>
                    <w:rPr>
                      <w:rFonts w:hint="default" w:ascii="Times New Roman" w:hAnsi="Times New Roman" w:cs="Times New Roman"/>
                      <w:sz w:val="21"/>
                      <w:szCs w:val="21"/>
                    </w:rPr>
                  </w:pPr>
                </w:p>
              </w:tc>
              <w:tc>
                <w:tcPr>
                  <w:tcW w:w="459" w:type="pct"/>
                  <w:vMerge w:val="continue"/>
                  <w:noWrap w:val="0"/>
                  <w:vAlign w:val="center"/>
                </w:tcPr>
                <w:p>
                  <w:pPr>
                    <w:widowControl/>
                    <w:adjustRightInd w:val="0"/>
                    <w:snapToGrid w:val="0"/>
                    <w:spacing w:line="240" w:lineRule="auto"/>
                    <w:jc w:val="center"/>
                    <w:rPr>
                      <w:rFonts w:hint="default" w:ascii="Times New Roman" w:hAnsi="Times New Roman" w:cs="Times New Roman"/>
                      <w:sz w:val="21"/>
                      <w:szCs w:val="21"/>
                    </w:rPr>
                  </w:pPr>
                </w:p>
              </w:tc>
              <w:tc>
                <w:tcPr>
                  <w:tcW w:w="291" w:type="pct"/>
                  <w:vMerge w:val="continue"/>
                  <w:noWrap w:val="0"/>
                  <w:vAlign w:val="center"/>
                </w:tcPr>
                <w:p>
                  <w:pPr>
                    <w:widowControl/>
                    <w:adjustRightInd w:val="0"/>
                    <w:snapToGrid w:val="0"/>
                    <w:spacing w:line="240" w:lineRule="auto"/>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kern w:val="2"/>
                      <w:sz w:val="21"/>
                      <w:szCs w:val="21"/>
                      <w:lang w:val="en-US" w:eastAsia="zh-CN" w:bidi="ar-SA"/>
                    </w:rPr>
                  </w:pPr>
                  <w:r>
                    <w:rPr>
                      <w:rFonts w:hint="default" w:ascii="Times New Roman" w:hAnsi="Times New Roman" w:eastAsia="宋体" w:cs="Times New Roman"/>
                      <w:color w:val="auto"/>
                      <w:sz w:val="21"/>
                      <w:szCs w:val="21"/>
                    </w:rPr>
                    <w:t>载重汽车</w:t>
                  </w:r>
                </w:p>
              </w:tc>
              <w:tc>
                <w:tcPr>
                  <w:tcW w:w="484" w:type="pct"/>
                  <w:vMerge w:val="continue"/>
                  <w:noWrap w:val="0"/>
                  <w:vAlign w:val="center"/>
                </w:tcPr>
                <w:p>
                  <w:pPr>
                    <w:adjustRightInd w:val="0"/>
                    <w:snapToGrid w:val="0"/>
                    <w:spacing w:line="240" w:lineRule="auto"/>
                    <w:jc w:val="center"/>
                    <w:rPr>
                      <w:rFonts w:hint="default" w:ascii="Times New Roman" w:hAnsi="Times New Roman" w:cs="Times New Roman"/>
                      <w:sz w:val="21"/>
                      <w:szCs w:val="21"/>
                    </w:rPr>
                  </w:pPr>
                </w:p>
              </w:tc>
              <w:tc>
                <w:tcPr>
                  <w:tcW w:w="391" w:type="pct"/>
                  <w:vMerge w:val="continue"/>
                  <w:noWrap w:val="0"/>
                  <w:vAlign w:val="center"/>
                </w:tcPr>
                <w:p>
                  <w:pPr>
                    <w:widowControl/>
                    <w:adjustRightInd w:val="0"/>
                    <w:snapToGrid w:val="0"/>
                    <w:spacing w:line="240" w:lineRule="auto"/>
                    <w:jc w:val="center"/>
                    <w:rPr>
                      <w:rFonts w:hint="default" w:ascii="Times New Roman" w:hAnsi="Times New Roman" w:cs="Times New Roman"/>
                      <w:sz w:val="21"/>
                      <w:szCs w:val="21"/>
                    </w:rPr>
                  </w:pPr>
                </w:p>
              </w:tc>
              <w:tc>
                <w:tcPr>
                  <w:tcW w:w="451" w:type="pct"/>
                  <w:vMerge w:val="continue"/>
                  <w:noWrap w:val="0"/>
                  <w:vAlign w:val="center"/>
                </w:tcPr>
                <w:p>
                  <w:pPr>
                    <w:widowControl/>
                    <w:adjustRightInd w:val="0"/>
                    <w:snapToGrid w:val="0"/>
                    <w:spacing w:line="240" w:lineRule="auto"/>
                    <w:jc w:val="center"/>
                    <w:rPr>
                      <w:rFonts w:hint="default" w:ascii="Times New Roman" w:hAnsi="Times New Roman" w:cs="Times New Roman"/>
                      <w:sz w:val="21"/>
                      <w:szCs w:val="21"/>
                    </w:rPr>
                  </w:pPr>
                </w:p>
              </w:tc>
              <w:tc>
                <w:tcPr>
                  <w:tcW w:w="451" w:type="pct"/>
                  <w:vMerge w:val="continue"/>
                  <w:noWrap w:val="0"/>
                  <w:vAlign w:val="center"/>
                </w:tcPr>
                <w:p>
                  <w:pPr>
                    <w:widowControl/>
                    <w:adjustRightInd w:val="0"/>
                    <w:snapToGrid w:val="0"/>
                    <w:spacing w:line="240" w:lineRule="auto"/>
                    <w:jc w:val="center"/>
                    <w:rPr>
                      <w:rFonts w:hint="default" w:ascii="Times New Roman" w:hAnsi="Times New Roman" w:cs="Times New Roman"/>
                      <w:sz w:val="21"/>
                      <w:szCs w:val="21"/>
                    </w:rPr>
                  </w:pPr>
                </w:p>
              </w:tc>
              <w:tc>
                <w:tcPr>
                  <w:tcW w:w="451" w:type="pct"/>
                  <w:vMerge w:val="continue"/>
                  <w:noWrap w:val="0"/>
                  <w:vAlign w:val="center"/>
                </w:tcPr>
                <w:p>
                  <w:pPr>
                    <w:widowControl/>
                    <w:adjustRightInd w:val="0"/>
                    <w:snapToGrid w:val="0"/>
                    <w:spacing w:line="240" w:lineRule="auto"/>
                    <w:jc w:val="center"/>
                    <w:rPr>
                      <w:rFonts w:hint="default" w:ascii="Times New Roman" w:hAnsi="Times New Roman" w:cs="Times New Roman"/>
                      <w:sz w:val="21"/>
                      <w:szCs w:val="21"/>
                    </w:rPr>
                  </w:pPr>
                </w:p>
              </w:tc>
              <w:tc>
                <w:tcPr>
                  <w:tcW w:w="463" w:type="pct"/>
                  <w:vMerge w:val="continue"/>
                  <w:noWrap w:val="0"/>
                  <w:vAlign w:val="center"/>
                </w:tcPr>
                <w:p>
                  <w:pPr>
                    <w:widowControl/>
                    <w:adjustRightInd w:val="0"/>
                    <w:snapToGrid w:val="0"/>
                    <w:spacing w:line="240" w:lineRule="auto"/>
                    <w:jc w:val="center"/>
                    <w:rPr>
                      <w:rFonts w:hint="default" w:ascii="Times New Roman" w:hAnsi="Times New Roman" w:cs="Times New Roman"/>
                      <w:sz w:val="21"/>
                      <w:szCs w:val="21"/>
                    </w:rPr>
                  </w:pPr>
                </w:p>
              </w:tc>
              <w:tc>
                <w:tcPr>
                  <w:tcW w:w="463" w:type="pct"/>
                  <w:vMerge w:val="continue"/>
                  <w:noWrap w:val="0"/>
                  <w:vAlign w:val="center"/>
                </w:tcPr>
                <w:p>
                  <w:pPr>
                    <w:widowControl/>
                    <w:adjustRightInd w:val="0"/>
                    <w:snapToGrid w:val="0"/>
                    <w:spacing w:line="240" w:lineRule="auto"/>
                    <w:jc w:val="center"/>
                    <w:rPr>
                      <w:rFonts w:hint="default" w:ascii="Times New Roman" w:hAnsi="Times New Roman" w:cs="Times New Roman"/>
                      <w:sz w:val="21"/>
                      <w:szCs w:val="21"/>
                    </w:rPr>
                  </w:pPr>
                </w:p>
              </w:tc>
              <w:tc>
                <w:tcPr>
                  <w:tcW w:w="463" w:type="pct"/>
                  <w:vMerge w:val="continue"/>
                  <w:noWrap w:val="0"/>
                  <w:vAlign w:val="center"/>
                </w:tcPr>
                <w:p>
                  <w:pPr>
                    <w:widowControl/>
                    <w:adjustRightInd w:val="0"/>
                    <w:snapToGrid w:val="0"/>
                    <w:spacing w:line="240" w:lineRule="auto"/>
                    <w:jc w:val="center"/>
                    <w:rPr>
                      <w:rFonts w:hint="default" w:ascii="Times New Roman" w:hAnsi="Times New Roman" w:cs="Times New Roman"/>
                      <w:sz w:val="21"/>
                      <w:szCs w:val="21"/>
                    </w:rPr>
                  </w:pPr>
                </w:p>
              </w:tc>
              <w:tc>
                <w:tcPr>
                  <w:tcW w:w="459" w:type="pct"/>
                  <w:vMerge w:val="continue"/>
                  <w:noWrap w:val="0"/>
                  <w:vAlign w:val="center"/>
                </w:tcPr>
                <w:p>
                  <w:pPr>
                    <w:widowControl/>
                    <w:adjustRightInd w:val="0"/>
                    <w:snapToGrid w:val="0"/>
                    <w:spacing w:line="240" w:lineRule="auto"/>
                    <w:jc w:val="center"/>
                    <w:rPr>
                      <w:rFonts w:hint="default" w:ascii="Times New Roman" w:hAnsi="Times New Roman" w:cs="Times New Roman"/>
                      <w:sz w:val="21"/>
                      <w:szCs w:val="21"/>
                    </w:rPr>
                  </w:pPr>
                </w:p>
              </w:tc>
              <w:tc>
                <w:tcPr>
                  <w:tcW w:w="291" w:type="pct"/>
                  <w:vMerge w:val="continue"/>
                  <w:noWrap w:val="0"/>
                  <w:vAlign w:val="center"/>
                </w:tcPr>
                <w:p>
                  <w:pPr>
                    <w:widowControl/>
                    <w:adjustRightInd w:val="0"/>
                    <w:snapToGrid w:val="0"/>
                    <w:spacing w:line="240" w:lineRule="auto"/>
                    <w:jc w:val="center"/>
                    <w:rPr>
                      <w:rFonts w:hint="default" w:ascii="Times New Roman" w:hAnsi="Times New Roman" w:cs="Times New Roman"/>
                      <w:sz w:val="21"/>
                      <w:szCs w:val="21"/>
                    </w:rPr>
                  </w:pPr>
                </w:p>
              </w:tc>
            </w:tr>
          </w:tbl>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由上表中的计算结果可知，施工期间产生的施工噪声昼间将对</w:t>
            </w:r>
            <w:r>
              <w:rPr>
                <w:rFonts w:hint="eastAsia" w:ascii="Times New Roman" w:hAnsi="Times New Roman" w:cs="Times New Roman"/>
                <w:sz w:val="24"/>
                <w:szCs w:val="24"/>
                <w:lang w:val="en-US" w:eastAsia="zh-CN"/>
              </w:rPr>
              <w:t>10</w:t>
            </w:r>
            <w:r>
              <w:rPr>
                <w:rFonts w:hint="default" w:ascii="Times New Roman" w:hAnsi="Times New Roman" w:cs="Times New Roman"/>
                <w:sz w:val="24"/>
                <w:szCs w:val="24"/>
              </w:rPr>
              <w:t>0m范围内，夜间将对</w:t>
            </w:r>
            <w:r>
              <w:rPr>
                <w:rFonts w:hint="eastAsia" w:ascii="Times New Roman" w:hAnsi="Times New Roman" w:cs="Times New Roman"/>
                <w:sz w:val="24"/>
                <w:szCs w:val="24"/>
                <w:lang w:val="en-US" w:eastAsia="zh-CN"/>
              </w:rPr>
              <w:t>360</w:t>
            </w:r>
            <w:r>
              <w:rPr>
                <w:rFonts w:hint="default" w:ascii="Times New Roman" w:hAnsi="Times New Roman" w:cs="Times New Roman"/>
                <w:sz w:val="24"/>
                <w:szCs w:val="24"/>
              </w:rPr>
              <w:t>m范围内造成噪声影响</w:t>
            </w:r>
            <w:r>
              <w:rPr>
                <w:rFonts w:hint="default" w:ascii="Times New Roman" w:hAnsi="Times New Roman" w:cs="Times New Roman"/>
                <w:sz w:val="24"/>
                <w:szCs w:val="24"/>
                <w:lang w:eastAsia="zh-CN"/>
              </w:rPr>
              <w:t>，</w:t>
            </w:r>
            <w:r>
              <w:rPr>
                <w:rFonts w:hint="default" w:ascii="Times New Roman" w:hAnsi="Times New Roman" w:cs="Times New Roman"/>
                <w:b/>
                <w:bCs/>
                <w:sz w:val="24"/>
                <w:szCs w:val="24"/>
              </w:rPr>
              <w:t>本项目夜间不施工</w:t>
            </w:r>
            <w:r>
              <w:rPr>
                <w:rFonts w:hint="default" w:ascii="Times New Roman" w:hAnsi="Times New Roman" w:cs="Times New Roman"/>
                <w:b w:val="0"/>
                <w:bCs w:val="0"/>
                <w:sz w:val="24"/>
                <w:szCs w:val="24"/>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cs="Times New Roman"/>
                <w:sz w:val="24"/>
                <w:szCs w:val="24"/>
              </w:rPr>
              <w:t>本项目施工期影响是有限的、暂时的，</w:t>
            </w:r>
            <w:r>
              <w:rPr>
                <w:rFonts w:hint="default" w:ascii="Times New Roman" w:hAnsi="Times New Roman" w:cs="Times New Roman"/>
                <w:sz w:val="24"/>
                <w:szCs w:val="24"/>
                <w:lang w:eastAsia="zh-CN"/>
              </w:rPr>
              <w:t>且</w:t>
            </w:r>
            <w:r>
              <w:rPr>
                <w:rFonts w:hint="default" w:ascii="Times New Roman" w:hAnsi="Times New Roman" w:cs="Times New Roman"/>
                <w:sz w:val="24"/>
                <w:szCs w:val="24"/>
              </w:rPr>
              <w:t>会随着施工期的结束而消失，</w:t>
            </w:r>
            <w:r>
              <w:rPr>
                <w:rFonts w:hint="default" w:ascii="Times New Roman" w:hAnsi="Times New Roman" w:cs="Times New Roman"/>
                <w:sz w:val="24"/>
                <w:szCs w:val="24"/>
                <w:lang w:eastAsia="zh-CN"/>
              </w:rPr>
              <w:t>在采取环保措施后</w:t>
            </w:r>
            <w:r>
              <w:rPr>
                <w:rFonts w:hint="default" w:ascii="Times New Roman" w:hAnsi="Times New Roman" w:cs="Times New Roman"/>
                <w:sz w:val="24"/>
                <w:szCs w:val="24"/>
              </w:rPr>
              <w:t>对周围环境影响较小</w:t>
            </w:r>
            <w:r>
              <w:rPr>
                <w:rFonts w:hint="default" w:ascii="Times New Roman" w:hAnsi="Times New Roman" w:cs="Times New Roman"/>
                <w:sz w:val="24"/>
                <w:szCs w:val="24"/>
                <w:lang w:eastAsia="zh-CN"/>
              </w:rPr>
              <w:t>。</w:t>
            </w:r>
          </w:p>
          <w:p>
            <w:pPr>
              <w:pStyle w:val="7"/>
              <w:keepNext w:val="0"/>
              <w:keepLines w:val="0"/>
              <w:pageBreakBefore w:val="0"/>
              <w:widowControl w:val="0"/>
              <w:numPr>
                <w:ilvl w:val="3"/>
                <w:numId w:val="0"/>
              </w:numPr>
              <w:kinsoku/>
              <w:wordWrap/>
              <w:overflowPunct/>
              <w:topLinePunct w:val="0"/>
              <w:autoSpaceDE w:val="0"/>
              <w:autoSpaceDN w:val="0"/>
              <w:bidi w:val="0"/>
              <w:adjustRightInd w:val="0"/>
              <w:snapToGrid w:val="0"/>
              <w:spacing w:before="0" w:line="360" w:lineRule="auto"/>
              <w:ind w:left="0" w:leftChars="0" w:firstLine="482" w:firstLineChars="200"/>
              <w:textAlignment w:val="baseline"/>
              <w:rPr>
                <w:rFonts w:hint="default" w:ascii="Times New Roman" w:hAnsi="Times New Roman" w:eastAsia="宋体" w:cs="Times New Roman"/>
                <w:b/>
                <w:bCs w:val="0"/>
                <w:color w:val="auto"/>
                <w:spacing w:val="0"/>
                <w:sz w:val="24"/>
                <w:lang w:val="en-US" w:eastAsia="zh-CN" w:bidi="ar-SA"/>
              </w:rPr>
            </w:pPr>
            <w:r>
              <w:rPr>
                <w:rFonts w:hint="default" w:ascii="Times New Roman" w:hAnsi="Times New Roman" w:cs="Times New Roman"/>
                <w:b/>
                <w:bCs w:val="0"/>
                <w:color w:val="auto"/>
                <w:spacing w:val="0"/>
                <w:sz w:val="24"/>
                <w:lang w:val="en-US" w:eastAsia="zh-CN" w:bidi="ar-SA"/>
              </w:rPr>
              <w:t>6、</w:t>
            </w:r>
            <w:r>
              <w:rPr>
                <w:rFonts w:hint="eastAsia" w:ascii="Times New Roman" w:hAnsi="Times New Roman" w:eastAsia="宋体" w:cs="Times New Roman"/>
                <w:b/>
                <w:bCs w:val="0"/>
                <w:color w:val="auto"/>
                <w:spacing w:val="0"/>
                <w:sz w:val="24"/>
                <w:lang w:val="en-US" w:eastAsia="zh-CN" w:bidi="ar-SA"/>
              </w:rPr>
              <w:t>固体废物</w:t>
            </w:r>
          </w:p>
          <w:p>
            <w:pPr>
              <w:pStyle w:val="9"/>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jc w:val="both"/>
              <w:textAlignment w:val="baseline"/>
              <w:rPr>
                <w:rFonts w:hint="default" w:ascii="Times New Roman" w:hAnsi="Times New Roman" w:eastAsia="宋体" w:cs="Times New Roman"/>
                <w:color w:val="auto"/>
                <w:spacing w:val="0"/>
                <w:kern w:val="2"/>
                <w:sz w:val="24"/>
                <w:szCs w:val="24"/>
                <w:lang w:val="en-US" w:eastAsia="zh-CN" w:bidi="ar-SA"/>
              </w:rPr>
            </w:pPr>
            <w:r>
              <w:rPr>
                <w:rFonts w:hint="default" w:ascii="Times New Roman" w:hAnsi="Times New Roman" w:eastAsia="宋体" w:cs="Times New Roman"/>
                <w:color w:val="auto"/>
                <w:spacing w:val="0"/>
                <w:kern w:val="2"/>
                <w:sz w:val="24"/>
                <w:szCs w:val="24"/>
                <w:lang w:val="en-US" w:eastAsia="zh-CN" w:bidi="ar-SA"/>
              </w:rPr>
              <w:t>项目不产生工程弃渣，机械维修就近外委，施工期固体废物主要包括</w:t>
            </w:r>
            <w:r>
              <w:rPr>
                <w:rFonts w:hint="eastAsia" w:ascii="Times New Roman" w:hAnsi="Times New Roman" w:eastAsia="宋体" w:cs="Times New Roman"/>
                <w:color w:val="auto"/>
                <w:spacing w:val="0"/>
                <w:kern w:val="2"/>
                <w:sz w:val="24"/>
                <w:szCs w:val="24"/>
                <w:lang w:val="en-US" w:eastAsia="zh-CN" w:bidi="ar-SA"/>
              </w:rPr>
              <w:t>弃土、</w:t>
            </w:r>
            <w:r>
              <w:rPr>
                <w:rFonts w:hint="default" w:ascii="Times New Roman" w:hAnsi="Times New Roman" w:eastAsia="宋体" w:cs="Times New Roman"/>
                <w:color w:val="auto"/>
                <w:spacing w:val="0"/>
                <w:kern w:val="2"/>
                <w:sz w:val="24"/>
                <w:szCs w:val="24"/>
                <w:lang w:val="en-US" w:eastAsia="zh-CN" w:bidi="ar-SA"/>
              </w:rPr>
              <w:t>建筑垃圾、</w:t>
            </w:r>
            <w:r>
              <w:rPr>
                <w:rFonts w:hint="eastAsia" w:ascii="Times New Roman" w:hAnsi="Times New Roman" w:eastAsia="宋体" w:cs="Times New Roman"/>
                <w:color w:val="auto"/>
                <w:spacing w:val="0"/>
                <w:kern w:val="2"/>
                <w:sz w:val="24"/>
                <w:szCs w:val="24"/>
                <w:lang w:val="en-US" w:eastAsia="zh-CN" w:bidi="ar-SA"/>
              </w:rPr>
              <w:t>沉淀池泥沙、</w:t>
            </w:r>
            <w:r>
              <w:rPr>
                <w:rFonts w:hint="default" w:ascii="Times New Roman" w:hAnsi="Times New Roman" w:eastAsia="宋体" w:cs="Times New Roman"/>
                <w:color w:val="auto"/>
                <w:spacing w:val="0"/>
                <w:kern w:val="2"/>
                <w:sz w:val="24"/>
                <w:szCs w:val="24"/>
                <w:lang w:val="en-US" w:eastAsia="zh-CN" w:bidi="ar-SA"/>
              </w:rPr>
              <w:t>生活垃圾。</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baseline"/>
              <w:rPr>
                <w:rFonts w:hint="default" w:ascii="Times New Roman" w:hAnsi="Times New Roman" w:cs="Times New Roman"/>
                <w:b/>
                <w:bCs/>
                <w:color w:val="auto"/>
                <w:spacing w:val="0"/>
                <w:sz w:val="24"/>
                <w:szCs w:val="24"/>
                <w:lang w:val="en-US" w:eastAsia="zh-CN"/>
              </w:rPr>
            </w:pPr>
            <w:r>
              <w:rPr>
                <w:rFonts w:hint="default" w:ascii="Times New Roman" w:hAnsi="Times New Roman" w:cs="Times New Roman"/>
                <w:b/>
                <w:bCs/>
                <w:color w:val="auto"/>
                <w:spacing w:val="0"/>
                <w:sz w:val="24"/>
                <w:szCs w:val="24"/>
                <w:lang w:val="en-US" w:eastAsia="zh-CN"/>
              </w:rPr>
              <w:t>（1）施工人员生活垃圾</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Times New Roman"/>
                <w:color w:val="auto"/>
                <w:spacing w:val="0"/>
                <w:sz w:val="24"/>
                <w:szCs w:val="24"/>
                <w:lang w:val="en-US" w:eastAsia="zh-CN"/>
              </w:rPr>
            </w:pPr>
            <w:r>
              <w:rPr>
                <w:rFonts w:hint="default" w:ascii="Times New Roman" w:hAnsi="Times New Roman" w:cs="Times New Roman"/>
                <w:color w:val="auto"/>
                <w:spacing w:val="0"/>
                <w:sz w:val="24"/>
                <w:szCs w:val="24"/>
                <w:lang w:val="en-US" w:eastAsia="zh-CN"/>
              </w:rPr>
              <w:t>施工期施工人员有</w:t>
            </w:r>
            <w:r>
              <w:rPr>
                <w:rFonts w:hint="eastAsia" w:ascii="Times New Roman" w:hAnsi="Times New Roman" w:cs="Times New Roman"/>
                <w:color w:val="auto"/>
                <w:spacing w:val="0"/>
                <w:sz w:val="24"/>
                <w:szCs w:val="24"/>
                <w:lang w:val="en-US" w:eastAsia="zh-CN"/>
              </w:rPr>
              <w:t>80</w:t>
            </w:r>
            <w:r>
              <w:rPr>
                <w:rFonts w:hint="default" w:ascii="Times New Roman" w:hAnsi="Times New Roman" w:cs="Times New Roman"/>
                <w:color w:val="auto"/>
                <w:spacing w:val="0"/>
                <w:sz w:val="24"/>
                <w:szCs w:val="24"/>
                <w:lang w:val="en-US" w:eastAsia="zh-CN"/>
              </w:rPr>
              <w:t>人，生活垃圾发生量按1.0kg/人·天计，则施工人员生活垃圾产生总量为</w:t>
            </w:r>
            <w:r>
              <w:rPr>
                <w:rFonts w:hint="eastAsia" w:ascii="Times New Roman" w:hAnsi="Times New Roman" w:cs="Times New Roman"/>
                <w:color w:val="auto"/>
                <w:spacing w:val="0"/>
                <w:sz w:val="24"/>
                <w:szCs w:val="24"/>
                <w:lang w:val="en-US" w:eastAsia="zh-CN"/>
              </w:rPr>
              <w:t>19.2</w:t>
            </w:r>
            <w:r>
              <w:rPr>
                <w:rFonts w:hint="default" w:ascii="Times New Roman" w:hAnsi="Times New Roman" w:cs="Times New Roman"/>
                <w:color w:val="auto"/>
                <w:spacing w:val="0"/>
                <w:sz w:val="24"/>
                <w:szCs w:val="24"/>
                <w:lang w:val="en-US" w:eastAsia="zh-CN"/>
              </w:rPr>
              <w:t>t。项目施工场地设置垃圾桶，集中收集后由当地环卫部门统一处理。</w:t>
            </w:r>
          </w:p>
          <w:p>
            <w:pPr>
              <w:pStyle w:val="2"/>
              <w:numPr>
                <w:ilvl w:val="0"/>
                <w:numId w:val="0"/>
              </w:numPr>
              <w:ind w:right="113" w:rightChars="0" w:firstLine="482" w:firstLineChars="200"/>
              <w:rPr>
                <w:rFonts w:hint="eastAsia" w:ascii="Times New Roman" w:hAnsi="Times New Roman" w:eastAsia="宋体" w:cs="Times New Roman"/>
                <w:b/>
                <w:bCs/>
                <w:color w:val="000000"/>
                <w:spacing w:val="0"/>
                <w:sz w:val="24"/>
                <w:szCs w:val="24"/>
                <w:lang w:val="en-US" w:eastAsia="zh-CN"/>
              </w:rPr>
            </w:pPr>
            <w:r>
              <w:rPr>
                <w:rFonts w:hint="eastAsia" w:ascii="Times New Roman" w:hAnsi="Times New Roman" w:eastAsia="宋体" w:cs="Times New Roman"/>
                <w:b/>
                <w:bCs/>
                <w:color w:val="000000"/>
                <w:spacing w:val="0"/>
                <w:sz w:val="24"/>
                <w:szCs w:val="24"/>
                <w:lang w:val="en-US" w:eastAsia="zh-CN"/>
              </w:rPr>
              <w:t>（2）沉淀池泥沙</w:t>
            </w:r>
          </w:p>
          <w:p>
            <w:pPr>
              <w:pStyle w:val="2"/>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right="0" w:rightChars="0" w:firstLine="480" w:firstLineChars="200"/>
              <w:jc w:val="both"/>
              <w:textAlignment w:val="auto"/>
              <w:rPr>
                <w:rFonts w:hint="default" w:ascii="Times New Roman" w:hAnsi="Times New Roman" w:eastAsia="宋体" w:cs="Times New Roman"/>
                <w:color w:val="auto"/>
                <w:spacing w:val="0"/>
                <w:kern w:val="2"/>
                <w:sz w:val="24"/>
                <w:szCs w:val="24"/>
                <w:lang w:val="en-US" w:eastAsia="zh-CN" w:bidi="ar-SA"/>
              </w:rPr>
            </w:pPr>
            <w:r>
              <w:rPr>
                <w:rFonts w:hint="default" w:ascii="Times New Roman" w:hAnsi="Times New Roman" w:eastAsia="宋体" w:cs="Times New Roman"/>
                <w:color w:val="auto"/>
                <w:spacing w:val="0"/>
                <w:kern w:val="2"/>
                <w:sz w:val="24"/>
                <w:szCs w:val="24"/>
                <w:lang w:val="en-US" w:eastAsia="zh-CN" w:bidi="ar-SA"/>
              </w:rPr>
              <w:t>沉淀</w:t>
            </w:r>
            <w:r>
              <w:rPr>
                <w:rFonts w:hint="eastAsia" w:ascii="Times New Roman" w:hAnsi="Times New Roman" w:eastAsia="宋体" w:cs="Times New Roman"/>
                <w:color w:val="auto"/>
                <w:spacing w:val="0"/>
                <w:kern w:val="2"/>
                <w:sz w:val="24"/>
                <w:szCs w:val="24"/>
                <w:lang w:val="en-US" w:eastAsia="zh-CN" w:bidi="ar-SA"/>
              </w:rPr>
              <w:t>池</w:t>
            </w:r>
            <w:r>
              <w:rPr>
                <w:rFonts w:hint="default" w:ascii="Times New Roman" w:hAnsi="Times New Roman" w:eastAsia="宋体" w:cs="Times New Roman"/>
                <w:color w:val="auto"/>
                <w:spacing w:val="0"/>
                <w:kern w:val="2"/>
                <w:sz w:val="24"/>
                <w:szCs w:val="24"/>
                <w:lang w:val="en-US" w:eastAsia="zh-CN" w:bidi="ar-SA"/>
              </w:rPr>
              <w:t>沉积的</w:t>
            </w:r>
            <w:r>
              <w:rPr>
                <w:rFonts w:hint="eastAsia" w:ascii="Times New Roman" w:hAnsi="Times New Roman" w:eastAsia="宋体" w:cs="Times New Roman"/>
                <w:color w:val="auto"/>
                <w:spacing w:val="0"/>
                <w:kern w:val="2"/>
                <w:sz w:val="24"/>
                <w:szCs w:val="24"/>
                <w:lang w:val="en-US" w:eastAsia="zh-CN" w:bidi="ar-SA"/>
              </w:rPr>
              <w:t>泥沙</w:t>
            </w:r>
            <w:r>
              <w:rPr>
                <w:rFonts w:hint="default" w:ascii="Times New Roman" w:hAnsi="Times New Roman" w:eastAsia="宋体" w:cs="Times New Roman"/>
                <w:color w:val="auto"/>
                <w:spacing w:val="0"/>
                <w:kern w:val="2"/>
                <w:sz w:val="24"/>
                <w:szCs w:val="24"/>
                <w:lang w:val="en-US" w:eastAsia="zh-CN" w:bidi="ar-SA"/>
              </w:rPr>
              <w:t>晾干，</w:t>
            </w:r>
            <w:r>
              <w:rPr>
                <w:rFonts w:hint="eastAsia" w:ascii="Times New Roman" w:hAnsi="Times New Roman" w:eastAsia="宋体" w:cs="Times New Roman"/>
                <w:color w:val="000000"/>
                <w:spacing w:val="0"/>
                <w:sz w:val="24"/>
                <w:szCs w:val="24"/>
                <w:lang w:val="en-US" w:eastAsia="zh-CN"/>
              </w:rPr>
              <w:t>运往苏稽镇石鼓寺村老鸦滩堆料场堆放，后期由乐山市市中区国有资产监督管理局统一拍卖或利用</w:t>
            </w:r>
            <w:r>
              <w:rPr>
                <w:rFonts w:hint="default" w:ascii="Times New Roman" w:hAnsi="Times New Roman" w:eastAsia="宋体" w:cs="Times New Roman"/>
                <w:color w:val="000000"/>
                <w:spacing w:val="0"/>
                <w:sz w:val="24"/>
                <w:szCs w:val="24"/>
                <w:lang w:val="en-US" w:eastAsia="zh-CN"/>
              </w:rPr>
              <w:t>。</w:t>
            </w:r>
          </w:p>
          <w:p>
            <w:pPr>
              <w:keepNext w:val="0"/>
              <w:keepLines w:val="0"/>
              <w:pageBreakBefore w:val="0"/>
              <w:widowControl w:val="0"/>
              <w:numPr>
                <w:ilvl w:val="0"/>
                <w:numId w:val="0"/>
              </w:numPr>
              <w:kinsoku/>
              <w:wordWrap/>
              <w:overflowPunct/>
              <w:topLinePunct w:val="0"/>
              <w:bidi w:val="0"/>
              <w:adjustRightInd w:val="0"/>
              <w:snapToGrid w:val="0"/>
              <w:spacing w:line="360" w:lineRule="auto"/>
              <w:ind w:leftChars="0" w:firstLine="482" w:firstLineChars="200"/>
              <w:textAlignment w:val="auto"/>
              <w:rPr>
                <w:rFonts w:hint="default" w:ascii="Times New Roman" w:hAnsi="Times New Roman" w:eastAsia="宋体" w:cs="Times New Roman"/>
                <w:b/>
                <w:bCs/>
                <w:color w:val="auto"/>
                <w:spacing w:val="0"/>
                <w:sz w:val="24"/>
                <w:szCs w:val="24"/>
                <w:lang w:val="en-US" w:eastAsia="zh-CN"/>
              </w:rPr>
            </w:pPr>
            <w:r>
              <w:rPr>
                <w:rFonts w:hint="default" w:ascii="Times New Roman" w:hAnsi="Times New Roman" w:eastAsia="宋体" w:cs="Times New Roman"/>
                <w:b/>
                <w:bCs/>
                <w:color w:val="auto"/>
                <w:spacing w:val="0"/>
                <w:sz w:val="24"/>
                <w:szCs w:val="24"/>
                <w:lang w:val="en-US" w:eastAsia="zh-CN"/>
              </w:rPr>
              <w:t>（</w:t>
            </w:r>
            <w:r>
              <w:rPr>
                <w:rFonts w:hint="eastAsia" w:ascii="Times New Roman" w:hAnsi="Times New Roman" w:eastAsia="宋体" w:cs="Times New Roman"/>
                <w:b/>
                <w:bCs/>
                <w:color w:val="auto"/>
                <w:spacing w:val="0"/>
                <w:sz w:val="24"/>
                <w:szCs w:val="24"/>
                <w:lang w:val="en-US" w:eastAsia="zh-CN"/>
              </w:rPr>
              <w:t>3</w:t>
            </w:r>
            <w:r>
              <w:rPr>
                <w:rFonts w:hint="default" w:ascii="Times New Roman" w:hAnsi="Times New Roman" w:eastAsia="宋体" w:cs="Times New Roman"/>
                <w:b/>
                <w:bCs/>
                <w:color w:val="auto"/>
                <w:spacing w:val="0"/>
                <w:sz w:val="24"/>
                <w:szCs w:val="24"/>
                <w:lang w:val="en-US" w:eastAsia="zh-CN"/>
              </w:rPr>
              <w:t>）建筑垃圾</w:t>
            </w:r>
          </w:p>
          <w:p>
            <w:pPr>
              <w:keepNext w:val="0"/>
              <w:keepLines w:val="0"/>
              <w:pageBreakBefore w:val="0"/>
              <w:widowControl w:val="0"/>
              <w:numPr>
                <w:ilvl w:val="0"/>
                <w:numId w:val="0"/>
              </w:numPr>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pacing w:val="0"/>
                <w:sz w:val="24"/>
                <w:szCs w:val="24"/>
                <w:lang w:val="en-US" w:eastAsia="zh-CN"/>
              </w:rPr>
            </w:pPr>
            <w:r>
              <w:rPr>
                <w:rFonts w:hint="default" w:ascii="Times New Roman" w:hAnsi="Times New Roman" w:eastAsia="宋体" w:cs="Times New Roman"/>
                <w:color w:val="auto"/>
                <w:spacing w:val="0"/>
                <w:sz w:val="24"/>
                <w:szCs w:val="24"/>
                <w:lang w:val="en-US" w:eastAsia="zh-CN"/>
              </w:rPr>
              <w:t>施工期产生的建筑垃圾可回收废料如废板材、模具、支架等由施工单位回收利用；其它废弃的砖块、混凝土、灰渣及边角料等运至市政指定建筑垃圾堆场。</w:t>
            </w:r>
          </w:p>
          <w:p>
            <w:pPr>
              <w:keepNext w:val="0"/>
              <w:keepLines w:val="0"/>
              <w:pageBreakBefore w:val="0"/>
              <w:widowControl w:val="0"/>
              <w:numPr>
                <w:ilvl w:val="0"/>
                <w:numId w:val="0"/>
              </w:numPr>
              <w:kinsoku/>
              <w:wordWrap/>
              <w:overflowPunct/>
              <w:topLinePunct w:val="0"/>
              <w:bidi w:val="0"/>
              <w:adjustRightInd w:val="0"/>
              <w:snapToGrid w:val="0"/>
              <w:spacing w:line="360" w:lineRule="auto"/>
              <w:ind w:leftChars="0" w:firstLine="482" w:firstLineChars="200"/>
              <w:textAlignment w:val="auto"/>
              <w:rPr>
                <w:rFonts w:hint="default" w:ascii="Times New Roman" w:hAnsi="Times New Roman" w:eastAsia="宋体" w:cs="Times New Roman"/>
                <w:b/>
                <w:bCs/>
                <w:color w:val="auto"/>
                <w:spacing w:val="0"/>
                <w:sz w:val="24"/>
                <w:szCs w:val="24"/>
                <w:lang w:val="en-US" w:eastAsia="zh-CN"/>
              </w:rPr>
            </w:pPr>
            <w:r>
              <w:rPr>
                <w:rFonts w:hint="default" w:ascii="Times New Roman" w:hAnsi="Times New Roman" w:eastAsia="宋体" w:cs="Times New Roman"/>
                <w:b/>
                <w:bCs/>
                <w:color w:val="auto"/>
                <w:spacing w:val="0"/>
                <w:sz w:val="24"/>
                <w:szCs w:val="24"/>
                <w:lang w:val="en-US" w:eastAsia="zh-CN"/>
              </w:rPr>
              <w:t>7、社会环境影响分析</w:t>
            </w:r>
          </w:p>
          <w:p>
            <w:pPr>
              <w:keepNext w:val="0"/>
              <w:keepLines w:val="0"/>
              <w:pageBreakBefore w:val="0"/>
              <w:widowControl w:val="0"/>
              <w:numPr>
                <w:ilvl w:val="0"/>
                <w:numId w:val="0"/>
              </w:numPr>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pacing w:val="0"/>
                <w:sz w:val="24"/>
                <w:szCs w:val="24"/>
                <w:lang w:val="en-US" w:eastAsia="zh-CN"/>
              </w:rPr>
            </w:pPr>
            <w:r>
              <w:rPr>
                <w:rFonts w:hint="default" w:ascii="Times New Roman" w:hAnsi="Times New Roman" w:eastAsia="宋体" w:cs="Times New Roman"/>
                <w:color w:val="auto"/>
                <w:spacing w:val="0"/>
                <w:sz w:val="24"/>
                <w:szCs w:val="24"/>
                <w:lang w:val="en-US" w:eastAsia="zh-CN"/>
              </w:rPr>
              <w:t>（1）生产安置移民社会环境影响分析</w:t>
            </w:r>
          </w:p>
          <w:p>
            <w:pPr>
              <w:keepNext w:val="0"/>
              <w:keepLines w:val="0"/>
              <w:pageBreakBefore w:val="0"/>
              <w:widowControl w:val="0"/>
              <w:numPr>
                <w:ilvl w:val="0"/>
                <w:numId w:val="0"/>
              </w:numPr>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pacing w:val="0"/>
                <w:sz w:val="24"/>
                <w:szCs w:val="24"/>
                <w:lang w:val="en-US" w:eastAsia="zh-CN"/>
              </w:rPr>
            </w:pPr>
            <w:r>
              <w:rPr>
                <w:rFonts w:hint="default" w:ascii="Times New Roman" w:hAnsi="Times New Roman" w:eastAsia="宋体" w:cs="Times New Roman"/>
                <w:color w:val="auto"/>
                <w:spacing w:val="0"/>
                <w:sz w:val="24"/>
                <w:szCs w:val="24"/>
                <w:lang w:val="en-US" w:eastAsia="zh-CN"/>
              </w:rPr>
              <w:t>本项目建设范围内不涉及房屋，因此，不涉及人口搬迁，无搬迁安置任务。</w:t>
            </w:r>
          </w:p>
          <w:p>
            <w:pPr>
              <w:keepNext w:val="0"/>
              <w:keepLines w:val="0"/>
              <w:pageBreakBefore w:val="0"/>
              <w:widowControl w:val="0"/>
              <w:numPr>
                <w:ilvl w:val="0"/>
                <w:numId w:val="0"/>
              </w:numPr>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pacing w:val="0"/>
                <w:sz w:val="24"/>
                <w:szCs w:val="24"/>
                <w:lang w:val="en-US" w:eastAsia="zh-CN"/>
              </w:rPr>
            </w:pPr>
            <w:r>
              <w:rPr>
                <w:rFonts w:hint="default" w:ascii="Times New Roman" w:hAnsi="Times New Roman" w:eastAsia="宋体" w:cs="Times New Roman"/>
                <w:color w:val="auto"/>
                <w:spacing w:val="0"/>
                <w:sz w:val="24"/>
                <w:szCs w:val="24"/>
                <w:lang w:val="en-US" w:eastAsia="zh-CN"/>
              </w:rPr>
              <w:t>（2）交通影响</w:t>
            </w:r>
          </w:p>
          <w:p>
            <w:pPr>
              <w:keepNext w:val="0"/>
              <w:keepLines w:val="0"/>
              <w:pageBreakBefore w:val="0"/>
              <w:widowControl w:val="0"/>
              <w:numPr>
                <w:ilvl w:val="0"/>
                <w:numId w:val="0"/>
              </w:numPr>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pacing w:val="0"/>
                <w:sz w:val="24"/>
                <w:szCs w:val="24"/>
                <w:lang w:val="en-US" w:eastAsia="zh-CN"/>
              </w:rPr>
            </w:pPr>
            <w:r>
              <w:rPr>
                <w:rFonts w:hint="default" w:ascii="Times New Roman" w:hAnsi="Times New Roman" w:eastAsia="宋体" w:cs="Times New Roman"/>
                <w:color w:val="auto"/>
                <w:spacing w:val="0"/>
                <w:sz w:val="24"/>
                <w:szCs w:val="24"/>
                <w:lang w:val="en-US" w:eastAsia="zh-CN"/>
              </w:rPr>
              <w:t>在工程沿线设宣传专栏进行宣传，设立告示牌，使项目沿线居民进一步了解项目建设的重要意义，从而理解并体谅项目建设带来的暂时影响。与此同时，项目建设和施工单位需加强与当地交通管理部门的合作，共同制定合理的运输方案和运输路线，尽量减少施工车辆对附近居民的干扰。</w:t>
            </w:r>
          </w:p>
          <w:p>
            <w:pPr>
              <w:keepNext w:val="0"/>
              <w:keepLines w:val="0"/>
              <w:pageBreakBefore w:val="0"/>
              <w:widowControl w:val="0"/>
              <w:numPr>
                <w:ilvl w:val="0"/>
                <w:numId w:val="0"/>
              </w:numPr>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pacing w:val="0"/>
                <w:sz w:val="24"/>
                <w:szCs w:val="24"/>
                <w:lang w:val="en-US" w:eastAsia="zh-CN"/>
              </w:rPr>
            </w:pPr>
            <w:r>
              <w:rPr>
                <w:rFonts w:hint="default" w:ascii="Times New Roman" w:hAnsi="Times New Roman" w:eastAsia="宋体" w:cs="Times New Roman"/>
                <w:color w:val="auto"/>
                <w:spacing w:val="0"/>
                <w:sz w:val="24"/>
                <w:szCs w:val="24"/>
                <w:lang w:val="en-US" w:eastAsia="zh-CN"/>
              </w:rPr>
              <w:t>（3）文物保护</w:t>
            </w:r>
          </w:p>
          <w:p>
            <w:pPr>
              <w:keepNext w:val="0"/>
              <w:keepLines w:val="0"/>
              <w:pageBreakBefore w:val="0"/>
              <w:widowControl w:val="0"/>
              <w:numPr>
                <w:ilvl w:val="0"/>
                <w:numId w:val="0"/>
              </w:numPr>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pacing w:val="0"/>
                <w:sz w:val="24"/>
                <w:szCs w:val="24"/>
                <w:lang w:val="en-US" w:eastAsia="zh-CN"/>
              </w:rPr>
            </w:pPr>
            <w:r>
              <w:rPr>
                <w:rFonts w:hint="default" w:ascii="Times New Roman" w:hAnsi="Times New Roman" w:eastAsia="宋体" w:cs="Times New Roman"/>
                <w:color w:val="auto"/>
                <w:spacing w:val="0"/>
                <w:sz w:val="24"/>
                <w:szCs w:val="24"/>
                <w:lang w:val="en-US" w:eastAsia="zh-CN"/>
              </w:rPr>
              <w:t>工程评价范围内未发现保护文物，但是在施工过程中不排除发现新的文物，施工过程中如发现文物应立即停止施工，并保护施工现场和文物资源，杜绝乱抢、藏匿、私分文物，并且要及时上报当地文物保护部门，待处理后再进行施工。</w:t>
            </w:r>
          </w:p>
          <w:p>
            <w:pPr>
              <w:keepNext w:val="0"/>
              <w:keepLines w:val="0"/>
              <w:pageBreakBefore w:val="0"/>
              <w:widowControl w:val="0"/>
              <w:numPr>
                <w:ilvl w:val="0"/>
                <w:numId w:val="0"/>
              </w:numPr>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pacing w:val="0"/>
                <w:sz w:val="24"/>
                <w:szCs w:val="24"/>
                <w:lang w:val="en-US" w:eastAsia="zh-CN"/>
              </w:rPr>
            </w:pPr>
            <w:r>
              <w:rPr>
                <w:rFonts w:hint="default" w:ascii="Times New Roman" w:hAnsi="Times New Roman" w:eastAsia="宋体" w:cs="Times New Roman"/>
                <w:color w:val="auto"/>
                <w:spacing w:val="0"/>
                <w:sz w:val="24"/>
                <w:szCs w:val="24"/>
                <w:lang w:val="en-US" w:eastAsia="zh-CN"/>
              </w:rPr>
              <w:t>（4）健康保护措施</w:t>
            </w:r>
          </w:p>
          <w:p>
            <w:pPr>
              <w:keepNext w:val="0"/>
              <w:keepLines w:val="0"/>
              <w:pageBreakBefore w:val="0"/>
              <w:widowControl w:val="0"/>
              <w:numPr>
                <w:ilvl w:val="0"/>
                <w:numId w:val="0"/>
              </w:numPr>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pacing w:val="0"/>
                <w:sz w:val="24"/>
                <w:szCs w:val="24"/>
                <w:lang w:val="en-US" w:eastAsia="zh-CN"/>
              </w:rPr>
            </w:pPr>
            <w:r>
              <w:rPr>
                <w:rFonts w:hint="default" w:ascii="Times New Roman" w:hAnsi="Times New Roman" w:eastAsia="宋体" w:cs="Times New Roman"/>
                <w:color w:val="auto"/>
                <w:spacing w:val="0"/>
                <w:sz w:val="24"/>
                <w:szCs w:val="24"/>
                <w:lang w:val="en-US" w:eastAsia="zh-CN"/>
              </w:rPr>
              <w:t>施工单位应为施工人员提供良好的居住和生活条件，并与当地卫生医疗部门取得联系，由其负责施工人员的医疗保健、急救及意外事故的现场急救与治疗工作。为保证工程的顺利进行，应加强传染病的预防与监测工作。具体措施如下：</w:t>
            </w:r>
          </w:p>
          <w:p>
            <w:pPr>
              <w:keepNext w:val="0"/>
              <w:keepLines w:val="0"/>
              <w:pageBreakBefore w:val="0"/>
              <w:widowControl w:val="0"/>
              <w:numPr>
                <w:ilvl w:val="0"/>
                <w:numId w:val="0"/>
              </w:numPr>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pacing w:val="0"/>
                <w:sz w:val="24"/>
                <w:szCs w:val="24"/>
                <w:lang w:val="en-US" w:eastAsia="zh-CN"/>
              </w:rPr>
            </w:pPr>
            <w:r>
              <w:rPr>
                <w:rFonts w:hint="default" w:ascii="Times New Roman" w:hAnsi="Times New Roman" w:eastAsia="宋体" w:cs="Times New Roman"/>
                <w:color w:val="auto"/>
                <w:spacing w:val="0"/>
                <w:sz w:val="24"/>
                <w:szCs w:val="24"/>
                <w:lang w:val="en-US" w:eastAsia="zh-CN"/>
              </w:rPr>
              <w:t>1）在工程动工以前，结合场地平整工作，对施工区进行一次清理消毒；</w:t>
            </w:r>
          </w:p>
          <w:p>
            <w:pPr>
              <w:keepNext w:val="0"/>
              <w:keepLines w:val="0"/>
              <w:pageBreakBefore w:val="0"/>
              <w:widowControl w:val="0"/>
              <w:numPr>
                <w:ilvl w:val="0"/>
                <w:numId w:val="0"/>
              </w:numPr>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pacing w:val="0"/>
                <w:sz w:val="24"/>
                <w:szCs w:val="24"/>
                <w:lang w:val="en-US" w:eastAsia="zh-CN"/>
              </w:rPr>
            </w:pPr>
            <w:r>
              <w:rPr>
                <w:rFonts w:hint="default" w:ascii="Times New Roman" w:hAnsi="Times New Roman" w:eastAsia="宋体" w:cs="Times New Roman"/>
                <w:color w:val="auto"/>
                <w:spacing w:val="0"/>
                <w:sz w:val="24"/>
                <w:szCs w:val="24"/>
                <w:lang w:val="en-US" w:eastAsia="zh-CN"/>
              </w:rPr>
              <w:t>2）完善处理各种废水和生活垃圾，定期进行现场消毒；</w:t>
            </w:r>
          </w:p>
          <w:p>
            <w:pPr>
              <w:keepNext w:val="0"/>
              <w:keepLines w:val="0"/>
              <w:pageBreakBefore w:val="0"/>
              <w:widowControl w:val="0"/>
              <w:numPr>
                <w:ilvl w:val="0"/>
                <w:numId w:val="0"/>
              </w:numPr>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pacing w:val="0"/>
                <w:sz w:val="24"/>
                <w:szCs w:val="24"/>
                <w:lang w:val="en-US" w:eastAsia="zh-CN"/>
              </w:rPr>
            </w:pPr>
            <w:r>
              <w:rPr>
                <w:rFonts w:hint="default" w:ascii="Times New Roman" w:hAnsi="Times New Roman" w:eastAsia="宋体" w:cs="Times New Roman"/>
                <w:color w:val="auto"/>
                <w:spacing w:val="0"/>
                <w:sz w:val="24"/>
                <w:szCs w:val="24"/>
                <w:lang w:val="en-US" w:eastAsia="zh-CN"/>
              </w:rPr>
              <w:t>3）为了保证施工人员的身心健康，工程建设管理部门及施工单位管理者应为施工人员提供良好的居住和生活条件；</w:t>
            </w:r>
          </w:p>
          <w:p>
            <w:pPr>
              <w:keepNext w:val="0"/>
              <w:keepLines w:val="0"/>
              <w:pageBreakBefore w:val="0"/>
              <w:widowControl w:val="0"/>
              <w:numPr>
                <w:ilvl w:val="0"/>
                <w:numId w:val="0"/>
              </w:numPr>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pacing w:val="0"/>
                <w:sz w:val="24"/>
                <w:szCs w:val="24"/>
                <w:lang w:val="en-US" w:eastAsia="zh-CN"/>
              </w:rPr>
            </w:pPr>
            <w:r>
              <w:rPr>
                <w:rFonts w:hint="default" w:ascii="Times New Roman" w:hAnsi="Times New Roman" w:eastAsia="宋体" w:cs="Times New Roman"/>
                <w:color w:val="auto"/>
                <w:spacing w:val="0"/>
                <w:sz w:val="24"/>
                <w:szCs w:val="24"/>
                <w:lang w:val="en-US" w:eastAsia="zh-CN"/>
              </w:rPr>
              <w:t>4）加强卫生管理和卫生防疫宣传工作，对施工人员进行定期体检；</w:t>
            </w:r>
          </w:p>
          <w:p>
            <w:pPr>
              <w:keepNext w:val="0"/>
              <w:keepLines w:val="0"/>
              <w:pageBreakBefore w:val="0"/>
              <w:widowControl w:val="0"/>
              <w:numPr>
                <w:ilvl w:val="0"/>
                <w:numId w:val="0"/>
              </w:numPr>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pacing w:val="0"/>
                <w:sz w:val="24"/>
                <w:szCs w:val="24"/>
                <w:lang w:val="en-US" w:eastAsia="zh-CN"/>
              </w:rPr>
            </w:pPr>
            <w:r>
              <w:rPr>
                <w:rFonts w:hint="default" w:ascii="Times New Roman" w:hAnsi="Times New Roman" w:eastAsia="宋体" w:cs="Times New Roman"/>
                <w:color w:val="auto"/>
                <w:spacing w:val="0"/>
                <w:sz w:val="24"/>
                <w:szCs w:val="24"/>
                <w:lang w:val="en-US" w:eastAsia="zh-CN"/>
              </w:rPr>
              <w:t>5）加强生活污水的管理，重视疫情监测，工地发生法定传染病时，工地负责人要尽快向上级主管部门和当地卫生防疫机构报告，并积极配合卫生防疫部门进行调查处理及落实消毒、隔离、应急接种疫苗等措施，防止传染病传播流行；</w:t>
            </w:r>
          </w:p>
          <w:p>
            <w:pPr>
              <w:keepNext w:val="0"/>
              <w:keepLines w:val="0"/>
              <w:pageBreakBefore w:val="0"/>
              <w:widowControl w:val="0"/>
              <w:numPr>
                <w:ilvl w:val="0"/>
                <w:numId w:val="0"/>
              </w:numPr>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pacing w:val="0"/>
                <w:sz w:val="24"/>
                <w:szCs w:val="24"/>
                <w:lang w:val="en-US" w:eastAsia="zh-CN"/>
              </w:rPr>
            </w:pPr>
            <w:r>
              <w:rPr>
                <w:rFonts w:hint="default" w:ascii="Times New Roman" w:hAnsi="Times New Roman" w:eastAsia="宋体" w:cs="Times New Roman"/>
                <w:color w:val="auto"/>
                <w:spacing w:val="0"/>
                <w:sz w:val="24"/>
                <w:szCs w:val="24"/>
                <w:lang w:val="en-US" w:eastAsia="zh-CN"/>
              </w:rPr>
              <w:t>6）施工现场应有饮水器具，由专员管理和定期清洗，保持卫生；</w:t>
            </w:r>
          </w:p>
          <w:p>
            <w:pPr>
              <w:keepNext w:val="0"/>
              <w:keepLines w:val="0"/>
              <w:pageBreakBefore w:val="0"/>
              <w:widowControl w:val="0"/>
              <w:numPr>
                <w:ilvl w:val="0"/>
                <w:numId w:val="0"/>
              </w:numPr>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pacing w:val="0"/>
                <w:sz w:val="24"/>
                <w:szCs w:val="24"/>
                <w:lang w:val="en-US" w:eastAsia="zh-CN"/>
              </w:rPr>
            </w:pPr>
            <w:r>
              <w:rPr>
                <w:rFonts w:hint="default" w:ascii="Times New Roman" w:hAnsi="Times New Roman" w:eastAsia="宋体" w:cs="Times New Roman"/>
                <w:color w:val="auto"/>
                <w:spacing w:val="0"/>
                <w:sz w:val="24"/>
                <w:szCs w:val="24"/>
                <w:lang w:val="en-US" w:eastAsia="zh-CN"/>
              </w:rPr>
              <w:t>7）为预防施工区传染病的流行，在施工人员进驻工地前，各施工单位应对施工人员全面进行健康调查和疫情建档，健康人员方能进场作业。调查和建档内容主要包括年龄、性别、健康状况、传染病史、来自的地区等。普查项目为传染性肝炎（包括乙肝）、痢疾、肺结核，外来施工人员还应检查来源地传染病等。</w:t>
            </w:r>
          </w:p>
          <w:p>
            <w:pPr>
              <w:keepNext w:val="0"/>
              <w:keepLines w:val="0"/>
              <w:pageBreakBefore w:val="0"/>
              <w:widowControl w:val="0"/>
              <w:numPr>
                <w:ilvl w:val="0"/>
                <w:numId w:val="0"/>
              </w:numPr>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pacing w:val="0"/>
                <w:sz w:val="24"/>
                <w:szCs w:val="24"/>
                <w:lang w:val="en-US" w:eastAsia="zh-CN"/>
              </w:rPr>
            </w:pPr>
            <w:r>
              <w:rPr>
                <w:rFonts w:hint="default" w:ascii="Times New Roman" w:hAnsi="Times New Roman" w:eastAsia="宋体" w:cs="Times New Roman"/>
                <w:color w:val="auto"/>
                <w:spacing w:val="0"/>
                <w:sz w:val="24"/>
                <w:szCs w:val="24"/>
                <w:lang w:val="en-US" w:eastAsia="zh-CN"/>
              </w:rPr>
              <w:t>工程施工完成后，施工人员将全部撤离，不会与当地居民发生传染病交叉感染。</w:t>
            </w:r>
          </w:p>
          <w:p>
            <w:pPr>
              <w:keepNext w:val="0"/>
              <w:keepLines w:val="0"/>
              <w:pageBreakBefore w:val="0"/>
              <w:widowControl w:val="0"/>
              <w:numPr>
                <w:ilvl w:val="0"/>
                <w:numId w:val="0"/>
              </w:numPr>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cs="Times New Roman"/>
                <w:bCs/>
                <w:color w:val="0000FF"/>
                <w:szCs w:val="21"/>
              </w:rPr>
            </w:pPr>
            <w:r>
              <w:rPr>
                <w:rFonts w:hint="default" w:ascii="Times New Roman" w:hAnsi="Times New Roman" w:eastAsia="宋体" w:cs="Times New Roman"/>
                <w:color w:val="auto"/>
                <w:spacing w:val="0"/>
                <w:sz w:val="24"/>
                <w:szCs w:val="24"/>
                <w:lang w:val="en-US" w:eastAsia="zh-CN"/>
              </w:rPr>
              <w:t>项目占地范围内不涉及到拆迁、征地，对社会环境影响很小，且施工期间雇佣当地村民，增加其收入，具有良好的社会效益。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940" w:type="dxa"/>
            <w:noWrap w:val="0"/>
            <w:tcMar>
              <w:left w:w="28" w:type="dxa"/>
              <w:right w:w="28" w:type="dxa"/>
            </w:tcMar>
            <w:vAlign w:val="center"/>
          </w:tcPr>
          <w:p>
            <w:pPr>
              <w:pStyle w:val="37"/>
              <w:keepNext w:val="0"/>
              <w:keepLines w:val="0"/>
              <w:pageBreakBefore w:val="0"/>
              <w:kinsoku/>
              <w:wordWrap/>
              <w:overflowPunct/>
              <w:topLinePunct w:val="0"/>
              <w:bidi w:val="0"/>
              <w:adjustRightInd w:val="0"/>
              <w:snapToGrid w:val="0"/>
              <w:spacing w:before="0" w:beforeAutospacing="0" w:after="0" w:afterAutospacing="0"/>
              <w:jc w:val="center"/>
              <w:textAlignment w:val="auto"/>
              <w:rPr>
                <w:rFonts w:hint="default" w:ascii="Times New Roman" w:hAnsi="Times New Roman" w:cs="Times New Roman"/>
                <w:bCs/>
                <w:kern w:val="2"/>
                <w:sz w:val="21"/>
                <w:szCs w:val="21"/>
              </w:rPr>
            </w:pPr>
            <w:r>
              <w:rPr>
                <w:rFonts w:hint="default" w:ascii="Times New Roman" w:hAnsi="Times New Roman" w:cs="Times New Roman"/>
                <w:bCs/>
                <w:spacing w:val="10"/>
                <w:kern w:val="2"/>
                <w:sz w:val="21"/>
                <w:szCs w:val="21"/>
              </w:rPr>
              <w:t>运营期生态环境影响分析</w:t>
            </w:r>
          </w:p>
        </w:tc>
        <w:tc>
          <w:tcPr>
            <w:tcW w:w="7564"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color w:val="auto"/>
                <w:spacing w:val="0"/>
                <w:sz w:val="24"/>
                <w:szCs w:val="24"/>
                <w:lang w:eastAsia="zh-CN"/>
              </w:rPr>
            </w:pPr>
            <w:r>
              <w:rPr>
                <w:rFonts w:hint="default" w:ascii="Times New Roman" w:hAnsi="Times New Roman" w:eastAsia="宋体" w:cs="Times New Roman"/>
                <w:color w:val="auto"/>
                <w:spacing w:val="0"/>
                <w:sz w:val="24"/>
                <w:szCs w:val="24"/>
                <w:lang w:eastAsia="zh-CN"/>
              </w:rPr>
              <w:t>本项目运营期不会产生废气、废水、噪声、固废等污染，正常运行过程中不会对周围环境产生不良环境影响。</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2" w:firstLineChars="200"/>
              <w:textAlignment w:val="baseline"/>
              <w:outlineLvl w:val="9"/>
              <w:rPr>
                <w:rFonts w:hint="default" w:ascii="Times New Roman" w:hAnsi="Times New Roman" w:eastAsia="宋体" w:cs="Times New Roman"/>
                <w:b/>
                <w:bCs/>
                <w:color w:val="auto"/>
                <w:spacing w:val="0"/>
                <w:kern w:val="0"/>
                <w:sz w:val="24"/>
                <w:szCs w:val="24"/>
                <w:lang w:val="en-US" w:eastAsia="zh-CN" w:bidi="ar-SA"/>
              </w:rPr>
            </w:pPr>
            <w:r>
              <w:rPr>
                <w:rFonts w:hint="eastAsia" w:ascii="Times New Roman" w:hAnsi="Times New Roman" w:eastAsia="宋体" w:cs="Times New Roman"/>
                <w:b/>
                <w:bCs/>
                <w:color w:val="auto"/>
                <w:spacing w:val="0"/>
                <w:kern w:val="0"/>
                <w:sz w:val="24"/>
                <w:szCs w:val="24"/>
                <w:lang w:val="en-US" w:eastAsia="zh-CN" w:bidi="ar-SA"/>
              </w:rPr>
              <w:t>1、对行洪范围影响分析</w:t>
            </w:r>
          </w:p>
          <w:p>
            <w:pPr>
              <w:keepNext w:val="0"/>
              <w:keepLines w:val="0"/>
              <w:pageBreakBefore w:val="0"/>
              <w:widowControl w:val="0"/>
              <w:numPr>
                <w:ilvl w:val="0"/>
                <w:numId w:val="0"/>
              </w:numPr>
              <w:kinsoku/>
              <w:wordWrap/>
              <w:overflowPunct/>
              <w:topLinePunct w:val="0"/>
              <w:bidi w:val="0"/>
              <w:adjustRightInd w:val="0"/>
              <w:snapToGrid w:val="0"/>
              <w:spacing w:line="360" w:lineRule="auto"/>
              <w:ind w:leftChars="0" w:firstLine="480" w:firstLineChars="200"/>
              <w:textAlignment w:val="auto"/>
              <w:rPr>
                <w:rFonts w:hint="eastAsia" w:ascii="Times New Roman" w:hAnsi="Times New Roman" w:eastAsia="宋体" w:cs="Times New Roman"/>
                <w:color w:val="auto"/>
                <w:spacing w:val="0"/>
                <w:sz w:val="24"/>
                <w:szCs w:val="24"/>
                <w:lang w:val="en-US" w:eastAsia="zh-CN"/>
              </w:rPr>
            </w:pPr>
            <w:r>
              <w:rPr>
                <w:rFonts w:hint="eastAsia" w:ascii="Times New Roman" w:hAnsi="Times New Roman" w:eastAsia="宋体" w:cs="Times New Roman"/>
                <w:color w:val="auto"/>
                <w:spacing w:val="0"/>
                <w:sz w:val="24"/>
                <w:szCs w:val="24"/>
                <w:lang w:val="en-US" w:eastAsia="zh-CN"/>
              </w:rPr>
              <w:t>根据《乐山市市中区苏稽峨眉河安福堰综合整治工程行洪论证与河势稳定评价报告》结论：本次安福堰整治后，坝型采用拦河气盾坝，汛期实施完全倒伏。工程主体设计时充分考虑了上游苏稽场镇的防洪压力，倒伏后坝顶高程比原安福堰堰顶高程低0.1m，其20 年一遇时坝前洪水位比原安福堰堰前洪水位降低0.10m，对目前评价河段因原安福堰的洪水壅水影响有所降低。总的说来，本次安福堰改造后对评价河段的防洪形势有所缓解。</w:t>
            </w:r>
          </w:p>
          <w:p>
            <w:pPr>
              <w:keepNext w:val="0"/>
              <w:keepLines w:val="0"/>
              <w:pageBreakBefore w:val="0"/>
              <w:widowControl w:val="0"/>
              <w:numPr>
                <w:ilvl w:val="0"/>
                <w:numId w:val="0"/>
              </w:numPr>
              <w:kinsoku/>
              <w:wordWrap/>
              <w:overflowPunct/>
              <w:topLinePunct w:val="0"/>
              <w:bidi w:val="0"/>
              <w:adjustRightInd w:val="0"/>
              <w:snapToGrid w:val="0"/>
              <w:spacing w:line="360" w:lineRule="auto"/>
              <w:ind w:leftChars="0" w:firstLine="482" w:firstLineChars="200"/>
              <w:textAlignment w:val="auto"/>
              <w:rPr>
                <w:rFonts w:hint="default" w:ascii="Times New Roman" w:hAnsi="Times New Roman" w:eastAsia="宋体" w:cs="Times New Roman"/>
                <w:color w:val="auto"/>
                <w:spacing w:val="0"/>
                <w:sz w:val="24"/>
                <w:szCs w:val="24"/>
                <w:lang w:val="en-US" w:eastAsia="zh-CN"/>
              </w:rPr>
            </w:pPr>
            <w:r>
              <w:rPr>
                <w:rFonts w:hint="eastAsia" w:ascii="Times New Roman" w:hAnsi="Times New Roman" w:eastAsia="宋体" w:cs="Times New Roman"/>
                <w:b/>
                <w:bCs/>
                <w:color w:val="auto"/>
                <w:spacing w:val="0"/>
                <w:sz w:val="24"/>
                <w:szCs w:val="24"/>
                <w:lang w:val="en-US" w:eastAsia="zh-CN"/>
              </w:rPr>
              <w:t>2、对苏稽水文站影响分析</w:t>
            </w:r>
          </w:p>
          <w:p>
            <w:pPr>
              <w:keepNext w:val="0"/>
              <w:keepLines w:val="0"/>
              <w:pageBreakBefore w:val="0"/>
              <w:widowControl w:val="0"/>
              <w:numPr>
                <w:ilvl w:val="0"/>
                <w:numId w:val="0"/>
              </w:numPr>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pacing w:val="0"/>
                <w:sz w:val="24"/>
                <w:szCs w:val="24"/>
                <w:lang w:val="en-US" w:eastAsia="zh-CN"/>
              </w:rPr>
            </w:pPr>
            <w:r>
              <w:rPr>
                <w:rFonts w:hint="default" w:ascii="Times New Roman" w:hAnsi="Times New Roman" w:eastAsia="宋体" w:cs="Times New Roman"/>
                <w:color w:val="auto"/>
                <w:spacing w:val="0"/>
                <w:sz w:val="24"/>
                <w:szCs w:val="24"/>
                <w:lang w:val="en-US" w:eastAsia="zh-CN"/>
              </w:rPr>
              <w:t>苏稽水文站位于安福堰上游2.5km、古石桥上游1.4km 处的河道左岸。本次安福堰整治后，拦河气盾坝正常水位在371.70m，产生的回水将影响至苏稽水文站基本断面以上。苏稽水文站基本断面枯季平均水位在371.20m，最低水位在371.0m 左右，新建水坝产生的回水将使苏稽水文站基本断面水位抬高0.50m～1.00m。峨眉河属典型的山溪性河流，枯季来水量较小，汛期水位受暴雨影响陡涨陡落，该站中低水占全年水位的90%以上；由于水坝根据来水不同，闸门提起、倒伏将使苏稽水文站基本断面中低水水位流量关系紊乱无序，传统的水文监测无法满足水文监测需求。因此，本次安福堰整治工程实施后将对苏稽水文站流量监测带来较大影响。</w:t>
            </w:r>
          </w:p>
          <w:p>
            <w:pPr>
              <w:keepNext w:val="0"/>
              <w:keepLines w:val="0"/>
              <w:pageBreakBefore w:val="0"/>
              <w:widowControl w:val="0"/>
              <w:numPr>
                <w:ilvl w:val="0"/>
                <w:numId w:val="0"/>
              </w:numPr>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pacing w:val="0"/>
                <w:sz w:val="24"/>
                <w:szCs w:val="24"/>
                <w:lang w:val="en-US" w:eastAsia="zh-CN"/>
              </w:rPr>
            </w:pPr>
            <w:r>
              <w:rPr>
                <w:rFonts w:hint="default" w:ascii="Times New Roman" w:hAnsi="Times New Roman" w:eastAsia="宋体" w:cs="Times New Roman"/>
                <w:color w:val="auto"/>
                <w:spacing w:val="0"/>
                <w:sz w:val="24"/>
                <w:szCs w:val="24"/>
                <w:lang w:val="en-US" w:eastAsia="zh-CN"/>
              </w:rPr>
              <w:t>根据《中华人民共和国水文条例》第三十三条规定：“在国家基本水文测站上下游建设影响水文监测的工程，建设单位应当采取相应措施，在征得对该站有管理权限的水行政主管部门同意后方可建设。因工程建设致使水文测站改建的，所需费用由建设单位承担”。</w:t>
            </w:r>
          </w:p>
          <w:p>
            <w:pPr>
              <w:keepNext w:val="0"/>
              <w:keepLines w:val="0"/>
              <w:pageBreakBefore w:val="0"/>
              <w:widowControl w:val="0"/>
              <w:numPr>
                <w:ilvl w:val="0"/>
                <w:numId w:val="0"/>
              </w:numPr>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pacing w:val="0"/>
                <w:sz w:val="24"/>
                <w:szCs w:val="24"/>
                <w:lang w:val="en-US" w:eastAsia="zh-CN"/>
              </w:rPr>
            </w:pPr>
            <w:r>
              <w:rPr>
                <w:rFonts w:hint="default" w:ascii="Times New Roman" w:hAnsi="Times New Roman" w:eastAsia="宋体" w:cs="Times New Roman"/>
                <w:color w:val="auto"/>
                <w:spacing w:val="0"/>
                <w:sz w:val="24"/>
                <w:szCs w:val="24"/>
                <w:lang w:val="en-US" w:eastAsia="zh-CN"/>
              </w:rPr>
              <w:t>为避免苏稽水文站测报功能受到影响，提出如下解决方案：采用国内外较为先进的水文测验设备解决水文站变动回水影响水文测验问题。因每年低水长达10 个月以上，传统水文缆道无法正常施测，可投入水下流量自动监测设备一套（HADCP），采用人工比测率定解决受影响问题。按照“谁影响、谁负责、谁恢复”原则，水文站功能恢复由业主或业主委托第三方完成建设。</w:t>
            </w:r>
          </w:p>
          <w:p>
            <w:pPr>
              <w:keepNext w:val="0"/>
              <w:keepLines w:val="0"/>
              <w:pageBreakBefore w:val="0"/>
              <w:widowControl w:val="0"/>
              <w:numPr>
                <w:ilvl w:val="0"/>
                <w:numId w:val="0"/>
              </w:numPr>
              <w:kinsoku/>
              <w:wordWrap/>
              <w:overflowPunct/>
              <w:topLinePunct w:val="0"/>
              <w:bidi w:val="0"/>
              <w:adjustRightInd w:val="0"/>
              <w:snapToGrid w:val="0"/>
              <w:spacing w:line="360" w:lineRule="auto"/>
              <w:ind w:leftChars="0" w:firstLine="482" w:firstLineChars="200"/>
              <w:textAlignment w:val="auto"/>
              <w:rPr>
                <w:rFonts w:hint="default" w:ascii="Times New Roman" w:hAnsi="Times New Roman" w:eastAsia="宋体" w:cs="Times New Roman"/>
                <w:b/>
                <w:bCs/>
                <w:color w:val="auto"/>
                <w:spacing w:val="0"/>
                <w:sz w:val="24"/>
                <w:szCs w:val="24"/>
                <w:lang w:val="en-US" w:eastAsia="zh-CN"/>
              </w:rPr>
            </w:pPr>
            <w:r>
              <w:rPr>
                <w:rFonts w:hint="eastAsia" w:ascii="Times New Roman" w:hAnsi="Times New Roman" w:eastAsia="宋体" w:cs="Times New Roman"/>
                <w:b/>
                <w:bCs/>
                <w:color w:val="auto"/>
                <w:spacing w:val="0"/>
                <w:sz w:val="24"/>
                <w:szCs w:val="24"/>
                <w:lang w:val="en-US" w:eastAsia="zh-CN"/>
              </w:rPr>
              <w:t>3、对河势稳定的影响分析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pacing w:val="0"/>
                <w:sz w:val="24"/>
                <w:szCs w:val="24"/>
                <w:lang w:val="en-US" w:eastAsia="zh-CN"/>
              </w:rPr>
            </w:pPr>
            <w:r>
              <w:rPr>
                <w:rFonts w:hint="default" w:ascii="Times New Roman" w:hAnsi="Times New Roman" w:eastAsia="宋体" w:cs="Times New Roman"/>
                <w:color w:val="auto"/>
                <w:spacing w:val="0"/>
                <w:sz w:val="24"/>
                <w:szCs w:val="24"/>
                <w:lang w:val="en-US" w:eastAsia="zh-CN"/>
              </w:rPr>
              <w:t>本次安福堰整治后，坝型采用拦河气盾坝。气盾坝基础底板建设及枯期拦河成库易造成坝前淤积，但一般淤积面难以超过基础底板高程；坝下游以冲刷为主，主体设计时从多种工况考虑，采取了护坦、跌水、底流消能设施及海漫等工程措施，对工程河段河势稳定影响较小。通过计算，因气盾坝完全倒伏后坝顶高程比原安福堰堰顶高程低0.1m，坝上游河段洪水位略有降低，断面流速有所增大，但造成的岸坡冲刷深最大增加值仅为0.04m，对安福堰上游河段岸坡稳定影响较小。</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pacing w:val="0"/>
                <w:sz w:val="24"/>
                <w:szCs w:val="24"/>
                <w:lang w:val="en-US" w:eastAsia="zh-CN"/>
              </w:rPr>
            </w:pPr>
            <w:r>
              <w:rPr>
                <w:rFonts w:hint="default" w:ascii="Times New Roman" w:hAnsi="Times New Roman" w:eastAsia="宋体" w:cs="Times New Roman"/>
                <w:color w:val="auto"/>
                <w:spacing w:val="0"/>
                <w:sz w:val="24"/>
                <w:szCs w:val="24"/>
                <w:lang w:val="en-US" w:eastAsia="zh-CN"/>
              </w:rPr>
              <w:t>因此，本工程的建设对评价河段河势稳定性的影响较小。</w:t>
            </w:r>
          </w:p>
          <w:p>
            <w:pPr>
              <w:keepNext w:val="0"/>
              <w:keepLines w:val="0"/>
              <w:pageBreakBefore w:val="0"/>
              <w:widowControl w:val="0"/>
              <w:numPr>
                <w:ilvl w:val="0"/>
                <w:numId w:val="0"/>
              </w:numPr>
              <w:kinsoku/>
              <w:wordWrap/>
              <w:overflowPunct/>
              <w:topLinePunct w:val="0"/>
              <w:bidi w:val="0"/>
              <w:adjustRightInd w:val="0"/>
              <w:snapToGrid w:val="0"/>
              <w:spacing w:line="360" w:lineRule="auto"/>
              <w:ind w:leftChars="0" w:firstLine="482" w:firstLineChars="200"/>
              <w:textAlignment w:val="auto"/>
              <w:rPr>
                <w:rFonts w:hint="eastAsia" w:ascii="Times New Roman" w:hAnsi="Times New Roman" w:eastAsia="宋体" w:cs="Times New Roman"/>
                <w:b/>
                <w:bCs/>
                <w:color w:val="auto"/>
                <w:spacing w:val="0"/>
                <w:sz w:val="24"/>
                <w:szCs w:val="24"/>
                <w:lang w:val="en-US" w:eastAsia="zh-CN"/>
              </w:rPr>
            </w:pPr>
            <w:r>
              <w:rPr>
                <w:rFonts w:hint="eastAsia" w:ascii="Times New Roman" w:hAnsi="Times New Roman" w:eastAsia="宋体" w:cs="Times New Roman"/>
                <w:b/>
                <w:bCs/>
                <w:color w:val="auto"/>
                <w:spacing w:val="0"/>
                <w:sz w:val="24"/>
                <w:szCs w:val="24"/>
                <w:lang w:val="en-US" w:eastAsia="zh-CN"/>
              </w:rPr>
              <w:t xml:space="preserve">4、对鱼类洄游通道的影响分析 </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Times New Roman" w:hAnsi="Times New Roman" w:eastAsia="宋体" w:cs="Times New Roman"/>
                <w:b w:val="0"/>
                <w:bCs w:val="0"/>
                <w:color w:val="auto"/>
                <w:spacing w:val="0"/>
                <w:sz w:val="24"/>
                <w:szCs w:val="24"/>
                <w:lang w:val="en-US" w:eastAsia="zh-CN"/>
              </w:rPr>
            </w:pPr>
            <w:r>
              <w:rPr>
                <w:rFonts w:hint="eastAsia" w:ascii="Times New Roman" w:hAnsi="Times New Roman" w:eastAsia="宋体" w:cs="Times New Roman"/>
                <w:b w:val="0"/>
                <w:bCs w:val="0"/>
                <w:color w:val="auto"/>
                <w:spacing w:val="0"/>
                <w:sz w:val="24"/>
                <w:szCs w:val="24"/>
                <w:lang w:val="en-US" w:eastAsia="zh-CN"/>
              </w:rPr>
              <w:t>安福堰气盾坝建成后气盾坝运行方式为：非主汛期（</w:t>
            </w:r>
            <w:r>
              <w:rPr>
                <w:rFonts w:hint="default" w:ascii="Times New Roman" w:hAnsi="Times New Roman" w:eastAsia="宋体" w:cs="Times New Roman"/>
                <w:b w:val="0"/>
                <w:bCs w:val="0"/>
                <w:color w:val="auto"/>
                <w:spacing w:val="0"/>
                <w:sz w:val="24"/>
                <w:szCs w:val="24"/>
                <w:lang w:val="en-US" w:eastAsia="zh-CN"/>
              </w:rPr>
              <w:t xml:space="preserve">10 </w:t>
            </w:r>
            <w:r>
              <w:rPr>
                <w:rFonts w:hint="eastAsia" w:ascii="Times New Roman" w:hAnsi="Times New Roman" w:eastAsia="宋体" w:cs="Times New Roman"/>
                <w:b w:val="0"/>
                <w:bCs w:val="0"/>
                <w:color w:val="auto"/>
                <w:spacing w:val="0"/>
                <w:sz w:val="24"/>
                <w:szCs w:val="24"/>
                <w:lang w:val="en-US" w:eastAsia="zh-CN"/>
              </w:rPr>
              <w:t xml:space="preserve">月至次年 </w:t>
            </w:r>
            <w:r>
              <w:rPr>
                <w:rFonts w:hint="default" w:ascii="Times New Roman" w:hAnsi="Times New Roman" w:eastAsia="宋体" w:cs="Times New Roman"/>
                <w:b w:val="0"/>
                <w:bCs w:val="0"/>
                <w:color w:val="auto"/>
                <w:spacing w:val="0"/>
                <w:sz w:val="24"/>
                <w:szCs w:val="24"/>
                <w:lang w:val="en-US" w:eastAsia="zh-CN"/>
              </w:rPr>
              <w:t xml:space="preserve">5 </w:t>
            </w:r>
            <w:r>
              <w:rPr>
                <w:rFonts w:hint="eastAsia" w:ascii="Times New Roman" w:hAnsi="Times New Roman" w:eastAsia="宋体" w:cs="Times New Roman"/>
                <w:b w:val="0"/>
                <w:bCs w:val="0"/>
                <w:color w:val="auto"/>
                <w:spacing w:val="0"/>
                <w:sz w:val="24"/>
                <w:szCs w:val="24"/>
                <w:lang w:val="en-US" w:eastAsia="zh-CN"/>
              </w:rPr>
              <w:t xml:space="preserve">月），气盾闸采用智能化控制，气盾坝正常水位 </w:t>
            </w:r>
            <w:r>
              <w:rPr>
                <w:rFonts w:hint="default" w:ascii="Times New Roman" w:hAnsi="Times New Roman" w:eastAsia="宋体" w:cs="Times New Roman"/>
                <w:b w:val="0"/>
                <w:bCs w:val="0"/>
                <w:color w:val="auto"/>
                <w:spacing w:val="0"/>
                <w:sz w:val="24"/>
                <w:szCs w:val="24"/>
                <w:lang w:val="en-US" w:eastAsia="zh-CN"/>
              </w:rPr>
              <w:t>371.70m</w:t>
            </w:r>
            <w:r>
              <w:rPr>
                <w:rFonts w:hint="eastAsia" w:ascii="Times New Roman" w:hAnsi="Times New Roman" w:eastAsia="宋体" w:cs="Times New Roman"/>
                <w:b w:val="0"/>
                <w:bCs w:val="0"/>
                <w:color w:val="auto"/>
                <w:spacing w:val="0"/>
                <w:sz w:val="24"/>
                <w:szCs w:val="24"/>
                <w:lang w:val="en-US" w:eastAsia="zh-CN"/>
              </w:rPr>
              <w:t xml:space="preserve">，当水位达到 </w:t>
            </w:r>
            <w:r>
              <w:rPr>
                <w:rFonts w:hint="default" w:ascii="Times New Roman" w:hAnsi="Times New Roman" w:eastAsia="宋体" w:cs="Times New Roman"/>
                <w:b w:val="0"/>
                <w:bCs w:val="0"/>
                <w:color w:val="auto"/>
                <w:spacing w:val="0"/>
                <w:sz w:val="24"/>
                <w:szCs w:val="24"/>
                <w:lang w:val="en-US" w:eastAsia="zh-CN"/>
              </w:rPr>
              <w:t xml:space="preserve">371.9m </w:t>
            </w:r>
            <w:r>
              <w:rPr>
                <w:rFonts w:hint="eastAsia" w:ascii="Times New Roman" w:hAnsi="Times New Roman" w:eastAsia="宋体" w:cs="Times New Roman"/>
                <w:b w:val="0"/>
                <w:bCs w:val="0"/>
                <w:color w:val="auto"/>
                <w:spacing w:val="0"/>
                <w:sz w:val="24"/>
                <w:szCs w:val="24"/>
                <w:lang w:val="en-US" w:eastAsia="zh-CN"/>
              </w:rPr>
              <w:t xml:space="preserve">时，启动气盾闸，通过调节气盾坝升降来控制水位；当水位继续上升，控制气盾闸缓慢倒伏，坝顶水深达到 </w:t>
            </w:r>
            <w:r>
              <w:rPr>
                <w:rFonts w:hint="default" w:ascii="Times New Roman" w:hAnsi="Times New Roman" w:eastAsia="宋体" w:cs="Times New Roman"/>
                <w:b w:val="0"/>
                <w:bCs w:val="0"/>
                <w:color w:val="auto"/>
                <w:spacing w:val="0"/>
                <w:sz w:val="24"/>
                <w:szCs w:val="24"/>
                <w:lang w:val="en-US" w:eastAsia="zh-CN"/>
              </w:rPr>
              <w:t xml:space="preserve">0.6m </w:t>
            </w:r>
            <w:r>
              <w:rPr>
                <w:rFonts w:hint="eastAsia" w:ascii="Times New Roman" w:hAnsi="Times New Roman" w:eastAsia="宋体" w:cs="Times New Roman"/>
                <w:b w:val="0"/>
                <w:bCs w:val="0"/>
                <w:color w:val="auto"/>
                <w:spacing w:val="0"/>
                <w:sz w:val="24"/>
                <w:szCs w:val="24"/>
                <w:lang w:val="en-US" w:eastAsia="zh-CN"/>
              </w:rPr>
              <w:t>时，则实施完全倒伏，洪水过后再升起气盾闸；主汛期（</w:t>
            </w:r>
            <w:r>
              <w:rPr>
                <w:rFonts w:hint="default" w:ascii="Times New Roman" w:hAnsi="Times New Roman" w:eastAsia="宋体" w:cs="Times New Roman"/>
                <w:b w:val="0"/>
                <w:bCs w:val="0"/>
                <w:color w:val="auto"/>
                <w:spacing w:val="0"/>
                <w:sz w:val="24"/>
                <w:szCs w:val="24"/>
                <w:lang w:val="en-US" w:eastAsia="zh-CN"/>
              </w:rPr>
              <w:t>6~9</w:t>
            </w:r>
            <w:r>
              <w:rPr>
                <w:rFonts w:hint="eastAsia" w:ascii="Times New Roman" w:hAnsi="Times New Roman" w:eastAsia="宋体" w:cs="Times New Roman"/>
                <w:b w:val="0"/>
                <w:bCs w:val="0"/>
                <w:color w:val="auto"/>
                <w:spacing w:val="0"/>
                <w:sz w:val="24"/>
                <w:szCs w:val="24"/>
                <w:lang w:val="en-US" w:eastAsia="zh-CN"/>
              </w:rPr>
              <w:t xml:space="preserve">月）气盾坝完全倒伏。 </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Times New Roman" w:hAnsi="Times New Roman" w:eastAsia="宋体" w:cs="Times New Roman"/>
                <w:b w:val="0"/>
                <w:bCs w:val="0"/>
                <w:color w:val="auto"/>
                <w:spacing w:val="0"/>
                <w:sz w:val="24"/>
                <w:szCs w:val="24"/>
                <w:lang w:val="en-US" w:eastAsia="zh-CN"/>
              </w:rPr>
            </w:pPr>
            <w:r>
              <w:rPr>
                <w:rFonts w:hint="eastAsia" w:ascii="Times New Roman" w:hAnsi="Times New Roman" w:eastAsia="宋体" w:cs="Times New Roman"/>
                <w:b w:val="0"/>
                <w:bCs w:val="0"/>
                <w:color w:val="auto"/>
                <w:spacing w:val="0"/>
                <w:sz w:val="24"/>
                <w:szCs w:val="24"/>
                <w:lang w:val="en-US" w:eastAsia="zh-CN"/>
              </w:rPr>
              <w:t xml:space="preserve">根据鱼类资源调查结果，工程所在河段主要经济鱼类繁殖期主要为 </w:t>
            </w:r>
            <w:r>
              <w:rPr>
                <w:rFonts w:hint="default" w:ascii="Times New Roman" w:hAnsi="Times New Roman" w:eastAsia="宋体" w:cs="Times New Roman"/>
                <w:b w:val="0"/>
                <w:bCs w:val="0"/>
                <w:color w:val="auto"/>
                <w:spacing w:val="0"/>
                <w:sz w:val="24"/>
                <w:szCs w:val="24"/>
                <w:lang w:val="en-US" w:eastAsia="zh-CN"/>
              </w:rPr>
              <w:t xml:space="preserve">4~6 </w:t>
            </w:r>
            <w:r>
              <w:rPr>
                <w:rFonts w:hint="eastAsia" w:ascii="Times New Roman" w:hAnsi="Times New Roman" w:eastAsia="宋体" w:cs="Times New Roman"/>
                <w:b w:val="0"/>
                <w:bCs w:val="0"/>
                <w:color w:val="auto"/>
                <w:spacing w:val="0"/>
                <w:sz w:val="24"/>
                <w:szCs w:val="24"/>
                <w:lang w:val="en-US" w:eastAsia="zh-CN"/>
              </w:rPr>
              <w:t>月，气盾坝在主汛期（</w:t>
            </w:r>
            <w:r>
              <w:rPr>
                <w:rFonts w:hint="default" w:ascii="Times New Roman" w:hAnsi="Times New Roman" w:eastAsia="宋体" w:cs="Times New Roman"/>
                <w:b w:val="0"/>
                <w:bCs w:val="0"/>
                <w:color w:val="auto"/>
                <w:spacing w:val="0"/>
                <w:sz w:val="24"/>
                <w:szCs w:val="24"/>
                <w:lang w:val="en-US" w:eastAsia="zh-CN"/>
              </w:rPr>
              <w:t xml:space="preserve">6~9 </w:t>
            </w:r>
            <w:r>
              <w:rPr>
                <w:rFonts w:hint="eastAsia" w:ascii="Times New Roman" w:hAnsi="Times New Roman" w:eastAsia="宋体" w:cs="Times New Roman"/>
                <w:b w:val="0"/>
                <w:bCs w:val="0"/>
                <w:color w:val="auto"/>
                <w:spacing w:val="0"/>
                <w:sz w:val="24"/>
                <w:szCs w:val="24"/>
                <w:lang w:val="en-US" w:eastAsia="zh-CN"/>
              </w:rPr>
              <w:t>月）完全倒伏时，坝址处水位与下游河段水位保持平齐状态，鱼类可以进行上下洄游。</w:t>
            </w:r>
            <w:r>
              <w:rPr>
                <w:rFonts w:hint="default" w:ascii="Times New Roman" w:hAnsi="Times New Roman" w:eastAsia="宋体" w:cs="Times New Roman"/>
                <w:b w:val="0"/>
                <w:bCs w:val="0"/>
                <w:color w:val="auto"/>
                <w:spacing w:val="0"/>
                <w:sz w:val="24"/>
                <w:szCs w:val="24"/>
                <w:lang w:val="en-US" w:eastAsia="zh-CN"/>
              </w:rPr>
              <w:t>4</w:t>
            </w:r>
            <w:r>
              <w:rPr>
                <w:rFonts w:hint="eastAsia" w:ascii="Times New Roman" w:hAnsi="Times New Roman" w:eastAsia="宋体" w:cs="Times New Roman"/>
                <w:b w:val="0"/>
                <w:bCs w:val="0"/>
                <w:color w:val="auto"/>
                <w:spacing w:val="0"/>
                <w:sz w:val="24"/>
                <w:szCs w:val="24"/>
                <w:lang w:val="en-US" w:eastAsia="zh-CN"/>
              </w:rPr>
              <w:t>～</w:t>
            </w:r>
            <w:r>
              <w:rPr>
                <w:rFonts w:hint="default" w:ascii="Times New Roman" w:hAnsi="Times New Roman" w:eastAsia="宋体" w:cs="Times New Roman"/>
                <w:b w:val="0"/>
                <w:bCs w:val="0"/>
                <w:color w:val="auto"/>
                <w:spacing w:val="0"/>
                <w:sz w:val="24"/>
                <w:szCs w:val="24"/>
                <w:lang w:val="en-US" w:eastAsia="zh-CN"/>
              </w:rPr>
              <w:t xml:space="preserve">5 </w:t>
            </w:r>
            <w:r>
              <w:rPr>
                <w:rFonts w:hint="eastAsia" w:ascii="Times New Roman" w:hAnsi="Times New Roman" w:eastAsia="宋体" w:cs="Times New Roman"/>
                <w:b w:val="0"/>
                <w:bCs w:val="0"/>
                <w:color w:val="auto"/>
                <w:spacing w:val="0"/>
                <w:sz w:val="24"/>
                <w:szCs w:val="24"/>
                <w:lang w:val="en-US" w:eastAsia="zh-CN"/>
              </w:rPr>
              <w:t>月气盾坝挡水运行，该时间段为工程河段主要鱼类的集中繁殖期，会对鱼类的上溯繁殖需求产生阻隔效应，因此为保护工程河段的鱼类资源，应采取措施，最大程度降低工程的运行对鱼类产生的阻隔影响。</w:t>
            </w:r>
          </w:p>
          <w:p>
            <w:pPr>
              <w:keepNext w:val="0"/>
              <w:keepLines w:val="0"/>
              <w:pageBreakBefore w:val="0"/>
              <w:widowControl w:val="0"/>
              <w:numPr>
                <w:ilvl w:val="0"/>
                <w:numId w:val="0"/>
              </w:numPr>
              <w:kinsoku/>
              <w:wordWrap/>
              <w:overflowPunct/>
              <w:topLinePunct w:val="0"/>
              <w:bidi w:val="0"/>
              <w:adjustRightInd w:val="0"/>
              <w:snapToGrid w:val="0"/>
              <w:spacing w:line="360" w:lineRule="auto"/>
              <w:ind w:leftChars="0" w:firstLine="482" w:firstLineChars="200"/>
              <w:textAlignment w:val="auto"/>
              <w:rPr>
                <w:rFonts w:hint="eastAsia" w:ascii="Times New Roman" w:hAnsi="Times New Roman" w:eastAsia="宋体" w:cs="Times New Roman"/>
                <w:b/>
                <w:bCs/>
                <w:color w:val="auto"/>
                <w:spacing w:val="0"/>
                <w:sz w:val="24"/>
                <w:szCs w:val="24"/>
                <w:lang w:val="en-US" w:eastAsia="zh-CN"/>
              </w:rPr>
            </w:pPr>
            <w:r>
              <w:rPr>
                <w:rFonts w:hint="eastAsia" w:ascii="Times New Roman" w:hAnsi="Times New Roman" w:eastAsia="宋体" w:cs="Times New Roman"/>
                <w:b/>
                <w:bCs/>
                <w:color w:val="auto"/>
                <w:spacing w:val="0"/>
                <w:sz w:val="24"/>
                <w:szCs w:val="24"/>
                <w:lang w:val="en-US" w:eastAsia="zh-CN"/>
              </w:rPr>
              <w:t xml:space="preserve">5、对鱼类“三场”的影响分析 </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Times New Roman" w:hAnsi="Times New Roman" w:eastAsia="宋体" w:cs="Times New Roman"/>
                <w:b w:val="0"/>
                <w:bCs w:val="0"/>
                <w:color w:val="auto"/>
                <w:spacing w:val="0"/>
                <w:sz w:val="24"/>
                <w:szCs w:val="24"/>
                <w:lang w:val="en-US" w:eastAsia="zh-CN"/>
              </w:rPr>
            </w:pPr>
            <w:r>
              <w:rPr>
                <w:rFonts w:hint="eastAsia" w:ascii="Times New Roman" w:hAnsi="Times New Roman" w:eastAsia="宋体" w:cs="Times New Roman"/>
                <w:b w:val="0"/>
                <w:bCs w:val="0"/>
                <w:color w:val="auto"/>
                <w:spacing w:val="0"/>
                <w:sz w:val="24"/>
                <w:szCs w:val="24"/>
                <w:lang w:val="en-US" w:eastAsia="zh-CN"/>
              </w:rPr>
              <w:t xml:space="preserve">安福堰气盾坝挡水运行时，正常蓄水位 </w:t>
            </w:r>
            <w:r>
              <w:rPr>
                <w:rFonts w:hint="default" w:ascii="Times New Roman" w:hAnsi="Times New Roman" w:eastAsia="宋体" w:cs="Times New Roman"/>
                <w:b w:val="0"/>
                <w:bCs w:val="0"/>
                <w:color w:val="auto"/>
                <w:spacing w:val="0"/>
                <w:sz w:val="24"/>
                <w:szCs w:val="24"/>
                <w:lang w:val="en-US" w:eastAsia="zh-CN"/>
              </w:rPr>
              <w:t>371.7m</w:t>
            </w:r>
            <w:r>
              <w:rPr>
                <w:rFonts w:hint="eastAsia" w:ascii="Times New Roman" w:hAnsi="Times New Roman" w:eastAsia="宋体" w:cs="Times New Roman"/>
                <w:b w:val="0"/>
                <w:bCs w:val="0"/>
                <w:color w:val="auto"/>
                <w:spacing w:val="0"/>
                <w:sz w:val="24"/>
                <w:szCs w:val="24"/>
                <w:lang w:val="en-US" w:eastAsia="zh-CN"/>
              </w:rPr>
              <w:t xml:space="preserve">，库尾回水最大高程 </w:t>
            </w:r>
            <w:r>
              <w:rPr>
                <w:rFonts w:hint="default" w:ascii="Times New Roman" w:hAnsi="Times New Roman" w:eastAsia="宋体" w:cs="Times New Roman"/>
                <w:b w:val="0"/>
                <w:bCs w:val="0"/>
                <w:color w:val="auto"/>
                <w:spacing w:val="0"/>
                <w:sz w:val="24"/>
                <w:szCs w:val="24"/>
                <w:lang w:val="en-US" w:eastAsia="zh-CN"/>
              </w:rPr>
              <w:t>371.8m</w:t>
            </w:r>
            <w:r>
              <w:rPr>
                <w:rFonts w:hint="eastAsia" w:ascii="Times New Roman" w:hAnsi="Times New Roman" w:eastAsia="宋体" w:cs="Times New Roman"/>
                <w:b w:val="0"/>
                <w:bCs w:val="0"/>
                <w:color w:val="auto"/>
                <w:spacing w:val="0"/>
                <w:sz w:val="24"/>
                <w:szCs w:val="24"/>
                <w:lang w:val="en-US" w:eastAsia="zh-CN"/>
              </w:rPr>
              <w:t xml:space="preserve">，拦水坝至上游回水范围约 </w:t>
            </w:r>
            <w:r>
              <w:rPr>
                <w:rFonts w:hint="default" w:ascii="Times New Roman" w:hAnsi="Times New Roman" w:eastAsia="宋体" w:cs="Times New Roman"/>
                <w:b w:val="0"/>
                <w:bCs w:val="0"/>
                <w:color w:val="auto"/>
                <w:spacing w:val="0"/>
                <w:sz w:val="24"/>
                <w:szCs w:val="24"/>
                <w:lang w:val="en-US" w:eastAsia="zh-CN"/>
              </w:rPr>
              <w:t>3km</w:t>
            </w:r>
            <w:r>
              <w:rPr>
                <w:rFonts w:hint="eastAsia" w:ascii="Times New Roman" w:hAnsi="Times New Roman" w:eastAsia="宋体" w:cs="Times New Roman"/>
                <w:b w:val="0"/>
                <w:bCs w:val="0"/>
                <w:color w:val="auto"/>
                <w:spacing w:val="0"/>
                <w:sz w:val="24"/>
                <w:szCs w:val="24"/>
                <w:lang w:val="en-US" w:eastAsia="zh-CN"/>
              </w:rPr>
              <w:t xml:space="preserve">，坝上水位加深，库区水流的流速将降低，分布在河网内的缓流水域的索饵场被淹没，但由于库区营养物质的增加，初级生产力提高，浮游生物量会显著增加，库区的浅水区会形成新的育幼和缓流水鱼类索饵场，库区内的浅水区将比原河道的索饵场更大，更有利于缓流性鱼类和幼鱼的生长。 </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Times New Roman" w:hAnsi="Times New Roman" w:eastAsia="宋体" w:cs="Times New Roman"/>
                <w:b w:val="0"/>
                <w:bCs w:val="0"/>
                <w:color w:val="auto"/>
                <w:spacing w:val="0"/>
                <w:sz w:val="24"/>
                <w:szCs w:val="24"/>
                <w:lang w:val="en-US" w:eastAsia="zh-CN"/>
              </w:rPr>
            </w:pPr>
            <w:r>
              <w:rPr>
                <w:rFonts w:hint="eastAsia" w:ascii="Times New Roman" w:hAnsi="Times New Roman" w:eastAsia="宋体" w:cs="Times New Roman"/>
                <w:b w:val="0"/>
                <w:bCs w:val="0"/>
                <w:color w:val="auto"/>
                <w:spacing w:val="0"/>
                <w:sz w:val="24"/>
                <w:szCs w:val="24"/>
                <w:lang w:val="en-US" w:eastAsia="zh-CN"/>
              </w:rPr>
              <w:t xml:space="preserve">随着气盾坝挡水运行，水流变缓及泥沙的沉积，水生维管束植物会在库区一定水域得到发展，使水草附着型产卵场迁移库区周边，形成新的水草附着型产卵场，库区水位比以前有所抬升，水域面积也会有所增加，这将为多数大中型鱼类提供更好的越冬庇护场所，越冬场规模会大大增加。 </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Times New Roman" w:hAnsi="Times New Roman" w:eastAsia="宋体" w:cs="Times New Roman"/>
                <w:b w:val="0"/>
                <w:bCs w:val="0"/>
                <w:color w:val="auto"/>
                <w:spacing w:val="0"/>
                <w:sz w:val="24"/>
                <w:szCs w:val="24"/>
                <w:lang w:val="en-US" w:eastAsia="zh-CN"/>
              </w:rPr>
            </w:pPr>
            <w:r>
              <w:rPr>
                <w:rFonts w:hint="eastAsia" w:ascii="Times New Roman" w:hAnsi="Times New Roman" w:eastAsia="宋体" w:cs="Times New Roman"/>
                <w:b w:val="0"/>
                <w:bCs w:val="0"/>
                <w:color w:val="auto"/>
                <w:spacing w:val="0"/>
                <w:sz w:val="24"/>
                <w:szCs w:val="24"/>
                <w:lang w:val="en-US" w:eastAsia="zh-CN"/>
              </w:rPr>
              <w:t xml:space="preserve">坝下由于有长度约 </w:t>
            </w:r>
            <w:r>
              <w:rPr>
                <w:rFonts w:hint="default" w:ascii="Times New Roman" w:hAnsi="Times New Roman" w:eastAsia="宋体" w:cs="Times New Roman"/>
                <w:b w:val="0"/>
                <w:bCs w:val="0"/>
                <w:color w:val="auto"/>
                <w:spacing w:val="0"/>
                <w:sz w:val="24"/>
                <w:szCs w:val="24"/>
                <w:lang w:val="en-US" w:eastAsia="zh-CN"/>
              </w:rPr>
              <w:t xml:space="preserve">100m </w:t>
            </w:r>
            <w:r>
              <w:rPr>
                <w:rFonts w:hint="eastAsia" w:ascii="Times New Roman" w:hAnsi="Times New Roman" w:eastAsia="宋体" w:cs="Times New Roman"/>
                <w:b w:val="0"/>
                <w:bCs w:val="0"/>
                <w:color w:val="auto"/>
                <w:spacing w:val="0"/>
                <w:sz w:val="24"/>
                <w:szCs w:val="24"/>
                <w:lang w:val="en-US" w:eastAsia="zh-CN"/>
              </w:rPr>
              <w:t xml:space="preserve">的消能设施与河床底部高程衔接，坝下游不会因气盾坝的挡水导致冲刷深度出现大的增加，因此对坝下游现有的产卵索饵场不会造成大的不利影响。 </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Times New Roman" w:hAnsi="Times New Roman" w:eastAsia="宋体" w:cs="Times New Roman"/>
                <w:b w:val="0"/>
                <w:bCs w:val="0"/>
                <w:color w:val="auto"/>
                <w:spacing w:val="0"/>
                <w:sz w:val="24"/>
                <w:szCs w:val="24"/>
                <w:lang w:val="en-US" w:eastAsia="zh-CN"/>
              </w:rPr>
            </w:pPr>
            <w:r>
              <w:rPr>
                <w:rFonts w:hint="eastAsia" w:ascii="Times New Roman" w:hAnsi="Times New Roman" w:eastAsia="宋体" w:cs="Times New Roman"/>
                <w:b w:val="0"/>
                <w:bCs w:val="0"/>
                <w:color w:val="auto"/>
                <w:spacing w:val="0"/>
                <w:sz w:val="24"/>
                <w:szCs w:val="24"/>
                <w:lang w:val="en-US" w:eastAsia="zh-CN"/>
              </w:rPr>
              <w:t xml:space="preserve">安福堰气盾坝倒伏运行时，工程主体设计时充分考虑了上游苏稽场镇的防洪压力，倒伏后坝顶高程比原安福堰堰顶高程低 </w:t>
            </w:r>
            <w:r>
              <w:rPr>
                <w:rFonts w:hint="default" w:ascii="Times New Roman" w:hAnsi="Times New Roman" w:eastAsia="宋体" w:cs="Times New Roman"/>
                <w:b w:val="0"/>
                <w:bCs w:val="0"/>
                <w:color w:val="auto"/>
                <w:spacing w:val="0"/>
                <w:sz w:val="24"/>
                <w:szCs w:val="24"/>
                <w:lang w:val="en-US" w:eastAsia="zh-CN"/>
              </w:rPr>
              <w:t>0.1m</w:t>
            </w:r>
            <w:r>
              <w:rPr>
                <w:rFonts w:hint="eastAsia" w:ascii="Times New Roman" w:hAnsi="Times New Roman" w:eastAsia="宋体" w:cs="Times New Roman"/>
                <w:b w:val="0"/>
                <w:bCs w:val="0"/>
                <w:color w:val="auto"/>
                <w:spacing w:val="0"/>
                <w:sz w:val="24"/>
                <w:szCs w:val="24"/>
                <w:lang w:val="en-US" w:eastAsia="zh-CN"/>
              </w:rPr>
              <w:t xml:space="preserve">，其 </w:t>
            </w:r>
            <w:r>
              <w:rPr>
                <w:rFonts w:hint="default" w:ascii="Times New Roman" w:hAnsi="Times New Roman" w:eastAsia="宋体" w:cs="Times New Roman"/>
                <w:b w:val="0"/>
                <w:bCs w:val="0"/>
                <w:color w:val="auto"/>
                <w:spacing w:val="0"/>
                <w:sz w:val="24"/>
                <w:szCs w:val="24"/>
                <w:lang w:val="en-US" w:eastAsia="zh-CN"/>
              </w:rPr>
              <w:t xml:space="preserve">20 </w:t>
            </w:r>
            <w:r>
              <w:rPr>
                <w:rFonts w:hint="eastAsia" w:ascii="Times New Roman" w:hAnsi="Times New Roman" w:eastAsia="宋体" w:cs="Times New Roman"/>
                <w:b w:val="0"/>
                <w:bCs w:val="0"/>
                <w:color w:val="auto"/>
                <w:spacing w:val="0"/>
                <w:sz w:val="24"/>
                <w:szCs w:val="24"/>
                <w:lang w:val="en-US" w:eastAsia="zh-CN"/>
              </w:rPr>
              <w:t xml:space="preserve">年一遇时坝前洪水位比原安福堰堰前洪水位降低 </w:t>
            </w:r>
            <w:r>
              <w:rPr>
                <w:rFonts w:hint="default" w:ascii="Times New Roman" w:hAnsi="Times New Roman" w:eastAsia="宋体" w:cs="Times New Roman"/>
                <w:b w:val="0"/>
                <w:bCs w:val="0"/>
                <w:color w:val="auto"/>
                <w:spacing w:val="0"/>
                <w:sz w:val="24"/>
                <w:szCs w:val="24"/>
                <w:lang w:val="en-US" w:eastAsia="zh-CN"/>
              </w:rPr>
              <w:t>0.10m</w:t>
            </w:r>
            <w:r>
              <w:rPr>
                <w:rFonts w:hint="eastAsia" w:ascii="Times New Roman" w:hAnsi="Times New Roman" w:eastAsia="宋体" w:cs="Times New Roman"/>
                <w:b w:val="0"/>
                <w:bCs w:val="0"/>
                <w:color w:val="auto"/>
                <w:spacing w:val="0"/>
                <w:sz w:val="24"/>
                <w:szCs w:val="24"/>
                <w:lang w:val="en-US" w:eastAsia="zh-CN"/>
              </w:rPr>
              <w:t>，流速增加</w:t>
            </w:r>
            <w:r>
              <w:rPr>
                <w:rFonts w:hint="default" w:ascii="Times New Roman" w:hAnsi="Times New Roman" w:eastAsia="宋体" w:cs="Times New Roman"/>
                <w:b w:val="0"/>
                <w:bCs w:val="0"/>
                <w:color w:val="auto"/>
                <w:spacing w:val="0"/>
                <w:sz w:val="24"/>
                <w:szCs w:val="24"/>
                <w:lang w:val="en-US" w:eastAsia="zh-CN"/>
              </w:rPr>
              <w:t>0.09m/s</w:t>
            </w:r>
            <w:r>
              <w:rPr>
                <w:rFonts w:hint="eastAsia" w:ascii="Times New Roman" w:hAnsi="Times New Roman" w:eastAsia="宋体" w:cs="Times New Roman"/>
                <w:b w:val="0"/>
                <w:bCs w:val="0"/>
                <w:color w:val="auto"/>
                <w:spacing w:val="0"/>
                <w:sz w:val="24"/>
                <w:szCs w:val="24"/>
                <w:lang w:val="en-US" w:eastAsia="zh-CN"/>
              </w:rPr>
              <w:t>，增加的流速有限，对坝下约</w:t>
            </w:r>
            <w:r>
              <w:rPr>
                <w:rFonts w:hint="default" w:ascii="Times New Roman" w:hAnsi="Times New Roman" w:eastAsia="宋体" w:cs="Times New Roman"/>
                <w:b w:val="0"/>
                <w:bCs w:val="0"/>
                <w:color w:val="auto"/>
                <w:spacing w:val="0"/>
                <w:sz w:val="24"/>
                <w:szCs w:val="24"/>
                <w:lang w:val="en-US" w:eastAsia="zh-CN"/>
              </w:rPr>
              <w:t xml:space="preserve">1km </w:t>
            </w:r>
            <w:r>
              <w:rPr>
                <w:rFonts w:hint="eastAsia" w:ascii="Times New Roman" w:hAnsi="Times New Roman" w:eastAsia="宋体" w:cs="Times New Roman"/>
                <w:b w:val="0"/>
                <w:bCs w:val="0"/>
                <w:color w:val="auto"/>
                <w:spacing w:val="0"/>
                <w:sz w:val="24"/>
                <w:szCs w:val="24"/>
                <w:lang w:val="en-US" w:eastAsia="zh-CN"/>
              </w:rPr>
              <w:t xml:space="preserve">的流水石滩产卵场不会产生大的破坏作用。 </w:t>
            </w:r>
          </w:p>
          <w:p>
            <w:pPr>
              <w:keepNext w:val="0"/>
              <w:keepLines w:val="0"/>
              <w:pageBreakBefore w:val="0"/>
              <w:widowControl w:val="0"/>
              <w:numPr>
                <w:ilvl w:val="0"/>
                <w:numId w:val="0"/>
              </w:numPr>
              <w:kinsoku/>
              <w:wordWrap/>
              <w:overflowPunct/>
              <w:topLinePunct w:val="0"/>
              <w:bidi w:val="0"/>
              <w:adjustRightInd w:val="0"/>
              <w:snapToGrid w:val="0"/>
              <w:spacing w:line="360" w:lineRule="auto"/>
              <w:ind w:leftChars="0" w:firstLine="482" w:firstLineChars="200"/>
              <w:textAlignment w:val="auto"/>
              <w:rPr>
                <w:rFonts w:hint="default" w:ascii="Times New Roman" w:hAnsi="Times New Roman" w:eastAsia="宋体" w:cs="Times New Roman"/>
                <w:b/>
                <w:bCs/>
                <w:color w:val="auto"/>
                <w:spacing w:val="0"/>
                <w:sz w:val="24"/>
                <w:szCs w:val="24"/>
                <w:lang w:val="en-US" w:eastAsia="zh-CN"/>
              </w:rPr>
            </w:pPr>
            <w:r>
              <w:rPr>
                <w:rFonts w:hint="eastAsia" w:ascii="Times New Roman" w:hAnsi="Times New Roman" w:eastAsia="宋体" w:cs="Times New Roman"/>
                <w:b/>
                <w:bCs/>
                <w:color w:val="auto"/>
                <w:spacing w:val="0"/>
                <w:sz w:val="24"/>
                <w:szCs w:val="24"/>
                <w:lang w:val="en-US" w:eastAsia="zh-CN"/>
              </w:rPr>
              <w:t xml:space="preserve">6、对鱼类资源量的影响分析 </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Times New Roman" w:hAnsi="Times New Roman" w:eastAsia="宋体" w:cs="Times New Roman"/>
                <w:b w:val="0"/>
                <w:bCs w:val="0"/>
                <w:color w:val="auto"/>
                <w:spacing w:val="0"/>
                <w:sz w:val="24"/>
                <w:szCs w:val="24"/>
                <w:lang w:val="en-US" w:eastAsia="zh-CN"/>
              </w:rPr>
            </w:pPr>
            <w:r>
              <w:rPr>
                <w:rFonts w:hint="eastAsia" w:ascii="Times New Roman" w:hAnsi="Times New Roman" w:eastAsia="宋体" w:cs="Times New Roman"/>
                <w:b w:val="0"/>
                <w:bCs w:val="0"/>
                <w:color w:val="auto"/>
                <w:spacing w:val="0"/>
                <w:sz w:val="24"/>
                <w:szCs w:val="24"/>
                <w:lang w:val="en-US" w:eastAsia="zh-CN"/>
              </w:rPr>
              <w:t xml:space="preserve">工程影响水域内鱼类资源较为丰富，经本次调查查明，该水域内有鱼类 </w:t>
            </w:r>
            <w:r>
              <w:rPr>
                <w:rFonts w:hint="default" w:ascii="Times New Roman" w:hAnsi="Times New Roman" w:eastAsia="宋体" w:cs="Times New Roman"/>
                <w:b w:val="0"/>
                <w:bCs w:val="0"/>
                <w:color w:val="auto"/>
                <w:spacing w:val="0"/>
                <w:sz w:val="24"/>
                <w:szCs w:val="24"/>
                <w:lang w:val="en-US" w:eastAsia="zh-CN"/>
              </w:rPr>
              <w:t xml:space="preserve">53 </w:t>
            </w:r>
            <w:r>
              <w:rPr>
                <w:rFonts w:hint="eastAsia" w:ascii="Times New Roman" w:hAnsi="Times New Roman" w:eastAsia="宋体" w:cs="Times New Roman"/>
                <w:b w:val="0"/>
                <w:bCs w:val="0"/>
                <w:color w:val="auto"/>
                <w:spacing w:val="0"/>
                <w:sz w:val="24"/>
                <w:szCs w:val="24"/>
                <w:lang w:val="en-US" w:eastAsia="zh-CN"/>
              </w:rPr>
              <w:t xml:space="preserve">种，本次现场渔获物 </w:t>
            </w:r>
            <w:r>
              <w:rPr>
                <w:rFonts w:hint="default" w:ascii="Times New Roman" w:hAnsi="Times New Roman" w:eastAsia="宋体" w:cs="Times New Roman"/>
                <w:b w:val="0"/>
                <w:bCs w:val="0"/>
                <w:color w:val="auto"/>
                <w:spacing w:val="0"/>
                <w:sz w:val="24"/>
                <w:szCs w:val="24"/>
                <w:lang w:val="en-US" w:eastAsia="zh-CN"/>
              </w:rPr>
              <w:t xml:space="preserve">13 </w:t>
            </w:r>
            <w:r>
              <w:rPr>
                <w:rFonts w:hint="eastAsia" w:ascii="Times New Roman" w:hAnsi="Times New Roman" w:eastAsia="宋体" w:cs="Times New Roman"/>
                <w:b w:val="0"/>
                <w:bCs w:val="0"/>
                <w:color w:val="auto"/>
                <w:spacing w:val="0"/>
                <w:sz w:val="24"/>
                <w:szCs w:val="24"/>
                <w:lang w:val="en-US" w:eastAsia="zh-CN"/>
              </w:rPr>
              <w:t xml:space="preserve">种。有较大经济价值的约有 </w:t>
            </w:r>
            <w:r>
              <w:rPr>
                <w:rFonts w:hint="default" w:ascii="Times New Roman" w:hAnsi="Times New Roman" w:eastAsia="宋体" w:cs="Times New Roman"/>
                <w:b w:val="0"/>
                <w:bCs w:val="0"/>
                <w:color w:val="auto"/>
                <w:spacing w:val="0"/>
                <w:sz w:val="24"/>
                <w:szCs w:val="24"/>
                <w:lang w:val="en-US" w:eastAsia="zh-CN"/>
              </w:rPr>
              <w:t xml:space="preserve">16 </w:t>
            </w:r>
            <w:r>
              <w:rPr>
                <w:rFonts w:hint="eastAsia" w:ascii="Times New Roman" w:hAnsi="Times New Roman" w:eastAsia="宋体" w:cs="Times New Roman"/>
                <w:b w:val="0"/>
                <w:bCs w:val="0"/>
                <w:color w:val="auto"/>
                <w:spacing w:val="0"/>
                <w:sz w:val="24"/>
                <w:szCs w:val="24"/>
                <w:lang w:val="en-US" w:eastAsia="zh-CN"/>
              </w:rPr>
              <w:t xml:space="preserve">种，主要经济鱼类为草鱼、鲢、鳙、鲤、鲫、黄颡鱼、中华倒刺鲃、鳜等。 </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Times New Roman" w:hAnsi="Times New Roman" w:eastAsia="宋体" w:cs="Times New Roman"/>
                <w:b w:val="0"/>
                <w:bCs w:val="0"/>
                <w:color w:val="auto"/>
                <w:spacing w:val="0"/>
                <w:sz w:val="24"/>
                <w:szCs w:val="24"/>
                <w:lang w:val="en-US" w:eastAsia="zh-CN"/>
              </w:rPr>
            </w:pPr>
            <w:r>
              <w:rPr>
                <w:rFonts w:hint="eastAsia" w:ascii="Times New Roman" w:hAnsi="Times New Roman" w:eastAsia="宋体" w:cs="Times New Roman"/>
                <w:b w:val="0"/>
                <w:bCs w:val="0"/>
                <w:color w:val="auto"/>
                <w:spacing w:val="0"/>
                <w:sz w:val="24"/>
                <w:szCs w:val="24"/>
                <w:lang w:val="en-US" w:eastAsia="zh-CN"/>
              </w:rPr>
              <w:t xml:space="preserve">由于安福堰原条石坝建于解放前，库区鱼类的种类和资源量的变化已形成多年，库区水文特性发生明显变化，鱼类组成与资源量也会发生相应变化。喜流水和缓流水生境鱼类的生存空间被压缩，加之一些喜流水产卵的鱼类产卵场减少，索饵场也减少了，该类型鱼类在库区鱼类组成当中已大为减少，资源量会显著下降；原有喜静水缓流的鱼类已增加，可以在库区内生存并繁殖，如鲤亚科鱼类的鲤、鲫，鲌亚科中的各种鲌类、鲴亚科的各种鲴类，会在库区形成优势种和较大的渔业资源量，本次鱼类资源调查已证实了这一资源量变化的存在。本次仅对原条石坝进行整治，气盾坝挡水最大高度为 </w:t>
            </w:r>
            <w:r>
              <w:rPr>
                <w:rFonts w:hint="default" w:ascii="Times New Roman" w:hAnsi="Times New Roman" w:eastAsia="宋体" w:cs="Times New Roman"/>
                <w:b w:val="0"/>
                <w:bCs w:val="0"/>
                <w:color w:val="auto"/>
                <w:spacing w:val="0"/>
                <w:sz w:val="24"/>
                <w:szCs w:val="24"/>
                <w:lang w:val="en-US" w:eastAsia="zh-CN"/>
              </w:rPr>
              <w:t>1m</w:t>
            </w:r>
            <w:r>
              <w:rPr>
                <w:rFonts w:hint="eastAsia" w:ascii="Times New Roman" w:hAnsi="Times New Roman" w:eastAsia="宋体" w:cs="Times New Roman"/>
                <w:b w:val="0"/>
                <w:bCs w:val="0"/>
                <w:color w:val="auto"/>
                <w:spacing w:val="0"/>
                <w:sz w:val="24"/>
                <w:szCs w:val="24"/>
                <w:lang w:val="en-US" w:eastAsia="zh-CN"/>
              </w:rPr>
              <w:t>，仅在非主汛期（</w:t>
            </w:r>
            <w:r>
              <w:rPr>
                <w:rFonts w:hint="default" w:ascii="Times New Roman" w:hAnsi="Times New Roman" w:eastAsia="宋体" w:cs="Times New Roman"/>
                <w:b w:val="0"/>
                <w:bCs w:val="0"/>
                <w:color w:val="auto"/>
                <w:spacing w:val="0"/>
                <w:sz w:val="24"/>
                <w:szCs w:val="24"/>
                <w:lang w:val="en-US" w:eastAsia="zh-CN"/>
              </w:rPr>
              <w:t xml:space="preserve">10 </w:t>
            </w:r>
            <w:r>
              <w:rPr>
                <w:rFonts w:hint="eastAsia" w:ascii="Times New Roman" w:hAnsi="Times New Roman" w:eastAsia="宋体" w:cs="Times New Roman"/>
                <w:b w:val="0"/>
                <w:bCs w:val="0"/>
                <w:color w:val="auto"/>
                <w:spacing w:val="0"/>
                <w:sz w:val="24"/>
                <w:szCs w:val="24"/>
                <w:lang w:val="en-US" w:eastAsia="zh-CN"/>
              </w:rPr>
              <w:t xml:space="preserve">月至次年 </w:t>
            </w:r>
            <w:r>
              <w:rPr>
                <w:rFonts w:hint="default" w:ascii="Times New Roman" w:hAnsi="Times New Roman" w:eastAsia="宋体" w:cs="Times New Roman"/>
                <w:b w:val="0"/>
                <w:bCs w:val="0"/>
                <w:color w:val="auto"/>
                <w:spacing w:val="0"/>
                <w:sz w:val="24"/>
                <w:szCs w:val="24"/>
                <w:lang w:val="en-US" w:eastAsia="zh-CN"/>
              </w:rPr>
              <w:t xml:space="preserve">5 </w:t>
            </w:r>
            <w:r>
              <w:rPr>
                <w:rFonts w:hint="eastAsia" w:ascii="Times New Roman" w:hAnsi="Times New Roman" w:eastAsia="宋体" w:cs="Times New Roman"/>
                <w:b w:val="0"/>
                <w:bCs w:val="0"/>
                <w:color w:val="auto"/>
                <w:spacing w:val="0"/>
                <w:sz w:val="24"/>
                <w:szCs w:val="24"/>
                <w:lang w:val="en-US" w:eastAsia="zh-CN"/>
              </w:rPr>
              <w:t xml:space="preserve">月） </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Times New Roman" w:hAnsi="Times New Roman" w:eastAsia="宋体" w:cs="Times New Roman"/>
                <w:b w:val="0"/>
                <w:bCs w:val="0"/>
                <w:color w:val="auto"/>
                <w:spacing w:val="0"/>
                <w:sz w:val="24"/>
                <w:szCs w:val="24"/>
                <w:lang w:val="en-US" w:eastAsia="zh-CN"/>
              </w:rPr>
            </w:pPr>
            <w:r>
              <w:rPr>
                <w:rFonts w:hint="eastAsia" w:ascii="Times New Roman" w:hAnsi="Times New Roman" w:eastAsia="宋体" w:cs="Times New Roman"/>
                <w:b w:val="0"/>
                <w:bCs w:val="0"/>
                <w:color w:val="auto"/>
                <w:spacing w:val="0"/>
                <w:sz w:val="24"/>
                <w:szCs w:val="24"/>
                <w:lang w:val="en-US" w:eastAsia="zh-CN"/>
              </w:rPr>
              <w:t>挡水运行；主汛期（</w:t>
            </w:r>
            <w:r>
              <w:rPr>
                <w:rFonts w:hint="default" w:ascii="Times New Roman" w:hAnsi="Times New Roman" w:eastAsia="宋体" w:cs="Times New Roman"/>
                <w:b w:val="0"/>
                <w:bCs w:val="0"/>
                <w:color w:val="auto"/>
                <w:spacing w:val="0"/>
                <w:sz w:val="24"/>
                <w:szCs w:val="24"/>
                <w:lang w:val="en-US" w:eastAsia="zh-CN"/>
              </w:rPr>
              <w:t xml:space="preserve">6~9 </w:t>
            </w:r>
            <w:r>
              <w:rPr>
                <w:rFonts w:hint="eastAsia" w:ascii="Times New Roman" w:hAnsi="Times New Roman" w:eastAsia="宋体" w:cs="Times New Roman"/>
                <w:b w:val="0"/>
                <w:bCs w:val="0"/>
                <w:color w:val="auto"/>
                <w:spacing w:val="0"/>
                <w:sz w:val="24"/>
                <w:szCs w:val="24"/>
                <w:lang w:val="en-US" w:eastAsia="zh-CN"/>
              </w:rPr>
              <w:t xml:space="preserve">月）气盾坝完全倒伏，倒伏后坝顶高程比原安福堰堰顶高程低 </w:t>
            </w:r>
            <w:r>
              <w:rPr>
                <w:rFonts w:hint="default" w:ascii="Times New Roman" w:hAnsi="Times New Roman" w:eastAsia="宋体" w:cs="Times New Roman"/>
                <w:b w:val="0"/>
                <w:bCs w:val="0"/>
                <w:color w:val="auto"/>
                <w:spacing w:val="0"/>
                <w:sz w:val="24"/>
                <w:szCs w:val="24"/>
                <w:lang w:val="en-US" w:eastAsia="zh-CN"/>
              </w:rPr>
              <w:t>0.1m</w:t>
            </w:r>
            <w:r>
              <w:rPr>
                <w:rFonts w:hint="eastAsia" w:ascii="Times New Roman" w:hAnsi="Times New Roman" w:eastAsia="宋体" w:cs="Times New Roman"/>
                <w:b w:val="0"/>
                <w:bCs w:val="0"/>
                <w:color w:val="auto"/>
                <w:spacing w:val="0"/>
                <w:sz w:val="24"/>
                <w:szCs w:val="24"/>
                <w:lang w:val="en-US" w:eastAsia="zh-CN"/>
              </w:rPr>
              <w:t xml:space="preserve">，因此安福堰综合整治前后鱼类资源类型不会出现大的变化。 </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Times New Roman" w:hAnsi="Times New Roman" w:eastAsia="宋体" w:cs="Times New Roman"/>
                <w:b w:val="0"/>
                <w:bCs w:val="0"/>
                <w:color w:val="auto"/>
                <w:spacing w:val="0"/>
                <w:sz w:val="24"/>
                <w:szCs w:val="24"/>
                <w:lang w:val="en-US" w:eastAsia="zh-CN"/>
              </w:rPr>
            </w:pPr>
            <w:r>
              <w:rPr>
                <w:rFonts w:hint="eastAsia" w:ascii="Times New Roman" w:hAnsi="Times New Roman" w:eastAsia="宋体" w:cs="Times New Roman"/>
                <w:b w:val="0"/>
                <w:bCs w:val="0"/>
                <w:color w:val="auto"/>
                <w:spacing w:val="0"/>
                <w:sz w:val="24"/>
                <w:szCs w:val="24"/>
                <w:lang w:val="en-US" w:eastAsia="zh-CN"/>
              </w:rPr>
              <w:t xml:space="preserve">安福堰综合整治工程建成运行后，对工程水域鱼类资源量造成的不利因素主要来自于气盾坝升坝挡水期间产生的阻隔效应，如不采取措施，气盾坝升坝挡水会影响鱼类的生长繁殖，从而影响鱼类的资源量。气盾坝的运行噪声也会导致鱼类受到惊吓而逃离，在运行初期，可能会导致邻近水域鱼类逃离该水域，使局部水域鱼类在一定时段鱼类资源量出现减少。但随着运行时间的增加，鱼类会逐渐适应水域周边环境，工程邻近水域鱼类资源会逐步恢复。 </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200"/>
              <w:textAlignment w:val="baseline"/>
              <w:rPr>
                <w:rFonts w:hint="eastAsia" w:ascii="Times New Roman" w:hAnsi="Times New Roman" w:eastAsia="宋体" w:cs="Times New Roman"/>
                <w:b/>
                <w:bCs/>
                <w:color w:val="auto"/>
                <w:spacing w:val="0"/>
                <w:sz w:val="24"/>
                <w:szCs w:val="24"/>
                <w:lang w:val="en-US" w:eastAsia="zh-CN"/>
              </w:rPr>
            </w:pPr>
            <w:r>
              <w:rPr>
                <w:rFonts w:hint="eastAsia" w:ascii="Times New Roman" w:hAnsi="Times New Roman" w:eastAsia="宋体" w:cs="Times New Roman"/>
                <w:b/>
                <w:bCs/>
                <w:color w:val="auto"/>
                <w:spacing w:val="0"/>
                <w:sz w:val="24"/>
                <w:szCs w:val="24"/>
                <w:lang w:val="en-US" w:eastAsia="zh-CN"/>
              </w:rPr>
              <w:t>7、社会效益、环境正效应分析</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b w:val="0"/>
                <w:bCs w:val="0"/>
                <w:color w:val="auto"/>
                <w:spacing w:val="0"/>
                <w:sz w:val="24"/>
                <w:szCs w:val="24"/>
                <w:lang w:val="en-US" w:eastAsia="zh-CN"/>
              </w:rPr>
            </w:pPr>
            <w:r>
              <w:rPr>
                <w:rFonts w:hint="eastAsia" w:ascii="Times New Roman" w:hAnsi="Times New Roman" w:eastAsia="宋体" w:cs="Times New Roman"/>
                <w:b w:val="0"/>
                <w:bCs w:val="0"/>
                <w:color w:val="auto"/>
                <w:spacing w:val="0"/>
                <w:sz w:val="24"/>
                <w:szCs w:val="24"/>
                <w:lang w:val="en-US" w:eastAsia="zh-CN"/>
              </w:rPr>
              <w:t>（1）</w:t>
            </w:r>
            <w:r>
              <w:rPr>
                <w:rFonts w:ascii="宋体" w:hAnsi="宋体" w:eastAsia="宋体" w:cs="宋体"/>
                <w:spacing w:val="12"/>
                <w:sz w:val="24"/>
                <w:szCs w:val="24"/>
              </w:rPr>
              <w:t>项目的建设</w:t>
            </w:r>
            <w:r>
              <w:rPr>
                <w:rFonts w:hint="eastAsia" w:ascii="宋体" w:hAnsi="宋体" w:eastAsia="宋体" w:cs="宋体"/>
                <w:spacing w:val="12"/>
                <w:sz w:val="24"/>
                <w:szCs w:val="24"/>
                <w:lang w:val="en-US" w:eastAsia="zh-CN"/>
              </w:rPr>
              <w:t>提高了防洪能力</w:t>
            </w:r>
            <w:r>
              <w:rPr>
                <w:rFonts w:ascii="宋体" w:hAnsi="宋体" w:eastAsia="宋体" w:cs="宋体"/>
                <w:spacing w:val="12"/>
                <w:sz w:val="24"/>
                <w:szCs w:val="24"/>
              </w:rPr>
              <w:t>，避免洪水灾害造成</w:t>
            </w:r>
            <w:r>
              <w:rPr>
                <w:rFonts w:ascii="宋体" w:hAnsi="宋体" w:eastAsia="宋体" w:cs="宋体"/>
                <w:spacing w:val="18"/>
                <w:sz w:val="24"/>
                <w:szCs w:val="24"/>
              </w:rPr>
              <w:t>了</w:t>
            </w:r>
            <w:r>
              <w:rPr>
                <w:rFonts w:ascii="宋体" w:hAnsi="宋体" w:eastAsia="宋体" w:cs="宋体"/>
                <w:spacing w:val="9"/>
                <w:sz w:val="24"/>
                <w:szCs w:val="24"/>
              </w:rPr>
              <w:t>人民生命财产损</w:t>
            </w:r>
            <w:r>
              <w:rPr>
                <w:rFonts w:hint="eastAsia" w:ascii="Times New Roman" w:hAnsi="Times New Roman" w:eastAsia="宋体" w:cs="Times New Roman"/>
                <w:b w:val="0"/>
                <w:bCs w:val="0"/>
                <w:color w:val="auto"/>
                <w:spacing w:val="0"/>
                <w:sz w:val="24"/>
                <w:szCs w:val="24"/>
                <w:lang w:val="en-US" w:eastAsia="zh-CN"/>
              </w:rPr>
              <w:t>失，避免房屋、耕地、基础设施被淹。保证工农业生产的持续发展，有利于社会的稳定。</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b/>
                <w:bCs/>
                <w:color w:val="auto"/>
                <w:spacing w:val="0"/>
                <w:sz w:val="24"/>
                <w:szCs w:val="24"/>
                <w:lang w:val="en-US" w:eastAsia="zh-CN"/>
              </w:rPr>
            </w:pPr>
            <w:r>
              <w:rPr>
                <w:rFonts w:hint="eastAsia" w:ascii="Times New Roman" w:hAnsi="Times New Roman" w:eastAsia="宋体" w:cs="Times New Roman"/>
                <w:b w:val="0"/>
                <w:bCs w:val="0"/>
                <w:color w:val="auto"/>
                <w:spacing w:val="0"/>
                <w:sz w:val="24"/>
                <w:szCs w:val="24"/>
                <w:lang w:val="en-US" w:eastAsia="zh-CN"/>
              </w:rPr>
              <w:t xml:space="preserve">（2）本次安福堰综合整治工程建成后，可在保证灌溉水源保证率的同时引入富余水量作为生态流，促进水体交换和水生态修复。将极大地改善当地的水生态环境，提升城镇形象。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0" w:type="dxa"/>
            <w:noWrap w:val="0"/>
            <w:vAlign w:val="center"/>
          </w:tcPr>
          <w:p>
            <w:pPr>
              <w:pStyle w:val="37"/>
              <w:keepNext w:val="0"/>
              <w:keepLines w:val="0"/>
              <w:pageBreakBefore w:val="0"/>
              <w:kinsoku/>
              <w:wordWrap/>
              <w:overflowPunct/>
              <w:topLinePunct w:val="0"/>
              <w:bidi w:val="0"/>
              <w:adjustRightInd w:val="0"/>
              <w:snapToGrid w:val="0"/>
              <w:spacing w:before="0" w:beforeAutospacing="0" w:after="0" w:afterAutospacing="0"/>
              <w:jc w:val="center"/>
              <w:textAlignment w:val="auto"/>
              <w:rPr>
                <w:rFonts w:hint="default" w:ascii="Times New Roman" w:hAnsi="Times New Roman" w:cs="Times New Roman"/>
                <w:bCs/>
                <w:kern w:val="2"/>
                <w:sz w:val="21"/>
                <w:szCs w:val="21"/>
              </w:rPr>
            </w:pPr>
            <w:r>
              <w:rPr>
                <w:rFonts w:hint="default" w:ascii="Times New Roman" w:hAnsi="Times New Roman" w:cs="Times New Roman"/>
                <w:bCs/>
                <w:kern w:val="2"/>
                <w:sz w:val="21"/>
                <w:szCs w:val="21"/>
              </w:rPr>
              <w:t>选址选线环境合理性分析</w:t>
            </w:r>
          </w:p>
        </w:tc>
        <w:tc>
          <w:tcPr>
            <w:tcW w:w="756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1、工程选址合理性分析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w:t>
            </w:r>
            <w:r>
              <w:rPr>
                <w:rFonts w:hint="eastAsia" w:ascii="Times New Roman" w:hAnsi="Times New Roman" w:eastAsia="宋体" w:cs="Times New Roman"/>
                <w:color w:val="auto"/>
                <w:sz w:val="24"/>
                <w:lang w:val="en-US" w:eastAsia="zh-CN"/>
              </w:rPr>
              <w:t>拦河气盾坝不至于原安福堰位置，拆除原安福堰大坝进行重建，</w:t>
            </w:r>
            <w:r>
              <w:rPr>
                <w:rFonts w:hint="default" w:ascii="Times New Roman" w:hAnsi="Times New Roman" w:eastAsia="宋体" w:cs="Times New Roman"/>
                <w:color w:val="auto"/>
                <w:sz w:val="24"/>
                <w:lang w:val="en-US" w:eastAsia="zh-CN"/>
              </w:rPr>
              <w:t>不涉及自然保护区、风景名胜区、饮用水源保护区等敏感区域，符合产业政策，具有良好的工程地质条件，工程建设不会影响河道行洪；工程建设过程中，虽然会对生态环境产生一定影响，但会随着时间的推移产生新的生态平衡；水域条件好，有方便的交通、运输和水电条件；工程建设过程中，采取相应环保措施后，区域环境空气、声环境、水环境质量满足功能区划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通过采取相应的环境保护措施，项目实施对外环境影响小，项目选址合理。</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2、施工场地选址合理性分析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0000FF"/>
                <w:szCs w:val="21"/>
              </w:rPr>
            </w:pPr>
            <w:r>
              <w:rPr>
                <w:rFonts w:hint="default" w:ascii="Times New Roman" w:hAnsi="Times New Roman" w:cs="Times New Roman"/>
                <w:sz w:val="24"/>
              </w:rPr>
              <w:t>本工程</w:t>
            </w:r>
            <w:r>
              <w:rPr>
                <w:rFonts w:hint="eastAsia" w:ascii="Times New Roman" w:hAnsi="Times New Roman" w:cs="Times New Roman"/>
                <w:sz w:val="24"/>
                <w:lang w:val="en-US" w:eastAsia="zh-CN"/>
              </w:rPr>
              <w:t>在河道两岸分别</w:t>
            </w:r>
            <w:r>
              <w:rPr>
                <w:rFonts w:hint="default" w:ascii="Times New Roman" w:hAnsi="Times New Roman" w:cs="Times New Roman"/>
                <w:sz w:val="24"/>
              </w:rPr>
              <w:t>设置</w:t>
            </w:r>
            <w:r>
              <w:rPr>
                <w:rFonts w:hint="eastAsia" w:ascii="Times New Roman" w:hAnsi="Times New Roman" w:cs="Times New Roman"/>
                <w:sz w:val="24"/>
                <w:lang w:val="en-US" w:eastAsia="zh-CN"/>
              </w:rPr>
              <w:t>1</w:t>
            </w:r>
            <w:r>
              <w:rPr>
                <w:rFonts w:hint="default" w:ascii="Times New Roman" w:hAnsi="Times New Roman" w:cs="Times New Roman"/>
                <w:sz w:val="24"/>
              </w:rPr>
              <w:t>处</w:t>
            </w:r>
            <w:r>
              <w:rPr>
                <w:rFonts w:hint="default" w:ascii="Times New Roman" w:hAnsi="Times New Roman" w:cs="Times New Roman"/>
                <w:sz w:val="24"/>
                <w:lang w:eastAsia="zh-CN"/>
              </w:rPr>
              <w:t>施工场地，不设置施工营地</w:t>
            </w:r>
            <w:r>
              <w:rPr>
                <w:rFonts w:hint="default" w:ascii="Times New Roman" w:hAnsi="Times New Roman" w:cs="Times New Roman"/>
                <w:sz w:val="24"/>
              </w:rPr>
              <w:t>，</w:t>
            </w:r>
            <w:r>
              <w:rPr>
                <w:rFonts w:hint="eastAsia" w:ascii="Times New Roman" w:hAnsi="Times New Roman" w:cs="Times New Roman"/>
                <w:sz w:val="24"/>
                <w:lang w:val="en-US" w:eastAsia="zh-CN"/>
              </w:rPr>
              <w:t>左岸施工工区2#占地500m</w:t>
            </w:r>
            <w:r>
              <w:rPr>
                <w:rFonts w:hint="eastAsia" w:ascii="Times New Roman" w:hAnsi="Times New Roman" w:cs="Times New Roman"/>
                <w:sz w:val="24"/>
                <w:vertAlign w:val="superscript"/>
                <w:lang w:val="en-US" w:eastAsia="zh-CN"/>
              </w:rPr>
              <w:t>2</w:t>
            </w:r>
            <w:r>
              <w:rPr>
                <w:rFonts w:hint="eastAsia" w:ascii="Times New Roman" w:hAnsi="Times New Roman" w:cs="Times New Roman"/>
                <w:sz w:val="24"/>
                <w:lang w:val="en-US" w:eastAsia="zh-CN"/>
              </w:rPr>
              <w:t>，右岸施工工区1#占地1000m</w:t>
            </w:r>
            <w:r>
              <w:rPr>
                <w:rFonts w:hint="eastAsia" w:ascii="Times New Roman" w:hAnsi="Times New Roman" w:cs="Times New Roman"/>
                <w:sz w:val="24"/>
                <w:vertAlign w:val="superscript"/>
                <w:lang w:val="en-US" w:eastAsia="zh-CN"/>
              </w:rPr>
              <w:t>2</w:t>
            </w:r>
            <w:r>
              <w:rPr>
                <w:rFonts w:hint="eastAsia" w:ascii="Times New Roman" w:hAnsi="Times New Roman" w:cs="Times New Roman"/>
                <w:sz w:val="24"/>
                <w:lang w:val="en-US" w:eastAsia="zh-CN"/>
              </w:rPr>
              <w:t>，</w:t>
            </w:r>
            <w:r>
              <w:rPr>
                <w:rFonts w:hint="default" w:ascii="Times New Roman" w:hAnsi="Times New Roman" w:eastAsia="宋体" w:cs="Times New Roman"/>
                <w:b w:val="0"/>
                <w:bCs w:val="0"/>
                <w:color w:val="auto"/>
                <w:spacing w:val="0"/>
                <w:kern w:val="2"/>
                <w:sz w:val="24"/>
                <w:szCs w:val="24"/>
                <w:highlight w:val="none"/>
                <w:lang w:val="en-US" w:eastAsia="zh-CN" w:bidi="ar-SA"/>
              </w:rPr>
              <w:t>施工区不设置砂石加工及商混站，仅作为砼结构制造场地、机械堆放场地</w:t>
            </w:r>
            <w:r>
              <w:rPr>
                <w:rFonts w:hint="eastAsia" w:ascii="Times New Roman" w:hAnsi="Times New Roman" w:eastAsia="宋体" w:cs="Times New Roman"/>
                <w:b w:val="0"/>
                <w:bCs w:val="0"/>
                <w:color w:val="auto"/>
                <w:spacing w:val="0"/>
                <w:kern w:val="2"/>
                <w:sz w:val="24"/>
                <w:szCs w:val="24"/>
                <w:highlight w:val="none"/>
                <w:lang w:val="en-US" w:eastAsia="zh-CN" w:bidi="ar-SA"/>
              </w:rPr>
              <w:t>以及表土临时堆料场</w:t>
            </w:r>
            <w:r>
              <w:rPr>
                <w:rFonts w:hint="default" w:ascii="Times New Roman" w:hAnsi="Times New Roman" w:cs="Times New Roman"/>
                <w:color w:val="000000"/>
                <w:sz w:val="24"/>
                <w:lang w:eastAsia="zh-CN"/>
              </w:rPr>
              <w:t>，其中</w:t>
            </w:r>
            <w:r>
              <w:rPr>
                <w:rFonts w:hint="default" w:ascii="Times New Roman" w:hAnsi="Times New Roman" w:cs="Times New Roman"/>
                <w:color w:val="000000"/>
                <w:sz w:val="24"/>
                <w:lang w:val="en-US" w:eastAsia="zh-CN"/>
              </w:rPr>
              <w:t>1#</w:t>
            </w:r>
            <w:r>
              <w:rPr>
                <w:rFonts w:hint="default" w:ascii="Times New Roman" w:hAnsi="Times New Roman" w:eastAsia="宋体" w:cs="Times New Roman"/>
                <w:b w:val="0"/>
                <w:bCs w:val="0"/>
                <w:color w:val="000000"/>
                <w:spacing w:val="0"/>
                <w:kern w:val="2"/>
                <w:sz w:val="24"/>
                <w:szCs w:val="24"/>
                <w:highlight w:val="none"/>
                <w:lang w:val="en-US" w:eastAsia="zh-CN" w:bidi="ar-SA"/>
              </w:rPr>
              <w:t>施工场地</w:t>
            </w:r>
            <w:r>
              <w:rPr>
                <w:rFonts w:hint="default" w:ascii="Times New Roman" w:hAnsi="Times New Roman" w:cs="Times New Roman"/>
                <w:color w:val="000000"/>
                <w:sz w:val="24"/>
                <w:lang w:eastAsia="zh-CN"/>
              </w:rPr>
              <w:t>距离最近居民为</w:t>
            </w:r>
            <w:r>
              <w:rPr>
                <w:rFonts w:hint="eastAsia" w:ascii="Times New Roman" w:hAnsi="Times New Roman" w:cs="Times New Roman"/>
                <w:color w:val="000000"/>
                <w:sz w:val="24"/>
                <w:lang w:val="en-US" w:eastAsia="zh-CN"/>
              </w:rPr>
              <w:t>西</w:t>
            </w:r>
            <w:r>
              <w:rPr>
                <w:rFonts w:hint="default" w:ascii="Times New Roman" w:hAnsi="Times New Roman" w:cs="Times New Roman"/>
                <w:color w:val="000000"/>
                <w:sz w:val="24"/>
                <w:lang w:eastAsia="zh-CN"/>
              </w:rPr>
              <w:t>南侧</w:t>
            </w:r>
            <w:r>
              <w:rPr>
                <w:rFonts w:hint="eastAsia" w:ascii="Times New Roman" w:hAnsi="Times New Roman" w:cs="Times New Roman"/>
                <w:color w:val="000000"/>
                <w:sz w:val="24"/>
                <w:lang w:val="en-US" w:eastAsia="zh-CN"/>
              </w:rPr>
              <w:t>10</w:t>
            </w:r>
            <w:r>
              <w:rPr>
                <w:rFonts w:hint="default" w:ascii="Times New Roman" w:hAnsi="Times New Roman" w:cs="Times New Roman"/>
                <w:color w:val="000000"/>
                <w:sz w:val="24"/>
                <w:lang w:val="en-US" w:eastAsia="zh-CN"/>
              </w:rPr>
              <w:t>0m</w:t>
            </w:r>
            <w:r>
              <w:rPr>
                <w:rFonts w:hint="eastAsia" w:ascii="Times New Roman" w:hAnsi="Times New Roman" w:cs="Times New Roman"/>
                <w:color w:val="000000"/>
                <w:sz w:val="24"/>
                <w:lang w:val="en-US" w:eastAsia="zh-CN"/>
              </w:rPr>
              <w:t>马村</w:t>
            </w:r>
            <w:r>
              <w:rPr>
                <w:rFonts w:hint="default" w:ascii="Times New Roman" w:hAnsi="Times New Roman" w:cs="Times New Roman"/>
                <w:color w:val="000000"/>
                <w:sz w:val="24"/>
                <w:lang w:val="en-US" w:eastAsia="zh-CN"/>
              </w:rPr>
              <w:t>居民，2#</w:t>
            </w:r>
            <w:r>
              <w:rPr>
                <w:rFonts w:hint="default" w:ascii="Times New Roman" w:hAnsi="Times New Roman" w:eastAsia="宋体" w:cs="Times New Roman"/>
                <w:b w:val="0"/>
                <w:bCs w:val="0"/>
                <w:color w:val="000000"/>
                <w:spacing w:val="0"/>
                <w:kern w:val="2"/>
                <w:sz w:val="24"/>
                <w:szCs w:val="24"/>
                <w:highlight w:val="none"/>
                <w:lang w:val="en-US" w:eastAsia="zh-CN" w:bidi="ar-SA"/>
              </w:rPr>
              <w:t>施工场地</w:t>
            </w:r>
            <w:r>
              <w:rPr>
                <w:rFonts w:hint="default" w:ascii="Times New Roman" w:hAnsi="Times New Roman" w:cs="Times New Roman"/>
                <w:color w:val="000000"/>
                <w:sz w:val="24"/>
                <w:lang w:eastAsia="zh-CN"/>
              </w:rPr>
              <w:t>距离最近居民为</w:t>
            </w:r>
            <w:r>
              <w:rPr>
                <w:rFonts w:hint="eastAsia" w:ascii="Times New Roman" w:hAnsi="Times New Roman" w:cs="Times New Roman"/>
                <w:color w:val="000000"/>
                <w:sz w:val="24"/>
                <w:lang w:val="en-US" w:eastAsia="zh-CN"/>
              </w:rPr>
              <w:t>东北侧38</w:t>
            </w:r>
            <w:r>
              <w:rPr>
                <w:rFonts w:hint="default" w:ascii="Times New Roman" w:hAnsi="Times New Roman" w:cs="Times New Roman"/>
                <w:color w:val="000000"/>
                <w:sz w:val="24"/>
                <w:lang w:val="en-US" w:eastAsia="zh-CN"/>
              </w:rPr>
              <w:t>m</w:t>
            </w:r>
            <w:r>
              <w:rPr>
                <w:rFonts w:hint="eastAsia" w:ascii="Times New Roman" w:hAnsi="Times New Roman" w:cs="Times New Roman"/>
                <w:color w:val="000000"/>
                <w:sz w:val="24"/>
                <w:lang w:val="en-US" w:eastAsia="zh-CN"/>
              </w:rPr>
              <w:t>散户，</w:t>
            </w:r>
            <w:r>
              <w:rPr>
                <w:rFonts w:hint="default" w:ascii="Times New Roman" w:hAnsi="Times New Roman" w:cs="Times New Roman"/>
                <w:color w:val="000000"/>
                <w:sz w:val="24"/>
              </w:rPr>
              <w:t>周边</w:t>
            </w:r>
            <w:r>
              <w:rPr>
                <w:rFonts w:hint="default" w:ascii="Times New Roman" w:hAnsi="Times New Roman" w:cs="Times New Roman"/>
                <w:color w:val="000000"/>
                <w:sz w:val="24"/>
                <w:lang w:eastAsia="zh-CN"/>
              </w:rPr>
              <w:t>农户较远，</w:t>
            </w:r>
            <w:r>
              <w:rPr>
                <w:rFonts w:hint="eastAsia" w:ascii="Times New Roman" w:hAnsi="Times New Roman" w:cs="Times New Roman"/>
                <w:color w:val="000000"/>
                <w:sz w:val="24"/>
                <w:lang w:val="en-US" w:eastAsia="zh-CN"/>
              </w:rPr>
              <w:t>施工期做好文明施工，加强管理，施工期影响随施工结束而消失，对周边居民影响不大，</w:t>
            </w:r>
            <w:r>
              <w:rPr>
                <w:rFonts w:hint="default" w:ascii="Times New Roman" w:hAnsi="Times New Roman" w:cs="Times New Roman"/>
                <w:color w:val="000000"/>
                <w:sz w:val="24"/>
              </w:rPr>
              <w:t>外环境关系较简单，选址合理。</w:t>
            </w:r>
          </w:p>
        </w:tc>
      </w:tr>
    </w:tbl>
    <w:p>
      <w:pPr>
        <w:pStyle w:val="37"/>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黑体" w:cs="Times New Roman"/>
          <w:snapToGrid w:val="0"/>
          <w:sz w:val="36"/>
          <w:szCs w:val="36"/>
        </w:rPr>
        <w:sectPr>
          <w:pgSz w:w="11906" w:h="16838"/>
          <w:pgMar w:top="1440" w:right="1800" w:bottom="1440" w:left="1800" w:header="851" w:footer="1077" w:gutter="0"/>
          <w:pgBorders>
            <w:top w:val="none" w:sz="0" w:space="0"/>
            <w:left w:val="none" w:sz="0" w:space="0"/>
            <w:bottom w:val="none" w:sz="0" w:space="0"/>
            <w:right w:val="none" w:sz="0" w:space="0"/>
          </w:pgBorders>
          <w:cols w:space="720" w:num="1"/>
          <w:docGrid w:linePitch="312" w:charSpace="0"/>
        </w:sectPr>
      </w:pPr>
    </w:p>
    <w:p>
      <w:pPr>
        <w:pStyle w:val="37"/>
        <w:keepNext w:val="0"/>
        <w:keepLines w:val="0"/>
        <w:pageBreakBefore w:val="0"/>
        <w:kinsoku/>
        <w:wordWrap/>
        <w:overflowPunct/>
        <w:topLinePunct w:val="0"/>
        <w:bidi w:val="0"/>
        <w:adjustRightInd w:val="0"/>
        <w:snapToGrid w:val="0"/>
        <w:spacing w:before="0" w:beforeAutospacing="0" w:after="0" w:afterAutospacing="0" w:line="14" w:lineRule="auto"/>
        <w:jc w:val="center"/>
        <w:textAlignment w:val="auto"/>
        <w:outlineLvl w:val="0"/>
        <w:rPr>
          <w:rFonts w:hint="default" w:ascii="Times New Roman" w:hAnsi="Times New Roman" w:eastAsia="黑体" w:cs="Times New Roman"/>
          <w:snapToGrid w:val="0"/>
          <w:sz w:val="30"/>
          <w:szCs w:val="30"/>
        </w:rPr>
      </w:pPr>
    </w:p>
    <w:p>
      <w:pPr>
        <w:pStyle w:val="37"/>
        <w:keepNext w:val="0"/>
        <w:keepLines w:val="0"/>
        <w:pageBreakBefore w:val="0"/>
        <w:kinsoku/>
        <w:wordWrap/>
        <w:overflowPunct/>
        <w:topLinePunct w:val="0"/>
        <w:bidi w:val="0"/>
        <w:adjustRightInd w:val="0"/>
        <w:snapToGrid w:val="0"/>
        <w:jc w:val="center"/>
        <w:textAlignment w:val="auto"/>
        <w:outlineLvl w:val="0"/>
        <w:rPr>
          <w:rFonts w:hint="default" w:ascii="Times New Roman" w:hAnsi="Times New Roman" w:eastAsia="黑体" w:cs="Times New Roman"/>
          <w:snapToGrid w:val="0"/>
          <w:sz w:val="30"/>
          <w:szCs w:val="30"/>
        </w:rPr>
      </w:pPr>
      <w:r>
        <w:rPr>
          <w:rFonts w:hint="default" w:ascii="Times New Roman" w:hAnsi="Times New Roman" w:eastAsia="黑体" w:cs="Times New Roman"/>
          <w:snapToGrid w:val="0"/>
          <w:sz w:val="30"/>
          <w:szCs w:val="30"/>
        </w:rPr>
        <w:t>五、主要生态环境保护措施</w:t>
      </w:r>
    </w:p>
    <w:tbl>
      <w:tblPr>
        <w:tblStyle w:val="41"/>
        <w:tblW w:w="85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37"/>
        <w:gridCol w:w="746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1037" w:type="dxa"/>
            <w:noWrap w:val="0"/>
            <w:tcMar>
              <w:left w:w="28" w:type="dxa"/>
              <w:right w:w="28" w:type="dxa"/>
            </w:tcMar>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bCs/>
                <w:szCs w:val="21"/>
              </w:rPr>
            </w:pPr>
            <w:r>
              <w:rPr>
                <w:rFonts w:hint="default" w:ascii="Times New Roman" w:hAnsi="Times New Roman" w:cs="Times New Roman"/>
                <w:bCs/>
                <w:spacing w:val="10"/>
                <w:sz w:val="24"/>
                <w:szCs w:val="24"/>
              </w:rPr>
              <w:t>施工期生态环境保护措施</w:t>
            </w:r>
          </w:p>
        </w:tc>
        <w:tc>
          <w:tcPr>
            <w:tcW w:w="7467" w:type="dxa"/>
            <w:noWrap w:val="0"/>
            <w:vAlign w:val="center"/>
          </w:tcPr>
          <w:p>
            <w:pPr>
              <w:pageBreakBefore w:val="0"/>
              <w:widowControl/>
              <w:kinsoku/>
              <w:wordWrap/>
              <w:overflowPunct/>
              <w:topLinePunct w:val="0"/>
              <w:bidi w:val="0"/>
              <w:adjustRightInd w:val="0"/>
              <w:snapToGrid w:val="0"/>
              <w:spacing w:line="360" w:lineRule="auto"/>
              <w:ind w:leftChars="0" w:right="0" w:firstLine="482" w:firstLineChars="200"/>
              <w:jc w:val="left"/>
              <w:rPr>
                <w:rFonts w:hint="default" w:ascii="Times New Roman" w:hAnsi="Times New Roman" w:cs="Times New Roman"/>
                <w:b/>
                <w:bCs/>
                <w:sz w:val="24"/>
                <w:szCs w:val="24"/>
              </w:rPr>
            </w:pPr>
            <w:r>
              <w:rPr>
                <w:rFonts w:hint="default" w:ascii="Times New Roman" w:hAnsi="Times New Roman" w:cs="Times New Roman"/>
                <w:b/>
                <w:bCs/>
                <w:sz w:val="24"/>
                <w:szCs w:val="24"/>
              </w:rPr>
              <w:t>1、生态环境保护措施</w:t>
            </w:r>
          </w:p>
          <w:p>
            <w:pPr>
              <w:pageBreakBefore w:val="0"/>
              <w:kinsoku/>
              <w:wordWrap/>
              <w:overflowPunct/>
              <w:topLinePunct w:val="0"/>
              <w:bidi w:val="0"/>
              <w:adjustRightInd w:val="0"/>
              <w:snapToGrid w:val="0"/>
              <w:spacing w:line="360" w:lineRule="auto"/>
              <w:ind w:leftChars="0" w:right="0" w:firstLine="480" w:firstLineChars="200"/>
              <w:textAlignment w:val="center"/>
              <w:rPr>
                <w:rFonts w:hint="default" w:ascii="Times New Roman" w:hAnsi="Times New Roman" w:cs="Times New Roman"/>
                <w:sz w:val="24"/>
                <w:szCs w:val="24"/>
              </w:rPr>
            </w:pPr>
            <w:r>
              <w:rPr>
                <w:rFonts w:hint="default" w:ascii="Times New Roman" w:hAnsi="Times New Roman" w:cs="Times New Roman"/>
                <w:sz w:val="24"/>
                <w:szCs w:val="24"/>
              </w:rPr>
              <w:t>（1）工程占地保护措施</w:t>
            </w:r>
          </w:p>
          <w:p>
            <w:pPr>
              <w:pageBreakBefore w:val="0"/>
              <w:widowControl w:val="0"/>
              <w:kinsoku/>
              <w:wordWrap/>
              <w:overflowPunct/>
              <w:topLinePunct w:val="0"/>
              <w:autoSpaceDE/>
              <w:autoSpaceDN/>
              <w:bidi w:val="0"/>
              <w:snapToGrid w:val="0"/>
              <w:spacing w:line="360" w:lineRule="auto"/>
              <w:ind w:firstLine="480" w:firstLineChars="200"/>
              <w:jc w:val="both"/>
              <w:textAlignment w:val="auto"/>
              <w:rPr>
                <w:rFonts w:hint="default" w:ascii="Times New Roman" w:hAnsi="Times New Roman" w:eastAsia="宋体" w:cs="Times New Roman"/>
                <w:b w:val="0"/>
                <w:bCs w:val="0"/>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工程总占地面积3.91hm</w:t>
            </w:r>
            <w:r>
              <w:rPr>
                <w:rFonts w:hint="eastAsia" w:ascii="Times New Roman" w:hAnsi="Times New Roman" w:eastAsia="宋体" w:cs="Times New Roman"/>
                <w:b w:val="0"/>
                <w:bCs w:val="0"/>
                <w:kern w:val="2"/>
                <w:sz w:val="24"/>
                <w:szCs w:val="24"/>
                <w:vertAlign w:val="superscript"/>
                <w:lang w:val="en-US" w:eastAsia="zh-CN" w:bidi="ar-SA"/>
              </w:rPr>
              <w:t>2</w:t>
            </w:r>
            <w:r>
              <w:rPr>
                <w:rFonts w:hint="eastAsia" w:ascii="Times New Roman" w:hAnsi="Times New Roman" w:eastAsia="宋体" w:cs="Times New Roman"/>
                <w:b w:val="0"/>
                <w:bCs w:val="0"/>
                <w:kern w:val="2"/>
                <w:sz w:val="24"/>
                <w:szCs w:val="24"/>
                <w:lang w:val="en-US" w:eastAsia="zh-CN" w:bidi="ar-SA"/>
              </w:rPr>
              <w:t>，其中永久占地2.76hm</w:t>
            </w:r>
            <w:r>
              <w:rPr>
                <w:rFonts w:hint="eastAsia" w:ascii="Times New Roman" w:hAnsi="Times New Roman" w:eastAsia="宋体" w:cs="Times New Roman"/>
                <w:b w:val="0"/>
                <w:bCs w:val="0"/>
                <w:kern w:val="2"/>
                <w:sz w:val="24"/>
                <w:szCs w:val="24"/>
                <w:vertAlign w:val="superscript"/>
                <w:lang w:val="en-US" w:eastAsia="zh-CN" w:bidi="ar-SA"/>
              </w:rPr>
              <w:t>2</w:t>
            </w:r>
            <w:r>
              <w:rPr>
                <w:rFonts w:hint="eastAsia" w:ascii="Times New Roman" w:hAnsi="Times New Roman" w:eastAsia="宋体" w:cs="Times New Roman"/>
                <w:b w:val="0"/>
                <w:bCs w:val="0"/>
                <w:kern w:val="2"/>
                <w:sz w:val="24"/>
                <w:szCs w:val="24"/>
                <w:lang w:val="en-US" w:eastAsia="zh-CN" w:bidi="ar-SA"/>
              </w:rPr>
              <w:t>（包括枢纽工程区占地2.23hm</w:t>
            </w:r>
            <w:r>
              <w:rPr>
                <w:rFonts w:hint="eastAsia" w:ascii="Times New Roman" w:hAnsi="Times New Roman" w:eastAsia="宋体" w:cs="Times New Roman"/>
                <w:b w:val="0"/>
                <w:bCs w:val="0"/>
                <w:kern w:val="2"/>
                <w:sz w:val="24"/>
                <w:szCs w:val="24"/>
                <w:vertAlign w:val="superscript"/>
                <w:lang w:val="en-US" w:eastAsia="zh-CN" w:bidi="ar-SA"/>
              </w:rPr>
              <w:t>2</w:t>
            </w:r>
            <w:r>
              <w:rPr>
                <w:rFonts w:hint="eastAsia" w:ascii="Times New Roman" w:hAnsi="Times New Roman" w:eastAsia="宋体" w:cs="Times New Roman"/>
                <w:b w:val="0"/>
                <w:bCs w:val="0"/>
                <w:kern w:val="2"/>
                <w:sz w:val="24"/>
                <w:szCs w:val="24"/>
                <w:lang w:val="en-US" w:eastAsia="zh-CN" w:bidi="ar-SA"/>
              </w:rPr>
              <w:t>，渠道工程区0.53hm</w:t>
            </w:r>
            <w:r>
              <w:rPr>
                <w:rFonts w:hint="eastAsia" w:ascii="Times New Roman" w:hAnsi="Times New Roman" w:eastAsia="宋体" w:cs="Times New Roman"/>
                <w:b w:val="0"/>
                <w:bCs w:val="0"/>
                <w:kern w:val="2"/>
                <w:sz w:val="24"/>
                <w:szCs w:val="24"/>
                <w:vertAlign w:val="superscript"/>
                <w:lang w:val="en-US" w:eastAsia="zh-CN" w:bidi="ar-SA"/>
              </w:rPr>
              <w:t>2</w:t>
            </w:r>
            <w:r>
              <w:rPr>
                <w:rFonts w:hint="eastAsia" w:ascii="Times New Roman" w:hAnsi="Times New Roman" w:eastAsia="宋体" w:cs="Times New Roman"/>
                <w:b w:val="0"/>
                <w:bCs w:val="0"/>
                <w:kern w:val="2"/>
                <w:sz w:val="24"/>
                <w:szCs w:val="24"/>
                <w:lang w:val="en-US" w:eastAsia="zh-CN" w:bidi="ar-SA"/>
              </w:rPr>
              <w:t>），临时占地1.15hm</w:t>
            </w:r>
            <w:r>
              <w:rPr>
                <w:rFonts w:hint="eastAsia" w:ascii="Times New Roman" w:hAnsi="Times New Roman" w:eastAsia="宋体" w:cs="Times New Roman"/>
                <w:b w:val="0"/>
                <w:bCs w:val="0"/>
                <w:kern w:val="2"/>
                <w:sz w:val="24"/>
                <w:szCs w:val="24"/>
                <w:vertAlign w:val="superscript"/>
                <w:lang w:val="en-US" w:eastAsia="zh-CN" w:bidi="ar-SA"/>
              </w:rPr>
              <w:t>2</w:t>
            </w:r>
            <w:r>
              <w:rPr>
                <w:rFonts w:hint="eastAsia" w:ascii="Times New Roman" w:hAnsi="Times New Roman" w:eastAsia="宋体" w:cs="Times New Roman"/>
                <w:b w:val="0"/>
                <w:bCs w:val="0"/>
                <w:kern w:val="2"/>
                <w:sz w:val="24"/>
                <w:szCs w:val="24"/>
                <w:lang w:val="en-US" w:eastAsia="zh-CN" w:bidi="ar-SA"/>
              </w:rPr>
              <w:t>（其中施工工区0.15hm</w:t>
            </w:r>
            <w:r>
              <w:rPr>
                <w:rFonts w:hint="eastAsia" w:ascii="Times New Roman" w:hAnsi="Times New Roman" w:eastAsia="宋体" w:cs="Times New Roman"/>
                <w:b w:val="0"/>
                <w:bCs w:val="0"/>
                <w:kern w:val="2"/>
                <w:sz w:val="24"/>
                <w:szCs w:val="24"/>
                <w:vertAlign w:val="superscript"/>
                <w:lang w:val="en-US" w:eastAsia="zh-CN" w:bidi="ar-SA"/>
              </w:rPr>
              <w:t>2</w:t>
            </w:r>
            <w:r>
              <w:rPr>
                <w:rFonts w:hint="eastAsia" w:ascii="Times New Roman" w:hAnsi="Times New Roman" w:eastAsia="宋体" w:cs="Times New Roman"/>
                <w:b w:val="0"/>
                <w:bCs w:val="0"/>
                <w:kern w:val="2"/>
                <w:sz w:val="24"/>
                <w:szCs w:val="24"/>
                <w:lang w:val="en-US" w:eastAsia="zh-CN" w:bidi="ar-SA"/>
              </w:rPr>
              <w:t>，砂石堆放场1.00hm</w:t>
            </w:r>
            <w:r>
              <w:rPr>
                <w:rFonts w:hint="eastAsia" w:ascii="Times New Roman" w:hAnsi="Times New Roman" w:eastAsia="宋体" w:cs="Times New Roman"/>
                <w:b w:val="0"/>
                <w:bCs w:val="0"/>
                <w:kern w:val="2"/>
                <w:sz w:val="24"/>
                <w:szCs w:val="24"/>
                <w:vertAlign w:val="superscript"/>
                <w:lang w:val="en-US" w:eastAsia="zh-CN" w:bidi="ar-SA"/>
              </w:rPr>
              <w:t>2</w:t>
            </w:r>
            <w:r>
              <w:rPr>
                <w:rFonts w:hint="eastAsia" w:ascii="Times New Roman" w:hAnsi="Times New Roman" w:eastAsia="宋体" w:cs="Times New Roman"/>
                <w:b w:val="0"/>
                <w:bCs w:val="0"/>
                <w:kern w:val="2"/>
                <w:sz w:val="24"/>
                <w:szCs w:val="24"/>
                <w:lang w:val="en-US" w:eastAsia="zh-CN" w:bidi="ar-SA"/>
              </w:rPr>
              <w:t>）。表土堆场区布设于施工工区占地范围内，不新增占地。主要占地类型为旱地、竹林地、其他草地、水域及水利设施用地和其他土地。本项目为改建项目，占地均在在原占地红线范围内，故本项目占地符合用地要求。</w:t>
            </w:r>
          </w:p>
          <w:p>
            <w:pPr>
              <w:pageBreakBefore w:val="0"/>
              <w:kinsoku/>
              <w:wordWrap/>
              <w:overflowPunct/>
              <w:topLinePunct w:val="0"/>
              <w:bidi w:val="0"/>
              <w:adjustRightInd w:val="0"/>
              <w:snapToGrid w:val="0"/>
              <w:spacing w:line="360" w:lineRule="auto"/>
              <w:ind w:leftChars="0" w:right="0" w:firstLine="480" w:firstLineChars="200"/>
              <w:textAlignment w:val="center"/>
              <w:rPr>
                <w:rFonts w:hint="default" w:ascii="Times New Roman" w:hAnsi="Times New Roman" w:cs="Times New Roman"/>
                <w:sz w:val="24"/>
                <w:szCs w:val="24"/>
              </w:rPr>
            </w:pPr>
            <w:r>
              <w:rPr>
                <w:rFonts w:hint="default" w:ascii="Times New Roman" w:hAnsi="Times New Roman" w:cs="Times New Roman"/>
                <w:sz w:val="24"/>
                <w:szCs w:val="24"/>
              </w:rPr>
              <w:t>项目施工采取的措施：</w:t>
            </w:r>
          </w:p>
          <w:p>
            <w:pPr>
              <w:pageBreakBefore w:val="0"/>
              <w:kinsoku/>
              <w:wordWrap/>
              <w:overflowPunct/>
              <w:topLinePunct w:val="0"/>
              <w:bidi w:val="0"/>
              <w:adjustRightInd w:val="0"/>
              <w:snapToGrid w:val="0"/>
              <w:spacing w:line="360" w:lineRule="auto"/>
              <w:ind w:leftChars="0" w:right="0" w:firstLine="480" w:firstLineChars="200"/>
              <w:textAlignment w:val="center"/>
              <w:rPr>
                <w:rFonts w:hint="default" w:ascii="Times New Roman" w:hAnsi="Times New Roman" w:cs="Times New Roman"/>
                <w:sz w:val="24"/>
                <w:szCs w:val="24"/>
              </w:rPr>
            </w:pPr>
            <w:r>
              <w:rPr>
                <w:rFonts w:hint="default" w:ascii="Times New Roman" w:hAnsi="Times New Roman" w:cs="Times New Roman"/>
                <w:sz w:val="24"/>
                <w:szCs w:val="24"/>
              </w:rPr>
              <w:t>①施工时，对工程占地进行严格管理，不准擅自扩大占地，避免增加对地表植被的破坏；</w:t>
            </w:r>
          </w:p>
          <w:p>
            <w:pPr>
              <w:pageBreakBefore w:val="0"/>
              <w:kinsoku/>
              <w:wordWrap/>
              <w:overflowPunct/>
              <w:topLinePunct w:val="0"/>
              <w:bidi w:val="0"/>
              <w:adjustRightInd w:val="0"/>
              <w:snapToGrid w:val="0"/>
              <w:spacing w:line="360" w:lineRule="auto"/>
              <w:ind w:leftChars="0" w:right="0" w:firstLine="480" w:firstLineChars="200"/>
              <w:textAlignment w:val="center"/>
              <w:rPr>
                <w:rFonts w:hint="default" w:ascii="Times New Roman" w:hAnsi="Times New Roman" w:cs="Times New Roman"/>
                <w:sz w:val="24"/>
                <w:szCs w:val="24"/>
              </w:rPr>
            </w:pPr>
            <w:r>
              <w:rPr>
                <w:rFonts w:hint="default" w:ascii="Times New Roman" w:hAnsi="Times New Roman" w:cs="Times New Roman"/>
                <w:sz w:val="24"/>
                <w:szCs w:val="24"/>
              </w:rPr>
              <w:t>②对于施工</w:t>
            </w:r>
            <w:r>
              <w:rPr>
                <w:rFonts w:hint="default" w:ascii="Times New Roman" w:hAnsi="Times New Roman" w:cs="Times New Roman"/>
                <w:sz w:val="24"/>
                <w:szCs w:val="24"/>
                <w:lang w:eastAsia="zh-CN"/>
              </w:rPr>
              <w:t>场地</w:t>
            </w:r>
            <w:r>
              <w:rPr>
                <w:rFonts w:hint="default" w:ascii="Times New Roman" w:hAnsi="Times New Roman" w:cs="Times New Roman"/>
                <w:sz w:val="24"/>
                <w:szCs w:val="24"/>
              </w:rPr>
              <w:t>、临时</w:t>
            </w:r>
            <w:r>
              <w:rPr>
                <w:rFonts w:hint="default" w:ascii="Times New Roman" w:hAnsi="Times New Roman" w:cs="Times New Roman"/>
                <w:sz w:val="24"/>
                <w:szCs w:val="24"/>
                <w:lang w:eastAsia="zh-CN"/>
              </w:rPr>
              <w:t>堆场</w:t>
            </w:r>
            <w:r>
              <w:rPr>
                <w:rFonts w:hint="default" w:ascii="Times New Roman" w:hAnsi="Times New Roman" w:cs="Times New Roman"/>
                <w:sz w:val="24"/>
                <w:szCs w:val="24"/>
              </w:rPr>
              <w:t>等临时占地，要求在结束后清理场地，拆除建筑，对场地进行平整；</w:t>
            </w:r>
          </w:p>
          <w:p>
            <w:pPr>
              <w:pageBreakBefore w:val="0"/>
              <w:kinsoku/>
              <w:wordWrap/>
              <w:overflowPunct/>
              <w:topLinePunct w:val="0"/>
              <w:bidi w:val="0"/>
              <w:adjustRightInd w:val="0"/>
              <w:snapToGrid w:val="0"/>
              <w:spacing w:line="360" w:lineRule="auto"/>
              <w:ind w:leftChars="0" w:right="0" w:firstLine="480" w:firstLineChars="200"/>
              <w:textAlignment w:val="center"/>
              <w:rPr>
                <w:rFonts w:hint="default" w:ascii="Times New Roman" w:hAnsi="Times New Roman" w:cs="Times New Roman"/>
                <w:sz w:val="24"/>
                <w:szCs w:val="24"/>
              </w:rPr>
            </w:pPr>
            <w:r>
              <w:rPr>
                <w:rFonts w:hint="default" w:ascii="Times New Roman" w:hAnsi="Times New Roman" w:cs="Times New Roman"/>
                <w:sz w:val="24"/>
                <w:szCs w:val="24"/>
              </w:rPr>
              <w:t>③避免超计划占地，禁止</w:t>
            </w:r>
            <w:r>
              <w:rPr>
                <w:rFonts w:hint="eastAsia" w:ascii="Times New Roman" w:hAnsi="Times New Roman" w:cs="Times New Roman"/>
                <w:sz w:val="24"/>
                <w:szCs w:val="24"/>
                <w:lang w:eastAsia="zh-CN"/>
              </w:rPr>
              <w:t>滥砍滥伐</w:t>
            </w:r>
            <w:r>
              <w:rPr>
                <w:rFonts w:hint="default" w:ascii="Times New Roman" w:hAnsi="Times New Roman" w:cs="Times New Roman"/>
                <w:sz w:val="24"/>
                <w:szCs w:val="24"/>
              </w:rPr>
              <w:t>，注意保护周边植被，尽可能减少对植被和土地的破坏。形成的裸露土地，需及时覆土，弃土、填土应尽量结合填坑、修路，避免增加临时占地；</w:t>
            </w:r>
          </w:p>
          <w:p>
            <w:pPr>
              <w:pageBreakBefore w:val="0"/>
              <w:kinsoku/>
              <w:wordWrap/>
              <w:overflowPunct/>
              <w:topLinePunct w:val="0"/>
              <w:bidi w:val="0"/>
              <w:adjustRightInd w:val="0"/>
              <w:snapToGrid w:val="0"/>
              <w:spacing w:line="360" w:lineRule="auto"/>
              <w:ind w:leftChars="0" w:right="0" w:firstLine="480" w:firstLineChars="200"/>
              <w:textAlignment w:val="center"/>
              <w:rPr>
                <w:rFonts w:hint="default" w:ascii="Times New Roman" w:hAnsi="Times New Roman" w:cs="Times New Roman"/>
                <w:sz w:val="24"/>
                <w:szCs w:val="24"/>
              </w:rPr>
            </w:pPr>
            <w:r>
              <w:rPr>
                <w:rFonts w:hint="default" w:ascii="Times New Roman" w:hAnsi="Times New Roman" w:cs="Times New Roman"/>
                <w:sz w:val="24"/>
                <w:szCs w:val="24"/>
              </w:rPr>
              <w:t>④施工期间，以公告、宣传单、板报和会议等形式，加强对施工人员的环境保护宣传教育和保护野生动物常识的宣传，提高施工人员的环境保护意识；禁止施工人员捕猎蛙类、蛇类、兽类、鸟类等野生动物和从事其它有碍生态环境保护的活动。加强施工管理与监理，优化施工设计，尽量减少施工占地及施工活动对动物栖息地的破坏；</w:t>
            </w:r>
          </w:p>
          <w:p>
            <w:pPr>
              <w:pageBreakBefore w:val="0"/>
              <w:kinsoku/>
              <w:wordWrap/>
              <w:overflowPunct/>
              <w:topLinePunct w:val="0"/>
              <w:bidi w:val="0"/>
              <w:adjustRightInd w:val="0"/>
              <w:snapToGrid w:val="0"/>
              <w:spacing w:line="360" w:lineRule="auto"/>
              <w:ind w:leftChars="0" w:right="0" w:firstLine="480" w:firstLineChars="200"/>
              <w:textAlignment w:val="center"/>
              <w:rPr>
                <w:rFonts w:hint="default" w:ascii="Times New Roman" w:hAnsi="Times New Roman" w:cs="Times New Roman"/>
                <w:sz w:val="24"/>
                <w:szCs w:val="24"/>
              </w:rPr>
            </w:pPr>
            <w:r>
              <w:rPr>
                <w:rFonts w:hint="default" w:ascii="Times New Roman" w:hAnsi="Times New Roman" w:cs="Times New Roman"/>
                <w:sz w:val="24"/>
                <w:szCs w:val="24"/>
              </w:rPr>
              <w:t>⑤工程建设中，取弃土要综合考虑，填控应相互结合，以减少施工中的弃土量；合理布置弃土的位置、范围等，尽可能减少破坏地貌的面积，保持原有生态环境；</w:t>
            </w:r>
          </w:p>
          <w:p>
            <w:pPr>
              <w:pageBreakBefore w:val="0"/>
              <w:kinsoku/>
              <w:wordWrap/>
              <w:overflowPunct/>
              <w:topLinePunct w:val="0"/>
              <w:bidi w:val="0"/>
              <w:adjustRightInd w:val="0"/>
              <w:snapToGrid w:val="0"/>
              <w:spacing w:line="360" w:lineRule="auto"/>
              <w:ind w:leftChars="0" w:right="0" w:firstLine="480" w:firstLineChars="200"/>
              <w:textAlignment w:val="center"/>
              <w:rPr>
                <w:rFonts w:hint="default" w:ascii="Times New Roman" w:hAnsi="Times New Roman" w:cs="Times New Roman"/>
                <w:sz w:val="24"/>
                <w:szCs w:val="24"/>
              </w:rPr>
            </w:pPr>
            <w:r>
              <w:rPr>
                <w:rFonts w:hint="default" w:ascii="Times New Roman" w:hAnsi="Times New Roman" w:cs="Times New Roman"/>
                <w:sz w:val="24"/>
                <w:szCs w:val="24"/>
              </w:rPr>
              <w:t>⑥</w:t>
            </w:r>
            <w:r>
              <w:rPr>
                <w:rFonts w:hint="default" w:ascii="Times New Roman" w:hAnsi="Times New Roman" w:cs="Times New Roman"/>
                <w:sz w:val="24"/>
                <w:szCs w:val="24"/>
                <w:lang w:val="en-US" w:eastAsia="zh-CN"/>
              </w:rPr>
              <w:t>在</w:t>
            </w:r>
            <w:r>
              <w:rPr>
                <w:rFonts w:hint="default" w:ascii="Times New Roman" w:hAnsi="Times New Roman" w:cs="Times New Roman"/>
                <w:sz w:val="24"/>
                <w:szCs w:val="24"/>
              </w:rPr>
              <w:t>施工工区设置沉淀池</w:t>
            </w:r>
            <w:r>
              <w:rPr>
                <w:rFonts w:hint="default" w:ascii="Times New Roman" w:hAnsi="Times New Roman" w:cs="Times New Roman"/>
                <w:sz w:val="24"/>
                <w:szCs w:val="24"/>
                <w:lang w:eastAsia="zh-CN"/>
              </w:rPr>
              <w:t>，</w:t>
            </w:r>
            <w:r>
              <w:rPr>
                <w:rFonts w:hint="default" w:ascii="Times New Roman" w:hAnsi="Times New Roman" w:cs="Times New Roman"/>
                <w:sz w:val="24"/>
                <w:szCs w:val="24"/>
              </w:rPr>
              <w:t>禁止将</w:t>
            </w:r>
            <w:r>
              <w:rPr>
                <w:rFonts w:hint="default" w:ascii="Times New Roman" w:hAnsi="Times New Roman" w:cs="Times New Roman"/>
                <w:sz w:val="24"/>
                <w:szCs w:val="24"/>
                <w:lang w:eastAsia="zh-CN"/>
              </w:rPr>
              <w:t>施工废水</w:t>
            </w:r>
            <w:r>
              <w:rPr>
                <w:rFonts w:hint="default" w:ascii="Times New Roman" w:hAnsi="Times New Roman" w:cs="Times New Roman"/>
                <w:sz w:val="24"/>
                <w:szCs w:val="24"/>
              </w:rPr>
              <w:t>、垃圾直接排入水体；有害的施工材料尤其是粉尘类材料应远离水体堆放，防止其在大风天气下飘散对河流水质和水生生物的影响；</w:t>
            </w:r>
          </w:p>
          <w:p>
            <w:pPr>
              <w:pageBreakBefore w:val="0"/>
              <w:kinsoku/>
              <w:wordWrap/>
              <w:overflowPunct/>
              <w:topLinePunct w:val="0"/>
              <w:bidi w:val="0"/>
              <w:adjustRightInd w:val="0"/>
              <w:snapToGrid w:val="0"/>
              <w:spacing w:line="360" w:lineRule="auto"/>
              <w:ind w:leftChars="0" w:right="0" w:firstLine="480" w:firstLineChars="200"/>
              <w:textAlignment w:val="center"/>
              <w:rPr>
                <w:rFonts w:hint="default" w:ascii="Times New Roman" w:hAnsi="Times New Roman" w:cs="Times New Roman"/>
                <w:sz w:val="24"/>
                <w:szCs w:val="24"/>
              </w:rPr>
            </w:pPr>
            <w:r>
              <w:rPr>
                <w:rFonts w:hint="default" w:ascii="Times New Roman" w:hAnsi="Times New Roman" w:cs="Times New Roman"/>
                <w:sz w:val="24"/>
                <w:szCs w:val="24"/>
              </w:rPr>
              <w:t>⑦本工程施工活动主要集中在河岸带，在施工过程中应尽量减少对河岸带植被的破坏，施工完成后，应及时对破坏的河岸进行绿化，维护近岸的水生生态环境；</w:t>
            </w:r>
          </w:p>
          <w:p>
            <w:pPr>
              <w:pageBreakBefore w:val="0"/>
              <w:kinsoku/>
              <w:wordWrap/>
              <w:overflowPunct/>
              <w:topLinePunct w:val="0"/>
              <w:bidi w:val="0"/>
              <w:adjustRightInd w:val="0"/>
              <w:snapToGrid w:val="0"/>
              <w:spacing w:line="360" w:lineRule="auto"/>
              <w:ind w:leftChars="0" w:right="0" w:firstLine="480" w:firstLineChars="200"/>
              <w:textAlignment w:val="center"/>
              <w:rPr>
                <w:rFonts w:hint="default" w:ascii="Times New Roman" w:hAnsi="Times New Roman" w:cs="Times New Roman"/>
                <w:sz w:val="24"/>
                <w:szCs w:val="24"/>
              </w:rPr>
            </w:pPr>
            <w:r>
              <w:rPr>
                <w:rFonts w:hint="default" w:ascii="Times New Roman" w:hAnsi="Times New Roman" w:cs="Times New Roman"/>
                <w:sz w:val="24"/>
                <w:szCs w:val="24"/>
              </w:rPr>
              <w:t>⑧项目建设范围内虽无珍稀濒危水生生物，但在施工期也应制定水生生物保护规定，使施工人员在施工过程中能自觉保护水生动物；严禁施工人员在施工水域附近进行捕鱼、猎捕水禽或从事其它有碍水生生态环境的活动，一旦发现珍稀水生动物，应及时进行保护和上报；</w:t>
            </w:r>
          </w:p>
          <w:p>
            <w:pPr>
              <w:pageBreakBefore w:val="0"/>
              <w:kinsoku/>
              <w:wordWrap/>
              <w:overflowPunct/>
              <w:topLinePunct w:val="0"/>
              <w:bidi w:val="0"/>
              <w:adjustRightInd w:val="0"/>
              <w:snapToGrid w:val="0"/>
              <w:spacing w:line="360" w:lineRule="auto"/>
              <w:ind w:leftChars="0" w:right="0" w:firstLine="480" w:firstLineChars="200"/>
              <w:textAlignment w:val="center"/>
              <w:rPr>
                <w:rFonts w:hint="default" w:ascii="Times New Roman" w:hAnsi="Times New Roman" w:cs="Times New Roman"/>
                <w:sz w:val="24"/>
                <w:szCs w:val="24"/>
              </w:rPr>
            </w:pPr>
            <w:r>
              <w:rPr>
                <w:rFonts w:hint="default" w:ascii="Times New Roman" w:hAnsi="Times New Roman" w:cs="Times New Roman"/>
                <w:sz w:val="24"/>
                <w:szCs w:val="24"/>
              </w:rPr>
              <w:t>⑨在实施与河道水体直接接触的工程时，采取</w:t>
            </w:r>
            <w:r>
              <w:rPr>
                <w:rFonts w:hint="eastAsia" w:ascii="Times New Roman" w:hAnsi="Times New Roman" w:cs="Times New Roman"/>
                <w:sz w:val="24"/>
                <w:szCs w:val="24"/>
                <w:lang w:val="en-US" w:eastAsia="zh-CN"/>
              </w:rPr>
              <w:t>围堰施工</w:t>
            </w:r>
            <w:r>
              <w:rPr>
                <w:rFonts w:hint="default" w:ascii="Times New Roman" w:hAnsi="Times New Roman" w:cs="Times New Roman"/>
                <w:sz w:val="24"/>
                <w:szCs w:val="24"/>
                <w:lang w:eastAsia="zh-CN"/>
              </w:rPr>
              <w:t>的</w:t>
            </w:r>
            <w:r>
              <w:rPr>
                <w:rFonts w:hint="default" w:ascii="Times New Roman" w:hAnsi="Times New Roman" w:cs="Times New Roman"/>
                <w:sz w:val="24"/>
                <w:szCs w:val="24"/>
              </w:rPr>
              <w:t>施工方式，</w:t>
            </w:r>
            <w:r>
              <w:rPr>
                <w:rFonts w:hint="default" w:ascii="Times New Roman" w:hAnsi="Times New Roman" w:cs="Times New Roman"/>
                <w:sz w:val="24"/>
                <w:szCs w:val="24"/>
                <w:lang w:eastAsia="zh-CN"/>
              </w:rPr>
              <w:t>将会增加</w:t>
            </w:r>
            <w:r>
              <w:rPr>
                <w:rFonts w:hint="default" w:ascii="Times New Roman" w:hAnsi="Times New Roman" w:cs="Times New Roman"/>
                <w:sz w:val="24"/>
                <w:szCs w:val="24"/>
              </w:rPr>
              <w:t>悬浮物的产生量</w:t>
            </w:r>
            <w:r>
              <w:rPr>
                <w:rFonts w:hint="default" w:ascii="Times New Roman" w:hAnsi="Times New Roman" w:cs="Times New Roman"/>
                <w:sz w:val="24"/>
                <w:szCs w:val="24"/>
                <w:lang w:eastAsia="zh-CN"/>
              </w:rPr>
              <w:t>，施工中应</w:t>
            </w:r>
            <w:r>
              <w:rPr>
                <w:rFonts w:hint="default" w:ascii="Times New Roman" w:hAnsi="Times New Roman" w:cs="Times New Roman"/>
                <w:sz w:val="24"/>
                <w:szCs w:val="24"/>
              </w:rPr>
              <w:t>合理安排施工季节和施工强度，在水体流动缓慢季节时，可适当加大施工强度；对产生河道悬浮物的污染影响应进行监测，避免水体浑浊对水生生态产生影响；</w:t>
            </w:r>
          </w:p>
          <w:p>
            <w:pPr>
              <w:pageBreakBefore w:val="0"/>
              <w:kinsoku/>
              <w:wordWrap/>
              <w:overflowPunct/>
              <w:topLinePunct w:val="0"/>
              <w:bidi w:val="0"/>
              <w:adjustRightInd w:val="0"/>
              <w:snapToGrid w:val="0"/>
              <w:spacing w:line="360" w:lineRule="auto"/>
              <w:ind w:leftChars="0" w:right="0" w:firstLine="480" w:firstLineChars="200"/>
              <w:textAlignment w:val="center"/>
              <w:rPr>
                <w:rFonts w:hint="default" w:ascii="Times New Roman" w:hAnsi="Times New Roman" w:eastAsia="宋体" w:cs="Times New Roman"/>
                <w:sz w:val="24"/>
                <w:szCs w:val="24"/>
              </w:rPr>
            </w:pPr>
            <w:r>
              <w:rPr>
                <w:rFonts w:hint="default" w:ascii="Times New Roman" w:hAnsi="Times New Roman" w:cs="Times New Roman"/>
                <w:sz w:val="24"/>
                <w:szCs w:val="24"/>
              </w:rPr>
              <w:t>采取上述措施后，项目施工</w:t>
            </w:r>
            <w:r>
              <w:rPr>
                <w:rFonts w:hint="default" w:ascii="Times New Roman" w:hAnsi="Times New Roman" w:cs="Times New Roman"/>
                <w:sz w:val="24"/>
                <w:szCs w:val="24"/>
                <w:lang w:val="en-US" w:eastAsia="zh-CN"/>
              </w:rPr>
              <w:t>对周围环境影响较小</w:t>
            </w:r>
            <w:r>
              <w:rPr>
                <w:rFonts w:hint="default" w:ascii="Times New Roman" w:hAnsi="Times New Roman" w:cs="Times New Roman"/>
                <w:sz w:val="24"/>
                <w:szCs w:val="24"/>
              </w:rPr>
              <w:t>，同时，随着河岸带内天然植被生长状况的改善，能够加固堤岸，降低径流速度，减少洪水破坏力，滤掉一些沉淀物和营养物质，对河流水质也有一定促进作</w:t>
            </w:r>
            <w:r>
              <w:rPr>
                <w:rFonts w:hint="default" w:ascii="Times New Roman" w:hAnsi="Times New Roman" w:eastAsia="宋体" w:cs="Times New Roman"/>
                <w:sz w:val="24"/>
                <w:szCs w:val="24"/>
              </w:rPr>
              <w:t>用。</w:t>
            </w:r>
          </w:p>
          <w:p>
            <w:pPr>
              <w:pageBreakBefore w:val="0"/>
              <w:kinsoku/>
              <w:wordWrap/>
              <w:overflowPunct/>
              <w:topLinePunct w:val="0"/>
              <w:bidi w:val="0"/>
              <w:adjustRightInd w:val="0"/>
              <w:snapToGrid w:val="0"/>
              <w:spacing w:line="360" w:lineRule="auto"/>
              <w:ind w:leftChars="0" w:right="0" w:firstLine="480" w:firstLineChars="200"/>
              <w:textAlignment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对陆生动物影响的保护措施</w:t>
            </w:r>
          </w:p>
          <w:p>
            <w:pPr>
              <w:pageBreakBefore w:val="0"/>
              <w:kinsoku/>
              <w:wordWrap/>
              <w:overflowPunct/>
              <w:topLinePunct w:val="0"/>
              <w:bidi w:val="0"/>
              <w:adjustRightInd w:val="0"/>
              <w:snapToGrid w:val="0"/>
              <w:spacing w:line="360" w:lineRule="auto"/>
              <w:ind w:leftChars="0" w:right="0" w:firstLine="480" w:firstLineChars="200"/>
              <w:textAlignment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本区受人为活动影响剧烈，早已无野生大型动物分布，区内的动物主要</w:t>
            </w:r>
            <w:r>
              <w:rPr>
                <w:rFonts w:hint="default" w:ascii="Times New Roman" w:hAnsi="Times New Roman" w:eastAsia="宋体" w:cs="Times New Roman"/>
                <w:sz w:val="24"/>
                <w:szCs w:val="24"/>
                <w:lang w:eastAsia="zh-CN"/>
              </w:rPr>
              <w:t>以家养的狗为主和少量野生的鸟类、蛙、蛇类以及各种鼠类等小型野生动植物。评价区域未发现有国家级重点保护动物。</w:t>
            </w:r>
          </w:p>
          <w:p>
            <w:pPr>
              <w:pageBreakBefore w:val="0"/>
              <w:kinsoku/>
              <w:wordWrap/>
              <w:overflowPunct/>
              <w:topLinePunct w:val="0"/>
              <w:bidi w:val="0"/>
              <w:adjustRightInd w:val="0"/>
              <w:snapToGrid w:val="0"/>
              <w:spacing w:line="360" w:lineRule="auto"/>
              <w:ind w:leftChars="0" w:right="0" w:firstLine="480" w:firstLineChars="200"/>
              <w:textAlignment w:val="center"/>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施工期间，工程由于表土剥离、土方和建材的堆放等施工活动</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lang w:eastAsia="zh-CN"/>
              </w:rPr>
              <w:t>以及施工</w:t>
            </w:r>
            <w:r>
              <w:rPr>
                <w:rFonts w:hint="eastAsia" w:ascii="Times New Roman" w:hAnsi="Times New Roman" w:eastAsia="宋体" w:cs="Times New Roman"/>
                <w:sz w:val="24"/>
                <w:szCs w:val="24"/>
                <w:lang w:eastAsia="zh-CN"/>
              </w:rPr>
              <w:t>噪声，会对周边的动物产生影响，使其往其他地方迁移。但对动物的影响是暂时的，项目施工完成，部分动物将会回迁。</w:t>
            </w:r>
          </w:p>
          <w:p>
            <w:pPr>
              <w:pageBreakBefore w:val="0"/>
              <w:kinsoku/>
              <w:wordWrap/>
              <w:overflowPunct/>
              <w:topLinePunct w:val="0"/>
              <w:bidi w:val="0"/>
              <w:adjustRightInd w:val="0"/>
              <w:snapToGrid w:val="0"/>
              <w:spacing w:line="360" w:lineRule="auto"/>
              <w:ind w:leftChars="0" w:right="0" w:firstLine="480" w:firstLineChars="200"/>
              <w:textAlignment w:val="center"/>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因此，本项目建设对植物、动物生境影响较小。</w:t>
            </w:r>
          </w:p>
          <w:p>
            <w:pPr>
              <w:pageBreakBefore w:val="0"/>
              <w:kinsoku/>
              <w:wordWrap/>
              <w:overflowPunct/>
              <w:topLinePunct w:val="0"/>
              <w:bidi w:val="0"/>
              <w:adjustRightInd w:val="0"/>
              <w:snapToGrid w:val="0"/>
              <w:spacing w:line="360" w:lineRule="auto"/>
              <w:ind w:leftChars="0" w:right="0" w:firstLine="480" w:firstLineChars="200"/>
              <w:textAlignment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3</w:t>
            </w:r>
            <w:r>
              <w:rPr>
                <w:rFonts w:hint="eastAsia" w:ascii="Times New Roman" w:hAnsi="Times New Roman" w:eastAsia="宋体" w:cs="Times New Roman"/>
                <w:sz w:val="24"/>
                <w:szCs w:val="24"/>
                <w:lang w:eastAsia="zh-CN"/>
              </w:rPr>
              <w:t>）对水生生态影响的保护措施</w:t>
            </w:r>
          </w:p>
          <w:p>
            <w:pPr>
              <w:pageBreakBefore w:val="0"/>
              <w:kinsoku/>
              <w:wordWrap/>
              <w:overflowPunct/>
              <w:topLinePunct w:val="0"/>
              <w:bidi w:val="0"/>
              <w:adjustRightInd w:val="0"/>
              <w:snapToGrid w:val="0"/>
              <w:spacing w:line="360" w:lineRule="auto"/>
              <w:ind w:leftChars="0" w:right="0" w:firstLine="480" w:firstLineChars="200"/>
              <w:textAlignment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本工程主要是河道施工对水域进行扰动，带来的影响主要表现为水中悬浮物浓度升高，从水生生态学角度来看，水中悬浮物浓度增大，导致水体透明度降低，影响藻类的光合作用，从而使浮游植物生物量下降，影响生态系统食物链的传递，进而影响整个生态系统。项目应尽量避开水生生物繁殖季节，加强环保宣传，设置水生生物保护警示牌等措施。</w:t>
            </w:r>
          </w:p>
          <w:p>
            <w:pPr>
              <w:pageBreakBefore w:val="0"/>
              <w:kinsoku/>
              <w:wordWrap/>
              <w:overflowPunct/>
              <w:topLinePunct w:val="0"/>
              <w:bidi w:val="0"/>
              <w:adjustRightInd w:val="0"/>
              <w:snapToGrid w:val="0"/>
              <w:spacing w:line="360" w:lineRule="auto"/>
              <w:ind w:leftChars="0" w:right="0" w:firstLine="480" w:firstLineChars="200"/>
              <w:textAlignment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 xml:space="preserve">工程所在河段主要经济鱼类的繁殖季节为 </w:t>
            </w:r>
            <w:r>
              <w:rPr>
                <w:rFonts w:hint="default" w:ascii="Times New Roman" w:hAnsi="Times New Roman" w:eastAsia="宋体" w:cs="Times New Roman"/>
                <w:sz w:val="24"/>
                <w:szCs w:val="24"/>
                <w:lang w:val="en-US" w:eastAsia="zh-CN"/>
              </w:rPr>
              <w:t>4</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 xml:space="preserve">6 </w:t>
            </w:r>
            <w:r>
              <w:rPr>
                <w:rFonts w:hint="eastAsia" w:ascii="Times New Roman" w:hAnsi="Times New Roman" w:eastAsia="宋体" w:cs="Times New Roman"/>
                <w:sz w:val="24"/>
                <w:szCs w:val="24"/>
                <w:lang w:val="en-US" w:eastAsia="zh-CN"/>
              </w:rPr>
              <w:t>月，为减少剩余工程施工对鱼类的不利影响，应合理安排工序、施工围堰的拆除应安排在枯水期，避开繁殖期，在繁殖季节</w:t>
            </w:r>
            <w:r>
              <w:rPr>
                <w:rFonts w:hint="default" w:ascii="Times New Roman" w:hAnsi="Times New Roman" w:eastAsia="宋体" w:cs="Times New Roman"/>
                <w:sz w:val="24"/>
                <w:szCs w:val="24"/>
                <w:lang w:val="en-US" w:eastAsia="zh-CN"/>
              </w:rPr>
              <w:t>4</w:t>
            </w:r>
            <w:r>
              <w:rPr>
                <w:rFonts w:hint="eastAsia" w:ascii="Times New Roman" w:hAnsi="Times New Roman" w:eastAsia="宋体" w:cs="Times New Roman"/>
                <w:sz w:val="24"/>
                <w:szCs w:val="24"/>
                <w:lang w:val="en-US" w:eastAsia="zh-CN"/>
              </w:rPr>
              <w:t>月前完成围堰拆除，在繁殖季节</w:t>
            </w:r>
            <w:r>
              <w:rPr>
                <w:rFonts w:hint="default" w:ascii="Times New Roman" w:hAnsi="Times New Roman" w:eastAsia="宋体" w:cs="Times New Roman"/>
                <w:sz w:val="24"/>
                <w:szCs w:val="24"/>
                <w:lang w:val="en-US" w:eastAsia="zh-CN"/>
              </w:rPr>
              <w:t>4</w:t>
            </w:r>
            <w:r>
              <w:rPr>
                <w:rFonts w:hint="eastAsia" w:ascii="Times New Roman" w:hAnsi="Times New Roman" w:eastAsia="宋体" w:cs="Times New Roman"/>
                <w:sz w:val="24"/>
                <w:szCs w:val="24"/>
                <w:lang w:val="en-US" w:eastAsia="zh-CN"/>
              </w:rPr>
              <w:t>月前完成气盾坝的安装和调试，避开工程河段大多数鱼类的繁殖期，减少对鱼类生长繁殖带来的不利影响。</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综上分析，本项目施工期主要污染是暂时性的，随施工期结束而消失。通过采取相应的生态保护和恢复措施后，尤其是通过施工管理和强化施工期的保护和恢复，本项目建设对生态环境影响不大。</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）水土流失保护措施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结合项目组成及施工布局，将本项目水土流失防治责任范围划分为主体工程区、施工场地区、弃土场等</w:t>
            </w:r>
            <w:r>
              <w:rPr>
                <w:rFonts w:hint="eastAsia" w:ascii="Times New Roman" w:hAnsi="Times New Roman" w:eastAsia="宋体" w:cs="Times New Roman"/>
                <w:sz w:val="24"/>
                <w:szCs w:val="24"/>
                <w:lang w:val="en-US" w:eastAsia="zh-CN"/>
              </w:rPr>
              <w:t>三</w:t>
            </w:r>
            <w:r>
              <w:rPr>
                <w:rFonts w:hint="eastAsia" w:ascii="Times New Roman" w:hAnsi="Times New Roman" w:eastAsia="宋体" w:cs="Times New Roman"/>
                <w:sz w:val="24"/>
                <w:szCs w:val="24"/>
                <w:lang w:eastAsia="zh-CN"/>
              </w:rPr>
              <w:t>个防治分区。</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2" w:firstLineChars="200"/>
              <w:textAlignment w:val="center"/>
              <w:rPr>
                <w:rFonts w:hint="eastAsia" w:ascii="Times New Roman" w:hAnsi="Times New Roman" w:eastAsia="宋体" w:cs="Times New Roman"/>
                <w:b/>
                <w:bCs/>
                <w:sz w:val="24"/>
                <w:szCs w:val="24"/>
              </w:rPr>
            </w:pPr>
            <w:r>
              <w:rPr>
                <w:rFonts w:hint="default" w:ascii="Times New Roman" w:hAnsi="Times New Roman" w:eastAsia="宋体" w:cs="Times New Roman"/>
                <w:b/>
                <w:bCs/>
                <w:sz w:val="24"/>
                <w:szCs w:val="24"/>
              </w:rPr>
              <w:t>1</w:t>
            </w:r>
            <w:r>
              <w:rPr>
                <w:rFonts w:hint="eastAsia" w:ascii="Times New Roman" w:hAnsi="Times New Roman" w:eastAsia="宋体" w:cs="Times New Roman"/>
                <w:b/>
                <w:bCs/>
                <w:sz w:val="24"/>
                <w:szCs w:val="24"/>
              </w:rPr>
              <w:t>) 主体工程区</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工程措施：</w:t>
            </w:r>
            <w:r>
              <w:rPr>
                <w:rFonts w:hint="eastAsia" w:ascii="Times New Roman" w:hAnsi="Times New Roman" w:eastAsia="宋体" w:cs="Times New Roman"/>
                <w:sz w:val="24"/>
                <w:szCs w:val="24"/>
                <w:lang w:val="en-US"/>
              </w:rPr>
              <w:t>主体设计在堤防建设前，对占用的旱地与林草地内种植土进行开挖剥离措施，用于后期框格梁草护坡用土及绿化。</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4"/>
              </w:rPr>
              <w:t>植物措施：</w:t>
            </w:r>
            <w:r>
              <w:rPr>
                <w:rFonts w:hint="default" w:ascii="Times New Roman" w:hAnsi="Times New Roman" w:eastAsia="宋体" w:cs="Times New Roman"/>
                <w:sz w:val="24"/>
                <w:szCs w:val="24"/>
              </w:rPr>
              <w:t>主体设计</w:t>
            </w:r>
            <w:r>
              <w:rPr>
                <w:rFonts w:hint="eastAsia" w:ascii="Times New Roman" w:hAnsi="Times New Roman" w:eastAsia="宋体" w:cs="Times New Roman"/>
                <w:sz w:val="24"/>
                <w:szCs w:val="24"/>
              </w:rPr>
              <w:t>渠道</w:t>
            </w:r>
            <w:r>
              <w:rPr>
                <w:rFonts w:hint="default" w:ascii="Times New Roman" w:hAnsi="Times New Roman" w:eastAsia="宋体" w:cs="Times New Roman"/>
                <w:sz w:val="24"/>
                <w:szCs w:val="24"/>
              </w:rPr>
              <w:t>整治段</w:t>
            </w:r>
            <w:r>
              <w:rPr>
                <w:rFonts w:hint="eastAsia" w:ascii="Times New Roman" w:hAnsi="Times New Roman" w:eastAsia="宋体" w:cs="Times New Roman"/>
                <w:sz w:val="24"/>
                <w:szCs w:val="24"/>
              </w:rPr>
              <w:t>上部采用砼框格（30*30cm）植草护坡</w:t>
            </w:r>
            <w:r>
              <w:rPr>
                <w:rFonts w:hint="default" w:ascii="Times New Roman" w:hAnsi="Times New Roman" w:eastAsia="宋体" w:cs="Times New Roman"/>
                <w:sz w:val="24"/>
                <w:szCs w:val="24"/>
              </w:rPr>
              <w:t>，护坡内采取回填耕植土措施，耕植土来源于主体工程区的剥离表土量。</w:t>
            </w:r>
            <w:r>
              <w:rPr>
                <w:rFonts w:hint="eastAsia" w:ascii="Times New Roman" w:hAnsi="Times New Roman" w:eastAsia="宋体" w:cs="Times New Roman"/>
                <w:sz w:val="24"/>
                <w:szCs w:val="24"/>
              </w:rPr>
              <w:t>护坡面积4350m</w:t>
            </w:r>
            <w:r>
              <w:rPr>
                <w:rFonts w:hint="eastAsia"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2" w:firstLineChars="200"/>
              <w:textAlignment w:val="center"/>
              <w:rPr>
                <w:rFonts w:hint="eastAsia"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rPr>
              <w:t>2</w:t>
            </w:r>
            <w:r>
              <w:rPr>
                <w:rFonts w:hint="eastAsia" w:ascii="Times New Roman" w:hAnsi="Times New Roman" w:eastAsia="宋体" w:cs="Times New Roman"/>
                <w:b/>
                <w:bCs/>
                <w:sz w:val="24"/>
                <w:szCs w:val="24"/>
              </w:rPr>
              <w:t>) 施工</w:t>
            </w:r>
            <w:r>
              <w:rPr>
                <w:rFonts w:hint="eastAsia" w:ascii="Times New Roman" w:hAnsi="Times New Roman" w:eastAsia="宋体" w:cs="Times New Roman"/>
                <w:b/>
                <w:bCs/>
                <w:sz w:val="24"/>
                <w:szCs w:val="24"/>
                <w:lang w:val="en-US" w:eastAsia="zh-CN"/>
              </w:rPr>
              <w:t>工区</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center"/>
              <w:rPr>
                <w:rFonts w:eastAsia="仿宋_GB2312"/>
              </w:rPr>
            </w:pPr>
            <w:r>
              <w:rPr>
                <w:rFonts w:hint="eastAsia" w:ascii="Times New Roman" w:hAnsi="Times New Roman" w:eastAsia="宋体" w:cs="Times New Roman"/>
                <w:sz w:val="24"/>
                <w:szCs w:val="24"/>
              </w:rPr>
              <w:t>工程措施：本工程共设置施工工区2处，总占地0.15hm</w:t>
            </w:r>
            <w:r>
              <w:rPr>
                <w:rFonts w:hint="eastAsia" w:ascii="Times New Roman" w:hAnsi="Times New Roman" w:eastAsia="宋体" w:cs="Times New Roman"/>
                <w:sz w:val="24"/>
                <w:szCs w:val="24"/>
                <w:vertAlign w:val="superscript"/>
              </w:rPr>
              <w:t>2</w:t>
            </w:r>
            <w:r>
              <w:rPr>
                <w:rFonts w:hint="eastAsia" w:ascii="Times New Roman" w:hAnsi="Times New Roman" w:eastAsia="宋体" w:cs="Times New Roman"/>
                <w:sz w:val="24"/>
                <w:szCs w:val="24"/>
              </w:rPr>
              <w:t>。表土剥离与覆土主体设计在施工工区建设前，对占用的旱地与草地内种植土进行开挖剥离措施，用于工区复耕与绿化覆土。</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center"/>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mc:AlternateContent>
                <mc:Choice Requires="wps">
                  <w:drawing>
                    <wp:anchor distT="0" distB="0" distL="114300" distR="114300" simplePos="0" relativeHeight="251665408" behindDoc="0" locked="0" layoutInCell="1" allowOverlap="1">
                      <wp:simplePos x="0" y="0"/>
                      <wp:positionH relativeFrom="page">
                        <wp:posOffset>-632460</wp:posOffset>
                      </wp:positionH>
                      <wp:positionV relativeFrom="page">
                        <wp:posOffset>2106295</wp:posOffset>
                      </wp:positionV>
                      <wp:extent cx="172085" cy="213360"/>
                      <wp:effectExtent l="0" t="0" r="0" b="0"/>
                      <wp:wrapNone/>
                      <wp:docPr id="193" name="文本框 193"/>
                      <wp:cNvGraphicFramePr/>
                      <a:graphic xmlns:a="http://schemas.openxmlformats.org/drawingml/2006/main">
                        <a:graphicData uri="http://schemas.microsoft.com/office/word/2010/wordprocessingShape">
                          <wps:wsp>
                            <wps:cNvSpPr txBox="1"/>
                            <wps:spPr>
                              <a:xfrm>
                                <a:off x="0" y="0"/>
                                <a:ext cx="172085" cy="213360"/>
                              </a:xfrm>
                              <a:prstGeom prst="rect">
                                <a:avLst/>
                              </a:prstGeom>
                              <a:noFill/>
                              <a:ln>
                                <a:noFill/>
                              </a:ln>
                            </wps:spPr>
                            <wps:txbx>
                              <w:txbxContent>
                                <w:p>
                                  <w:pPr>
                                    <w:spacing w:before="20" w:line="237" w:lineRule="auto"/>
                                    <w:ind w:left="20"/>
                                    <w:rPr>
                                      <w:rFonts w:ascii="宋体" w:hAnsi="宋体" w:eastAsia="宋体" w:cs="宋体"/>
                                      <w:sz w:val="23"/>
                                      <w:szCs w:val="23"/>
                                    </w:rPr>
                                  </w:pPr>
                                </w:p>
                              </w:txbxContent>
                            </wps:txbx>
                            <wps:bodyPr lIns="0" tIns="0" rIns="0" bIns="0" upright="1"/>
                          </wps:wsp>
                        </a:graphicData>
                      </a:graphic>
                    </wp:anchor>
                  </w:drawing>
                </mc:Choice>
                <mc:Fallback>
                  <w:pict>
                    <v:shape id="_x0000_s1026" o:spid="_x0000_s1026" o:spt="202" type="#_x0000_t202" style="position:absolute;left:0pt;margin-left:-49.8pt;margin-top:165.85pt;height:16.8pt;width:13.55pt;mso-position-horizontal-relative:page;mso-position-vertical-relative:page;z-index:251665408;mso-width-relative:page;mso-height-relative:page;" filled="f" stroked="f" coordsize="21600,21600" o:gfxdata="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TAb2jbAAAACwEAAA8AAAAAAAAAAQAgAAAAIgAAAGRycy9kb3ducmV2Lnht&#10;bFBLAQIUABQAAAAIAIdO4kB1M6LqvQEAAHUDAAAOAAAAAAAAAAEAIAAAACoBAABkcnMvZTJvRG9j&#10;LnhtbFBLBQYAAAAABgAGAFkBAABZBQAAAAA=&#10;">
                      <v:path/>
                      <v:fill on="f" focussize="0,0"/>
                      <v:stroke on="f"/>
                      <v:imagedata o:title=""/>
                      <o:lock v:ext="edit" aspectratio="f"/>
                      <v:textbox inset="0mm,0mm,0mm,0mm">
                        <w:txbxContent>
                          <w:p>
                            <w:pPr>
                              <w:spacing w:before="20" w:line="237" w:lineRule="auto"/>
                              <w:ind w:left="20"/>
                              <w:rPr>
                                <w:rFonts w:ascii="宋体" w:hAnsi="宋体" w:eastAsia="宋体" w:cs="宋体"/>
                                <w:sz w:val="23"/>
                                <w:szCs w:val="23"/>
                              </w:rPr>
                            </w:pPr>
                          </w:p>
                        </w:txbxContent>
                      </v:textbox>
                    </v:shape>
                  </w:pict>
                </mc:Fallback>
              </mc:AlternateContent>
            </w:r>
            <w:r>
              <w:rPr>
                <w:rFonts w:hint="default" w:ascii="Times New Roman" w:hAnsi="Times New Roman" w:eastAsia="宋体" w:cs="Times New Roman"/>
                <w:sz w:val="24"/>
                <w:szCs w:val="24"/>
                <w:lang w:val="en-US" w:eastAsia="zh-CN"/>
              </w:rPr>
              <w:t>植物措施：</w:t>
            </w:r>
            <w:r>
              <w:rPr>
                <w:rFonts w:hint="eastAsia" w:ascii="Times New Roman" w:hAnsi="Times New Roman" w:eastAsia="宋体" w:cs="Times New Roman"/>
                <w:sz w:val="24"/>
                <w:szCs w:val="24"/>
                <w:lang w:val="en-US" w:eastAsia="zh-CN"/>
              </w:rPr>
              <w:t>对右岸占用耕地后期复耕1000m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，对左岸工区占用草地采取绿化措施，采用撒播草籽方式，共计绿化500m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center"/>
              <w:rPr>
                <w:rFonts w:hint="eastAsia"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临时</w:t>
            </w:r>
            <w:r>
              <w:rPr>
                <w:rFonts w:hint="eastAsia" w:ascii="Times New Roman" w:hAnsi="Times New Roman" w:eastAsia="宋体" w:cs="Times New Roman"/>
                <w:sz w:val="24"/>
                <w:szCs w:val="24"/>
                <w:lang w:val="en-US" w:eastAsia="zh-CN"/>
              </w:rPr>
              <w:t>措施：</w:t>
            </w:r>
            <w:r>
              <w:rPr>
                <w:rFonts w:hint="eastAsia" w:ascii="Times New Roman" w:hAnsi="Times New Roman" w:eastAsia="宋体" w:cs="Times New Roman"/>
                <w:sz w:val="24"/>
                <w:szCs w:val="24"/>
              </w:rPr>
              <w:t>对施工场地布设临时排水沟，排水沟采用夯实梯形土质排水沟，开挖断面为梯形，底宽0.5m、深0.5m、边坡比1：0.5、比降0.015。排水沟与导流明渠连接，连接处设置沉沙凼，沉沙凼采用梯形断面，容积为3m</w:t>
            </w:r>
            <w:r>
              <w:rPr>
                <w:rFonts w:hint="eastAsia" w:ascii="Times New Roman" w:hAnsi="Times New Roman" w:eastAsia="宋体" w:cs="Times New Roman"/>
                <w:sz w:val="24"/>
                <w:szCs w:val="24"/>
                <w:vertAlign w:val="superscript"/>
              </w:rPr>
              <w:t>3</w:t>
            </w:r>
            <w:r>
              <w:rPr>
                <w:rFonts w:hint="eastAsia" w:ascii="Times New Roman" w:hAnsi="Times New Roman" w:eastAsia="宋体" w:cs="Times New Roman"/>
                <w:sz w:val="24"/>
                <w:szCs w:val="24"/>
              </w:rPr>
              <w:t>，底部尺寸1×1m，顶部尺寸2m×1.5m。共计布设排水沟180m，沉沙凼一座</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对临时堆放于本区域的表土四周布设编织袋</w:t>
            </w:r>
            <w:r>
              <w:rPr>
                <w:rFonts w:hint="eastAsia" w:ascii="Times New Roman" w:hAnsi="Times New Roman" w:eastAsia="宋体" w:cs="Times New Roman"/>
                <w:sz w:val="24"/>
                <w:szCs w:val="24"/>
                <w:lang w:val="en-US" w:eastAsia="zh-CN"/>
              </w:rPr>
              <w:t>装土挡墙，挡土墙宽1m，高1m，利用剥离的表土部分装袋；施工场地内出入口处设置临时洗车池、临时排水沟和临时沉砂；剥离的表土临时堆于施工工区围内，并采取密目网遮盖。</w:t>
            </w:r>
          </w:p>
          <w:p>
            <w:pPr>
              <w:pageBreakBefore w:val="0"/>
              <w:kinsoku/>
              <w:wordWrap/>
              <w:overflowPunct/>
              <w:topLinePunct w:val="0"/>
              <w:bidi w:val="0"/>
              <w:adjustRightInd w:val="0"/>
              <w:snapToGrid w:val="0"/>
              <w:spacing w:line="360" w:lineRule="auto"/>
              <w:ind w:leftChars="0" w:right="0" w:firstLine="482" w:firstLineChars="200"/>
              <w:textAlignment w:val="center"/>
              <w:rPr>
                <w:rFonts w:hint="default" w:ascii="Times New Roman" w:hAnsi="Times New Roman" w:eastAsia="宋体" w:cs="Times New Roman"/>
                <w:b/>
                <w:bCs/>
                <w:sz w:val="24"/>
                <w:szCs w:val="24"/>
                <w:lang w:val="en-US" w:eastAsia="zh-CN"/>
              </w:rPr>
            </w:pPr>
            <w:r>
              <w:rPr>
                <w:rFonts w:hint="eastAsia" w:ascii="Times New Roman" w:hAnsi="Times New Roman" w:cs="Times New Roman"/>
                <w:b/>
                <w:bCs/>
                <w:sz w:val="24"/>
                <w:szCs w:val="24"/>
                <w:lang w:val="en-US" w:eastAsia="zh-CN"/>
              </w:rPr>
              <w:t>3）弃土场</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本项目多余土石方全部运往砂石堆放场堆放，堆放场位于苏稽镇石鼓寺村老鸦滩，该场地占地184.25亩，其中本项目余方堆放所需占地1.00hm</w:t>
            </w:r>
            <w:r>
              <w:rPr>
                <w:rFonts w:hint="eastAsia" w:ascii="Times New Roman" w:hAnsi="Times New Roman" w:eastAsia="宋体" w:cs="Times New Roman"/>
                <w:sz w:val="24"/>
                <w:szCs w:val="24"/>
                <w:vertAlign w:val="superscript"/>
                <w:lang w:val="en-US" w:eastAsia="zh-CN"/>
              </w:rPr>
              <w:t>2</w:t>
            </w:r>
            <w:r>
              <w:rPr>
                <w:rFonts w:hint="eastAsia" w:ascii="Times New Roman" w:hAnsi="Times New Roman" w:eastAsia="宋体" w:cs="Times New Roman"/>
                <w:sz w:val="24"/>
                <w:szCs w:val="24"/>
                <w:lang w:val="en-US" w:eastAsia="zh-CN"/>
              </w:rPr>
              <w:t>。该场地占地类型为空闲地，地势平坦，为平地型堆场，场地本身及四周目前为其他项目堆放的砂卵石，整个场地四周有彩钢板围栏，四周无房屋及水利设施，场地无水流，从现状分析，其占地目前已堆放有砂卵石，本项目的弃方均匀堆放在其上，平均堆高不超过3m，边坡比在大于1:1.5的情况下是稳定可靠的。目前占地范围周围堆放的砂卵石是稳定的，部分砂卵石上面已长有杂草，无表土资源。从现状考虑，砂石堆放场，其透水性强，表面不会形成径流冲刷，因此不考虑其排水措施，且堆放场四周有高于本项目堆放的砂卵石堆，以及彩钢板围栏，由于砂卵石后期随时将被利用，因此也不再补充覆土绿化措施，只考虑设置临时密目网覆盖，减少扬尘或暴雨冲刷。</w:t>
            </w:r>
          </w:p>
          <w:p>
            <w:pPr>
              <w:keepNext w:val="0"/>
              <w:keepLines w:val="0"/>
              <w:pageBreakBefore w:val="0"/>
              <w:widowControl/>
              <w:kinsoku/>
              <w:wordWrap/>
              <w:overflowPunct/>
              <w:topLinePunct w:val="0"/>
              <w:autoSpaceDE/>
              <w:autoSpaceDN/>
              <w:bidi w:val="0"/>
              <w:adjustRightInd w:val="0"/>
              <w:snapToGrid w:val="0"/>
              <w:spacing w:line="360" w:lineRule="auto"/>
              <w:ind w:leftChars="0" w:right="0" w:firstLine="482" w:firstLineChars="200"/>
              <w:jc w:val="left"/>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2、水环境</w:t>
            </w:r>
            <w:r>
              <w:rPr>
                <w:rFonts w:hint="eastAsia" w:ascii="Times New Roman" w:hAnsi="Times New Roman" w:eastAsia="宋体" w:cs="Times New Roman"/>
                <w:b/>
                <w:bCs/>
                <w:sz w:val="24"/>
                <w:szCs w:val="24"/>
                <w:lang w:val="en-US" w:eastAsia="zh-CN"/>
              </w:rPr>
              <w:t>防治</w:t>
            </w:r>
            <w:r>
              <w:rPr>
                <w:rFonts w:hint="default" w:ascii="Times New Roman" w:hAnsi="Times New Roman" w:eastAsia="宋体" w:cs="Times New Roman"/>
                <w:b/>
                <w:bCs/>
                <w:sz w:val="24"/>
                <w:szCs w:val="24"/>
                <w:lang w:val="en-US" w:eastAsia="zh-CN"/>
              </w:rPr>
              <w:t>措施</w:t>
            </w:r>
          </w:p>
          <w:p>
            <w:pPr>
              <w:pageBreakBefore w:val="0"/>
              <w:widowControl/>
              <w:kinsoku/>
              <w:wordWrap/>
              <w:overflowPunct/>
              <w:topLinePunct w:val="0"/>
              <w:bidi w:val="0"/>
              <w:adjustRightInd w:val="0"/>
              <w:snapToGrid w:val="0"/>
              <w:spacing w:line="360" w:lineRule="auto"/>
              <w:ind w:leftChars="0" w:right="0" w:firstLine="482" w:firstLineChars="200"/>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eastAsia="zh-CN"/>
              </w:rPr>
              <w:t>（1）</w:t>
            </w:r>
            <w:r>
              <w:rPr>
                <w:rFonts w:hint="eastAsia" w:ascii="Times New Roman" w:hAnsi="Times New Roman" w:eastAsia="宋体" w:cs="Times New Roman"/>
                <w:b/>
                <w:bCs/>
                <w:sz w:val="24"/>
                <w:szCs w:val="24"/>
                <w:lang w:val="en-US" w:eastAsia="zh-CN"/>
              </w:rPr>
              <w:t>施工废水</w:t>
            </w:r>
          </w:p>
          <w:p>
            <w:pPr>
              <w:pageBreakBefore w:val="0"/>
              <w:widowControl/>
              <w:kinsoku/>
              <w:wordWrap/>
              <w:overflowPunct/>
              <w:topLinePunct w:val="0"/>
              <w:bidi w:val="0"/>
              <w:adjustRightInd w:val="0"/>
              <w:snapToGrid w:val="0"/>
              <w:spacing w:line="360" w:lineRule="auto"/>
              <w:ind w:leftChars="0" w:right="0" w:firstLine="480" w:firstLineChars="200"/>
              <w:jc w:val="left"/>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施工期废水包括</w:t>
            </w:r>
            <w:r>
              <w:rPr>
                <w:rFonts w:hint="default" w:ascii="Times New Roman" w:hAnsi="Times New Roman" w:eastAsia="宋体" w:cs="Times New Roman"/>
                <w:color w:val="auto"/>
                <w:spacing w:val="0"/>
                <w:sz w:val="24"/>
                <w:szCs w:val="24"/>
                <w:lang w:val="en-US" w:eastAsia="zh-CN"/>
              </w:rPr>
              <w:t>施工设备冲洗废水、基坑排水</w:t>
            </w:r>
            <w:r>
              <w:rPr>
                <w:rFonts w:hint="default" w:ascii="Times New Roman" w:hAnsi="Times New Roman" w:eastAsia="宋体" w:cs="Times New Roman"/>
                <w:sz w:val="24"/>
                <w:szCs w:val="24"/>
                <w:lang w:eastAsia="zh-CN"/>
              </w:rPr>
              <w:t>，施工场地设置</w:t>
            </w:r>
            <w:r>
              <w:rPr>
                <w:rFonts w:hint="eastAsia" w:ascii="Times New Roman" w:hAnsi="Times New Roman" w:eastAsia="宋体" w:cs="Times New Roman"/>
                <w:sz w:val="24"/>
                <w:szCs w:val="24"/>
                <w:lang w:val="en-US" w:eastAsia="zh-CN"/>
              </w:rPr>
              <w:t>1个3</w:t>
            </w:r>
            <w:r>
              <w:rPr>
                <w:rFonts w:hint="default" w:ascii="Times New Roman" w:hAnsi="Times New Roman" w:eastAsia="宋体" w:cs="Times New Roman"/>
                <w:sz w:val="24"/>
                <w:szCs w:val="24"/>
                <w:lang w:eastAsia="zh-CN"/>
              </w:rPr>
              <w:t>m</w:t>
            </w:r>
            <w:r>
              <w:rPr>
                <w:rFonts w:hint="default" w:ascii="Times New Roman" w:hAnsi="Times New Roman" w:eastAsia="宋体" w:cs="Times New Roman"/>
                <w:sz w:val="24"/>
                <w:szCs w:val="24"/>
                <w:vertAlign w:val="superscript"/>
                <w:lang w:eastAsia="zh-CN"/>
              </w:rPr>
              <w:t>3</w:t>
            </w:r>
            <w:r>
              <w:rPr>
                <w:rFonts w:hint="default" w:ascii="Times New Roman" w:hAnsi="Times New Roman" w:eastAsia="宋体" w:cs="Times New Roman"/>
                <w:sz w:val="24"/>
                <w:szCs w:val="24"/>
                <w:lang w:eastAsia="zh-CN"/>
              </w:rPr>
              <w:t>大小的沉淀池，施工废水经沉淀后回用于生产或施工期洒水降尘，不外排。</w:t>
            </w:r>
          </w:p>
          <w:p>
            <w:pPr>
              <w:keepNext w:val="0"/>
              <w:keepLines w:val="0"/>
              <w:pageBreakBefore w:val="0"/>
              <w:widowControl w:val="0"/>
              <w:kinsoku/>
              <w:wordWrap/>
              <w:overflowPunct/>
              <w:topLinePunct w:val="0"/>
              <w:autoSpaceDE w:val="0"/>
              <w:autoSpaceDN w:val="0"/>
              <w:bidi w:val="0"/>
              <w:adjustRightInd w:val="0"/>
              <w:snapToGrid w:val="0"/>
              <w:spacing w:line="360" w:lineRule="auto"/>
              <w:ind w:leftChars="0" w:right="0" w:firstLine="482" w:firstLineChars="200"/>
              <w:rPr>
                <w:rFonts w:hint="default" w:ascii="Times New Roman" w:hAnsi="Times New Roman" w:cs="Times New Roman"/>
                <w:b/>
                <w:bCs/>
                <w:color w:val="auto"/>
                <w:spacing w:val="0"/>
                <w:sz w:val="24"/>
                <w:szCs w:val="24"/>
                <w:lang w:val="en-US" w:eastAsia="zh-CN"/>
              </w:rPr>
            </w:pPr>
            <w:r>
              <w:rPr>
                <w:rFonts w:hint="default" w:ascii="Times New Roman" w:hAnsi="Times New Roman" w:cs="Times New Roman"/>
                <w:b/>
                <w:bCs/>
                <w:color w:val="auto"/>
                <w:spacing w:val="0"/>
                <w:sz w:val="24"/>
                <w:szCs w:val="24"/>
                <w:lang w:eastAsia="zh-CN"/>
              </w:rPr>
              <w:t>（</w:t>
            </w:r>
            <w:r>
              <w:rPr>
                <w:rFonts w:hint="default" w:ascii="Times New Roman" w:hAnsi="Times New Roman" w:cs="Times New Roman"/>
                <w:b/>
                <w:bCs/>
                <w:color w:val="auto"/>
                <w:spacing w:val="0"/>
                <w:sz w:val="24"/>
                <w:szCs w:val="24"/>
                <w:lang w:val="en-US" w:eastAsia="zh-CN"/>
              </w:rPr>
              <w:t>2</w:t>
            </w:r>
            <w:r>
              <w:rPr>
                <w:rFonts w:hint="default" w:ascii="Times New Roman" w:hAnsi="Times New Roman" w:cs="Times New Roman"/>
                <w:b/>
                <w:bCs/>
                <w:color w:val="auto"/>
                <w:spacing w:val="0"/>
                <w:sz w:val="24"/>
                <w:szCs w:val="24"/>
                <w:lang w:eastAsia="zh-CN"/>
              </w:rPr>
              <w:t>）</w:t>
            </w:r>
            <w:r>
              <w:rPr>
                <w:rFonts w:hint="default" w:ascii="Times New Roman" w:hAnsi="Times New Roman" w:cs="Times New Roman"/>
                <w:b/>
                <w:bCs/>
                <w:color w:val="auto"/>
                <w:spacing w:val="0"/>
                <w:sz w:val="24"/>
                <w:szCs w:val="24"/>
              </w:rPr>
              <w:t>施工人员的生活污水</w:t>
            </w:r>
          </w:p>
          <w:p>
            <w:pPr>
              <w:pageBreakBefore w:val="0"/>
              <w:widowControl/>
              <w:kinsoku/>
              <w:wordWrap/>
              <w:overflowPunct/>
              <w:topLinePunct w:val="0"/>
              <w:bidi w:val="0"/>
              <w:adjustRightInd w:val="0"/>
              <w:snapToGrid w:val="0"/>
              <w:spacing w:line="360" w:lineRule="auto"/>
              <w:ind w:leftChars="0" w:right="0" w:firstLine="480" w:firstLineChars="200"/>
              <w:jc w:val="left"/>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本项目不设专门的施工营地，施工中所需办公、住宿等设施不再新建，就近租用民房解决，产生的生活污水利用既有生活设施收集处理。</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rPr>
                <w:rFonts w:hint="default" w:ascii="Times New Roman" w:hAnsi="Times New Roman" w:cs="Times New Roman"/>
                <w:b/>
                <w:bCs/>
                <w:color w:val="auto"/>
                <w:spacing w:val="0"/>
                <w:sz w:val="24"/>
                <w:szCs w:val="24"/>
                <w:lang w:val="en-US" w:eastAsia="zh-CN"/>
              </w:rPr>
            </w:pPr>
            <w:r>
              <w:rPr>
                <w:rFonts w:hint="default" w:ascii="Times New Roman" w:hAnsi="Times New Roman" w:cs="Times New Roman"/>
                <w:b/>
                <w:bCs/>
                <w:color w:val="auto"/>
                <w:spacing w:val="0"/>
                <w:sz w:val="24"/>
                <w:szCs w:val="24"/>
                <w:lang w:eastAsia="zh-CN"/>
              </w:rPr>
              <w:t>（</w:t>
            </w:r>
            <w:r>
              <w:rPr>
                <w:rFonts w:hint="default" w:ascii="Times New Roman" w:hAnsi="Times New Roman" w:cs="Times New Roman"/>
                <w:b/>
                <w:bCs/>
                <w:color w:val="auto"/>
                <w:spacing w:val="0"/>
                <w:sz w:val="24"/>
                <w:szCs w:val="24"/>
                <w:lang w:val="en-US" w:eastAsia="zh-CN"/>
              </w:rPr>
              <w:t>3</w:t>
            </w:r>
            <w:r>
              <w:rPr>
                <w:rFonts w:hint="default" w:ascii="Times New Roman" w:hAnsi="Times New Roman" w:cs="Times New Roman"/>
                <w:b/>
                <w:bCs/>
                <w:color w:val="auto"/>
                <w:spacing w:val="0"/>
                <w:sz w:val="24"/>
                <w:szCs w:val="24"/>
                <w:lang w:eastAsia="zh-CN"/>
              </w:rPr>
              <w:t>）</w:t>
            </w:r>
            <w:r>
              <w:rPr>
                <w:rFonts w:hint="eastAsia" w:ascii="Times New Roman" w:hAnsi="Times New Roman" w:cs="Times New Roman"/>
                <w:b/>
                <w:bCs/>
                <w:color w:val="auto"/>
                <w:spacing w:val="0"/>
                <w:sz w:val="24"/>
                <w:szCs w:val="24"/>
                <w:lang w:val="en-US" w:eastAsia="zh-CN"/>
              </w:rPr>
              <w:t>基坑废水</w:t>
            </w:r>
          </w:p>
          <w:p>
            <w:pPr>
              <w:keepNext w:val="0"/>
              <w:keepLines w:val="0"/>
              <w:pageBreakBefore w:val="0"/>
              <w:widowControl/>
              <w:kinsoku/>
              <w:wordWrap/>
              <w:overflowPunct/>
              <w:topLinePunct w:val="0"/>
              <w:autoSpaceDE/>
              <w:autoSpaceDN/>
              <w:bidi w:val="0"/>
              <w:adjustRightInd w:val="0"/>
              <w:snapToGrid w:val="0"/>
              <w:spacing w:line="360" w:lineRule="auto"/>
              <w:ind w:leftChars="0" w:right="0"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本项目基坑废水，分为初期排水和经常性排水。</w:t>
            </w:r>
          </w:p>
          <w:p>
            <w:pPr>
              <w:keepNext w:val="0"/>
              <w:keepLines w:val="0"/>
              <w:pageBreakBefore w:val="0"/>
              <w:widowControl/>
              <w:kinsoku/>
              <w:wordWrap/>
              <w:overflowPunct/>
              <w:topLinePunct w:val="0"/>
              <w:autoSpaceDE/>
              <w:autoSpaceDN/>
              <w:bidi w:val="0"/>
              <w:adjustRightInd w:val="0"/>
              <w:snapToGrid w:val="0"/>
              <w:spacing w:line="360" w:lineRule="auto"/>
              <w:ind w:leftChars="0" w:right="0"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工程河段坡降较陡，围堰填筑从上游至下游，因此初期排水较小，采用水泵强制排向围堰外即可。经常性排水，根据设计排水量为 100m</w:t>
            </w:r>
            <w:r>
              <w:rPr>
                <w:rFonts w:hint="default" w:ascii="Times New Roman" w:hAnsi="Times New Roman" w:eastAsia="宋体" w:cs="Times New Roman"/>
                <w:sz w:val="24"/>
                <w:szCs w:val="24"/>
                <w:vertAlign w:val="superscript"/>
                <w:lang w:eastAsia="zh-CN"/>
              </w:rPr>
              <w:t>3</w:t>
            </w:r>
            <w:r>
              <w:rPr>
                <w:rFonts w:hint="default" w:ascii="Times New Roman" w:hAnsi="Times New Roman" w:eastAsia="宋体" w:cs="Times New Roman"/>
                <w:sz w:val="24"/>
                <w:szCs w:val="24"/>
                <w:lang w:eastAsia="zh-CN"/>
              </w:rPr>
              <w:t>/h。</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80" w:firstLineChars="200"/>
              <w:textAlignment w:val="baseline"/>
              <w:rPr>
                <w:rFonts w:hint="default" w:ascii="Times New Roman" w:hAnsi="Times New Roman" w:eastAsia="宋体" w:cs="Times New Roman"/>
                <w:color w:val="auto"/>
                <w:spacing w:val="0"/>
                <w:sz w:val="24"/>
                <w:szCs w:val="24"/>
                <w:lang w:val="en-US" w:eastAsia="zh-CN"/>
              </w:rPr>
            </w:pPr>
            <w:r>
              <w:rPr>
                <w:rFonts w:hint="default" w:ascii="Times New Roman" w:hAnsi="Times New Roman" w:eastAsia="宋体" w:cs="Times New Roman"/>
                <w:sz w:val="24"/>
                <w:szCs w:val="24"/>
                <w:lang w:eastAsia="zh-CN"/>
              </w:rPr>
              <w:t>排水布置：</w:t>
            </w:r>
            <w:r>
              <w:rPr>
                <w:rFonts w:hint="default" w:ascii="Times New Roman" w:hAnsi="Times New Roman" w:eastAsia="宋体" w:cs="Times New Roman"/>
                <w:color w:val="auto"/>
                <w:spacing w:val="0"/>
                <w:sz w:val="24"/>
                <w:szCs w:val="24"/>
                <w:lang w:val="en-US" w:eastAsia="zh-CN"/>
              </w:rPr>
              <w:t>排水沿基坑设截流槽和集水坑，一期基坑设</w:t>
            </w:r>
            <w:r>
              <w:rPr>
                <w:rFonts w:hint="eastAsia" w:ascii="Times New Roman" w:hAnsi="Times New Roman" w:eastAsia="宋体" w:cs="Times New Roman"/>
                <w:color w:val="auto"/>
                <w:spacing w:val="0"/>
                <w:sz w:val="24"/>
                <w:szCs w:val="24"/>
                <w:lang w:val="en-US" w:eastAsia="zh-CN"/>
              </w:rPr>
              <w:t>3</w:t>
            </w:r>
            <w:r>
              <w:rPr>
                <w:rFonts w:hint="default" w:ascii="Times New Roman" w:hAnsi="Times New Roman" w:eastAsia="宋体" w:cs="Times New Roman"/>
                <w:color w:val="auto"/>
                <w:spacing w:val="0"/>
                <w:sz w:val="24"/>
                <w:szCs w:val="24"/>
                <w:lang w:val="en-US" w:eastAsia="zh-CN"/>
              </w:rPr>
              <w:t>个集水坑，二期基坑设</w:t>
            </w:r>
            <w:r>
              <w:rPr>
                <w:rFonts w:hint="eastAsia" w:ascii="Times New Roman" w:hAnsi="Times New Roman" w:eastAsia="宋体" w:cs="Times New Roman"/>
                <w:color w:val="auto"/>
                <w:spacing w:val="0"/>
                <w:sz w:val="24"/>
                <w:szCs w:val="24"/>
                <w:lang w:val="en-US" w:eastAsia="zh-CN"/>
              </w:rPr>
              <w:t>5</w:t>
            </w:r>
            <w:r>
              <w:rPr>
                <w:rFonts w:hint="default" w:ascii="Times New Roman" w:hAnsi="Times New Roman" w:eastAsia="宋体" w:cs="Times New Roman"/>
                <w:color w:val="auto"/>
                <w:spacing w:val="0"/>
                <w:sz w:val="24"/>
                <w:szCs w:val="24"/>
                <w:lang w:val="en-US" w:eastAsia="zh-CN"/>
              </w:rPr>
              <w:t>个集水坑，每个集水坑设1台100BJ15A型水泵，拟配备</w:t>
            </w:r>
            <w:r>
              <w:rPr>
                <w:rFonts w:hint="eastAsia" w:ascii="Times New Roman" w:hAnsi="Times New Roman" w:eastAsia="宋体" w:cs="Times New Roman"/>
                <w:color w:val="auto"/>
                <w:spacing w:val="0"/>
                <w:sz w:val="24"/>
                <w:szCs w:val="24"/>
                <w:lang w:val="en-US" w:eastAsia="zh-CN"/>
              </w:rPr>
              <w:t>5</w:t>
            </w:r>
            <w:r>
              <w:rPr>
                <w:rFonts w:hint="default" w:ascii="Times New Roman" w:hAnsi="Times New Roman" w:eastAsia="宋体" w:cs="Times New Roman"/>
                <w:color w:val="auto"/>
                <w:spacing w:val="0"/>
                <w:sz w:val="24"/>
                <w:szCs w:val="24"/>
                <w:lang w:val="en-US" w:eastAsia="zh-CN"/>
              </w:rPr>
              <w:t>台100BJ13A型水泵（分段调节使用）。</w:t>
            </w:r>
            <w:r>
              <w:rPr>
                <w:rFonts w:hint="eastAsia" w:ascii="Times New Roman" w:hAnsi="Times New Roman" w:eastAsia="宋体" w:cs="Times New Roman"/>
                <w:color w:val="auto"/>
                <w:spacing w:val="0"/>
                <w:sz w:val="24"/>
                <w:szCs w:val="24"/>
                <w:lang w:val="en-US" w:eastAsia="zh-CN"/>
              </w:rPr>
              <w:t>其中坝体部分</w:t>
            </w:r>
            <w:r>
              <w:rPr>
                <w:rFonts w:hint="default" w:ascii="Times New Roman" w:hAnsi="Times New Roman" w:eastAsia="宋体" w:cs="Times New Roman"/>
                <w:color w:val="auto"/>
                <w:spacing w:val="0"/>
                <w:sz w:val="24"/>
                <w:szCs w:val="24"/>
                <w:lang w:val="en-US" w:eastAsia="zh-CN"/>
              </w:rPr>
              <w:t>排水时段按45天设置，二期上游护岸排水时段按</w:t>
            </w:r>
            <w:r>
              <w:rPr>
                <w:rFonts w:hint="eastAsia" w:ascii="Times New Roman" w:hAnsi="Times New Roman" w:eastAsia="宋体" w:cs="Times New Roman"/>
                <w:color w:val="auto"/>
                <w:spacing w:val="0"/>
                <w:sz w:val="24"/>
                <w:szCs w:val="24"/>
                <w:lang w:val="en-US" w:eastAsia="zh-CN"/>
              </w:rPr>
              <w:t>15天设置，</w:t>
            </w:r>
            <w:r>
              <w:rPr>
                <w:rFonts w:hint="default" w:ascii="Times New Roman" w:hAnsi="Times New Roman" w:eastAsia="宋体" w:cs="Times New Roman"/>
                <w:color w:val="auto"/>
                <w:spacing w:val="0"/>
                <w:sz w:val="24"/>
                <w:szCs w:val="24"/>
                <w:lang w:val="en-US" w:eastAsia="zh-CN"/>
              </w:rPr>
              <w:t>计排水台时</w:t>
            </w:r>
            <w:r>
              <w:rPr>
                <w:rFonts w:hint="eastAsia" w:ascii="Times New Roman" w:hAnsi="Times New Roman" w:eastAsia="宋体" w:cs="Times New Roman"/>
                <w:color w:val="auto"/>
                <w:spacing w:val="0"/>
                <w:sz w:val="24"/>
                <w:szCs w:val="24"/>
                <w:lang w:val="en-US" w:eastAsia="zh-CN"/>
              </w:rPr>
              <w:t>7200</w:t>
            </w:r>
            <w:r>
              <w:rPr>
                <w:rFonts w:hint="default" w:ascii="Times New Roman" w:hAnsi="Times New Roman" w:eastAsia="宋体" w:cs="Times New Roman"/>
                <w:color w:val="auto"/>
                <w:spacing w:val="0"/>
                <w:sz w:val="24"/>
                <w:szCs w:val="24"/>
                <w:lang w:val="en-US" w:eastAsia="zh-CN"/>
              </w:rPr>
              <w:t>台时。</w:t>
            </w:r>
          </w:p>
          <w:p>
            <w:pPr>
              <w:pageBreakBefore w:val="0"/>
              <w:widowControl/>
              <w:kinsoku/>
              <w:wordWrap/>
              <w:overflowPunct/>
              <w:topLinePunct w:val="0"/>
              <w:bidi w:val="0"/>
              <w:adjustRightInd w:val="0"/>
              <w:snapToGrid w:val="0"/>
              <w:spacing w:line="360" w:lineRule="auto"/>
              <w:ind w:leftChars="0" w:right="0" w:firstLine="480" w:firstLineChars="200"/>
              <w:jc w:val="left"/>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施工现场雨水和经常性排水中的污染物主要是悬浮物，经沉淀池自然沉降后，上清液直接排入</w:t>
            </w:r>
            <w:r>
              <w:rPr>
                <w:rFonts w:hint="eastAsia" w:ascii="Times New Roman" w:hAnsi="Times New Roman" w:eastAsia="宋体" w:cs="Times New Roman"/>
                <w:sz w:val="24"/>
                <w:szCs w:val="24"/>
                <w:lang w:val="en-US" w:eastAsia="zh-CN"/>
              </w:rPr>
              <w:t>峨眉河</w:t>
            </w:r>
            <w:r>
              <w:rPr>
                <w:rFonts w:hint="default" w:ascii="Times New Roman" w:hAnsi="Times New Roman" w:eastAsia="宋体" w:cs="Times New Roman"/>
                <w:sz w:val="24"/>
                <w:szCs w:val="24"/>
                <w:lang w:eastAsia="zh-CN"/>
              </w:rPr>
              <w:t>，对地表水环境质量影响较小。</w:t>
            </w:r>
          </w:p>
          <w:p>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2" w:firstLineChars="200"/>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采取以上措施后，项目施工期对水环境影响较小。</w:t>
            </w:r>
          </w:p>
          <w:p>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2" w:firstLineChars="200"/>
              <w:jc w:val="both"/>
              <w:textAlignment w:val="auto"/>
              <w:rPr>
                <w:rFonts w:hint="default" w:ascii="Times New Roman" w:hAnsi="Times New Roman" w:cs="Times New Roman"/>
                <w:bCs/>
                <w:color w:val="0000FF"/>
                <w:spacing w:val="10"/>
                <w:szCs w:val="21"/>
              </w:rPr>
            </w:pPr>
            <w:r>
              <w:rPr>
                <w:rFonts w:hint="default" w:ascii="Times New Roman" w:hAnsi="Times New Roman" w:eastAsia="宋体" w:cs="Times New Roman"/>
                <w:b/>
                <w:bCs/>
                <w:sz w:val="24"/>
                <w:szCs w:val="24"/>
                <w:lang w:val="en-US" w:eastAsia="zh-CN"/>
              </w:rPr>
              <w:t>3、大气环境</w:t>
            </w:r>
            <w:r>
              <w:rPr>
                <w:rFonts w:hint="eastAsia" w:ascii="Times New Roman" w:hAnsi="Times New Roman" w:eastAsia="宋体" w:cs="Times New Roman"/>
                <w:b/>
                <w:bCs/>
                <w:sz w:val="24"/>
                <w:szCs w:val="24"/>
                <w:lang w:val="en-US" w:eastAsia="zh-CN"/>
              </w:rPr>
              <w:t>防治</w:t>
            </w:r>
            <w:r>
              <w:rPr>
                <w:rFonts w:hint="default" w:ascii="Times New Roman" w:hAnsi="Times New Roman" w:eastAsia="宋体" w:cs="Times New Roman"/>
                <w:b/>
                <w:bCs/>
                <w:sz w:val="24"/>
                <w:szCs w:val="24"/>
                <w:lang w:val="en-US" w:eastAsia="zh-CN"/>
              </w:rPr>
              <w:t>措施</w:t>
            </w:r>
          </w:p>
          <w:p>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本项目施工期大气污染物主要是淤泥恶臭、施工场产生的扬尘、施工机械和运输车辆产生的燃油废气。</w:t>
            </w:r>
          </w:p>
          <w:p>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2" w:firstLineChars="200"/>
              <w:jc w:val="both"/>
              <w:textAlignment w:val="auto"/>
              <w:rPr>
                <w:rFonts w:hint="default" w:ascii="Times New Roman" w:hAnsi="Times New Roman" w:cs="Times New Roman"/>
                <w:bCs/>
                <w:color w:val="0000FF"/>
                <w:spacing w:val="10"/>
                <w:szCs w:val="21"/>
                <w:lang w:val="en-US"/>
              </w:rPr>
            </w:pPr>
            <w:r>
              <w:rPr>
                <w:rFonts w:hint="default" w:ascii="Times New Roman" w:hAnsi="Times New Roman" w:cs="Times New Roman"/>
                <w:b/>
                <w:bCs/>
                <w:color w:val="auto"/>
                <w:spacing w:val="0"/>
                <w:sz w:val="24"/>
                <w:szCs w:val="24"/>
                <w:lang w:val="en-US" w:eastAsia="zh-CN"/>
              </w:rPr>
              <w:t>（1）</w:t>
            </w:r>
            <w:r>
              <w:rPr>
                <w:rFonts w:hint="eastAsia" w:ascii="Times New Roman" w:hAnsi="Times New Roman" w:cs="Times New Roman"/>
                <w:b/>
                <w:bCs/>
                <w:color w:val="auto"/>
                <w:spacing w:val="0"/>
                <w:sz w:val="24"/>
                <w:szCs w:val="24"/>
                <w:lang w:val="en-US" w:eastAsia="zh-CN"/>
              </w:rPr>
              <w:t>施工扬尘防治措施</w:t>
            </w:r>
          </w:p>
          <w:p>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施工场地产生的扬尘主要来源于挖掘机械等施工时产生的</w:t>
            </w:r>
            <w:r>
              <w:rPr>
                <w:rFonts w:hint="default" w:ascii="Times New Roman" w:hAnsi="Times New Roman" w:eastAsia="宋体" w:cs="Times New Roman"/>
                <w:b w:val="0"/>
                <w:bCs w:val="0"/>
                <w:color w:val="auto"/>
                <w:sz w:val="24"/>
                <w:szCs w:val="24"/>
                <w:lang w:eastAsia="zh-CN"/>
              </w:rPr>
              <w:t>装卸</w:t>
            </w:r>
            <w:r>
              <w:rPr>
                <w:rFonts w:hint="default" w:ascii="Times New Roman" w:hAnsi="Times New Roman" w:eastAsia="宋体" w:cs="Times New Roman"/>
                <w:b w:val="0"/>
                <w:bCs w:val="0"/>
                <w:color w:val="auto"/>
                <w:sz w:val="24"/>
                <w:szCs w:val="24"/>
              </w:rPr>
              <w:t>扬尘</w:t>
            </w:r>
            <w:r>
              <w:rPr>
                <w:rFonts w:hint="default" w:ascii="Times New Roman" w:hAnsi="Times New Roman" w:eastAsia="宋体" w:cs="Times New Roman"/>
                <w:b w:val="0"/>
                <w:bCs w:val="0"/>
                <w:color w:val="auto"/>
                <w:sz w:val="24"/>
                <w:szCs w:val="24"/>
                <w:lang w:eastAsia="zh-CN"/>
              </w:rPr>
              <w:t>、堆场风力扬尘及</w:t>
            </w:r>
            <w:r>
              <w:rPr>
                <w:rFonts w:hint="default" w:ascii="Times New Roman" w:hAnsi="Times New Roman" w:eastAsia="宋体" w:cs="Times New Roman"/>
                <w:b w:val="0"/>
                <w:bCs w:val="0"/>
                <w:color w:val="auto"/>
                <w:sz w:val="24"/>
                <w:szCs w:val="24"/>
              </w:rPr>
              <w:t>运输车辆进出时产生的扬尘。扬尘量的计算与诸多因素有关，其中施工方式和施工现场的自然条件的影响最大。根据国内外的有关研究资料，施工扬尘的起尘量与许多因素有关，挖土机等工作时的起尘量与挖土机抓斗与地面的相对高度、风速、含水量等有关。</w:t>
            </w:r>
          </w:p>
          <w:p>
            <w:pPr>
              <w:keepNext w:val="0"/>
              <w:keepLines w:val="0"/>
              <w:pageBreakBefore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由于施工的扬尘无法收集，因此，对施工期间扬尘污染主要是以防为主，针对扬尘的来源，建设单位应要求工程施工单位制定施工期环境管理计划，加强管理，按进度有计划地进行文明施工，根据《四川省人民政府办公厅关于加强灰霾污染防治的通知》（川办发[2013]32号</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，认真执行《四川省灰霾污染防治实施方案》，“主城区工地做到“六必须”（必须</w:t>
            </w:r>
            <w:r>
              <w:rPr>
                <w:rFonts w:hint="eastAsia" w:ascii="Times New Roman" w:hAnsi="Times New Roman" w:eastAsia="宋体" w:cs="Times New Roman"/>
                <w:b w:val="0"/>
                <w:bCs w:val="0"/>
                <w:color w:val="auto"/>
                <w:sz w:val="24"/>
                <w:szCs w:val="24"/>
                <w:lang w:eastAsia="zh-CN"/>
              </w:rPr>
              <w:t>围挡</w:t>
            </w:r>
            <w:r>
              <w:rPr>
                <w:rFonts w:hint="default" w:ascii="Times New Roman" w:hAnsi="Times New Roman" w:eastAsia="宋体" w:cs="Times New Roman"/>
                <w:b w:val="0"/>
                <w:bCs w:val="0"/>
                <w:color w:val="auto"/>
                <w:sz w:val="24"/>
                <w:szCs w:val="24"/>
              </w:rPr>
              <w:t>作业、必须硬化道路、必须设置冲洗设施、必须及时洒水作业、必须落实保洁人员、必须定时清扫施工现场</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、“六不准”（不准车辆带泥出门、不准运渣车辆冒顶装载、不准高空抛撒建筑垃圾、不准现场搅拌混凝土、不准场地积水、不准现场焚烧废弃物</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建筑垃圾密闭运输</w:t>
            </w:r>
            <w:r>
              <w:rPr>
                <w:rFonts w:hint="default" w:ascii="Times New Roman" w:hAnsi="Times New Roman" w:eastAsia="宋体" w:cs="Times New Roman"/>
                <w:b w:val="0"/>
                <w:bCs w:val="0"/>
                <w:color w:val="auto"/>
                <w:sz w:val="24"/>
                <w:szCs w:val="24"/>
                <w:lang w:eastAsia="zh-CN"/>
              </w:rPr>
              <w:t>。严格落实《四川省施工场地扬尘排放标准》、《乐山市扬尘污染防治条例》相关要求，严格落实重污染天气强制性减排要求，减小施工扬尘、道路扬尘等对大气环境的影响。</w:t>
            </w:r>
          </w:p>
          <w:p>
            <w:pPr>
              <w:keepNext w:val="0"/>
              <w:keepLines w:val="0"/>
              <w:pageBreakBefore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val="en-US" w:eastAsia="zh-CN"/>
              </w:rPr>
              <w:t>另外环评要求</w:t>
            </w:r>
            <w:r>
              <w:rPr>
                <w:rFonts w:hint="default" w:ascii="Times New Roman" w:hAnsi="Times New Roman" w:eastAsia="宋体" w:cs="Times New Roman"/>
                <w:b/>
                <w:bCs/>
                <w:color w:val="auto"/>
                <w:sz w:val="24"/>
                <w:szCs w:val="24"/>
              </w:rPr>
              <w:t>提出防治措施如下</w:t>
            </w:r>
            <w:r>
              <w:rPr>
                <w:rFonts w:hint="default" w:ascii="Times New Roman" w:hAnsi="Times New Roman" w:eastAsia="宋体" w:cs="Times New Roman"/>
                <w:b/>
                <w:bCs/>
                <w:color w:val="auto"/>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jc w:val="both"/>
              <w:textAlignment w:val="auto"/>
              <w:rPr>
                <w:rFonts w:hint="default" w:ascii="Times New Roman" w:hAnsi="Times New Roman" w:cs="Times New Roman"/>
                <w:b/>
                <w:bCs/>
                <w:color w:val="auto"/>
                <w:spacing w:val="0"/>
                <w:sz w:val="24"/>
                <w:szCs w:val="24"/>
                <w:lang w:val="en-US" w:eastAsia="zh-CN"/>
              </w:rPr>
            </w:pPr>
            <w:r>
              <w:rPr>
                <w:rFonts w:hint="default" w:ascii="Times New Roman" w:hAnsi="Times New Roman" w:eastAsia="宋体" w:cs="Times New Roman"/>
                <w:b w:val="0"/>
                <w:bCs w:val="0"/>
                <w:color w:val="auto"/>
                <w:sz w:val="24"/>
                <w:szCs w:val="24"/>
                <w:lang w:val="en-US" w:eastAsia="zh-CN"/>
              </w:rPr>
              <w:t>加强施工扬尘控制，严格落实建筑施工工地污染治理要求，落实施工期“六必须”“六不准”“六个百分百”，严格落实《四川省施工场地扬尘排放标准》、《乐山市扬尘污染防治条例》相关要求，严格落实重污染天气强制性减排要求，减小施工扬尘、道路扬尘等对大气环境的影响。施工道路、施工场地周围两侧设置不低于2米的密闭围档，加强施工作业面湿法作业，定期对场地、运输道路进行洒水抑尘；强化裸露表土、渣土堆场、表土堆场等覆盖措施，临时露天堆存的表土、建渣等采取防尘网遮盖，避免风起扬尘</w:t>
            </w:r>
            <w:r>
              <w:rPr>
                <w:rFonts w:hint="eastAsia"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渣土运输采取封闭式运输。</w:t>
            </w:r>
          </w:p>
          <w:p>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2" w:firstLineChars="200"/>
              <w:jc w:val="both"/>
              <w:textAlignment w:val="auto"/>
              <w:rPr>
                <w:rFonts w:hint="default" w:ascii="Times New Roman" w:hAnsi="Times New Roman" w:cs="Times New Roman"/>
                <w:bCs/>
                <w:color w:val="0000FF"/>
                <w:spacing w:val="10"/>
                <w:szCs w:val="21"/>
              </w:rPr>
            </w:pPr>
            <w:r>
              <w:rPr>
                <w:rFonts w:hint="default" w:ascii="Times New Roman" w:hAnsi="Times New Roman" w:eastAsia="宋体" w:cs="Times New Roman"/>
                <w:b/>
                <w:bCs/>
                <w:color w:val="auto"/>
                <w:spacing w:val="0"/>
                <w:sz w:val="24"/>
                <w:szCs w:val="24"/>
                <w:lang w:val="en-US" w:eastAsia="zh-CN"/>
              </w:rPr>
              <w:t>（</w:t>
            </w:r>
            <w:r>
              <w:rPr>
                <w:rFonts w:hint="eastAsia" w:ascii="Times New Roman" w:hAnsi="Times New Roman" w:eastAsia="宋体" w:cs="Times New Roman"/>
                <w:b/>
                <w:bCs/>
                <w:color w:val="auto"/>
                <w:spacing w:val="0"/>
                <w:sz w:val="24"/>
                <w:szCs w:val="24"/>
                <w:lang w:val="en-US" w:eastAsia="zh-CN"/>
              </w:rPr>
              <w:t>2</w:t>
            </w:r>
            <w:r>
              <w:rPr>
                <w:rFonts w:hint="default" w:ascii="Times New Roman" w:hAnsi="Times New Roman" w:eastAsia="宋体" w:cs="Times New Roman"/>
                <w:b/>
                <w:bCs/>
                <w:color w:val="auto"/>
                <w:spacing w:val="0"/>
                <w:sz w:val="24"/>
                <w:szCs w:val="24"/>
                <w:lang w:val="en-US" w:eastAsia="zh-CN"/>
              </w:rPr>
              <w:t>）施工机械废气</w:t>
            </w:r>
            <w:r>
              <w:rPr>
                <w:rFonts w:hint="eastAsia" w:ascii="Times New Roman" w:hAnsi="Times New Roman" w:cs="Times New Roman"/>
                <w:b/>
                <w:bCs/>
                <w:color w:val="auto"/>
                <w:spacing w:val="0"/>
                <w:sz w:val="24"/>
                <w:szCs w:val="24"/>
                <w:lang w:val="en-US" w:eastAsia="zh-CN"/>
              </w:rPr>
              <w:t>防治措施</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b w:val="0"/>
                <w:bCs w:val="0"/>
                <w:color w:val="auto"/>
                <w:sz w:val="24"/>
                <w:szCs w:val="24"/>
              </w:rPr>
              <w:t>各种燃油施工机械和运输车辆在施工及运输过程中均排放一定数量的废气，主要污染物以</w:t>
            </w:r>
            <w:r>
              <w:rPr>
                <w:rFonts w:hint="default" w:ascii="Times New Roman" w:hAnsi="Times New Roman" w:eastAsia="宋体" w:cs="Times New Roman"/>
                <w:color w:val="auto"/>
                <w:spacing w:val="0"/>
                <w:sz w:val="24"/>
                <w:szCs w:val="24"/>
                <w:lang w:val="en-US" w:eastAsia="zh-CN"/>
              </w:rPr>
              <w:t>TSP 、NO</w:t>
            </w:r>
            <w:r>
              <w:rPr>
                <w:rFonts w:hint="default" w:ascii="Times New Roman" w:hAnsi="Times New Roman" w:eastAsia="宋体" w:cs="Times New Roman"/>
                <w:color w:val="auto"/>
                <w:spacing w:val="0"/>
                <w:sz w:val="24"/>
                <w:szCs w:val="24"/>
                <w:vertAlign w:val="subscript"/>
                <w:lang w:val="en-US" w:eastAsia="zh-CN"/>
              </w:rPr>
              <w:t>X</w:t>
            </w:r>
            <w:r>
              <w:rPr>
                <w:rFonts w:hint="default" w:ascii="Times New Roman" w:hAnsi="Times New Roman" w:eastAsia="宋体" w:cs="Times New Roman"/>
                <w:b w:val="0"/>
                <w:bCs w:val="0"/>
                <w:color w:val="auto"/>
                <w:sz w:val="24"/>
                <w:szCs w:val="24"/>
              </w:rPr>
              <w:t>为主。由于施工机械排放的废气和运输车辆的污染源较分散，且是流动性的，其影响也较分散和暂时的。另一方面，只要通过加强管理，控制车速，</w:t>
            </w:r>
            <w:r>
              <w:rPr>
                <w:rFonts w:hint="default" w:ascii="Times New Roman" w:hAnsi="Times New Roman" w:eastAsia="宋体" w:cs="Times New Roman"/>
                <w:b w:val="0"/>
                <w:bCs w:val="0"/>
                <w:color w:val="auto"/>
                <w:sz w:val="24"/>
                <w:szCs w:val="24"/>
                <w:lang w:eastAsia="zh-CN"/>
              </w:rPr>
              <w:t>加强保养，</w:t>
            </w:r>
            <w:r>
              <w:rPr>
                <w:rFonts w:hint="default" w:ascii="Times New Roman" w:hAnsi="Times New Roman" w:eastAsia="宋体" w:cs="Times New Roman"/>
                <w:b w:val="0"/>
                <w:bCs w:val="0"/>
                <w:color w:val="auto"/>
                <w:sz w:val="24"/>
                <w:szCs w:val="24"/>
              </w:rPr>
              <w:t>可有效减少施工机械和车辆的大气污染。</w:t>
            </w:r>
          </w:p>
          <w:p>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2" w:firstLineChars="200"/>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color w:val="auto"/>
                <w:sz w:val="24"/>
                <w:szCs w:val="24"/>
                <w:lang w:val="en-US" w:eastAsia="zh-CN"/>
              </w:rPr>
              <w:t>另外环评要求</w:t>
            </w:r>
            <w:r>
              <w:rPr>
                <w:rFonts w:hint="default" w:ascii="Times New Roman" w:hAnsi="Times New Roman" w:eastAsia="宋体" w:cs="Times New Roman"/>
                <w:b/>
                <w:bCs/>
                <w:color w:val="auto"/>
                <w:sz w:val="24"/>
                <w:szCs w:val="24"/>
              </w:rPr>
              <w:t>提出防治措施如下</w:t>
            </w:r>
            <w:r>
              <w:rPr>
                <w:rFonts w:hint="default" w:ascii="Times New Roman" w:hAnsi="Times New Roman" w:eastAsia="宋体" w:cs="Times New Roman"/>
                <w:b/>
                <w:bCs/>
                <w:color w:val="auto"/>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选用符合排放的标准的运输车辆和施工机械，尽量选用国五及以上排放标准重型载货汽车，选用国三及以上非道路移动机械，禁止使用劣质不合格油品。</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80" w:firstLineChars="200"/>
              <w:textAlignment w:val="baseline"/>
              <w:rPr>
                <w:rFonts w:hint="eastAsia" w:ascii="Times New Roman" w:hAnsi="Times New Roman" w:eastAsia="宋体" w:cs="Times New Roman"/>
                <w:color w:val="auto"/>
                <w:spacing w:val="0"/>
                <w:sz w:val="24"/>
                <w:szCs w:val="24"/>
                <w:lang w:val="en-US" w:eastAsia="zh-CN"/>
              </w:rPr>
            </w:pPr>
            <w:r>
              <w:rPr>
                <w:rFonts w:hint="eastAsia" w:ascii="Times New Roman" w:hAnsi="Times New Roman" w:eastAsia="宋体" w:cs="Times New Roman"/>
                <w:color w:val="auto"/>
                <w:spacing w:val="0"/>
                <w:sz w:val="24"/>
                <w:szCs w:val="24"/>
                <w:lang w:val="en-US" w:eastAsia="zh-CN"/>
              </w:rPr>
              <w:t>综上，工程区域环境空气本底质量较好，工程施工区地势开阔、大气扩散条件较好，加之粉尘和施工废气污染具有局部性和间歇性的特点，因此对整个施工区的环境空气质量不会产生较大影响。这些施工期产生的环境污染是暂时的，随施工结束而结束。</w:t>
            </w:r>
          </w:p>
          <w:p>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sz w:val="24"/>
                <w:szCs w:val="24"/>
                <w:lang w:val="en-US" w:eastAsia="zh-CN"/>
              </w:rPr>
              <w:t>采取以上措施后，项目施工期对大气环境影响较小。</w:t>
            </w:r>
          </w:p>
          <w:p>
            <w:pPr>
              <w:keepNext w:val="0"/>
              <w:keepLines w:val="0"/>
              <w:pageBreakBefore w:val="0"/>
              <w:widowControl/>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4、</w:t>
            </w:r>
            <w:r>
              <w:rPr>
                <w:rFonts w:hint="eastAsia" w:ascii="Times New Roman" w:hAnsi="Times New Roman" w:eastAsia="宋体" w:cs="Times New Roman"/>
                <w:b/>
                <w:bCs/>
                <w:color w:val="auto"/>
                <w:sz w:val="24"/>
                <w:szCs w:val="24"/>
                <w:lang w:val="en-US" w:eastAsia="zh-CN"/>
              </w:rPr>
              <w:t>施工期噪声防治</w:t>
            </w:r>
            <w:r>
              <w:rPr>
                <w:rFonts w:hint="default" w:ascii="Times New Roman" w:hAnsi="Times New Roman" w:eastAsia="宋体" w:cs="Times New Roman"/>
                <w:b/>
                <w:bCs/>
                <w:color w:val="auto"/>
                <w:sz w:val="24"/>
                <w:szCs w:val="24"/>
                <w:lang w:val="en-US" w:eastAsia="zh-CN"/>
              </w:rPr>
              <w:t>措施</w:t>
            </w:r>
          </w:p>
          <w:p>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0" w:firstLineChars="200"/>
              <w:jc w:val="both"/>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施工期噪声主要来源于机械噪声、施工作业噪声和施工车辆噪声，在不同的施工阶段又有不同的主要噪声源。为了减轻施工期施工噪声对敏感点的影响，施工期应采取以下噪声防范措施：</w:t>
            </w:r>
          </w:p>
          <w:p>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0" w:firstLineChars="200"/>
              <w:jc w:val="both"/>
              <w:textAlignment w:val="auto"/>
              <w:rPr>
                <w:rFonts w:hint="eastAsia" w:ascii="Times New Roman" w:hAnsi="Times New Roman" w:eastAsia="宋体" w:cs="Times New Roman"/>
                <w:b w:val="0"/>
                <w:bCs w:val="0"/>
                <w:color w:val="auto"/>
                <w:sz w:val="24"/>
                <w:szCs w:val="24"/>
              </w:rPr>
            </w:pPr>
            <w:r>
              <w:rPr>
                <w:rFonts w:hint="eastAsia" w:ascii="Times New Roman" w:hAnsi="Times New Roman" w:eastAsia="宋体" w:cs="Times New Roman"/>
                <w:b w:val="0"/>
                <w:bCs w:val="0"/>
                <w:color w:val="auto"/>
                <w:sz w:val="24"/>
                <w:szCs w:val="24"/>
                <w:lang w:val="en-US" w:eastAsia="zh-CN"/>
              </w:rPr>
              <w:t>①合理安排施工工序，尽量缩短施工周期；</w:t>
            </w:r>
          </w:p>
          <w:p>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0" w:firstLineChars="200"/>
              <w:jc w:val="both"/>
              <w:textAlignment w:val="auto"/>
              <w:rPr>
                <w:rFonts w:hint="eastAsia" w:ascii="Times New Roman" w:hAnsi="Times New Roman" w:eastAsia="宋体" w:cs="Times New Roman"/>
                <w:b w:val="0"/>
                <w:bCs w:val="0"/>
                <w:color w:val="auto"/>
                <w:sz w:val="24"/>
                <w:szCs w:val="24"/>
              </w:rPr>
            </w:pPr>
            <w:r>
              <w:rPr>
                <w:rFonts w:hint="eastAsia" w:ascii="Times New Roman" w:hAnsi="Times New Roman" w:eastAsia="宋体" w:cs="Times New Roman"/>
                <w:b w:val="0"/>
                <w:bCs w:val="0"/>
                <w:color w:val="auto"/>
                <w:sz w:val="24"/>
                <w:szCs w:val="24"/>
                <w:lang w:val="en-US" w:eastAsia="zh-CN"/>
              </w:rPr>
              <w:t>②加强对施工人员的教育管理，加强施工人员的环保意识，不得随意扔、丢，减少施工中不必要的噪声。</w:t>
            </w:r>
          </w:p>
          <w:p>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0" w:firstLineChars="200"/>
              <w:jc w:val="both"/>
              <w:textAlignment w:val="auto"/>
              <w:rPr>
                <w:rFonts w:hint="eastAsia" w:ascii="Times New Roman" w:hAnsi="Times New Roman" w:eastAsia="宋体" w:cs="Times New Roman"/>
                <w:b w:val="0"/>
                <w:bCs w:val="0"/>
                <w:color w:val="auto"/>
                <w:sz w:val="24"/>
                <w:szCs w:val="24"/>
              </w:rPr>
            </w:pPr>
            <w:r>
              <w:rPr>
                <w:rFonts w:hint="eastAsia" w:ascii="Times New Roman" w:hAnsi="Times New Roman" w:eastAsia="宋体" w:cs="Times New Roman"/>
                <w:b w:val="0"/>
                <w:bCs w:val="0"/>
                <w:color w:val="auto"/>
                <w:sz w:val="24"/>
                <w:szCs w:val="24"/>
                <w:lang w:val="en-US" w:eastAsia="zh-CN"/>
              </w:rPr>
              <w:t>③施工过程中选用低噪声设备，对机械设备精心养护，保持良好的运行工况，减低设备运行噪声；</w:t>
            </w:r>
          </w:p>
          <w:p>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0" w:firstLineChars="200"/>
              <w:jc w:val="both"/>
              <w:textAlignment w:val="auto"/>
              <w:rPr>
                <w:rFonts w:hint="default" w:ascii="Times New Roman" w:hAnsi="Times New Roman" w:eastAsia="宋体" w:cs="Times New Roman"/>
                <w:b w:val="0"/>
                <w:bCs w:val="0"/>
                <w:color w:val="auto"/>
                <w:sz w:val="24"/>
                <w:szCs w:val="24"/>
              </w:rPr>
            </w:pPr>
            <w:r>
              <w:rPr>
                <w:rFonts w:hint="eastAsia" w:ascii="Times New Roman" w:hAnsi="Times New Roman" w:eastAsia="宋体" w:cs="Times New Roman"/>
                <w:b w:val="0"/>
                <w:bCs w:val="0"/>
                <w:color w:val="auto"/>
                <w:sz w:val="24"/>
                <w:szCs w:val="24"/>
                <w:lang w:val="en-US" w:eastAsia="zh-CN"/>
              </w:rPr>
              <w:t>④降低振动器噪声，将高频振动器施工改为低频率振动器以减少施工噪声；</w:t>
            </w:r>
          </w:p>
          <w:p>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0" w:firstLineChars="200"/>
              <w:jc w:val="both"/>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⑤机械设备合理布局，避免局部声级过高的现象；</w:t>
            </w:r>
          </w:p>
          <w:p>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0" w:firstLineChars="200"/>
              <w:jc w:val="both"/>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⑥按照规定操作机械设备，在挡板、支架拆卸过程中，遵守作业规定，减 少碰撞噪声；</w:t>
            </w:r>
          </w:p>
          <w:p>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0" w:firstLineChars="200"/>
              <w:jc w:val="both"/>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⑦合理安排工作时间：将强噪声作业尽量安排在白天进行，严禁夜间、午 间高噪声设备施工，杜绝夜间 (22:00~6:00) 和午间 (12:00~ 14:00) 施工噪声扰民。如工艺要求必须连续作业施工，应首先征得当地环保、城管等主管部门同意，并及时通知周围居民。</w:t>
            </w:r>
          </w:p>
          <w:p>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0" w:firstLineChars="200"/>
              <w:jc w:val="both"/>
              <w:textAlignment w:val="auto"/>
              <w:rPr>
                <w:rFonts w:hint="default"/>
              </w:rPr>
            </w:pPr>
            <w:r>
              <w:rPr>
                <w:rFonts w:hint="default" w:ascii="Times New Roman" w:hAnsi="Times New Roman" w:eastAsia="宋体" w:cs="Times New Roman"/>
                <w:b w:val="0"/>
                <w:bCs w:val="0"/>
                <w:color w:val="auto"/>
                <w:sz w:val="24"/>
                <w:szCs w:val="24"/>
              </w:rPr>
              <w:t>⑧车辆经过居民区时，运输车辆限速行驶，禁鸣高音喇叭，并合理安排运输时间，避免车辆噪声影响居民的休息。</w:t>
            </w:r>
          </w:p>
          <w:p>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2" w:firstLineChars="200"/>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采取以上措施后，项目施工期对声环境影响较小。</w:t>
            </w:r>
          </w:p>
          <w:p>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522" w:firstLineChars="200"/>
              <w:jc w:val="both"/>
              <w:textAlignment w:val="auto"/>
              <w:rPr>
                <w:rFonts w:hint="default" w:ascii="Times New Roman" w:hAnsi="Times New Roman" w:eastAsia="宋体" w:cs="Times New Roman"/>
                <w:b/>
                <w:bCs w:val="0"/>
                <w:color w:val="auto"/>
                <w:spacing w:val="10"/>
                <w:sz w:val="24"/>
                <w:szCs w:val="24"/>
                <w:lang w:val="en-US" w:eastAsia="zh-CN"/>
              </w:rPr>
            </w:pPr>
            <w:r>
              <w:rPr>
                <w:rFonts w:hint="default" w:ascii="Times New Roman" w:hAnsi="Times New Roman" w:eastAsia="宋体" w:cs="Times New Roman"/>
                <w:b/>
                <w:bCs w:val="0"/>
                <w:color w:val="auto"/>
                <w:spacing w:val="10"/>
                <w:sz w:val="24"/>
                <w:szCs w:val="24"/>
                <w:lang w:val="en-US" w:eastAsia="zh-CN"/>
              </w:rPr>
              <w:t>5、</w:t>
            </w:r>
            <w:r>
              <w:rPr>
                <w:rFonts w:hint="eastAsia" w:ascii="Times New Roman" w:hAnsi="Times New Roman" w:eastAsia="宋体" w:cs="Times New Roman"/>
                <w:b/>
                <w:bCs w:val="0"/>
                <w:color w:val="auto"/>
                <w:spacing w:val="10"/>
                <w:sz w:val="24"/>
                <w:szCs w:val="24"/>
                <w:lang w:val="en-US" w:eastAsia="zh-CN"/>
              </w:rPr>
              <w:t>施工期固体废物的防治措施</w:t>
            </w:r>
          </w:p>
          <w:p>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0" w:firstLineChars="200"/>
              <w:jc w:val="both"/>
              <w:textAlignment w:val="auto"/>
              <w:rPr>
                <w:rFonts w:hint="default" w:ascii="Times New Roman" w:hAnsi="Times New Roman" w:eastAsia="宋体" w:cs="Times New Roman"/>
                <w:color w:val="auto"/>
                <w:spacing w:val="0"/>
                <w:kern w:val="2"/>
                <w:sz w:val="24"/>
                <w:szCs w:val="24"/>
                <w:lang w:val="en-US" w:eastAsia="zh-CN" w:bidi="ar-SA"/>
              </w:rPr>
            </w:pPr>
            <w:r>
              <w:rPr>
                <w:rFonts w:hint="default" w:ascii="Times New Roman" w:hAnsi="Times New Roman" w:eastAsia="宋体" w:cs="Times New Roman"/>
                <w:color w:val="auto"/>
                <w:spacing w:val="0"/>
                <w:kern w:val="2"/>
                <w:sz w:val="24"/>
                <w:szCs w:val="24"/>
                <w:lang w:val="en-US" w:eastAsia="zh-CN" w:bidi="ar-SA"/>
              </w:rPr>
              <w:t>施工期固体废物主要包括</w:t>
            </w:r>
            <w:r>
              <w:rPr>
                <w:rFonts w:hint="eastAsia" w:ascii="Times New Roman" w:hAnsi="Times New Roman" w:eastAsia="宋体" w:cs="Times New Roman"/>
                <w:color w:val="auto"/>
                <w:spacing w:val="0"/>
                <w:kern w:val="2"/>
                <w:sz w:val="24"/>
                <w:szCs w:val="24"/>
                <w:lang w:val="en-US" w:eastAsia="zh-CN" w:bidi="ar-SA"/>
              </w:rPr>
              <w:t>弃土、</w:t>
            </w:r>
            <w:r>
              <w:rPr>
                <w:rFonts w:hint="default" w:ascii="Times New Roman" w:hAnsi="Times New Roman" w:eastAsia="宋体" w:cs="Times New Roman"/>
                <w:color w:val="auto"/>
                <w:spacing w:val="0"/>
                <w:kern w:val="2"/>
                <w:sz w:val="24"/>
                <w:szCs w:val="24"/>
                <w:lang w:val="en-US" w:eastAsia="zh-CN" w:bidi="ar-SA"/>
              </w:rPr>
              <w:t>建筑垃圾、生活垃圾。</w:t>
            </w:r>
          </w:p>
          <w:p>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2" w:firstLineChars="200"/>
              <w:jc w:val="both"/>
              <w:textAlignment w:val="auto"/>
              <w:rPr>
                <w:rFonts w:hint="default" w:ascii="Times New Roman" w:hAnsi="Times New Roman" w:cs="Times New Roman"/>
                <w:b/>
                <w:bCs/>
                <w:color w:val="0000FF"/>
                <w:spacing w:val="10"/>
                <w:szCs w:val="21"/>
              </w:rPr>
            </w:pP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生活垃圾</w:t>
            </w:r>
          </w:p>
          <w:p>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0" w:firstLineChars="200"/>
              <w:jc w:val="both"/>
              <w:textAlignment w:val="auto"/>
              <w:rPr>
                <w:rFonts w:hint="default" w:ascii="Times New Roman" w:hAnsi="Times New Roman" w:cs="Times New Roman"/>
                <w:bCs/>
                <w:color w:val="0000FF"/>
                <w:spacing w:val="10"/>
                <w:szCs w:val="21"/>
              </w:rPr>
            </w:pPr>
            <w:r>
              <w:rPr>
                <w:rFonts w:hint="default" w:ascii="Times New Roman" w:hAnsi="Times New Roman" w:cs="Times New Roman"/>
                <w:color w:val="auto"/>
                <w:spacing w:val="0"/>
                <w:sz w:val="24"/>
                <w:szCs w:val="24"/>
                <w:lang w:val="en-US" w:eastAsia="zh-CN"/>
              </w:rPr>
              <w:t>项目施工场地设置垃圾桶，集中收集后由当地环卫部门统一处理。</w:t>
            </w:r>
          </w:p>
          <w:p>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2" w:firstLineChars="200"/>
              <w:jc w:val="both"/>
              <w:textAlignment w:val="auto"/>
              <w:rPr>
                <w:rFonts w:hint="default" w:ascii="Times New Roman" w:hAnsi="Times New Roman" w:eastAsia="宋体" w:cs="Times New Roman"/>
                <w:b/>
                <w:bCs/>
                <w:color w:val="000000"/>
                <w:spacing w:val="0"/>
                <w:sz w:val="24"/>
                <w:szCs w:val="24"/>
                <w:lang w:val="en-US" w:eastAsia="zh-CN"/>
              </w:rPr>
            </w:pPr>
            <w:r>
              <w:rPr>
                <w:rFonts w:hint="eastAsia" w:ascii="Times New Roman" w:hAnsi="Times New Roman" w:eastAsia="宋体" w:cs="Times New Roman"/>
                <w:b/>
                <w:bCs/>
                <w:color w:val="000000"/>
                <w:spacing w:val="0"/>
                <w:sz w:val="24"/>
                <w:szCs w:val="24"/>
                <w:lang w:val="en-US" w:eastAsia="zh-CN"/>
              </w:rPr>
              <w:t>（2）沉淀池泥沙</w:t>
            </w:r>
          </w:p>
          <w:p>
            <w:pPr>
              <w:pStyle w:val="2"/>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right="0" w:rightChars="0" w:firstLine="480" w:firstLineChars="200"/>
              <w:jc w:val="both"/>
              <w:textAlignment w:val="auto"/>
              <w:rPr>
                <w:rFonts w:hint="default" w:ascii="Times New Roman" w:hAnsi="Times New Roman" w:eastAsia="宋体" w:cs="Times New Roman"/>
                <w:color w:val="auto"/>
                <w:spacing w:val="0"/>
                <w:kern w:val="2"/>
                <w:sz w:val="24"/>
                <w:szCs w:val="24"/>
                <w:lang w:val="en-US" w:eastAsia="zh-CN" w:bidi="ar-SA"/>
              </w:rPr>
            </w:pPr>
            <w:r>
              <w:rPr>
                <w:rFonts w:hint="eastAsia" w:ascii="Times New Roman" w:hAnsi="Times New Roman" w:eastAsia="宋体" w:cs="Times New Roman"/>
                <w:color w:val="auto"/>
                <w:spacing w:val="0"/>
                <w:kern w:val="2"/>
                <w:sz w:val="24"/>
                <w:szCs w:val="24"/>
                <w:lang w:val="en-US" w:eastAsia="zh-CN" w:bidi="ar-SA"/>
              </w:rPr>
              <w:t>基坑废水沉淀池泥沙</w:t>
            </w:r>
            <w:r>
              <w:rPr>
                <w:rFonts w:hint="default" w:ascii="Times New Roman" w:hAnsi="Times New Roman" w:eastAsia="宋体" w:cs="Times New Roman"/>
                <w:color w:val="auto"/>
                <w:spacing w:val="0"/>
                <w:kern w:val="2"/>
                <w:sz w:val="24"/>
                <w:szCs w:val="24"/>
                <w:lang w:val="en-US" w:eastAsia="zh-CN" w:bidi="ar-SA"/>
              </w:rPr>
              <w:t>晾干</w:t>
            </w:r>
            <w:r>
              <w:rPr>
                <w:rFonts w:hint="eastAsia" w:ascii="Times New Roman" w:hAnsi="Times New Roman" w:eastAsia="宋体" w:cs="Times New Roman"/>
                <w:color w:val="auto"/>
                <w:spacing w:val="0"/>
                <w:kern w:val="2"/>
                <w:sz w:val="24"/>
                <w:szCs w:val="24"/>
                <w:lang w:val="en-US" w:eastAsia="zh-CN" w:bidi="ar-SA"/>
              </w:rPr>
              <w:t>后</w:t>
            </w:r>
            <w:r>
              <w:rPr>
                <w:rFonts w:hint="eastAsia" w:ascii="Times New Roman" w:hAnsi="Times New Roman" w:eastAsia="宋体" w:cs="Times New Roman"/>
                <w:color w:val="000000"/>
                <w:spacing w:val="0"/>
                <w:sz w:val="24"/>
                <w:szCs w:val="24"/>
                <w:lang w:val="en-US" w:eastAsia="zh-CN"/>
              </w:rPr>
              <w:t>运往苏稽镇石鼓寺村老鸦滩堆料场堆放，后期由乐山市市中区国有资产监督管理局统一拍卖或利用</w:t>
            </w:r>
            <w:r>
              <w:rPr>
                <w:rFonts w:hint="default" w:ascii="Times New Roman" w:hAnsi="Times New Roman" w:eastAsia="宋体" w:cs="Times New Roman"/>
                <w:color w:val="000000"/>
                <w:spacing w:val="0"/>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0" w:firstLineChars="200"/>
              <w:jc w:val="both"/>
              <w:textAlignment w:val="auto"/>
              <w:rPr>
                <w:rFonts w:hint="default" w:ascii="Times New Roman" w:hAnsi="Times New Roman" w:cs="Times New Roman"/>
                <w:b w:val="0"/>
                <w:bCs w:val="0"/>
                <w:color w:val="000000"/>
                <w:spacing w:val="0"/>
                <w:sz w:val="24"/>
                <w:szCs w:val="24"/>
                <w:lang w:val="en-US" w:eastAsia="zh-CN"/>
              </w:rPr>
            </w:pPr>
            <w:r>
              <w:rPr>
                <w:rFonts w:hint="default" w:ascii="Times New Roman" w:hAnsi="Times New Roman" w:cs="Times New Roman"/>
                <w:b w:val="0"/>
                <w:bCs w:val="0"/>
                <w:color w:val="000000"/>
                <w:spacing w:val="0"/>
                <w:sz w:val="24"/>
                <w:szCs w:val="24"/>
                <w:lang w:val="en-US" w:eastAsia="zh-CN"/>
              </w:rPr>
              <w:t>针对项目</w:t>
            </w:r>
            <w:r>
              <w:rPr>
                <w:rFonts w:hint="eastAsia" w:ascii="Times New Roman" w:hAnsi="Times New Roman" w:eastAsia="宋体" w:cs="Times New Roman"/>
                <w:color w:val="auto"/>
                <w:spacing w:val="0"/>
                <w:kern w:val="2"/>
                <w:sz w:val="24"/>
                <w:szCs w:val="24"/>
                <w:lang w:val="en-US" w:eastAsia="zh-CN" w:bidi="ar-SA"/>
              </w:rPr>
              <w:t>泥沙</w:t>
            </w:r>
            <w:r>
              <w:rPr>
                <w:rFonts w:hint="default" w:ascii="Times New Roman" w:hAnsi="Times New Roman" w:cs="Times New Roman"/>
                <w:b w:val="0"/>
                <w:bCs w:val="0"/>
                <w:color w:val="000000"/>
                <w:spacing w:val="0"/>
                <w:sz w:val="24"/>
                <w:szCs w:val="24"/>
                <w:lang w:val="en-US" w:eastAsia="zh-CN"/>
              </w:rPr>
              <w:t>外运，本评价对项目在施工过程中的</w:t>
            </w:r>
            <w:r>
              <w:rPr>
                <w:rFonts w:hint="eastAsia" w:ascii="Times New Roman" w:hAnsi="Times New Roman" w:eastAsia="宋体" w:cs="Times New Roman"/>
                <w:color w:val="auto"/>
                <w:spacing w:val="0"/>
                <w:kern w:val="2"/>
                <w:sz w:val="24"/>
                <w:szCs w:val="24"/>
                <w:lang w:val="en-US" w:eastAsia="zh-CN" w:bidi="ar-SA"/>
              </w:rPr>
              <w:t>泥沙</w:t>
            </w:r>
            <w:r>
              <w:rPr>
                <w:rFonts w:hint="default" w:ascii="Times New Roman" w:hAnsi="Times New Roman" w:cs="Times New Roman"/>
                <w:b w:val="0"/>
                <w:bCs w:val="0"/>
                <w:color w:val="000000"/>
                <w:spacing w:val="0"/>
                <w:sz w:val="24"/>
                <w:szCs w:val="24"/>
                <w:lang w:val="en-US" w:eastAsia="zh-CN"/>
              </w:rPr>
              <w:t>运输提出如下要求：</w:t>
            </w:r>
          </w:p>
          <w:p>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2" w:firstLineChars="200"/>
              <w:jc w:val="both"/>
              <w:textAlignment w:val="auto"/>
              <w:rPr>
                <w:rFonts w:hint="default" w:ascii="Times New Roman" w:hAnsi="Times New Roman" w:cs="Times New Roman"/>
                <w:b/>
                <w:bCs/>
                <w:color w:val="000000"/>
                <w:spacing w:val="0"/>
                <w:sz w:val="24"/>
                <w:szCs w:val="24"/>
                <w:lang w:val="en-US" w:eastAsia="zh-CN"/>
              </w:rPr>
            </w:pPr>
            <w:r>
              <w:rPr>
                <w:rFonts w:hint="default" w:ascii="Times New Roman" w:hAnsi="Times New Roman" w:cs="Times New Roman"/>
                <w:b/>
                <w:bCs/>
                <w:color w:val="000000"/>
                <w:spacing w:val="0"/>
                <w:sz w:val="24"/>
                <w:szCs w:val="24"/>
                <w:lang w:val="en-US" w:eastAsia="zh-CN"/>
              </w:rPr>
              <w:t>①运输</w:t>
            </w:r>
            <w:r>
              <w:rPr>
                <w:rFonts w:hint="eastAsia" w:ascii="Times New Roman" w:hAnsi="Times New Roman" w:eastAsia="宋体" w:cs="Times New Roman"/>
                <w:b/>
                <w:bCs/>
                <w:color w:val="000000"/>
                <w:spacing w:val="0"/>
                <w:sz w:val="24"/>
                <w:szCs w:val="24"/>
                <w:lang w:val="en-US" w:eastAsia="zh-CN"/>
              </w:rPr>
              <w:t>泥沙</w:t>
            </w:r>
            <w:r>
              <w:rPr>
                <w:rFonts w:hint="eastAsia" w:ascii="Times New Roman" w:hAnsi="Times New Roman" w:cs="Times New Roman"/>
                <w:b/>
                <w:bCs/>
                <w:color w:val="000000"/>
                <w:spacing w:val="0"/>
                <w:sz w:val="24"/>
                <w:szCs w:val="24"/>
                <w:lang w:val="en-US" w:eastAsia="zh-CN"/>
              </w:rPr>
              <w:t>的</w:t>
            </w:r>
            <w:r>
              <w:rPr>
                <w:rFonts w:hint="default" w:ascii="Times New Roman" w:hAnsi="Times New Roman" w:cs="Times New Roman"/>
                <w:b/>
                <w:bCs/>
                <w:color w:val="000000"/>
                <w:spacing w:val="0"/>
                <w:sz w:val="24"/>
                <w:szCs w:val="24"/>
                <w:lang w:val="en-US" w:eastAsia="zh-CN"/>
              </w:rPr>
              <w:t>车辆必须符合道路运输安全及交通和交警部门的准运要求，必须覆盖遮尘网。</w:t>
            </w:r>
          </w:p>
          <w:p>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2" w:firstLineChars="200"/>
              <w:jc w:val="both"/>
              <w:textAlignment w:val="auto"/>
              <w:rPr>
                <w:rFonts w:hint="default" w:ascii="Times New Roman" w:hAnsi="Times New Roman" w:cs="Times New Roman"/>
                <w:b/>
                <w:bCs/>
                <w:color w:val="000000"/>
                <w:spacing w:val="0"/>
                <w:sz w:val="24"/>
                <w:szCs w:val="24"/>
                <w:lang w:val="en-US" w:eastAsia="zh-CN"/>
              </w:rPr>
            </w:pPr>
            <w:r>
              <w:rPr>
                <w:rFonts w:hint="default" w:ascii="Times New Roman" w:hAnsi="Times New Roman" w:cs="Times New Roman"/>
                <w:b/>
                <w:bCs/>
                <w:color w:val="000000"/>
                <w:spacing w:val="0"/>
                <w:sz w:val="24"/>
                <w:szCs w:val="24"/>
                <w:lang w:val="en-US" w:eastAsia="zh-CN"/>
              </w:rPr>
              <w:t>②</w:t>
            </w:r>
            <w:r>
              <w:rPr>
                <w:rFonts w:hint="eastAsia" w:ascii="Times New Roman" w:hAnsi="Times New Roman" w:eastAsia="宋体" w:cs="Times New Roman"/>
                <w:b/>
                <w:bCs/>
                <w:color w:val="000000"/>
                <w:spacing w:val="0"/>
                <w:sz w:val="24"/>
                <w:szCs w:val="24"/>
                <w:lang w:val="en-US" w:eastAsia="zh-CN"/>
              </w:rPr>
              <w:t>泥沙</w:t>
            </w:r>
            <w:r>
              <w:rPr>
                <w:rFonts w:hint="eastAsia" w:ascii="Times New Roman" w:hAnsi="Times New Roman" w:cs="Times New Roman"/>
                <w:b/>
                <w:bCs/>
                <w:color w:val="000000"/>
                <w:spacing w:val="0"/>
                <w:sz w:val="24"/>
                <w:szCs w:val="24"/>
                <w:lang w:val="en-US" w:eastAsia="zh-CN"/>
              </w:rPr>
              <w:t>的</w:t>
            </w:r>
            <w:r>
              <w:rPr>
                <w:rFonts w:hint="default" w:ascii="Times New Roman" w:hAnsi="Times New Roman" w:cs="Times New Roman"/>
                <w:b/>
                <w:bCs/>
                <w:color w:val="000000"/>
                <w:spacing w:val="0"/>
                <w:sz w:val="24"/>
                <w:szCs w:val="24"/>
                <w:lang w:val="en-US" w:eastAsia="zh-CN"/>
              </w:rPr>
              <w:t>运输车辆必须服从统一调度，按照有关部门的要求和指定路线、时间、方式清运，尽可能避开居民集中区、学校、医院等对环境空气质量要求较高的区域。</w:t>
            </w:r>
          </w:p>
          <w:p>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2" w:firstLineChars="200"/>
              <w:jc w:val="both"/>
              <w:textAlignment w:val="auto"/>
              <w:rPr>
                <w:rFonts w:hint="default" w:ascii="Times New Roman" w:hAnsi="Times New Roman" w:cs="Times New Roman"/>
                <w:b/>
                <w:bCs/>
                <w:color w:val="000000"/>
                <w:spacing w:val="0"/>
                <w:sz w:val="24"/>
                <w:szCs w:val="24"/>
                <w:lang w:val="en-US" w:eastAsia="zh-CN"/>
              </w:rPr>
            </w:pPr>
            <w:r>
              <w:rPr>
                <w:rFonts w:hint="default" w:ascii="Times New Roman" w:hAnsi="Times New Roman" w:cs="Times New Roman"/>
                <w:b/>
                <w:bCs/>
                <w:color w:val="000000"/>
                <w:spacing w:val="0"/>
                <w:sz w:val="24"/>
                <w:szCs w:val="24"/>
                <w:lang w:val="en-US" w:eastAsia="zh-CN"/>
              </w:rPr>
              <w:t>③</w:t>
            </w:r>
            <w:r>
              <w:rPr>
                <w:rFonts w:hint="eastAsia" w:ascii="Times New Roman" w:hAnsi="Times New Roman" w:eastAsia="宋体" w:cs="Times New Roman"/>
                <w:b/>
                <w:bCs/>
                <w:color w:val="000000"/>
                <w:spacing w:val="0"/>
                <w:sz w:val="24"/>
                <w:szCs w:val="24"/>
                <w:lang w:val="en-US" w:eastAsia="zh-CN"/>
              </w:rPr>
              <w:t>泥沙</w:t>
            </w:r>
            <w:r>
              <w:rPr>
                <w:rFonts w:hint="eastAsia" w:ascii="Times New Roman" w:hAnsi="Times New Roman" w:cs="Times New Roman"/>
                <w:b/>
                <w:bCs/>
                <w:color w:val="000000"/>
                <w:spacing w:val="0"/>
                <w:sz w:val="24"/>
                <w:szCs w:val="24"/>
                <w:lang w:val="en-US" w:eastAsia="zh-CN"/>
              </w:rPr>
              <w:t>的</w:t>
            </w:r>
            <w:r>
              <w:rPr>
                <w:rFonts w:hint="default" w:ascii="Times New Roman" w:hAnsi="Times New Roman" w:cs="Times New Roman"/>
                <w:b/>
                <w:bCs/>
                <w:color w:val="000000"/>
                <w:spacing w:val="0"/>
                <w:sz w:val="24"/>
                <w:szCs w:val="24"/>
                <w:lang w:val="en-US" w:eastAsia="zh-CN"/>
              </w:rPr>
              <w:t>运输过程中不得出现超载、撒漏、不到指定地点清运等现象。</w:t>
            </w:r>
          </w:p>
          <w:p>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2" w:firstLineChars="200"/>
              <w:jc w:val="both"/>
              <w:textAlignment w:val="auto"/>
              <w:rPr>
                <w:rFonts w:hint="default" w:ascii="Times New Roman" w:hAnsi="Times New Roman" w:cs="Times New Roman"/>
                <w:bCs/>
                <w:color w:val="0000FF"/>
                <w:spacing w:val="10"/>
                <w:szCs w:val="21"/>
              </w:rPr>
            </w:pPr>
            <w:r>
              <w:rPr>
                <w:rFonts w:hint="default" w:ascii="Times New Roman" w:hAnsi="Times New Roman" w:eastAsia="宋体" w:cs="Times New Roman"/>
                <w:b/>
                <w:bCs/>
                <w:color w:val="auto"/>
                <w:spacing w:val="0"/>
                <w:sz w:val="24"/>
                <w:szCs w:val="24"/>
                <w:lang w:val="en-US" w:eastAsia="zh-CN"/>
              </w:rPr>
              <w:t>（</w:t>
            </w:r>
            <w:r>
              <w:rPr>
                <w:rFonts w:hint="eastAsia" w:ascii="Times New Roman" w:hAnsi="Times New Roman" w:eastAsia="宋体" w:cs="Times New Roman"/>
                <w:b/>
                <w:bCs/>
                <w:color w:val="auto"/>
                <w:spacing w:val="0"/>
                <w:sz w:val="24"/>
                <w:szCs w:val="24"/>
                <w:lang w:val="en-US" w:eastAsia="zh-CN"/>
              </w:rPr>
              <w:t>4</w:t>
            </w:r>
            <w:r>
              <w:rPr>
                <w:rFonts w:hint="default" w:ascii="Times New Roman" w:hAnsi="Times New Roman" w:eastAsia="宋体" w:cs="Times New Roman"/>
                <w:b/>
                <w:bCs/>
                <w:color w:val="auto"/>
                <w:spacing w:val="0"/>
                <w:sz w:val="24"/>
                <w:szCs w:val="24"/>
                <w:lang w:val="en-US" w:eastAsia="zh-CN"/>
              </w:rPr>
              <w:t>）建筑垃圾</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rPr>
              <w:t>建筑垃圾主要是施工结束后临时工程拆除</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rPr>
              <w:t>施工迹地清理时产生的废弃物等。建筑垃圾均应统一收集，分类堆存，施工产生的废料首先考虑废料的回收利用，对钢筋、钢板等下角料</w:t>
            </w:r>
            <w:r>
              <w:rPr>
                <w:rFonts w:hint="default" w:ascii="Times New Roman" w:hAnsi="Times New Roman" w:eastAsia="宋体" w:cs="Times New Roman"/>
                <w:b w:val="0"/>
                <w:bCs w:val="0"/>
                <w:color w:val="auto"/>
                <w:sz w:val="24"/>
                <w:szCs w:val="24"/>
                <w:lang w:eastAsia="zh-CN"/>
              </w:rPr>
              <w:t>分类回收</w:t>
            </w:r>
            <w:r>
              <w:rPr>
                <w:rFonts w:hint="default" w:ascii="Times New Roman" w:hAnsi="Times New Roman" w:eastAsia="宋体" w:cs="Times New Roman"/>
                <w:b w:val="0"/>
                <w:bCs w:val="0"/>
                <w:color w:val="auto"/>
                <w:sz w:val="24"/>
                <w:szCs w:val="24"/>
              </w:rPr>
              <w:t>，交废物收购站处理</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val="en-US" w:eastAsia="zh-CN"/>
              </w:rPr>
              <w:t>其他废弃物及时清理，分类固定堆放，运至政府指定弃渣场堆放。</w:t>
            </w:r>
          </w:p>
          <w:p>
            <w:pPr>
              <w:pStyle w:val="2"/>
              <w:ind w:firstLine="482" w:firstLineChars="200"/>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（5）弃土</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rPr>
              <w:t>本工程主体土石开挖总量</w:t>
            </w:r>
            <w:r>
              <w:rPr>
                <w:rFonts w:hint="eastAsia" w:ascii="Times New Roman" w:hAnsi="Times New Roman" w:eastAsia="宋体" w:cs="Times New Roman"/>
                <w:b w:val="0"/>
                <w:bCs w:val="0"/>
                <w:color w:val="auto"/>
                <w:sz w:val="24"/>
                <w:szCs w:val="24"/>
              </w:rPr>
              <w:t>4.32</w:t>
            </w:r>
            <w:r>
              <w:rPr>
                <w:rFonts w:hint="default" w:ascii="Times New Roman" w:hAnsi="Times New Roman" w:eastAsia="宋体" w:cs="Times New Roman"/>
                <w:b w:val="0"/>
                <w:bCs w:val="0"/>
                <w:color w:val="auto"/>
                <w:sz w:val="24"/>
                <w:szCs w:val="24"/>
              </w:rPr>
              <w:t>万m</w:t>
            </w:r>
            <w:r>
              <w:rPr>
                <w:rFonts w:hint="default" w:ascii="Times New Roman" w:hAnsi="Times New Roman" w:eastAsia="宋体" w:cs="Times New Roman"/>
                <w:b w:val="0"/>
                <w:bCs w:val="0"/>
                <w:color w:val="auto"/>
                <w:sz w:val="24"/>
                <w:szCs w:val="24"/>
                <w:vertAlign w:val="superscript"/>
              </w:rPr>
              <w:t>3</w:t>
            </w:r>
            <w:r>
              <w:rPr>
                <w:rFonts w:hint="default" w:ascii="Times New Roman" w:hAnsi="Times New Roman" w:eastAsia="宋体" w:cs="Times New Roman"/>
                <w:b w:val="0"/>
                <w:bCs w:val="0"/>
                <w:color w:val="auto"/>
                <w:sz w:val="24"/>
                <w:szCs w:val="24"/>
              </w:rPr>
              <w:t>（自然方，含</w:t>
            </w:r>
            <w:r>
              <w:rPr>
                <w:rFonts w:hint="eastAsia" w:ascii="Times New Roman" w:hAnsi="Times New Roman" w:eastAsia="宋体" w:cs="Times New Roman"/>
                <w:b w:val="0"/>
                <w:bCs w:val="0"/>
                <w:color w:val="auto"/>
                <w:sz w:val="24"/>
                <w:szCs w:val="24"/>
              </w:rPr>
              <w:t>表土剥离量0.14万</w:t>
            </w:r>
            <w:r>
              <w:rPr>
                <w:rFonts w:hint="default" w:ascii="Times New Roman" w:hAnsi="Times New Roman" w:eastAsia="宋体" w:cs="Times New Roman"/>
                <w:b w:val="0"/>
                <w:bCs w:val="0"/>
                <w:color w:val="auto"/>
                <w:sz w:val="24"/>
                <w:szCs w:val="24"/>
              </w:rPr>
              <w:t>m</w:t>
            </w:r>
            <w:r>
              <w:rPr>
                <w:rFonts w:hint="default" w:ascii="Times New Roman" w:hAnsi="Times New Roman" w:eastAsia="宋体" w:cs="Times New Roman"/>
                <w:b w:val="0"/>
                <w:bCs w:val="0"/>
                <w:color w:val="auto"/>
                <w:sz w:val="24"/>
                <w:szCs w:val="24"/>
                <w:vertAlign w:val="superscript"/>
              </w:rPr>
              <w:t>3</w:t>
            </w:r>
            <w:r>
              <w:rPr>
                <w:rFonts w:hint="default" w:ascii="Times New Roman" w:hAnsi="Times New Roman" w:eastAsia="宋体" w:cs="Times New Roman"/>
                <w:b w:val="0"/>
                <w:bCs w:val="0"/>
                <w:color w:val="auto"/>
                <w:sz w:val="24"/>
                <w:szCs w:val="24"/>
              </w:rPr>
              <w:t>），</w:t>
            </w:r>
            <w:r>
              <w:rPr>
                <w:rFonts w:hint="eastAsia" w:ascii="Times New Roman" w:hAnsi="Times New Roman" w:eastAsia="宋体" w:cs="Times New Roman"/>
                <w:b w:val="0"/>
                <w:bCs w:val="0"/>
                <w:color w:val="auto"/>
                <w:sz w:val="24"/>
                <w:szCs w:val="24"/>
                <w:lang w:eastAsia="zh-CN"/>
              </w:rPr>
              <w:t>总回填量</w:t>
            </w:r>
            <w:r>
              <w:rPr>
                <w:rFonts w:hint="eastAsia" w:ascii="Times New Roman" w:hAnsi="Times New Roman" w:eastAsia="宋体" w:cs="Times New Roman"/>
                <w:b w:val="0"/>
                <w:bCs w:val="0"/>
                <w:color w:val="auto"/>
                <w:sz w:val="24"/>
                <w:szCs w:val="24"/>
                <w:lang w:val="en-US" w:eastAsia="zh-CN"/>
              </w:rPr>
              <w:t>1.47</w:t>
            </w:r>
            <w:r>
              <w:rPr>
                <w:rFonts w:hint="default" w:ascii="Times New Roman" w:hAnsi="Times New Roman" w:eastAsia="宋体" w:cs="Times New Roman"/>
                <w:b w:val="0"/>
                <w:bCs w:val="0"/>
                <w:color w:val="auto"/>
                <w:sz w:val="24"/>
                <w:szCs w:val="24"/>
              </w:rPr>
              <w:t>万m</w:t>
            </w:r>
            <w:r>
              <w:rPr>
                <w:rFonts w:hint="default" w:ascii="Times New Roman" w:hAnsi="Times New Roman" w:eastAsia="宋体" w:cs="Times New Roman"/>
                <w:b w:val="0"/>
                <w:bCs w:val="0"/>
                <w:color w:val="auto"/>
                <w:sz w:val="24"/>
                <w:szCs w:val="24"/>
                <w:vertAlign w:val="superscript"/>
              </w:rPr>
              <w:t>3</w:t>
            </w:r>
            <w:r>
              <w:rPr>
                <w:rFonts w:hint="eastAsia" w:ascii="Times New Roman" w:hAnsi="Times New Roman" w:eastAsia="宋体" w:cs="Times New Roman"/>
                <w:b w:val="0"/>
                <w:bCs w:val="0"/>
                <w:color w:val="auto"/>
                <w:sz w:val="24"/>
                <w:szCs w:val="24"/>
                <w:lang w:val="en-US" w:eastAsia="zh-CN"/>
              </w:rPr>
              <w:t>（其中</w:t>
            </w:r>
            <w:r>
              <w:rPr>
                <w:rFonts w:hint="default" w:ascii="Times New Roman" w:hAnsi="Times New Roman" w:eastAsia="宋体" w:cs="Times New Roman"/>
                <w:b w:val="0"/>
                <w:bCs w:val="0"/>
                <w:color w:val="auto"/>
                <w:sz w:val="24"/>
                <w:szCs w:val="24"/>
              </w:rPr>
              <w:t>用于主体工程</w:t>
            </w:r>
            <w:r>
              <w:rPr>
                <w:rFonts w:hint="eastAsia" w:ascii="Times New Roman" w:hAnsi="Times New Roman" w:eastAsia="宋体" w:cs="Times New Roman"/>
                <w:b w:val="0"/>
                <w:bCs w:val="0"/>
                <w:color w:val="auto"/>
                <w:sz w:val="24"/>
                <w:szCs w:val="24"/>
              </w:rPr>
              <w:t>土石方回</w:t>
            </w:r>
            <w:r>
              <w:rPr>
                <w:rFonts w:hint="default" w:ascii="Times New Roman" w:hAnsi="Times New Roman" w:eastAsia="宋体" w:cs="Times New Roman"/>
                <w:b w:val="0"/>
                <w:bCs w:val="0"/>
                <w:color w:val="auto"/>
                <w:sz w:val="24"/>
                <w:szCs w:val="24"/>
              </w:rPr>
              <w:t>填</w:t>
            </w:r>
            <w:r>
              <w:rPr>
                <w:rFonts w:hint="eastAsia" w:ascii="Times New Roman" w:hAnsi="Times New Roman" w:eastAsia="宋体" w:cs="Times New Roman"/>
                <w:b w:val="0"/>
                <w:bCs w:val="0"/>
                <w:color w:val="auto"/>
                <w:sz w:val="24"/>
                <w:szCs w:val="24"/>
              </w:rPr>
              <w:t>0.93</w:t>
            </w:r>
            <w:r>
              <w:rPr>
                <w:rFonts w:hint="default" w:ascii="Times New Roman" w:hAnsi="Times New Roman" w:eastAsia="宋体" w:cs="Times New Roman"/>
                <w:b w:val="0"/>
                <w:bCs w:val="0"/>
                <w:color w:val="auto"/>
                <w:sz w:val="24"/>
                <w:szCs w:val="24"/>
              </w:rPr>
              <w:t>万m</w:t>
            </w:r>
            <w:r>
              <w:rPr>
                <w:rFonts w:hint="default" w:ascii="Times New Roman" w:hAnsi="Times New Roman" w:eastAsia="宋体" w:cs="Times New Roman"/>
                <w:b w:val="0"/>
                <w:bCs w:val="0"/>
                <w:color w:val="auto"/>
                <w:sz w:val="24"/>
                <w:szCs w:val="24"/>
                <w:vertAlign w:val="superscript"/>
              </w:rPr>
              <w:t>3</w:t>
            </w:r>
            <w:r>
              <w:rPr>
                <w:rFonts w:hint="default" w:ascii="Times New Roman" w:hAnsi="Times New Roman" w:eastAsia="宋体" w:cs="Times New Roman"/>
                <w:b w:val="0"/>
                <w:bCs w:val="0"/>
                <w:color w:val="auto"/>
                <w:sz w:val="24"/>
                <w:szCs w:val="24"/>
              </w:rPr>
              <w:t>，用于</w:t>
            </w:r>
            <w:r>
              <w:rPr>
                <w:rFonts w:hint="eastAsia" w:ascii="Times New Roman" w:hAnsi="Times New Roman" w:eastAsia="宋体" w:cs="Times New Roman"/>
                <w:b w:val="0"/>
                <w:bCs w:val="0"/>
                <w:color w:val="auto"/>
                <w:sz w:val="24"/>
                <w:szCs w:val="24"/>
              </w:rPr>
              <w:t>大卵石海漫0.40</w:t>
            </w:r>
            <w:r>
              <w:rPr>
                <w:rFonts w:hint="default" w:ascii="Times New Roman" w:hAnsi="Times New Roman" w:eastAsia="宋体" w:cs="Times New Roman"/>
                <w:b w:val="0"/>
                <w:bCs w:val="0"/>
                <w:color w:val="auto"/>
                <w:sz w:val="24"/>
                <w:szCs w:val="24"/>
              </w:rPr>
              <w:t>万m</w:t>
            </w:r>
            <w:r>
              <w:rPr>
                <w:rFonts w:hint="default" w:ascii="Times New Roman" w:hAnsi="Times New Roman" w:eastAsia="宋体" w:cs="Times New Roman"/>
                <w:b w:val="0"/>
                <w:bCs w:val="0"/>
                <w:color w:val="auto"/>
                <w:sz w:val="24"/>
                <w:szCs w:val="24"/>
                <w:vertAlign w:val="superscript"/>
              </w:rPr>
              <w:t>3</w:t>
            </w:r>
            <w:r>
              <w:rPr>
                <w:rFonts w:hint="default" w:ascii="Times New Roman" w:hAnsi="Times New Roman" w:eastAsia="宋体" w:cs="Times New Roman"/>
                <w:b w:val="0"/>
                <w:bCs w:val="0"/>
                <w:color w:val="auto"/>
                <w:sz w:val="24"/>
                <w:szCs w:val="24"/>
              </w:rPr>
              <w:t>，</w:t>
            </w:r>
            <w:r>
              <w:rPr>
                <w:rFonts w:hint="eastAsia" w:ascii="Times New Roman" w:hAnsi="Times New Roman" w:eastAsia="宋体" w:cs="Times New Roman"/>
                <w:b w:val="0"/>
                <w:bCs w:val="0"/>
                <w:color w:val="auto"/>
                <w:sz w:val="24"/>
                <w:szCs w:val="24"/>
              </w:rPr>
              <w:t>覆土0.14</w:t>
            </w:r>
            <w:r>
              <w:rPr>
                <w:rFonts w:hint="default" w:ascii="Times New Roman" w:hAnsi="Times New Roman" w:eastAsia="宋体" w:cs="Times New Roman"/>
                <w:b w:val="0"/>
                <w:bCs w:val="0"/>
                <w:color w:val="auto"/>
                <w:sz w:val="24"/>
                <w:szCs w:val="24"/>
              </w:rPr>
              <w:t>万m</w:t>
            </w:r>
            <w:r>
              <w:rPr>
                <w:rFonts w:hint="default" w:ascii="Times New Roman" w:hAnsi="Times New Roman" w:eastAsia="宋体" w:cs="Times New Roman"/>
                <w:b w:val="0"/>
                <w:bCs w:val="0"/>
                <w:color w:val="auto"/>
                <w:sz w:val="24"/>
                <w:szCs w:val="24"/>
                <w:vertAlign w:val="superscript"/>
              </w:rPr>
              <w:t>3</w:t>
            </w:r>
            <w:r>
              <w:rPr>
                <w:rFonts w:hint="eastAsia"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rPr>
              <w:t>，余方2.85万m</w:t>
            </w:r>
            <w:r>
              <w:rPr>
                <w:rFonts w:hint="eastAsia" w:ascii="Times New Roman" w:hAnsi="Times New Roman" w:eastAsia="宋体" w:cs="Times New Roman"/>
                <w:b w:val="0"/>
                <w:bCs w:val="0"/>
                <w:color w:val="auto"/>
                <w:sz w:val="24"/>
                <w:szCs w:val="24"/>
                <w:vertAlign w:val="superscript"/>
              </w:rPr>
              <w:t>3</w:t>
            </w:r>
            <w:r>
              <w:rPr>
                <w:rFonts w:hint="eastAsia" w:ascii="Times New Roman" w:hAnsi="Times New Roman" w:eastAsia="宋体" w:cs="Times New Roman"/>
                <w:b w:val="0"/>
                <w:bCs w:val="0"/>
                <w:color w:val="auto"/>
                <w:sz w:val="24"/>
                <w:szCs w:val="24"/>
              </w:rPr>
              <w:t>砂卵石</w:t>
            </w:r>
            <w:r>
              <w:rPr>
                <w:rFonts w:hint="default" w:ascii="Times New Roman" w:hAnsi="Times New Roman" w:eastAsia="宋体" w:cs="Times New Roman"/>
                <w:b w:val="0"/>
                <w:bCs w:val="0"/>
                <w:color w:val="auto"/>
                <w:sz w:val="24"/>
                <w:szCs w:val="24"/>
              </w:rPr>
              <w:t>，</w:t>
            </w:r>
            <w:r>
              <w:rPr>
                <w:rFonts w:hint="eastAsia" w:ascii="Times New Roman" w:hAnsi="Times New Roman" w:eastAsia="宋体" w:cs="Times New Roman"/>
                <w:b w:val="0"/>
                <w:bCs w:val="0"/>
                <w:color w:val="auto"/>
                <w:sz w:val="24"/>
                <w:szCs w:val="24"/>
              </w:rPr>
              <w:t>运往</w:t>
            </w:r>
            <w:r>
              <w:rPr>
                <w:rFonts w:hint="eastAsia" w:ascii="Times New Roman" w:hAnsi="Times New Roman" w:eastAsia="宋体" w:cs="Times New Roman"/>
                <w:b w:val="0"/>
                <w:bCs w:val="0"/>
                <w:color w:val="auto"/>
                <w:sz w:val="24"/>
                <w:szCs w:val="24"/>
                <w:lang w:eastAsia="zh-CN"/>
              </w:rPr>
              <w:t>苏稽镇石鼓寺村老鸦滩</w:t>
            </w:r>
            <w:r>
              <w:rPr>
                <w:rFonts w:hint="eastAsia" w:ascii="Times New Roman" w:hAnsi="Times New Roman" w:eastAsia="宋体" w:cs="Times New Roman"/>
                <w:b w:val="0"/>
                <w:bCs w:val="0"/>
                <w:color w:val="auto"/>
                <w:sz w:val="24"/>
                <w:szCs w:val="24"/>
              </w:rPr>
              <w:t>堆料场堆放，后期</w:t>
            </w:r>
            <w:r>
              <w:rPr>
                <w:rFonts w:hint="eastAsia" w:ascii="Times New Roman" w:hAnsi="Times New Roman" w:eastAsia="宋体" w:cs="Times New Roman"/>
                <w:b w:val="0"/>
                <w:bCs w:val="0"/>
                <w:color w:val="auto"/>
                <w:sz w:val="24"/>
                <w:szCs w:val="24"/>
                <w:lang w:eastAsia="zh-CN"/>
              </w:rPr>
              <w:t>由乐山市市中区国有资产监督管理局</w:t>
            </w:r>
            <w:r>
              <w:rPr>
                <w:rFonts w:hint="eastAsia" w:ascii="Times New Roman" w:hAnsi="Times New Roman" w:eastAsia="宋体" w:cs="Times New Roman"/>
                <w:b w:val="0"/>
                <w:bCs w:val="0"/>
                <w:color w:val="auto"/>
                <w:sz w:val="24"/>
                <w:szCs w:val="24"/>
              </w:rPr>
              <w:t>统一</w:t>
            </w:r>
            <w:r>
              <w:rPr>
                <w:rFonts w:hint="eastAsia" w:ascii="Times New Roman" w:hAnsi="Times New Roman" w:eastAsia="宋体" w:cs="Times New Roman"/>
                <w:b w:val="0"/>
                <w:bCs w:val="0"/>
                <w:color w:val="auto"/>
                <w:sz w:val="24"/>
                <w:szCs w:val="24"/>
                <w:lang w:eastAsia="zh-CN"/>
              </w:rPr>
              <w:t>拍卖或利</w:t>
            </w:r>
            <w:r>
              <w:rPr>
                <w:rFonts w:hint="eastAsia" w:ascii="Times New Roman" w:hAnsi="Times New Roman" w:eastAsia="宋体" w:cs="Times New Roman"/>
                <w:b w:val="0"/>
                <w:bCs w:val="0"/>
                <w:color w:val="auto"/>
                <w:sz w:val="24"/>
                <w:szCs w:val="24"/>
              </w:rPr>
              <w:t>用</w:t>
            </w:r>
            <w:r>
              <w:rPr>
                <w:rFonts w:hint="default" w:ascii="Times New Roman" w:hAnsi="Times New Roman" w:eastAsia="宋体" w:cs="Times New Roman"/>
                <w:b w:val="0"/>
                <w:bCs w:val="0"/>
                <w:color w:val="auto"/>
                <w:sz w:val="24"/>
                <w:szCs w:val="24"/>
              </w:rPr>
              <w:t>。</w:t>
            </w:r>
          </w:p>
          <w:p>
            <w:pPr>
              <w:keepNext w:val="0"/>
              <w:keepLines w:val="0"/>
              <w:pageBreakBefore w:val="0"/>
              <w:widowControl w:val="0"/>
              <w:numPr>
                <w:ilvl w:val="0"/>
                <w:numId w:val="0"/>
              </w:numPr>
              <w:kinsoku/>
              <w:wordWrap/>
              <w:overflowPunct/>
              <w:topLinePunct w:val="0"/>
              <w:bidi w:val="0"/>
              <w:adjustRightInd w:val="0"/>
              <w:snapToGrid w:val="0"/>
              <w:spacing w:line="360" w:lineRule="auto"/>
              <w:ind w:leftChars="0" w:firstLine="482" w:firstLineChars="200"/>
              <w:textAlignment w:val="auto"/>
              <w:rPr>
                <w:rFonts w:hint="default" w:ascii="Times New Roman" w:hAnsi="Times New Roman" w:eastAsia="宋体" w:cs="Times New Roman"/>
                <w:color w:val="auto"/>
                <w:spacing w:val="0"/>
                <w:sz w:val="24"/>
                <w:szCs w:val="24"/>
                <w:lang w:val="en-US" w:eastAsia="zh-CN"/>
              </w:rPr>
            </w:pPr>
            <w:r>
              <w:rPr>
                <w:rFonts w:hint="default" w:ascii="Times New Roman" w:hAnsi="Times New Roman" w:eastAsia="宋体" w:cs="Times New Roman"/>
                <w:b/>
                <w:bCs/>
                <w:sz w:val="24"/>
                <w:szCs w:val="24"/>
                <w:lang w:val="en-US" w:eastAsia="zh-CN"/>
              </w:rPr>
              <w:t>采取以上措施后，项目施工期</w:t>
            </w:r>
            <w:r>
              <w:rPr>
                <w:rFonts w:hint="eastAsia" w:ascii="Times New Roman" w:hAnsi="Times New Roman" w:eastAsia="宋体" w:cs="Times New Roman"/>
                <w:b/>
                <w:bCs/>
                <w:sz w:val="24"/>
                <w:szCs w:val="24"/>
                <w:lang w:val="en-US" w:eastAsia="zh-CN"/>
              </w:rPr>
              <w:t>固体废物</w:t>
            </w:r>
            <w:r>
              <w:rPr>
                <w:rFonts w:hint="default" w:ascii="Times New Roman" w:hAnsi="Times New Roman" w:eastAsia="宋体" w:cs="Times New Roman"/>
                <w:b/>
                <w:bCs/>
                <w:sz w:val="24"/>
                <w:szCs w:val="24"/>
                <w:lang w:val="en-US" w:eastAsia="zh-CN"/>
              </w:rPr>
              <w:t>对环境影响较小。</w:t>
            </w:r>
          </w:p>
          <w:p>
            <w:pPr>
              <w:widowControl/>
              <w:adjustRightInd w:val="0"/>
              <w:snapToGrid w:val="0"/>
              <w:spacing w:line="360" w:lineRule="auto"/>
              <w:ind w:firstLine="482" w:firstLineChars="200"/>
              <w:jc w:val="left"/>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val="en-US" w:eastAsia="zh-CN"/>
              </w:rPr>
              <w:t>6、</w:t>
            </w:r>
            <w:r>
              <w:rPr>
                <w:rFonts w:hint="default" w:ascii="Times New Roman" w:hAnsi="Times New Roman" w:eastAsia="宋体" w:cs="Times New Roman"/>
                <w:b/>
                <w:bCs/>
                <w:sz w:val="24"/>
                <w:szCs w:val="24"/>
              </w:rPr>
              <w:t>临时用地恢复</w:t>
            </w:r>
            <w:r>
              <w:rPr>
                <w:rFonts w:hint="default" w:ascii="Times New Roman" w:hAnsi="Times New Roman" w:eastAsia="宋体" w:cs="Times New Roman"/>
                <w:b/>
                <w:bCs/>
                <w:sz w:val="24"/>
                <w:szCs w:val="24"/>
                <w:lang w:eastAsia="zh-CN"/>
              </w:rPr>
              <w:t>措施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工程建设期间，为减免工程施工对施工区造成的不利影响，工程施工设计中应尽量减少影响面积，把破坏程度降至最低。同时在施工完成后，利用本地物种，对施工区的植被进行恢复，这是影响区生态恢复的关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临时占地迹地恢复：</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rPr>
              <w:t>施工结束后</w:t>
            </w:r>
            <w:r>
              <w:rPr>
                <w:rFonts w:hint="eastAsia" w:ascii="Times New Roman" w:hAnsi="Times New Roman" w:eastAsia="宋体" w:cs="Times New Roman"/>
                <w:b w:val="0"/>
                <w:bCs w:val="0"/>
                <w:color w:val="auto"/>
                <w:sz w:val="24"/>
                <w:szCs w:val="24"/>
                <w:lang w:val="en-US" w:eastAsia="zh-CN"/>
              </w:rPr>
              <w:t>2个施工场地内的</w:t>
            </w:r>
            <w:r>
              <w:rPr>
                <w:rFonts w:hint="default" w:ascii="Times New Roman" w:hAnsi="Times New Roman" w:eastAsia="宋体" w:cs="Times New Roman"/>
                <w:b w:val="0"/>
                <w:bCs w:val="0"/>
                <w:color w:val="auto"/>
                <w:sz w:val="24"/>
                <w:szCs w:val="24"/>
              </w:rPr>
              <w:t>临时设施全面拆除</w:t>
            </w:r>
            <w:r>
              <w:rPr>
                <w:rFonts w:hint="eastAsia" w:ascii="Times New Roman" w:hAnsi="Times New Roman" w:eastAsia="宋体" w:cs="Times New Roman"/>
                <w:b w:val="0"/>
                <w:bCs w:val="0"/>
                <w:color w:val="auto"/>
                <w:sz w:val="24"/>
                <w:szCs w:val="24"/>
                <w:lang w:eastAsia="zh-CN"/>
              </w:rPr>
              <w:t>，应对厂区地面混凝土进行清理，地表建筑物进行拆除，剩余砂石进行清理，运至政府指定的渣场堆放</w:t>
            </w:r>
            <w:r>
              <w:rPr>
                <w:rFonts w:hint="default" w:ascii="Times New Roman" w:hAnsi="Times New Roman" w:eastAsia="宋体" w:cs="Times New Roman"/>
                <w:b w:val="0"/>
                <w:bCs w:val="0"/>
                <w:color w:val="auto"/>
                <w:sz w:val="24"/>
                <w:szCs w:val="24"/>
                <w:lang w:val="en-US" w:eastAsia="zh-CN"/>
              </w:rPr>
              <w:t>，撒播草籽等绿化，尽量减少项目施工对区域环境的影响。</w:t>
            </w:r>
          </w:p>
          <w:p>
            <w:pPr>
              <w:widowControl/>
              <w:adjustRightInd w:val="0"/>
              <w:snapToGrid w:val="0"/>
              <w:spacing w:line="360" w:lineRule="auto"/>
              <w:ind w:firstLine="482" w:firstLineChars="200"/>
              <w:jc w:val="left"/>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7、环境风险分析</w:t>
            </w:r>
          </w:p>
          <w:p>
            <w:pPr>
              <w:keepNext w:val="0"/>
              <w:keepLines w:val="0"/>
              <w:pageBreakBefore w:val="0"/>
              <w:widowControl w:val="0"/>
              <w:kinsoku/>
              <w:wordWrap/>
              <w:overflowPunct/>
              <w:topLinePunct w:val="0"/>
              <w:autoSpaceDE/>
              <w:autoSpaceDN/>
              <w:bidi w:val="0"/>
              <w:adjustRightInd/>
              <w:snapToGrid/>
              <w:spacing w:line="360" w:lineRule="auto"/>
              <w:ind w:left="0" w:right="0" w:firstLine="482"/>
              <w:textAlignment w:val="auto"/>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rPr>
              <w:t>环境风险评价是对建设项目建设和运行期间发生的可预测突发性事件或事故（一般不包括人为破坏及自然灾害）引起有毒有害、易燃易炸等物质泄漏，或突发事件产生的新的有毒有害物质，所造成的对人身安全与环境的影响和损害进行评估，提出防范、应急与减缓措施，使建设项目事故率、损失和环境影响达到可接受水平。环境风险评价应把事故引起厂（场）界外人群的伤害、环境质量的恶化及对</w:t>
            </w:r>
            <w:r>
              <w:rPr>
                <w:rFonts w:hint="eastAsia" w:ascii="Times New Roman" w:hAnsi="Times New Roman" w:eastAsia="宋体" w:cs="Times New Roman"/>
                <w:b w:val="0"/>
                <w:bCs w:val="0"/>
                <w:color w:val="auto"/>
                <w:sz w:val="24"/>
                <w:szCs w:val="24"/>
                <w:lang w:eastAsia="zh-CN"/>
              </w:rPr>
              <w:t>环境</w:t>
            </w:r>
            <w:r>
              <w:rPr>
                <w:rFonts w:hint="default" w:ascii="Times New Roman" w:hAnsi="Times New Roman" w:eastAsia="宋体" w:cs="Times New Roman"/>
                <w:b w:val="0"/>
                <w:bCs w:val="0"/>
                <w:color w:val="auto"/>
                <w:sz w:val="24"/>
                <w:szCs w:val="24"/>
              </w:rPr>
              <w:t>系统影</w:t>
            </w:r>
            <w:r>
              <w:rPr>
                <w:rFonts w:hint="default" w:ascii="Times New Roman" w:hAnsi="Times New Roman" w:eastAsia="宋体" w:cs="Times New Roman"/>
                <w:b w:val="0"/>
                <w:bCs w:val="0"/>
                <w:color w:val="auto"/>
                <w:sz w:val="24"/>
                <w:szCs w:val="24"/>
                <w:lang w:eastAsia="zh-CN"/>
              </w:rPr>
              <w:t>响的预测和防护作为评价工作重点。</w:t>
            </w:r>
          </w:p>
          <w:p>
            <w:pPr>
              <w:keepNext w:val="0"/>
              <w:keepLines w:val="0"/>
              <w:pageBreakBefore w:val="0"/>
              <w:widowControl w:val="0"/>
              <w:kinsoku/>
              <w:wordWrap/>
              <w:overflowPunct/>
              <w:topLinePunct w:val="0"/>
              <w:autoSpaceDE/>
              <w:autoSpaceDN/>
              <w:bidi w:val="0"/>
              <w:adjustRightInd/>
              <w:snapToGrid/>
              <w:spacing w:line="360" w:lineRule="auto"/>
              <w:ind w:left="0" w:right="0" w:firstLine="482"/>
              <w:textAlignment w:val="auto"/>
              <w:rPr>
                <w:rFonts w:hint="default" w:ascii="Times New Roman" w:hAnsi="Times New Roman" w:eastAsia="宋体" w:cs="Times New Roman"/>
                <w:b w:val="0"/>
                <w:bCs w:val="0"/>
                <w:color w:val="auto"/>
                <w:sz w:val="24"/>
                <w:szCs w:val="24"/>
                <w:lang w:eastAsia="zh-CN"/>
              </w:rPr>
            </w:pP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lang w:eastAsia="zh-CN"/>
              </w:rPr>
              <w:t>）风险源识别</w:t>
            </w:r>
          </w:p>
          <w:p>
            <w:pPr>
              <w:keepNext w:val="0"/>
              <w:keepLines w:val="0"/>
              <w:pageBreakBefore w:val="0"/>
              <w:widowControl w:val="0"/>
              <w:kinsoku/>
              <w:wordWrap/>
              <w:overflowPunct/>
              <w:topLinePunct w:val="0"/>
              <w:autoSpaceDE/>
              <w:autoSpaceDN/>
              <w:bidi w:val="0"/>
              <w:adjustRightInd/>
              <w:snapToGrid/>
              <w:spacing w:line="360" w:lineRule="auto"/>
              <w:ind w:left="0" w:right="0" w:firstLine="482"/>
              <w:textAlignment w:val="auto"/>
              <w:rPr>
                <w:rFonts w:hint="default" w:ascii="宋体" w:hAnsi="宋体" w:eastAsia="宋体" w:cs="宋体"/>
                <w:sz w:val="23"/>
                <w:szCs w:val="23"/>
                <w:lang w:val="en-US" w:eastAsia="zh-CN"/>
              </w:rPr>
            </w:pPr>
            <w:r>
              <w:rPr>
                <w:rFonts w:hint="eastAsia" w:ascii="Times New Roman" w:hAnsi="Times New Roman" w:eastAsia="宋体" w:cs="Times New Roman"/>
                <w:b w:val="0"/>
                <w:bCs w:val="0"/>
                <w:color w:val="auto"/>
                <w:sz w:val="24"/>
                <w:szCs w:val="24"/>
                <w:lang w:eastAsia="zh-CN"/>
              </w:rPr>
              <w:t>本项目不储存柴油，仅施工机械自带柴油，</w:t>
            </w:r>
            <w:r>
              <w:rPr>
                <w:rFonts w:hint="default" w:ascii="Times New Roman" w:hAnsi="Times New Roman" w:eastAsia="宋体" w:cs="Times New Roman"/>
                <w:b w:val="0"/>
                <w:bCs w:val="0"/>
                <w:color w:val="auto"/>
                <w:sz w:val="24"/>
                <w:szCs w:val="24"/>
                <w:lang w:eastAsia="zh-CN"/>
              </w:rPr>
              <w:t>工程建设对环境的影响主要为非污染生态影响，环境风险主要为外源风险，本工程的施工与运行主要是增加风险发生概率或加剧</w:t>
            </w:r>
            <w:r>
              <w:rPr>
                <w:rFonts w:hint="default" w:ascii="Times New Roman" w:hAnsi="Times New Roman" w:eastAsia="宋体" w:cs="Times New Roman"/>
                <w:b w:val="0"/>
                <w:bCs w:val="0"/>
                <w:color w:val="auto"/>
                <w:sz w:val="24"/>
                <w:szCs w:val="24"/>
              </w:rPr>
              <w:t>风险危害。根据本工程施工及运行特点、周围环境特点以及</w:t>
            </w:r>
            <w:r>
              <w:rPr>
                <w:rFonts w:hint="default" w:ascii="Times New Roman" w:hAnsi="Times New Roman" w:eastAsia="宋体" w:cs="Times New Roman"/>
                <w:b w:val="0"/>
                <w:bCs w:val="0"/>
                <w:color w:val="auto"/>
                <w:sz w:val="24"/>
                <w:szCs w:val="24"/>
                <w:lang w:eastAsia="zh-CN"/>
              </w:rPr>
              <w:t>工程与周围环境之间的关系，工程的建设、运行和管理中具有潜在风险的类型有：</w:t>
            </w:r>
            <w:r>
              <w:rPr>
                <w:rFonts w:hint="eastAsia" w:ascii="Times New Roman" w:hAnsi="Times New Roman" w:eastAsia="宋体" w:cs="Times New Roman"/>
                <w:b w:val="0"/>
                <w:bCs w:val="0"/>
                <w:color w:val="auto"/>
                <w:sz w:val="24"/>
                <w:szCs w:val="24"/>
                <w:lang w:eastAsia="zh-CN"/>
              </w:rPr>
              <w:t>①施工过程中生活、生产污废水发生事故排放对周边水体造成污染；②施工过程中的一些违章作业或操作不当引起的翻车漏油事故风险</w:t>
            </w:r>
            <w:r>
              <w:rPr>
                <w:rFonts w:hint="eastAsia" w:ascii="宋体" w:hAnsi="宋体" w:eastAsia="宋体" w:cs="宋体"/>
                <w:spacing w:val="8"/>
                <w:sz w:val="23"/>
                <w:szCs w:val="23"/>
                <w:lang w:eastAsia="zh-CN"/>
              </w:rPr>
              <w:t>；</w:t>
            </w:r>
            <w:r>
              <w:rPr>
                <w:rFonts w:hint="eastAsia" w:ascii="宋体" w:hAnsi="宋体" w:eastAsia="宋体" w:cs="宋体"/>
                <w:spacing w:val="8"/>
                <w:sz w:val="23"/>
                <w:szCs w:val="23"/>
                <w:lang w:val="en-US" w:eastAsia="zh-CN"/>
              </w:rPr>
              <w:t>③火灾爆炸。</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rPr>
              <w:t>根据各事件和事故的特性和产生方式、造成危害的途径、危害的后果与严重性分别对各风险进行分析，其结果见表</w:t>
            </w:r>
            <w:r>
              <w:rPr>
                <w:rFonts w:hint="default" w:ascii="Times New Roman" w:hAnsi="Times New Roman" w:eastAsia="宋体" w:cs="Times New Roman"/>
                <w:b w:val="0"/>
                <w:bCs w:val="0"/>
                <w:color w:val="auto"/>
                <w:sz w:val="24"/>
                <w:szCs w:val="24"/>
                <w:lang w:val="en-US" w:eastAsia="zh-CN"/>
              </w:rPr>
              <w:t>5</w:t>
            </w:r>
            <w:r>
              <w:rPr>
                <w:rFonts w:hint="default" w:ascii="Times New Roman" w:hAnsi="Times New Roman" w:eastAsia="宋体" w:cs="Times New Roman"/>
                <w:b w:val="0"/>
                <w:bCs w:val="0"/>
                <w:color w:val="auto"/>
                <w:sz w:val="24"/>
                <w:szCs w:val="24"/>
              </w:rPr>
              <w:t>-</w:t>
            </w:r>
            <w:r>
              <w:rPr>
                <w:rFonts w:hint="default" w:ascii="Times New Roman" w:hAnsi="Times New Roman" w:eastAsia="宋体" w:cs="Times New Roman"/>
                <w:b w:val="0"/>
                <w:bCs w:val="0"/>
                <w:color w:val="auto"/>
                <w:sz w:val="24"/>
                <w:szCs w:val="24"/>
                <w:lang w:val="en-US" w:eastAsia="zh-CN"/>
              </w:rPr>
              <w:t>1。</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kern w:val="0"/>
                <w:szCs w:val="21"/>
              </w:rPr>
            </w:pPr>
            <w:r>
              <w:rPr>
                <w:rFonts w:hint="default" w:ascii="Times New Roman" w:hAnsi="Times New Roman" w:eastAsia="宋体" w:cs="Times New Roman"/>
                <w:b/>
                <w:bCs w:val="0"/>
                <w:color w:val="auto"/>
                <w:kern w:val="0"/>
                <w:szCs w:val="21"/>
              </w:rPr>
              <w:t>表</w:t>
            </w:r>
            <w:r>
              <w:rPr>
                <w:rFonts w:hint="default" w:ascii="Times New Roman" w:hAnsi="Times New Roman" w:eastAsia="宋体" w:cs="Times New Roman"/>
                <w:b/>
                <w:bCs w:val="0"/>
                <w:color w:val="auto"/>
                <w:kern w:val="0"/>
                <w:szCs w:val="21"/>
                <w:lang w:val="en-US" w:eastAsia="zh-CN"/>
              </w:rPr>
              <w:t>5</w:t>
            </w:r>
            <w:r>
              <w:rPr>
                <w:rFonts w:hint="default" w:ascii="Times New Roman" w:hAnsi="Times New Roman" w:eastAsia="宋体" w:cs="Times New Roman"/>
                <w:b/>
                <w:bCs w:val="0"/>
                <w:color w:val="auto"/>
                <w:kern w:val="0"/>
                <w:szCs w:val="21"/>
              </w:rPr>
              <w:t>-</w:t>
            </w:r>
            <w:r>
              <w:rPr>
                <w:rFonts w:hint="default" w:ascii="Times New Roman" w:hAnsi="Times New Roman" w:eastAsia="宋体" w:cs="Times New Roman"/>
                <w:b/>
                <w:bCs w:val="0"/>
                <w:color w:val="auto"/>
                <w:kern w:val="0"/>
                <w:szCs w:val="21"/>
                <w:lang w:val="en-US" w:eastAsia="zh-CN"/>
              </w:rPr>
              <w:t>1</w:t>
            </w:r>
            <w:r>
              <w:rPr>
                <w:rFonts w:hint="default" w:ascii="Times New Roman" w:hAnsi="Times New Roman" w:eastAsia="宋体" w:cs="Times New Roman"/>
                <w:b/>
                <w:bCs w:val="0"/>
                <w:color w:val="auto"/>
                <w:kern w:val="0"/>
                <w:szCs w:val="21"/>
              </w:rPr>
              <w:t xml:space="preserve">  工程环境风险危害特征分析表</w:t>
            </w:r>
          </w:p>
          <w:tbl>
            <w:tblPr>
              <w:tblStyle w:val="4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3"/>
              <w:gridCol w:w="1119"/>
              <w:gridCol w:w="3273"/>
              <w:gridCol w:w="1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cs="Times New Roman"/>
                      <w:b/>
                      <w:color w:val="auto"/>
                      <w:kern w:val="0"/>
                      <w:sz w:val="21"/>
                      <w:szCs w:val="21"/>
                    </w:rPr>
                  </w:pPr>
                  <w:r>
                    <w:rPr>
                      <w:rFonts w:hint="default" w:ascii="Times New Roman" w:hAnsi="Times New Roman" w:eastAsia="宋体" w:cs="Times New Roman"/>
                      <w:b/>
                      <w:color w:val="auto"/>
                      <w:kern w:val="0"/>
                      <w:sz w:val="21"/>
                      <w:szCs w:val="21"/>
                    </w:rPr>
                    <w:t>风险类</w:t>
                  </w:r>
                  <w:r>
                    <w:rPr>
                      <w:rFonts w:hint="default" w:ascii="Times New Roman" w:hAnsi="Times New Roman" w:cs="Times New Roman"/>
                      <w:b/>
                      <w:color w:val="auto"/>
                      <w:kern w:val="0"/>
                      <w:sz w:val="21"/>
                      <w:szCs w:val="21"/>
                    </w:rPr>
                    <w:t>型</w:t>
                  </w:r>
                </w:p>
              </w:tc>
              <w:tc>
                <w:tcPr>
                  <w:tcW w:w="773"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子</w:t>
                  </w:r>
                  <w:r>
                    <w:rPr>
                      <w:rFonts w:hint="default" w:ascii="Times New Roman" w:hAnsi="Times New Roman" w:eastAsia="宋体" w:cs="Times New Roman"/>
                      <w:b/>
                      <w:color w:val="auto"/>
                      <w:kern w:val="0"/>
                      <w:sz w:val="21"/>
                      <w:szCs w:val="21"/>
                    </w:rPr>
                    <w:t>项</w:t>
                  </w:r>
                </w:p>
              </w:tc>
              <w:tc>
                <w:tcPr>
                  <w:tcW w:w="2261"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cs="Times New Roman"/>
                      <w:b/>
                      <w:color w:val="auto"/>
                      <w:kern w:val="0"/>
                      <w:sz w:val="21"/>
                      <w:szCs w:val="21"/>
                    </w:rPr>
                  </w:pPr>
                  <w:r>
                    <w:rPr>
                      <w:rFonts w:hint="default" w:ascii="Times New Roman" w:hAnsi="Times New Roman" w:eastAsia="宋体" w:cs="Times New Roman"/>
                      <w:b/>
                      <w:color w:val="auto"/>
                      <w:kern w:val="0"/>
                      <w:sz w:val="21"/>
                      <w:szCs w:val="21"/>
                    </w:rPr>
                    <w:t>产</w:t>
                  </w:r>
                  <w:r>
                    <w:rPr>
                      <w:rFonts w:hint="default" w:ascii="Times New Roman" w:hAnsi="Times New Roman" w:cs="Times New Roman"/>
                      <w:b/>
                      <w:color w:val="auto"/>
                      <w:kern w:val="0"/>
                      <w:sz w:val="21"/>
                      <w:szCs w:val="21"/>
                    </w:rPr>
                    <w:t>生方式和危害途</w:t>
                  </w:r>
                  <w:r>
                    <w:rPr>
                      <w:rFonts w:hint="default" w:ascii="Times New Roman" w:hAnsi="Times New Roman" w:eastAsia="宋体" w:cs="Times New Roman"/>
                      <w:b/>
                      <w:color w:val="auto"/>
                      <w:kern w:val="0"/>
                      <w:sz w:val="21"/>
                      <w:szCs w:val="21"/>
                    </w:rPr>
                    <w:t>径</w:t>
                  </w:r>
                </w:p>
              </w:tc>
              <w:tc>
                <w:tcPr>
                  <w:tcW w:w="1127"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后果</w:t>
                  </w:r>
                  <w:r>
                    <w:rPr>
                      <w:rFonts w:hint="default" w:ascii="Times New Roman" w:hAnsi="Times New Roman" w:eastAsia="宋体" w:cs="Times New Roman"/>
                      <w:b/>
                      <w:color w:val="auto"/>
                      <w:kern w:val="0"/>
                      <w:sz w:val="21"/>
                      <w:szCs w:val="21"/>
                    </w:rPr>
                    <w:t>与严</w:t>
                  </w:r>
                  <w:r>
                    <w:rPr>
                      <w:rFonts w:hint="default" w:ascii="Times New Roman" w:hAnsi="Times New Roman" w:cs="Times New Roman"/>
                      <w:b/>
                      <w:color w:val="auto"/>
                      <w:kern w:val="0"/>
                      <w:sz w:val="21"/>
                      <w:szCs w:val="21"/>
                    </w:rPr>
                    <w:t>重性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38"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cs="Times New Roman"/>
                      <w:b/>
                      <w:color w:val="auto"/>
                      <w:kern w:val="0"/>
                      <w:sz w:val="21"/>
                      <w:szCs w:val="21"/>
                    </w:rPr>
                  </w:pPr>
                  <w:r>
                    <w:rPr>
                      <w:rFonts w:hint="default" w:ascii="Times New Roman" w:hAnsi="Times New Roman" w:cs="Times New Roman"/>
                      <w:color w:val="auto"/>
                      <w:kern w:val="0"/>
                      <w:sz w:val="21"/>
                      <w:szCs w:val="21"/>
                    </w:rPr>
                    <w:t>水</w:t>
                  </w:r>
                  <w:r>
                    <w:rPr>
                      <w:rFonts w:hint="default" w:ascii="Times New Roman" w:hAnsi="Times New Roman" w:eastAsia="宋体" w:cs="Times New Roman"/>
                      <w:color w:val="auto"/>
                      <w:kern w:val="0"/>
                      <w:sz w:val="21"/>
                      <w:szCs w:val="21"/>
                    </w:rPr>
                    <w:t>环</w:t>
                  </w:r>
                  <w:r>
                    <w:rPr>
                      <w:rFonts w:hint="default" w:ascii="Times New Roman" w:hAnsi="Times New Roman" w:cs="Times New Roman"/>
                      <w:color w:val="auto"/>
                      <w:kern w:val="0"/>
                      <w:sz w:val="21"/>
                      <w:szCs w:val="21"/>
                    </w:rPr>
                    <w:t>境</w:t>
                  </w:r>
                  <w:r>
                    <w:rPr>
                      <w:rFonts w:hint="default" w:ascii="Times New Roman" w:hAnsi="Times New Roman" w:eastAsia="宋体" w:cs="Times New Roman"/>
                      <w:color w:val="auto"/>
                      <w:kern w:val="0"/>
                      <w:sz w:val="21"/>
                      <w:szCs w:val="21"/>
                    </w:rPr>
                    <w:t>风险</w:t>
                  </w:r>
                </w:p>
              </w:tc>
              <w:tc>
                <w:tcPr>
                  <w:tcW w:w="773"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cs="Times New Roman"/>
                      <w:b/>
                      <w:color w:val="auto"/>
                      <w:kern w:val="0"/>
                      <w:sz w:val="21"/>
                      <w:szCs w:val="21"/>
                    </w:rPr>
                  </w:pPr>
                  <w:r>
                    <w:rPr>
                      <w:rFonts w:hint="default" w:ascii="Times New Roman" w:hAnsi="Times New Roman" w:cs="Times New Roman"/>
                      <w:color w:val="auto"/>
                      <w:kern w:val="0"/>
                      <w:sz w:val="21"/>
                      <w:szCs w:val="21"/>
                    </w:rPr>
                    <w:t>水</w:t>
                  </w:r>
                  <w:r>
                    <w:rPr>
                      <w:rFonts w:hint="default" w:ascii="Times New Roman" w:hAnsi="Times New Roman" w:eastAsia="宋体" w:cs="Times New Roman"/>
                      <w:color w:val="auto"/>
                      <w:kern w:val="0"/>
                      <w:sz w:val="21"/>
                      <w:szCs w:val="21"/>
                    </w:rPr>
                    <w:t>质恶</w:t>
                  </w:r>
                  <w:r>
                    <w:rPr>
                      <w:rFonts w:hint="default" w:ascii="Times New Roman" w:hAnsi="Times New Roman" w:cs="Times New Roman"/>
                      <w:color w:val="auto"/>
                      <w:kern w:val="0"/>
                      <w:sz w:val="21"/>
                      <w:szCs w:val="21"/>
                    </w:rPr>
                    <w:t>化</w:t>
                  </w:r>
                </w:p>
              </w:tc>
              <w:tc>
                <w:tcPr>
                  <w:tcW w:w="2261"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eastAsia="宋体" w:cs="Times New Roman"/>
                      <w:b/>
                      <w:color w:val="auto"/>
                      <w:kern w:val="0"/>
                      <w:sz w:val="21"/>
                      <w:szCs w:val="21"/>
                      <w:lang w:eastAsia="zh-CN"/>
                    </w:rPr>
                  </w:pPr>
                  <w:r>
                    <w:rPr>
                      <w:rFonts w:hint="default" w:ascii="Times New Roman" w:hAnsi="Times New Roman" w:cs="Times New Roman"/>
                      <w:color w:val="auto"/>
                      <w:kern w:val="0"/>
                      <w:sz w:val="21"/>
                      <w:szCs w:val="21"/>
                      <w:lang w:val="en-US" w:eastAsia="zh-CN"/>
                    </w:rPr>
                    <w:t>施工期废水</w:t>
                  </w:r>
                  <w:r>
                    <w:rPr>
                      <w:rFonts w:hint="default" w:ascii="Times New Roman" w:hAnsi="Times New Roman" w:cs="Times New Roman"/>
                      <w:color w:val="auto"/>
                      <w:kern w:val="0"/>
                      <w:sz w:val="21"/>
                      <w:szCs w:val="21"/>
                    </w:rPr>
                    <w:t>等排入</w:t>
                  </w:r>
                  <w:r>
                    <w:rPr>
                      <w:rFonts w:hint="eastAsia" w:ascii="Times New Roman" w:hAnsi="Times New Roman" w:cs="Times New Roman"/>
                      <w:color w:val="auto"/>
                      <w:kern w:val="0"/>
                      <w:sz w:val="21"/>
                      <w:szCs w:val="21"/>
                      <w:lang w:val="en-US" w:eastAsia="zh-CN"/>
                    </w:rPr>
                    <w:t>峨眉河</w:t>
                  </w:r>
                </w:p>
              </w:tc>
              <w:tc>
                <w:tcPr>
                  <w:tcW w:w="1127"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cs="Times New Roman"/>
                      <w:b/>
                      <w:color w:val="auto"/>
                      <w:kern w:val="0"/>
                      <w:sz w:val="21"/>
                      <w:szCs w:val="21"/>
                    </w:rPr>
                  </w:pPr>
                  <w:r>
                    <w:rPr>
                      <w:rFonts w:hint="default" w:ascii="Times New Roman" w:hAnsi="Times New Roman" w:cs="Times New Roman"/>
                      <w:color w:val="auto"/>
                      <w:kern w:val="0"/>
                      <w:sz w:val="21"/>
                      <w:szCs w:val="21"/>
                    </w:rPr>
                    <w:t>水</w:t>
                  </w:r>
                  <w:r>
                    <w:rPr>
                      <w:rFonts w:hint="default" w:ascii="Times New Roman" w:hAnsi="Times New Roman" w:eastAsia="宋体" w:cs="Times New Roman"/>
                      <w:color w:val="auto"/>
                      <w:kern w:val="0"/>
                      <w:sz w:val="21"/>
                      <w:szCs w:val="21"/>
                    </w:rPr>
                    <w:t>质恶</w:t>
                  </w:r>
                  <w:r>
                    <w:rPr>
                      <w:rFonts w:hint="default" w:ascii="Times New Roman" w:hAnsi="Times New Roman" w:cs="Times New Roman"/>
                      <w:color w:val="auto"/>
                      <w:kern w:val="0"/>
                      <w:sz w:val="21"/>
                      <w:szCs w:val="21"/>
                    </w:rPr>
                    <w:t>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cs="Times New Roman"/>
                      <w:b/>
                      <w:color w:val="auto"/>
                      <w:kern w:val="0"/>
                      <w:sz w:val="21"/>
                      <w:szCs w:val="21"/>
                    </w:rPr>
                  </w:pPr>
                  <w:r>
                    <w:rPr>
                      <w:rFonts w:hint="default" w:ascii="Times New Roman" w:hAnsi="Times New Roman" w:cs="Times New Roman"/>
                      <w:color w:val="auto"/>
                      <w:kern w:val="0"/>
                      <w:sz w:val="21"/>
                      <w:szCs w:val="21"/>
                    </w:rPr>
                    <w:t>生</w:t>
                  </w:r>
                  <w:r>
                    <w:rPr>
                      <w:rFonts w:hint="default" w:ascii="Times New Roman" w:hAnsi="Times New Roman" w:eastAsia="宋体" w:cs="Times New Roman"/>
                      <w:color w:val="auto"/>
                      <w:kern w:val="0"/>
                      <w:sz w:val="21"/>
                      <w:szCs w:val="21"/>
                    </w:rPr>
                    <w:t>态环</w:t>
                  </w:r>
                  <w:r>
                    <w:rPr>
                      <w:rFonts w:hint="default" w:ascii="Times New Roman" w:hAnsi="Times New Roman" w:cs="Times New Roman"/>
                      <w:color w:val="auto"/>
                      <w:kern w:val="0"/>
                      <w:sz w:val="21"/>
                      <w:szCs w:val="21"/>
                    </w:rPr>
                    <w:t>境</w:t>
                  </w:r>
                  <w:r>
                    <w:rPr>
                      <w:rFonts w:hint="default" w:ascii="Times New Roman" w:hAnsi="Times New Roman" w:eastAsia="宋体" w:cs="Times New Roman"/>
                      <w:color w:val="auto"/>
                      <w:kern w:val="0"/>
                      <w:sz w:val="21"/>
                      <w:szCs w:val="21"/>
                    </w:rPr>
                    <w:t>风险</w:t>
                  </w:r>
                </w:p>
              </w:tc>
              <w:tc>
                <w:tcPr>
                  <w:tcW w:w="773"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cs="Times New Roman"/>
                      <w:b/>
                      <w:color w:val="auto"/>
                      <w:kern w:val="0"/>
                      <w:sz w:val="21"/>
                      <w:szCs w:val="21"/>
                    </w:rPr>
                  </w:pPr>
                  <w:r>
                    <w:rPr>
                      <w:rFonts w:hint="default" w:ascii="Times New Roman" w:hAnsi="Times New Roman" w:cs="Times New Roman"/>
                      <w:color w:val="auto"/>
                      <w:kern w:val="0"/>
                      <w:sz w:val="21"/>
                      <w:szCs w:val="21"/>
                    </w:rPr>
                    <w:t>物</w:t>
                  </w:r>
                  <w:r>
                    <w:rPr>
                      <w:rFonts w:hint="default" w:ascii="Times New Roman" w:hAnsi="Times New Roman" w:eastAsia="宋体" w:cs="Times New Roman"/>
                      <w:color w:val="auto"/>
                      <w:kern w:val="0"/>
                      <w:sz w:val="21"/>
                      <w:szCs w:val="21"/>
                    </w:rPr>
                    <w:t>种减</w:t>
                  </w:r>
                  <w:r>
                    <w:rPr>
                      <w:rFonts w:hint="default" w:ascii="Times New Roman" w:hAnsi="Times New Roman" w:cs="Times New Roman"/>
                      <w:color w:val="auto"/>
                      <w:kern w:val="0"/>
                      <w:sz w:val="21"/>
                      <w:szCs w:val="21"/>
                    </w:rPr>
                    <w:t>少</w:t>
                  </w:r>
                </w:p>
              </w:tc>
              <w:tc>
                <w:tcPr>
                  <w:tcW w:w="2261"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cs="Times New Roman"/>
                      <w:b/>
                      <w:color w:val="auto"/>
                      <w:kern w:val="0"/>
                      <w:sz w:val="21"/>
                      <w:szCs w:val="21"/>
                    </w:rPr>
                  </w:pPr>
                  <w:r>
                    <w:rPr>
                      <w:rFonts w:hint="default" w:ascii="Times New Roman" w:hAnsi="Times New Roman" w:cs="Times New Roman"/>
                      <w:color w:val="auto"/>
                      <w:kern w:val="0"/>
                      <w:sz w:val="21"/>
                      <w:szCs w:val="21"/>
                    </w:rPr>
                    <w:t>施工占地、水</w:t>
                  </w:r>
                  <w:r>
                    <w:rPr>
                      <w:rFonts w:hint="default" w:ascii="Times New Roman" w:hAnsi="Times New Roman" w:eastAsia="宋体" w:cs="Times New Roman"/>
                      <w:color w:val="auto"/>
                      <w:kern w:val="0"/>
                      <w:sz w:val="21"/>
                      <w:szCs w:val="21"/>
                    </w:rPr>
                    <w:t>质恶</w:t>
                  </w:r>
                  <w:r>
                    <w:rPr>
                      <w:rFonts w:hint="default" w:ascii="Times New Roman" w:hAnsi="Times New Roman" w:cs="Times New Roman"/>
                      <w:color w:val="auto"/>
                      <w:kern w:val="0"/>
                      <w:sz w:val="21"/>
                      <w:szCs w:val="21"/>
                    </w:rPr>
                    <w:t>化造成</w:t>
                  </w:r>
                  <w:r>
                    <w:rPr>
                      <w:rFonts w:hint="default" w:ascii="Times New Roman" w:hAnsi="Times New Roman" w:eastAsia="宋体" w:cs="Times New Roman"/>
                      <w:color w:val="auto"/>
                      <w:kern w:val="0"/>
                      <w:sz w:val="21"/>
                      <w:szCs w:val="21"/>
                    </w:rPr>
                    <w:t>对陆</w:t>
                  </w:r>
                  <w:r>
                    <w:rPr>
                      <w:rFonts w:hint="default" w:ascii="Times New Roman" w:hAnsi="Times New Roman" w:cs="Times New Roman"/>
                      <w:color w:val="auto"/>
                      <w:kern w:val="0"/>
                      <w:sz w:val="21"/>
                      <w:szCs w:val="21"/>
                    </w:rPr>
                    <w:t>生</w:t>
                  </w:r>
                  <w:r>
                    <w:rPr>
                      <w:rFonts w:hint="default" w:ascii="Times New Roman" w:hAnsi="Times New Roman" w:eastAsia="宋体" w:cs="Times New Roman"/>
                      <w:color w:val="auto"/>
                      <w:kern w:val="0"/>
                      <w:sz w:val="21"/>
                      <w:szCs w:val="21"/>
                    </w:rPr>
                    <w:t>动</w:t>
                  </w:r>
                  <w:r>
                    <w:rPr>
                      <w:rFonts w:hint="default" w:ascii="Times New Roman" w:hAnsi="Times New Roman" w:cs="Times New Roman"/>
                      <w:color w:val="auto"/>
                      <w:kern w:val="0"/>
                      <w:sz w:val="21"/>
                      <w:szCs w:val="21"/>
                    </w:rPr>
                    <w:t>植物、水生生物造成影</w:t>
                  </w:r>
                  <w:r>
                    <w:rPr>
                      <w:rFonts w:hint="default" w:ascii="Times New Roman" w:hAnsi="Times New Roman" w:eastAsia="宋体" w:cs="Times New Roman"/>
                      <w:color w:val="auto"/>
                      <w:kern w:val="0"/>
                      <w:sz w:val="21"/>
                      <w:szCs w:val="21"/>
                    </w:rPr>
                    <w:t>响</w:t>
                  </w:r>
                </w:p>
              </w:tc>
              <w:tc>
                <w:tcPr>
                  <w:tcW w:w="1127"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cs="Times New Roman"/>
                      <w:b/>
                      <w:color w:val="auto"/>
                      <w:kern w:val="0"/>
                      <w:sz w:val="21"/>
                      <w:szCs w:val="21"/>
                    </w:rPr>
                  </w:pPr>
                  <w:r>
                    <w:rPr>
                      <w:rFonts w:hint="default" w:ascii="Times New Roman" w:hAnsi="Times New Roman" w:cs="Times New Roman"/>
                      <w:color w:val="auto"/>
                      <w:kern w:val="0"/>
                      <w:sz w:val="21"/>
                      <w:szCs w:val="21"/>
                    </w:rPr>
                    <w:t>物</w:t>
                  </w:r>
                  <w:r>
                    <w:rPr>
                      <w:rFonts w:hint="default" w:ascii="Times New Roman" w:hAnsi="Times New Roman" w:eastAsia="宋体" w:cs="Times New Roman"/>
                      <w:color w:val="auto"/>
                      <w:kern w:val="0"/>
                      <w:sz w:val="21"/>
                      <w:szCs w:val="21"/>
                    </w:rPr>
                    <w:t>种减</w:t>
                  </w:r>
                  <w:r>
                    <w:rPr>
                      <w:rFonts w:hint="default" w:ascii="Times New Roman" w:hAnsi="Times New Roman" w:cs="Times New Roman"/>
                      <w:color w:val="auto"/>
                      <w:kern w:val="0"/>
                      <w:sz w:val="21"/>
                      <w:szCs w:val="21"/>
                    </w:rPr>
                    <w:t>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8"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cs="Times New Roman"/>
                      <w:b/>
                      <w:color w:val="auto"/>
                      <w:kern w:val="0"/>
                      <w:sz w:val="21"/>
                      <w:szCs w:val="21"/>
                    </w:rPr>
                  </w:pPr>
                  <w:r>
                    <w:rPr>
                      <w:rFonts w:hint="default" w:ascii="Times New Roman" w:hAnsi="Times New Roman" w:cs="Times New Roman"/>
                      <w:color w:val="auto"/>
                      <w:kern w:val="0"/>
                      <w:sz w:val="21"/>
                      <w:szCs w:val="21"/>
                    </w:rPr>
                    <w:t>火灾爆炸</w:t>
                  </w:r>
                </w:p>
              </w:tc>
              <w:tc>
                <w:tcPr>
                  <w:tcW w:w="773"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cs="Times New Roman"/>
                      <w:b/>
                      <w:color w:val="auto"/>
                      <w:kern w:val="0"/>
                      <w:sz w:val="21"/>
                      <w:szCs w:val="21"/>
                    </w:rPr>
                  </w:pPr>
                  <w:r>
                    <w:rPr>
                      <w:rFonts w:hint="default" w:ascii="Times New Roman" w:hAnsi="Times New Roman" w:cs="Times New Roman"/>
                      <w:color w:val="auto"/>
                      <w:kern w:val="0"/>
                      <w:sz w:val="21"/>
                      <w:szCs w:val="21"/>
                    </w:rPr>
                    <w:t>火灾爆炸</w:t>
                  </w:r>
                </w:p>
              </w:tc>
              <w:tc>
                <w:tcPr>
                  <w:tcW w:w="2261"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cs="Times New Roman"/>
                      <w:b/>
                      <w:color w:val="auto"/>
                      <w:kern w:val="0"/>
                      <w:sz w:val="21"/>
                      <w:szCs w:val="21"/>
                    </w:rPr>
                  </w:pPr>
                  <w:r>
                    <w:rPr>
                      <w:rFonts w:hint="default" w:ascii="Times New Roman" w:hAnsi="Times New Roman" w:cs="Times New Roman"/>
                      <w:color w:val="auto"/>
                      <w:kern w:val="0"/>
                      <w:sz w:val="21"/>
                      <w:szCs w:val="21"/>
                    </w:rPr>
                    <w:t>施工</w:t>
                  </w:r>
                  <w:r>
                    <w:rPr>
                      <w:rFonts w:hint="default" w:ascii="Times New Roman" w:hAnsi="Times New Roman" w:eastAsia="宋体" w:cs="Times New Roman"/>
                      <w:color w:val="auto"/>
                      <w:kern w:val="0"/>
                      <w:sz w:val="21"/>
                      <w:szCs w:val="21"/>
                    </w:rPr>
                    <w:t>场</w:t>
                  </w:r>
                  <w:r>
                    <w:rPr>
                      <w:rFonts w:hint="default" w:ascii="Times New Roman" w:hAnsi="Times New Roman" w:cs="Times New Roman"/>
                      <w:color w:val="auto"/>
                      <w:kern w:val="0"/>
                      <w:sz w:val="21"/>
                      <w:szCs w:val="21"/>
                    </w:rPr>
                    <w:t>地等因</w:t>
                  </w:r>
                  <w:r>
                    <w:rPr>
                      <w:rFonts w:hint="default" w:ascii="Times New Roman" w:hAnsi="Times New Roman" w:eastAsia="宋体" w:cs="Times New Roman"/>
                      <w:color w:val="auto"/>
                      <w:kern w:val="0"/>
                      <w:sz w:val="21"/>
                      <w:szCs w:val="21"/>
                    </w:rPr>
                    <w:t>电</w:t>
                  </w:r>
                  <w:r>
                    <w:rPr>
                      <w:rFonts w:hint="default" w:ascii="Times New Roman" w:hAnsi="Times New Roman" w:cs="Times New Roman"/>
                      <w:color w:val="auto"/>
                      <w:kern w:val="0"/>
                      <w:sz w:val="21"/>
                      <w:szCs w:val="21"/>
                    </w:rPr>
                    <w:t>路短路、烟</w:t>
                  </w:r>
                  <w:r>
                    <w:rPr>
                      <w:rFonts w:hint="default" w:ascii="Times New Roman" w:hAnsi="Times New Roman" w:eastAsia="宋体" w:cs="Times New Roman"/>
                      <w:color w:val="auto"/>
                      <w:kern w:val="0"/>
                      <w:sz w:val="21"/>
                      <w:szCs w:val="21"/>
                    </w:rPr>
                    <w:t>头</w:t>
                  </w:r>
                  <w:r>
                    <w:rPr>
                      <w:rFonts w:hint="default" w:ascii="Times New Roman" w:hAnsi="Times New Roman" w:cs="Times New Roman"/>
                      <w:color w:val="auto"/>
                      <w:kern w:val="0"/>
                      <w:sz w:val="21"/>
                      <w:szCs w:val="21"/>
                    </w:rPr>
                    <w:t>、生火取暖、照明等原因而引起的火灾；油料泄漏等引起的火灾爆炸</w:t>
                  </w:r>
                </w:p>
              </w:tc>
              <w:tc>
                <w:tcPr>
                  <w:tcW w:w="1127" w:type="pct"/>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jc w:val="center"/>
                    <w:rPr>
                      <w:rFonts w:hint="default" w:ascii="Times New Roman" w:hAnsi="Times New Roman" w:cs="Times New Roman"/>
                      <w:b/>
                      <w:color w:val="auto"/>
                      <w:kern w:val="0"/>
                      <w:sz w:val="21"/>
                      <w:szCs w:val="21"/>
                    </w:rPr>
                  </w:pPr>
                  <w:r>
                    <w:rPr>
                      <w:rFonts w:hint="default" w:ascii="Times New Roman" w:hAnsi="Times New Roman" w:cs="Times New Roman"/>
                      <w:color w:val="auto"/>
                      <w:kern w:val="0"/>
                      <w:sz w:val="21"/>
                      <w:szCs w:val="21"/>
                    </w:rPr>
                    <w:t>生命</w:t>
                  </w:r>
                  <w:r>
                    <w:rPr>
                      <w:rFonts w:hint="default" w:ascii="Times New Roman" w:hAnsi="Times New Roman" w:eastAsia="宋体" w:cs="Times New Roman"/>
                      <w:color w:val="auto"/>
                      <w:kern w:val="0"/>
                      <w:sz w:val="21"/>
                      <w:szCs w:val="21"/>
                    </w:rPr>
                    <w:t>财产损</w:t>
                  </w:r>
                  <w:r>
                    <w:rPr>
                      <w:rFonts w:hint="default" w:ascii="Times New Roman" w:hAnsi="Times New Roman" w:cs="Times New Roman"/>
                      <w:color w:val="auto"/>
                      <w:kern w:val="0"/>
                      <w:sz w:val="21"/>
                      <w:szCs w:val="21"/>
                    </w:rPr>
                    <w:t>失，影</w:t>
                  </w:r>
                  <w:r>
                    <w:rPr>
                      <w:rFonts w:hint="default" w:ascii="Times New Roman" w:hAnsi="Times New Roman" w:eastAsia="宋体" w:cs="Times New Roman"/>
                      <w:color w:val="auto"/>
                      <w:kern w:val="0"/>
                      <w:sz w:val="21"/>
                      <w:szCs w:val="21"/>
                    </w:rPr>
                    <w:t>响</w:t>
                  </w:r>
                  <w:r>
                    <w:rPr>
                      <w:rFonts w:hint="default" w:ascii="Times New Roman" w:hAnsi="Times New Roman" w:cs="Times New Roman"/>
                      <w:color w:val="auto"/>
                      <w:kern w:val="0"/>
                      <w:sz w:val="21"/>
                      <w:szCs w:val="21"/>
                    </w:rPr>
                    <w:t>施工</w:t>
                  </w:r>
                  <w:r>
                    <w:rPr>
                      <w:rFonts w:hint="default" w:ascii="Times New Roman" w:hAnsi="Times New Roman" w:eastAsia="宋体" w:cs="Times New Roman"/>
                      <w:color w:val="auto"/>
                      <w:kern w:val="0"/>
                      <w:sz w:val="21"/>
                      <w:szCs w:val="21"/>
                    </w:rPr>
                    <w:t>进</w:t>
                  </w:r>
                  <w:r>
                    <w:rPr>
                      <w:rFonts w:hint="default" w:ascii="Times New Roman" w:hAnsi="Times New Roman" w:cs="Times New Roman"/>
                      <w:color w:val="auto"/>
                      <w:kern w:val="0"/>
                      <w:sz w:val="21"/>
                      <w:szCs w:val="21"/>
                    </w:rPr>
                    <w:t>度</w:t>
                  </w:r>
                </w:p>
              </w:tc>
            </w:tr>
          </w:tbl>
          <w:p>
            <w:pPr>
              <w:widowControl/>
              <w:adjustRightInd w:val="0"/>
              <w:snapToGrid w:val="0"/>
              <w:spacing w:line="360" w:lineRule="auto"/>
              <w:ind w:firstLine="480" w:firstLineChars="200"/>
              <w:jc w:val="left"/>
              <w:rPr>
                <w:rFonts w:hint="default" w:ascii="Times New Roman" w:hAnsi="Times New Roman" w:cs="Times New Roman"/>
                <w:bCs/>
                <w:color w:val="auto"/>
                <w:sz w:val="24"/>
              </w:rPr>
            </w:pPr>
            <w:r>
              <w:rPr>
                <w:rFonts w:hint="default" w:ascii="Times New Roman" w:hAnsi="Times New Roman" w:cs="Times New Roman"/>
                <w:bCs/>
                <w:color w:val="auto"/>
                <w:kern w:val="0"/>
                <w:sz w:val="24"/>
              </w:rPr>
              <w:t>（</w:t>
            </w:r>
            <w:r>
              <w:rPr>
                <w:rFonts w:hint="default" w:ascii="Times New Roman" w:hAnsi="Times New Roman" w:cs="Times New Roman"/>
                <w:bCs/>
                <w:color w:val="auto"/>
                <w:kern w:val="0"/>
                <w:sz w:val="24"/>
                <w:lang w:val="en-US" w:eastAsia="zh-CN"/>
              </w:rPr>
              <w:t>2</w:t>
            </w:r>
            <w:r>
              <w:rPr>
                <w:rFonts w:hint="default" w:ascii="Times New Roman" w:hAnsi="Times New Roman" w:cs="Times New Roman"/>
                <w:bCs/>
                <w:color w:val="auto"/>
                <w:kern w:val="0"/>
                <w:sz w:val="24"/>
              </w:rPr>
              <w:t>）</w:t>
            </w:r>
            <w:r>
              <w:rPr>
                <w:rFonts w:hint="default" w:ascii="Times New Roman" w:hAnsi="Times New Roman" w:eastAsia="宋体" w:cs="Times New Roman"/>
                <w:bCs/>
                <w:color w:val="auto"/>
                <w:kern w:val="0"/>
                <w:sz w:val="24"/>
              </w:rPr>
              <w:t>风险</w:t>
            </w:r>
            <w:r>
              <w:rPr>
                <w:rFonts w:hint="default" w:ascii="Times New Roman" w:hAnsi="Times New Roman" w:cs="Times New Roman"/>
                <w:bCs/>
                <w:color w:val="auto"/>
                <w:kern w:val="0"/>
                <w:sz w:val="24"/>
              </w:rPr>
              <w:t>防范措施</w:t>
            </w:r>
          </w:p>
          <w:p>
            <w:pPr>
              <w:widowControl/>
              <w:adjustRightInd w:val="0"/>
              <w:snapToGrid w:val="0"/>
              <w:spacing w:line="360" w:lineRule="auto"/>
              <w:ind w:firstLine="480" w:firstLineChars="200"/>
              <w:jc w:val="left"/>
              <w:rPr>
                <w:rFonts w:hint="default" w:ascii="Times New Roman" w:hAnsi="Times New Roman" w:cs="Times New Roman"/>
                <w:bCs/>
                <w:color w:val="auto"/>
                <w:sz w:val="24"/>
              </w:rPr>
            </w:pPr>
            <w:r>
              <w:rPr>
                <w:rFonts w:hint="eastAsia" w:ascii="Times New Roman" w:hAnsi="Times New Roman" w:cs="Times New Roman"/>
                <w:bCs/>
                <w:color w:val="auto"/>
                <w:kern w:val="0"/>
                <w:sz w:val="24"/>
                <w:lang w:val="en-US" w:eastAsia="zh-CN"/>
              </w:rPr>
              <w:t>1）</w:t>
            </w:r>
            <w:r>
              <w:rPr>
                <w:rFonts w:hint="default" w:ascii="Times New Roman" w:hAnsi="Times New Roman" w:cs="Times New Roman"/>
                <w:bCs/>
                <w:color w:val="auto"/>
                <w:kern w:val="0"/>
                <w:sz w:val="24"/>
              </w:rPr>
              <w:t>政府有</w:t>
            </w:r>
            <w:r>
              <w:rPr>
                <w:rFonts w:hint="default" w:ascii="Times New Roman" w:hAnsi="Times New Roman" w:eastAsia="宋体" w:cs="Times New Roman"/>
                <w:bCs/>
                <w:color w:val="auto"/>
                <w:kern w:val="0"/>
                <w:sz w:val="24"/>
              </w:rPr>
              <w:t>关</w:t>
            </w:r>
            <w:r>
              <w:rPr>
                <w:rFonts w:hint="default" w:ascii="Times New Roman" w:hAnsi="Times New Roman" w:cs="Times New Roman"/>
                <w:bCs/>
                <w:color w:val="auto"/>
                <w:kern w:val="0"/>
                <w:sz w:val="24"/>
              </w:rPr>
              <w:t>部</w:t>
            </w:r>
            <w:r>
              <w:rPr>
                <w:rFonts w:hint="default" w:ascii="Times New Roman" w:hAnsi="Times New Roman" w:eastAsia="宋体" w:cs="Times New Roman"/>
                <w:bCs/>
                <w:color w:val="auto"/>
                <w:kern w:val="0"/>
                <w:sz w:val="24"/>
              </w:rPr>
              <w:t>门</w:t>
            </w:r>
            <w:r>
              <w:rPr>
                <w:rFonts w:hint="default" w:ascii="Times New Roman" w:hAnsi="Times New Roman" w:cs="Times New Roman"/>
                <w:bCs/>
                <w:color w:val="auto"/>
                <w:kern w:val="0"/>
                <w:sz w:val="24"/>
              </w:rPr>
              <w:t>及工程管理机</w:t>
            </w:r>
            <w:r>
              <w:rPr>
                <w:rFonts w:hint="default" w:ascii="Times New Roman" w:hAnsi="Times New Roman" w:eastAsia="宋体" w:cs="Times New Roman"/>
                <w:bCs/>
                <w:color w:val="auto"/>
                <w:kern w:val="0"/>
                <w:sz w:val="24"/>
              </w:rPr>
              <w:t>构应</w:t>
            </w:r>
            <w:r>
              <w:rPr>
                <w:rFonts w:hint="default" w:ascii="Times New Roman" w:hAnsi="Times New Roman" w:cs="Times New Roman"/>
                <w:bCs/>
                <w:color w:val="auto"/>
                <w:kern w:val="0"/>
                <w:sz w:val="24"/>
              </w:rPr>
              <w:t>加强</w:t>
            </w:r>
            <w:r>
              <w:rPr>
                <w:rFonts w:hint="default" w:ascii="Times New Roman" w:hAnsi="Times New Roman" w:eastAsia="宋体" w:cs="Times New Roman"/>
                <w:bCs/>
                <w:color w:val="auto"/>
                <w:kern w:val="0"/>
                <w:sz w:val="24"/>
              </w:rPr>
              <w:t>对</w:t>
            </w:r>
            <w:r>
              <w:rPr>
                <w:rFonts w:hint="default" w:ascii="Times New Roman" w:hAnsi="Times New Roman" w:cs="Times New Roman"/>
                <w:bCs/>
                <w:color w:val="auto"/>
                <w:kern w:val="0"/>
                <w:sz w:val="24"/>
              </w:rPr>
              <w:t>工程</w:t>
            </w:r>
            <w:r>
              <w:rPr>
                <w:rFonts w:hint="default" w:ascii="Times New Roman" w:hAnsi="Times New Roman" w:eastAsia="宋体" w:cs="Times New Roman"/>
                <w:bCs/>
                <w:color w:val="auto"/>
                <w:kern w:val="0"/>
                <w:sz w:val="24"/>
              </w:rPr>
              <w:t>区</w:t>
            </w:r>
            <w:r>
              <w:rPr>
                <w:rFonts w:hint="default" w:ascii="Times New Roman" w:hAnsi="Times New Roman" w:cs="Times New Roman"/>
                <w:bCs/>
                <w:color w:val="auto"/>
                <w:kern w:val="0"/>
                <w:sz w:val="24"/>
              </w:rPr>
              <w:t>的</w:t>
            </w:r>
            <w:r>
              <w:rPr>
                <w:rFonts w:hint="default" w:ascii="Times New Roman" w:hAnsi="Times New Roman" w:eastAsia="宋体" w:cs="Times New Roman"/>
                <w:bCs/>
                <w:color w:val="auto"/>
                <w:kern w:val="0"/>
                <w:sz w:val="24"/>
              </w:rPr>
              <w:t>执</w:t>
            </w:r>
            <w:r>
              <w:rPr>
                <w:rFonts w:hint="default" w:ascii="Times New Roman" w:hAnsi="Times New Roman" w:cs="Times New Roman"/>
                <w:bCs/>
                <w:color w:val="auto"/>
                <w:kern w:val="0"/>
                <w:sz w:val="24"/>
              </w:rPr>
              <w:t>法力度，加强</w:t>
            </w:r>
            <w:r>
              <w:rPr>
                <w:rFonts w:hint="default" w:ascii="Times New Roman" w:hAnsi="Times New Roman" w:eastAsia="宋体" w:cs="Times New Roman"/>
                <w:bCs/>
                <w:color w:val="auto"/>
                <w:kern w:val="0"/>
                <w:sz w:val="24"/>
              </w:rPr>
              <w:t>监</w:t>
            </w:r>
            <w:r>
              <w:rPr>
                <w:rFonts w:hint="default" w:ascii="Times New Roman" w:hAnsi="Times New Roman" w:cs="Times New Roman"/>
                <w:bCs/>
                <w:color w:val="auto"/>
                <w:kern w:val="0"/>
                <w:sz w:val="24"/>
              </w:rPr>
              <w:t>督管理，禁止施工生</w:t>
            </w:r>
            <w:r>
              <w:rPr>
                <w:rFonts w:hint="default" w:ascii="Times New Roman" w:hAnsi="Times New Roman" w:eastAsia="宋体" w:cs="Times New Roman"/>
                <w:bCs/>
                <w:color w:val="auto"/>
                <w:kern w:val="0"/>
                <w:sz w:val="24"/>
              </w:rPr>
              <w:t>产废</w:t>
            </w:r>
            <w:r>
              <w:rPr>
                <w:rFonts w:hint="default" w:ascii="Times New Roman" w:hAnsi="Times New Roman" w:cs="Times New Roman"/>
                <w:bCs/>
                <w:color w:val="auto"/>
                <w:kern w:val="0"/>
                <w:sz w:val="24"/>
              </w:rPr>
              <w:t>水、施工人</w:t>
            </w:r>
            <w:r>
              <w:rPr>
                <w:rFonts w:hint="default" w:ascii="Times New Roman" w:hAnsi="Times New Roman" w:eastAsia="宋体" w:cs="Times New Roman"/>
                <w:bCs/>
                <w:color w:val="auto"/>
                <w:kern w:val="0"/>
                <w:sz w:val="24"/>
              </w:rPr>
              <w:t>员</w:t>
            </w:r>
            <w:r>
              <w:rPr>
                <w:rFonts w:hint="default" w:ascii="Times New Roman" w:hAnsi="Times New Roman" w:cs="Times New Roman"/>
                <w:bCs/>
                <w:color w:val="auto"/>
                <w:kern w:val="0"/>
                <w:sz w:val="24"/>
              </w:rPr>
              <w:t>生活</w:t>
            </w:r>
            <w:r>
              <w:rPr>
                <w:rFonts w:hint="default" w:ascii="Times New Roman" w:hAnsi="Times New Roman" w:eastAsia="宋体" w:cs="Times New Roman"/>
                <w:bCs/>
                <w:color w:val="auto"/>
                <w:kern w:val="0"/>
                <w:sz w:val="24"/>
              </w:rPr>
              <w:t>污</w:t>
            </w:r>
            <w:r>
              <w:rPr>
                <w:rFonts w:hint="default" w:ascii="Times New Roman" w:hAnsi="Times New Roman" w:cs="Times New Roman"/>
                <w:bCs/>
                <w:color w:val="auto"/>
                <w:kern w:val="0"/>
                <w:sz w:val="24"/>
              </w:rPr>
              <w:t>水等的</w:t>
            </w:r>
            <w:r>
              <w:rPr>
                <w:rFonts w:hint="default" w:ascii="Times New Roman" w:hAnsi="Times New Roman" w:eastAsia="宋体" w:cs="Times New Roman"/>
                <w:bCs/>
                <w:color w:val="auto"/>
                <w:kern w:val="0"/>
                <w:sz w:val="24"/>
              </w:rPr>
              <w:t>随</w:t>
            </w:r>
            <w:r>
              <w:rPr>
                <w:rFonts w:hint="default" w:ascii="Times New Roman" w:hAnsi="Times New Roman" w:cs="Times New Roman"/>
                <w:bCs/>
                <w:color w:val="auto"/>
                <w:kern w:val="0"/>
                <w:sz w:val="24"/>
              </w:rPr>
              <w:t>意</w:t>
            </w:r>
            <w:r>
              <w:rPr>
                <w:rFonts w:hint="default" w:ascii="Times New Roman" w:hAnsi="Times New Roman" w:eastAsia="宋体" w:cs="Times New Roman"/>
                <w:bCs/>
                <w:color w:val="auto"/>
                <w:kern w:val="0"/>
                <w:sz w:val="24"/>
              </w:rPr>
              <w:t>乱</w:t>
            </w:r>
            <w:r>
              <w:rPr>
                <w:rFonts w:hint="default" w:ascii="Times New Roman" w:hAnsi="Times New Roman" w:cs="Times New Roman"/>
                <w:bCs/>
                <w:color w:val="auto"/>
                <w:kern w:val="0"/>
                <w:sz w:val="24"/>
              </w:rPr>
              <w:t>排。</w:t>
            </w:r>
          </w:p>
          <w:p>
            <w:pPr>
              <w:widowControl/>
              <w:adjustRightInd w:val="0"/>
              <w:snapToGrid w:val="0"/>
              <w:spacing w:line="360" w:lineRule="auto"/>
              <w:ind w:firstLine="480" w:firstLineChars="200"/>
              <w:jc w:val="left"/>
              <w:rPr>
                <w:rFonts w:hint="eastAsia" w:ascii="Times New Roman" w:hAnsi="Times New Roman" w:eastAsia="宋体" w:cs="Times New Roman"/>
                <w:bCs/>
                <w:color w:val="auto"/>
                <w:kern w:val="0"/>
                <w:sz w:val="24"/>
                <w:lang w:val="en-US" w:eastAsia="zh-CN"/>
              </w:rPr>
            </w:pPr>
            <w:r>
              <w:rPr>
                <w:rFonts w:hint="eastAsia" w:ascii="Times New Roman" w:hAnsi="Times New Roman" w:eastAsia="宋体" w:cs="Times New Roman"/>
                <w:bCs/>
                <w:color w:val="auto"/>
                <w:kern w:val="0"/>
                <w:sz w:val="24"/>
                <w:lang w:val="en-US" w:eastAsia="zh-CN"/>
              </w:rPr>
              <w:t>2）施工期间确保各类环保措施正常进行，杜绝污水事故排放造成附近水域污染物超标，加强施工管理，杜绝施工人员由于疲劳驾驶、速度过快或者车况不好，导致翻车漏油事故的出现。</w:t>
            </w:r>
          </w:p>
          <w:p>
            <w:pPr>
              <w:widowControl/>
              <w:adjustRightInd w:val="0"/>
              <w:snapToGrid w:val="0"/>
              <w:spacing w:line="360" w:lineRule="auto"/>
              <w:ind w:firstLine="480" w:firstLineChars="200"/>
              <w:jc w:val="left"/>
              <w:rPr>
                <w:rFonts w:hint="default" w:ascii="Times New Roman" w:hAnsi="Times New Roman" w:eastAsia="宋体" w:cs="Times New Roman"/>
                <w:bCs/>
                <w:color w:val="auto"/>
                <w:kern w:val="0"/>
                <w:sz w:val="24"/>
                <w:lang w:val="en-US" w:eastAsia="zh-CN"/>
              </w:rPr>
            </w:pPr>
            <w:r>
              <w:rPr>
                <w:rFonts w:hint="eastAsia" w:ascii="Times New Roman" w:hAnsi="Times New Roman" w:eastAsia="宋体" w:cs="Times New Roman"/>
                <w:bCs/>
                <w:color w:val="auto"/>
                <w:kern w:val="0"/>
                <w:sz w:val="24"/>
                <w:lang w:val="en-US" w:eastAsia="zh-CN"/>
              </w:rPr>
              <w:t>3）</w:t>
            </w:r>
            <w:r>
              <w:rPr>
                <w:rFonts w:hint="default" w:ascii="Times New Roman" w:hAnsi="Times New Roman" w:eastAsia="宋体" w:cs="Times New Roman"/>
                <w:bCs/>
                <w:color w:val="auto"/>
                <w:kern w:val="0"/>
                <w:sz w:val="24"/>
                <w:lang w:val="en-US" w:eastAsia="zh-CN"/>
              </w:rPr>
              <w:t>施工区配备消防砂、灭火器、灭火毯等应急物资。</w:t>
            </w:r>
          </w:p>
          <w:p>
            <w:pPr>
              <w:widowControl/>
              <w:adjustRightInd w:val="0"/>
              <w:snapToGrid w:val="0"/>
              <w:spacing w:line="360" w:lineRule="auto"/>
              <w:ind w:firstLine="480" w:firstLineChars="200"/>
              <w:jc w:val="left"/>
              <w:rPr>
                <w:rFonts w:hint="default" w:ascii="Times New Roman" w:hAnsi="Times New Roman" w:eastAsia="宋体" w:cs="Times New Roman"/>
                <w:b/>
                <w:bCs/>
                <w:color w:val="auto"/>
                <w:sz w:val="24"/>
              </w:rPr>
            </w:pPr>
            <w:r>
              <w:rPr>
                <w:rFonts w:hint="eastAsia" w:ascii="Times New Roman" w:hAnsi="Times New Roman" w:cs="Times New Roman"/>
                <w:bCs/>
                <w:color w:val="auto"/>
                <w:kern w:val="0"/>
                <w:sz w:val="24"/>
                <w:lang w:val="en-US" w:eastAsia="zh-CN"/>
              </w:rPr>
              <w:t>4）</w:t>
            </w:r>
            <w:r>
              <w:rPr>
                <w:rFonts w:hint="default" w:ascii="Times New Roman" w:hAnsi="Times New Roman" w:cs="Times New Roman"/>
                <w:bCs/>
                <w:color w:val="auto"/>
                <w:kern w:val="0"/>
                <w:sz w:val="24"/>
              </w:rPr>
              <w:t>施工期工程河段末端设置隔油网，防止施工机械机油泄漏于水体，油膜扩散导致水体污染。</w:t>
            </w:r>
          </w:p>
          <w:p>
            <w:pPr>
              <w:pStyle w:val="40"/>
              <w:keepNext w:val="0"/>
              <w:keepLines w:val="0"/>
              <w:pageBreakBefore w:val="0"/>
              <w:widowControl w:val="0"/>
              <w:numPr>
                <w:ilvl w:val="0"/>
                <w:numId w:val="0"/>
              </w:numPr>
              <w:tabs>
                <w:tab w:val="left" w:pos="420"/>
                <w:tab w:val="left" w:pos="870"/>
                <w:tab w:val="left" w:pos="3150"/>
              </w:tabs>
              <w:kinsoku/>
              <w:wordWrap/>
              <w:overflowPunct/>
              <w:topLinePunct w:val="0"/>
              <w:autoSpaceDE/>
              <w:autoSpaceDN/>
              <w:bidi w:val="0"/>
              <w:adjustRightInd w:val="0"/>
              <w:snapToGrid w:val="0"/>
              <w:spacing w:after="0" w:afterLines="0" w:line="360" w:lineRule="auto"/>
              <w:ind w:firstLine="480" w:firstLineChars="200"/>
              <w:textAlignment w:val="auto"/>
              <w:rPr>
                <w:rFonts w:hint="default" w:ascii="Times New Roman" w:hAnsi="Times New Roman" w:cs="Times New Roman"/>
                <w:bCs/>
                <w:color w:val="0000FF"/>
                <w:spacing w:val="10"/>
                <w:szCs w:val="21"/>
              </w:rPr>
            </w:pPr>
            <w:r>
              <w:rPr>
                <w:rFonts w:hint="default" w:ascii="Times New Roman" w:hAnsi="Times New Roman" w:eastAsia="宋体" w:cs="Times New Roman"/>
                <w:bCs/>
                <w:color w:val="auto"/>
                <w:kern w:val="0"/>
                <w:sz w:val="24"/>
              </w:rPr>
              <w:t>综</w:t>
            </w:r>
            <w:r>
              <w:rPr>
                <w:rFonts w:hint="default" w:ascii="Times New Roman" w:hAnsi="Times New Roman" w:cs="Times New Roman"/>
                <w:bCs/>
                <w:color w:val="auto"/>
                <w:kern w:val="0"/>
                <w:sz w:val="24"/>
              </w:rPr>
              <w:t>上所述，本</w:t>
            </w:r>
            <w:r>
              <w:rPr>
                <w:rFonts w:hint="default" w:ascii="Times New Roman" w:hAnsi="Times New Roman" w:eastAsia="宋体" w:cs="Times New Roman"/>
                <w:bCs/>
                <w:color w:val="auto"/>
                <w:kern w:val="0"/>
                <w:sz w:val="24"/>
              </w:rPr>
              <w:t>项</w:t>
            </w:r>
            <w:r>
              <w:rPr>
                <w:rFonts w:hint="default" w:ascii="Times New Roman" w:hAnsi="Times New Roman" w:cs="Times New Roman"/>
                <w:bCs/>
                <w:color w:val="auto"/>
                <w:kern w:val="0"/>
                <w:sz w:val="24"/>
              </w:rPr>
              <w:t>目</w:t>
            </w:r>
            <w:r>
              <w:rPr>
                <w:rFonts w:hint="default" w:ascii="Times New Roman" w:hAnsi="Times New Roman" w:eastAsia="宋体" w:cs="Times New Roman"/>
                <w:bCs/>
                <w:color w:val="auto"/>
                <w:kern w:val="0"/>
                <w:sz w:val="24"/>
              </w:rPr>
              <w:t>环</w:t>
            </w:r>
            <w:r>
              <w:rPr>
                <w:rFonts w:hint="default" w:ascii="Times New Roman" w:hAnsi="Times New Roman" w:cs="Times New Roman"/>
                <w:bCs/>
                <w:color w:val="auto"/>
                <w:kern w:val="0"/>
                <w:sz w:val="24"/>
              </w:rPr>
              <w:t>境</w:t>
            </w:r>
            <w:r>
              <w:rPr>
                <w:rFonts w:hint="default" w:ascii="Times New Roman" w:hAnsi="Times New Roman" w:eastAsia="宋体" w:cs="Times New Roman"/>
                <w:bCs/>
                <w:color w:val="auto"/>
                <w:kern w:val="0"/>
                <w:sz w:val="24"/>
              </w:rPr>
              <w:t>风险</w:t>
            </w:r>
            <w:r>
              <w:rPr>
                <w:rFonts w:hint="default" w:ascii="Times New Roman" w:hAnsi="Times New Roman" w:cs="Times New Roman"/>
                <w:bCs/>
                <w:color w:val="auto"/>
                <w:kern w:val="0"/>
                <w:sz w:val="24"/>
              </w:rPr>
              <w:t>影</w:t>
            </w:r>
            <w:r>
              <w:rPr>
                <w:rFonts w:hint="default" w:ascii="Times New Roman" w:hAnsi="Times New Roman" w:eastAsia="宋体" w:cs="Times New Roman"/>
                <w:bCs/>
                <w:color w:val="auto"/>
                <w:kern w:val="0"/>
                <w:sz w:val="24"/>
              </w:rPr>
              <w:t>响</w:t>
            </w:r>
            <w:r>
              <w:rPr>
                <w:rFonts w:hint="default" w:ascii="Times New Roman" w:hAnsi="Times New Roman" w:cs="Times New Roman"/>
                <w:bCs/>
                <w:color w:val="auto"/>
                <w:kern w:val="0"/>
                <w:sz w:val="24"/>
              </w:rPr>
              <w:t>不大，</w:t>
            </w:r>
            <w:r>
              <w:rPr>
                <w:rFonts w:hint="default" w:ascii="Times New Roman" w:hAnsi="Times New Roman" w:eastAsia="宋体" w:cs="Times New Roman"/>
                <w:bCs/>
                <w:color w:val="auto"/>
                <w:kern w:val="0"/>
                <w:sz w:val="24"/>
              </w:rPr>
              <w:t>属</w:t>
            </w:r>
            <w:r>
              <w:rPr>
                <w:rFonts w:hint="default" w:ascii="Times New Roman" w:hAnsi="Times New Roman" w:cs="Times New Roman"/>
                <w:bCs/>
                <w:color w:val="auto"/>
                <w:kern w:val="0"/>
                <w:sz w:val="24"/>
              </w:rPr>
              <w:t>于可控范</w:t>
            </w:r>
            <w:r>
              <w:rPr>
                <w:rFonts w:hint="default" w:ascii="Times New Roman" w:hAnsi="Times New Roman" w:eastAsia="宋体" w:cs="Times New Roman"/>
                <w:bCs/>
                <w:color w:val="auto"/>
                <w:kern w:val="0"/>
                <w:sz w:val="24"/>
              </w:rPr>
              <w:t>围</w:t>
            </w:r>
            <w:r>
              <w:rPr>
                <w:rFonts w:hint="default" w:ascii="Times New Roman" w:hAnsi="Times New Roman" w:cs="Times New Roman"/>
                <w:bCs/>
                <w:color w:val="auto"/>
                <w:kern w:val="0"/>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7" w:type="dxa"/>
            <w:noWrap w:val="0"/>
            <w:tcMar>
              <w:left w:w="28" w:type="dxa"/>
              <w:right w:w="28" w:type="dxa"/>
            </w:tcMar>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bCs/>
                <w:spacing w:val="10"/>
                <w:szCs w:val="21"/>
              </w:rPr>
            </w:pPr>
            <w:r>
              <w:rPr>
                <w:rFonts w:hint="default" w:ascii="Times New Roman" w:hAnsi="Times New Roman" w:cs="Times New Roman"/>
                <w:bCs/>
                <w:spacing w:val="10"/>
                <w:szCs w:val="21"/>
              </w:rPr>
              <w:t>运营期生态环境保护措施</w:t>
            </w:r>
          </w:p>
        </w:tc>
        <w:tc>
          <w:tcPr>
            <w:tcW w:w="7467" w:type="dxa"/>
            <w:noWrap w:val="0"/>
            <w:vAlign w:val="center"/>
          </w:tcPr>
          <w:p>
            <w:pPr>
              <w:widowControl/>
              <w:adjustRightInd w:val="0"/>
              <w:snapToGrid w:val="0"/>
              <w:spacing w:line="360" w:lineRule="auto"/>
              <w:ind w:firstLine="480" w:firstLineChars="200"/>
              <w:jc w:val="left"/>
              <w:rPr>
                <w:rFonts w:hint="eastAsia" w:ascii="Times New Roman" w:hAnsi="Times New Roman" w:eastAsia="宋体" w:cs="Times New Roman"/>
                <w:bCs/>
                <w:color w:val="auto"/>
                <w:kern w:val="0"/>
                <w:sz w:val="24"/>
                <w:lang w:val="en-US" w:eastAsia="zh-CN"/>
              </w:rPr>
            </w:pPr>
            <w:r>
              <w:rPr>
                <w:rFonts w:hint="eastAsia" w:ascii="Times New Roman" w:hAnsi="Times New Roman" w:eastAsia="宋体" w:cs="Times New Roman"/>
                <w:bCs/>
                <w:color w:val="auto"/>
                <w:kern w:val="0"/>
                <w:sz w:val="24"/>
                <w:lang w:val="en-US" w:eastAsia="zh-CN"/>
              </w:rPr>
              <w:t>本项目属于非污染型生态类项目，运营期无污染。</w:t>
            </w:r>
          </w:p>
          <w:p>
            <w:pPr>
              <w:widowControl/>
              <w:adjustRightInd w:val="0"/>
              <w:snapToGrid w:val="0"/>
              <w:spacing w:line="360" w:lineRule="auto"/>
              <w:ind w:firstLine="480" w:firstLineChars="200"/>
              <w:jc w:val="left"/>
              <w:rPr>
                <w:rFonts w:hint="default" w:ascii="Times New Roman" w:hAnsi="Times New Roman" w:eastAsia="宋体" w:cs="Times New Roman"/>
                <w:bCs/>
                <w:color w:val="auto"/>
                <w:kern w:val="0"/>
                <w:sz w:val="24"/>
                <w:lang w:val="en-US" w:eastAsia="zh-CN"/>
              </w:rPr>
            </w:pPr>
            <w:r>
              <w:rPr>
                <w:rFonts w:hint="eastAsia" w:ascii="Times New Roman" w:hAnsi="Times New Roman" w:eastAsia="宋体" w:cs="Times New Roman"/>
                <w:bCs/>
                <w:color w:val="auto"/>
                <w:kern w:val="0"/>
                <w:sz w:val="24"/>
                <w:lang w:val="en-US" w:eastAsia="zh-CN"/>
              </w:rPr>
              <w:t>1、对行洪范围影响分析</w:t>
            </w:r>
          </w:p>
          <w:p>
            <w:pPr>
              <w:widowControl/>
              <w:adjustRightInd w:val="0"/>
              <w:snapToGrid w:val="0"/>
              <w:spacing w:line="360" w:lineRule="auto"/>
              <w:ind w:firstLine="480" w:firstLineChars="200"/>
              <w:jc w:val="left"/>
              <w:rPr>
                <w:rFonts w:hint="eastAsia" w:ascii="Times New Roman" w:hAnsi="Times New Roman" w:eastAsia="宋体" w:cs="Times New Roman"/>
                <w:bCs/>
                <w:color w:val="auto"/>
                <w:kern w:val="0"/>
                <w:sz w:val="24"/>
                <w:lang w:val="en-US" w:eastAsia="zh-CN"/>
              </w:rPr>
            </w:pPr>
            <w:r>
              <w:rPr>
                <w:rFonts w:hint="eastAsia" w:ascii="Times New Roman" w:hAnsi="Times New Roman" w:eastAsia="宋体" w:cs="Times New Roman"/>
                <w:bCs/>
                <w:color w:val="auto"/>
                <w:kern w:val="0"/>
                <w:sz w:val="24"/>
                <w:lang w:val="en-US" w:eastAsia="zh-CN"/>
              </w:rPr>
              <w:t>根据《乐山市市中区苏稽峨眉河安福堰综合整治工程行洪论证与河势稳定评价报告》结论：本次安福堰整治后，坝型采用拦河气盾坝，汛期实施完全倒伏。总的说来，本次安福堰改造后对评价河段的防洪形势有所缓解。</w:t>
            </w:r>
          </w:p>
          <w:p>
            <w:pPr>
              <w:widowControl/>
              <w:adjustRightInd w:val="0"/>
              <w:snapToGrid w:val="0"/>
              <w:spacing w:line="360" w:lineRule="auto"/>
              <w:ind w:firstLine="480" w:firstLineChars="200"/>
              <w:jc w:val="left"/>
              <w:rPr>
                <w:rFonts w:hint="default" w:ascii="Times New Roman" w:hAnsi="Times New Roman" w:eastAsia="宋体" w:cs="Times New Roman"/>
                <w:bCs/>
                <w:color w:val="auto"/>
                <w:kern w:val="0"/>
                <w:sz w:val="24"/>
                <w:lang w:val="en-US" w:eastAsia="zh-CN"/>
              </w:rPr>
            </w:pPr>
            <w:r>
              <w:rPr>
                <w:rFonts w:hint="eastAsia" w:ascii="Times New Roman" w:hAnsi="Times New Roman" w:eastAsia="宋体" w:cs="Times New Roman"/>
                <w:bCs/>
                <w:color w:val="auto"/>
                <w:kern w:val="0"/>
                <w:sz w:val="24"/>
                <w:lang w:val="en-US" w:eastAsia="zh-CN"/>
              </w:rPr>
              <w:t>2、对苏稽水文站影响分析</w:t>
            </w:r>
          </w:p>
          <w:p>
            <w:pPr>
              <w:widowControl/>
              <w:adjustRightInd w:val="0"/>
              <w:snapToGrid w:val="0"/>
              <w:spacing w:line="360" w:lineRule="auto"/>
              <w:ind w:firstLine="480" w:firstLineChars="200"/>
              <w:jc w:val="left"/>
              <w:rPr>
                <w:rFonts w:hint="default" w:ascii="Times New Roman" w:hAnsi="Times New Roman" w:eastAsia="宋体" w:cs="Times New Roman"/>
                <w:bCs/>
                <w:color w:val="auto"/>
                <w:kern w:val="0"/>
                <w:sz w:val="24"/>
                <w:lang w:val="en-US" w:eastAsia="zh-CN"/>
              </w:rPr>
            </w:pPr>
            <w:r>
              <w:rPr>
                <w:rFonts w:hint="default" w:ascii="Times New Roman" w:hAnsi="Times New Roman" w:eastAsia="宋体" w:cs="Times New Roman"/>
                <w:bCs/>
                <w:color w:val="auto"/>
                <w:kern w:val="0"/>
                <w:sz w:val="24"/>
                <w:lang w:val="en-US" w:eastAsia="zh-CN"/>
              </w:rPr>
              <w:t>为避免苏稽水文站测报功能受到影响，提出如下解决方案：采用国内外较为先进的水文测验设备解决水文站变动回水影响水文测验问题。因每年低水长达10个月以上，传统水文缆道无法正常施测，可投入水下流量自动监测设备一套（HADCP），采用人工比测率定解决受影响问题。按照“谁影响、谁负责、谁恢复”原则，水文站功能恢复由业主或业主委托第三方完成建设。</w:t>
            </w:r>
          </w:p>
          <w:p>
            <w:pPr>
              <w:widowControl/>
              <w:adjustRightInd w:val="0"/>
              <w:snapToGrid w:val="0"/>
              <w:spacing w:line="360" w:lineRule="auto"/>
              <w:ind w:firstLine="480" w:firstLineChars="200"/>
              <w:jc w:val="left"/>
              <w:rPr>
                <w:rFonts w:hint="default" w:ascii="Times New Roman" w:hAnsi="Times New Roman" w:eastAsia="宋体" w:cs="Times New Roman"/>
                <w:bCs/>
                <w:color w:val="auto"/>
                <w:kern w:val="0"/>
                <w:sz w:val="24"/>
                <w:lang w:val="en-US" w:eastAsia="zh-CN"/>
              </w:rPr>
            </w:pPr>
            <w:r>
              <w:rPr>
                <w:rFonts w:hint="eastAsia" w:ascii="Times New Roman" w:hAnsi="Times New Roman" w:eastAsia="宋体" w:cs="Times New Roman"/>
                <w:bCs/>
                <w:color w:val="auto"/>
                <w:kern w:val="0"/>
                <w:sz w:val="24"/>
                <w:lang w:val="en-US" w:eastAsia="zh-CN"/>
              </w:rPr>
              <w:t>3、对河势稳定的影响分析</w:t>
            </w:r>
          </w:p>
          <w:p>
            <w:pPr>
              <w:widowControl/>
              <w:adjustRightInd w:val="0"/>
              <w:snapToGrid w:val="0"/>
              <w:spacing w:line="360" w:lineRule="auto"/>
              <w:ind w:firstLine="480" w:firstLineChars="200"/>
              <w:jc w:val="left"/>
              <w:rPr>
                <w:rFonts w:hint="default" w:ascii="Times New Roman" w:hAnsi="Times New Roman" w:eastAsia="宋体" w:cs="Times New Roman"/>
                <w:bCs/>
                <w:color w:val="auto"/>
                <w:kern w:val="0"/>
                <w:sz w:val="24"/>
                <w:lang w:val="en-US" w:eastAsia="zh-CN"/>
              </w:rPr>
            </w:pPr>
            <w:r>
              <w:rPr>
                <w:rFonts w:hint="default" w:ascii="Times New Roman" w:hAnsi="Times New Roman" w:eastAsia="宋体" w:cs="Times New Roman"/>
                <w:bCs/>
                <w:color w:val="auto"/>
                <w:kern w:val="0"/>
                <w:sz w:val="24"/>
                <w:lang w:val="en-US" w:eastAsia="zh-CN"/>
              </w:rPr>
              <w:t>本次安福堰整治后，坝型采用拦河气盾坝。气盾坝基础底板建设及枯期拦河成库易造成坝前淤积，但一般淤积面难以超过基础底板高程；坝下游以冲刷为主，主体设计时从多种工况考虑，采取了护坦、跌水、底流消能设施及海漫等工程措施，对工程河段河势稳定影响较小。通过计算，因气盾坝完全倒伏后坝顶高程比原安福堰堰顶高程低0.1m，坝上游河段洪水位略有降低，断面流速有所增大，但造成的岸坡冲刷深最大增加值仅为0.04m，对安福堰上游河段岸坡稳定影响较小。</w:t>
            </w:r>
          </w:p>
          <w:p>
            <w:pPr>
              <w:widowControl/>
              <w:adjustRightInd w:val="0"/>
              <w:snapToGrid w:val="0"/>
              <w:spacing w:line="360" w:lineRule="auto"/>
              <w:ind w:firstLine="480" w:firstLineChars="200"/>
              <w:jc w:val="left"/>
              <w:rPr>
                <w:rFonts w:hint="default" w:ascii="Times New Roman" w:hAnsi="Times New Roman" w:eastAsia="宋体" w:cs="Times New Roman"/>
                <w:bCs/>
                <w:color w:val="auto"/>
                <w:kern w:val="0"/>
                <w:sz w:val="24"/>
                <w:lang w:val="en-US" w:eastAsia="zh-CN"/>
              </w:rPr>
            </w:pPr>
            <w:r>
              <w:rPr>
                <w:rFonts w:hint="default" w:ascii="Times New Roman" w:hAnsi="Times New Roman" w:eastAsia="宋体" w:cs="Times New Roman"/>
                <w:bCs/>
                <w:color w:val="auto"/>
                <w:kern w:val="0"/>
                <w:sz w:val="24"/>
                <w:lang w:val="en-US" w:eastAsia="zh-CN"/>
              </w:rPr>
              <w:t>因此，本工程的建设对评价河段河势稳定性的影响较小。</w:t>
            </w:r>
          </w:p>
          <w:p>
            <w:pPr>
              <w:widowControl/>
              <w:adjustRightInd w:val="0"/>
              <w:snapToGrid w:val="0"/>
              <w:spacing w:line="360" w:lineRule="auto"/>
              <w:ind w:firstLine="480" w:firstLineChars="200"/>
              <w:jc w:val="left"/>
              <w:rPr>
                <w:rFonts w:hint="eastAsia" w:ascii="Times New Roman" w:hAnsi="Times New Roman" w:eastAsia="宋体" w:cs="Times New Roman"/>
                <w:bCs/>
                <w:color w:val="auto"/>
                <w:kern w:val="0"/>
                <w:sz w:val="24"/>
                <w:lang w:val="en-US" w:eastAsia="zh-CN"/>
              </w:rPr>
            </w:pPr>
            <w:r>
              <w:rPr>
                <w:rFonts w:hint="eastAsia" w:ascii="Times New Roman" w:hAnsi="Times New Roman" w:eastAsia="宋体" w:cs="Times New Roman"/>
                <w:bCs/>
                <w:color w:val="auto"/>
                <w:kern w:val="0"/>
                <w:sz w:val="24"/>
                <w:lang w:val="en-US" w:eastAsia="zh-CN"/>
              </w:rPr>
              <w:t>4、下泄流量保障措施</w:t>
            </w:r>
          </w:p>
          <w:p>
            <w:pPr>
              <w:widowControl/>
              <w:adjustRightInd w:val="0"/>
              <w:snapToGrid w:val="0"/>
              <w:spacing w:line="360" w:lineRule="auto"/>
              <w:ind w:firstLine="480" w:firstLineChars="200"/>
              <w:jc w:val="left"/>
              <w:rPr>
                <w:rFonts w:hint="eastAsia" w:ascii="Times New Roman" w:hAnsi="Times New Roman" w:eastAsia="宋体" w:cs="Times New Roman"/>
                <w:bCs/>
                <w:color w:val="auto"/>
                <w:kern w:val="0"/>
                <w:sz w:val="24"/>
                <w:lang w:val="en-US" w:eastAsia="zh-CN"/>
              </w:rPr>
            </w:pPr>
            <w:r>
              <w:rPr>
                <w:rFonts w:hint="eastAsia" w:ascii="Times New Roman" w:hAnsi="Times New Roman" w:eastAsia="宋体" w:cs="Times New Roman"/>
                <w:bCs/>
                <w:color w:val="auto"/>
                <w:kern w:val="0"/>
                <w:sz w:val="24"/>
                <w:lang w:val="en-US" w:eastAsia="zh-CN"/>
              </w:rPr>
              <w:t xml:space="preserve">安福堰综合整治工程为大坝处于检修或者突然遭遇较大洪水，避免渠道下游流量较大造成渠道损坏，在取水口下游约 </w:t>
            </w:r>
            <w:r>
              <w:rPr>
                <w:rFonts w:hint="default" w:ascii="Times New Roman" w:hAnsi="Times New Roman" w:eastAsia="宋体" w:cs="Times New Roman"/>
                <w:bCs/>
                <w:color w:val="auto"/>
                <w:kern w:val="0"/>
                <w:sz w:val="24"/>
                <w:lang w:val="en-US" w:eastAsia="zh-CN"/>
              </w:rPr>
              <w:t xml:space="preserve">70m </w:t>
            </w:r>
            <w:r>
              <w:rPr>
                <w:rFonts w:hint="eastAsia" w:ascii="Times New Roman" w:hAnsi="Times New Roman" w:eastAsia="宋体" w:cs="Times New Roman"/>
                <w:bCs/>
                <w:color w:val="auto"/>
                <w:kern w:val="0"/>
                <w:sz w:val="24"/>
                <w:lang w:val="en-US" w:eastAsia="zh-CN"/>
              </w:rPr>
              <w:t xml:space="preserve">处设计了渠道备用溢流堰，水流通过可通过溢流堰回到主河道。溢流堰采用 </w:t>
            </w:r>
            <w:r>
              <w:rPr>
                <w:rFonts w:hint="default" w:ascii="Times New Roman" w:hAnsi="Times New Roman" w:eastAsia="宋体" w:cs="Times New Roman"/>
                <w:bCs/>
                <w:color w:val="auto"/>
                <w:kern w:val="0"/>
                <w:sz w:val="24"/>
                <w:lang w:val="en-US" w:eastAsia="zh-CN"/>
              </w:rPr>
              <w:t xml:space="preserve">5 </w:t>
            </w:r>
            <w:r>
              <w:rPr>
                <w:rFonts w:hint="eastAsia" w:ascii="Times New Roman" w:hAnsi="Times New Roman" w:eastAsia="宋体" w:cs="Times New Roman"/>
                <w:bCs/>
                <w:color w:val="auto"/>
                <w:kern w:val="0"/>
                <w:sz w:val="24"/>
                <w:lang w:val="en-US" w:eastAsia="zh-CN"/>
              </w:rPr>
              <w:t xml:space="preserve">孔箱涵结构，宽顶堰进口，箱涵每孔宽净宽 </w:t>
            </w:r>
            <w:r>
              <w:rPr>
                <w:rFonts w:hint="default" w:ascii="Times New Roman" w:hAnsi="Times New Roman" w:eastAsia="宋体" w:cs="Times New Roman"/>
                <w:bCs/>
                <w:color w:val="auto"/>
                <w:kern w:val="0"/>
                <w:sz w:val="24"/>
                <w:lang w:val="en-US" w:eastAsia="zh-CN"/>
              </w:rPr>
              <w:t>2m</w:t>
            </w:r>
            <w:r>
              <w:rPr>
                <w:rFonts w:hint="eastAsia" w:ascii="Times New Roman" w:hAnsi="Times New Roman" w:eastAsia="宋体" w:cs="Times New Roman"/>
                <w:bCs/>
                <w:color w:val="auto"/>
                <w:kern w:val="0"/>
                <w:sz w:val="24"/>
                <w:lang w:val="en-US" w:eastAsia="zh-CN"/>
              </w:rPr>
              <w:t xml:space="preserve">，高 </w:t>
            </w:r>
            <w:r>
              <w:rPr>
                <w:rFonts w:hint="default" w:ascii="Times New Roman" w:hAnsi="Times New Roman" w:eastAsia="宋体" w:cs="Times New Roman"/>
                <w:bCs/>
                <w:color w:val="auto"/>
                <w:kern w:val="0"/>
                <w:sz w:val="24"/>
                <w:lang w:val="en-US" w:eastAsia="zh-CN"/>
              </w:rPr>
              <w:t>0.5m</w:t>
            </w:r>
            <w:r>
              <w:rPr>
                <w:rFonts w:hint="eastAsia" w:ascii="Times New Roman" w:hAnsi="Times New Roman" w:eastAsia="宋体" w:cs="Times New Roman"/>
                <w:bCs/>
                <w:color w:val="auto"/>
                <w:kern w:val="0"/>
                <w:sz w:val="24"/>
                <w:lang w:val="en-US" w:eastAsia="zh-CN"/>
              </w:rPr>
              <w:t xml:space="preserve">，壁厚 </w:t>
            </w:r>
            <w:r>
              <w:rPr>
                <w:rFonts w:hint="default" w:ascii="Times New Roman" w:hAnsi="Times New Roman" w:eastAsia="宋体" w:cs="Times New Roman"/>
                <w:bCs/>
                <w:color w:val="auto"/>
                <w:kern w:val="0"/>
                <w:sz w:val="24"/>
                <w:lang w:val="en-US" w:eastAsia="zh-CN"/>
              </w:rPr>
              <w:t>0.2m</w:t>
            </w:r>
            <w:r>
              <w:rPr>
                <w:rFonts w:hint="eastAsia" w:ascii="Times New Roman" w:hAnsi="Times New Roman" w:eastAsia="宋体" w:cs="Times New Roman"/>
                <w:bCs/>
                <w:color w:val="auto"/>
                <w:kern w:val="0"/>
                <w:sz w:val="24"/>
                <w:lang w:val="en-US" w:eastAsia="zh-CN"/>
              </w:rPr>
              <w:t>，</w:t>
            </w:r>
            <w:r>
              <w:rPr>
                <w:rFonts w:hint="default" w:ascii="Times New Roman" w:hAnsi="Times New Roman" w:eastAsia="宋体" w:cs="Times New Roman"/>
                <w:bCs/>
                <w:color w:val="auto"/>
                <w:kern w:val="0"/>
                <w:sz w:val="24"/>
                <w:lang w:val="en-US" w:eastAsia="zh-CN"/>
              </w:rPr>
              <w:t xml:space="preserve">C25 </w:t>
            </w:r>
            <w:r>
              <w:rPr>
                <w:rFonts w:hint="eastAsia" w:ascii="Times New Roman" w:hAnsi="Times New Roman" w:eastAsia="宋体" w:cs="Times New Roman"/>
                <w:bCs/>
                <w:color w:val="auto"/>
                <w:kern w:val="0"/>
                <w:sz w:val="24"/>
                <w:lang w:val="en-US" w:eastAsia="zh-CN"/>
              </w:rPr>
              <w:t xml:space="preserve">钢筋砼结构，溢流口总宽 </w:t>
            </w:r>
            <w:r>
              <w:rPr>
                <w:rFonts w:hint="default" w:ascii="Times New Roman" w:hAnsi="Times New Roman" w:eastAsia="宋体" w:cs="Times New Roman"/>
                <w:bCs/>
                <w:color w:val="auto"/>
                <w:kern w:val="0"/>
                <w:sz w:val="24"/>
                <w:lang w:val="en-US" w:eastAsia="zh-CN"/>
              </w:rPr>
              <w:t>10m</w:t>
            </w:r>
            <w:r>
              <w:rPr>
                <w:rFonts w:hint="eastAsia" w:ascii="Times New Roman" w:hAnsi="Times New Roman" w:eastAsia="宋体" w:cs="Times New Roman"/>
                <w:bCs/>
                <w:color w:val="auto"/>
                <w:kern w:val="0"/>
                <w:sz w:val="24"/>
                <w:lang w:val="en-US" w:eastAsia="zh-CN"/>
              </w:rPr>
              <w:t xml:space="preserve">，最大溢流量 </w:t>
            </w:r>
            <w:r>
              <w:rPr>
                <w:rFonts w:hint="default" w:ascii="Times New Roman" w:hAnsi="Times New Roman" w:eastAsia="宋体" w:cs="Times New Roman"/>
                <w:bCs/>
                <w:color w:val="auto"/>
                <w:kern w:val="0"/>
                <w:sz w:val="24"/>
                <w:lang w:val="en-US" w:eastAsia="zh-CN"/>
              </w:rPr>
              <w:t>12.5m3 /s</w:t>
            </w:r>
            <w:r>
              <w:rPr>
                <w:rFonts w:hint="eastAsia" w:ascii="Times New Roman" w:hAnsi="Times New Roman" w:eastAsia="宋体" w:cs="Times New Roman"/>
                <w:bCs/>
                <w:color w:val="auto"/>
                <w:kern w:val="0"/>
                <w:sz w:val="24"/>
                <w:lang w:val="en-US" w:eastAsia="zh-CN"/>
              </w:rPr>
              <w:t xml:space="preserve">。 </w:t>
            </w:r>
          </w:p>
          <w:p>
            <w:pPr>
              <w:widowControl/>
              <w:adjustRightInd w:val="0"/>
              <w:snapToGrid w:val="0"/>
              <w:spacing w:line="360" w:lineRule="auto"/>
              <w:ind w:firstLine="480" w:firstLineChars="200"/>
              <w:jc w:val="left"/>
              <w:rPr>
                <w:rFonts w:hint="eastAsia" w:ascii="Times New Roman" w:hAnsi="Times New Roman" w:eastAsia="宋体" w:cs="Times New Roman"/>
                <w:bCs/>
                <w:color w:val="auto"/>
                <w:kern w:val="0"/>
                <w:sz w:val="24"/>
                <w:lang w:val="en-US" w:eastAsia="zh-CN"/>
              </w:rPr>
            </w:pPr>
            <w:r>
              <w:rPr>
                <w:rFonts w:hint="eastAsia" w:ascii="Times New Roman" w:hAnsi="Times New Roman" w:eastAsia="宋体" w:cs="Times New Roman"/>
                <w:bCs/>
                <w:color w:val="auto"/>
                <w:kern w:val="0"/>
                <w:sz w:val="24"/>
                <w:lang w:val="en-US" w:eastAsia="zh-CN"/>
              </w:rPr>
              <w:t xml:space="preserve">安福堰气盾坝建成后正常蓄水位 </w:t>
            </w:r>
            <w:r>
              <w:rPr>
                <w:rFonts w:hint="default" w:ascii="Times New Roman" w:hAnsi="Times New Roman" w:eastAsia="宋体" w:cs="Times New Roman"/>
                <w:bCs/>
                <w:color w:val="auto"/>
                <w:kern w:val="0"/>
                <w:sz w:val="24"/>
                <w:lang w:val="en-US" w:eastAsia="zh-CN"/>
              </w:rPr>
              <w:t>371.7m</w:t>
            </w:r>
            <w:r>
              <w:rPr>
                <w:rFonts w:hint="eastAsia" w:ascii="Times New Roman" w:hAnsi="Times New Roman" w:eastAsia="宋体" w:cs="Times New Roman"/>
                <w:bCs/>
                <w:color w:val="auto"/>
                <w:kern w:val="0"/>
                <w:sz w:val="24"/>
                <w:lang w:val="en-US" w:eastAsia="zh-CN"/>
              </w:rPr>
              <w:t xml:space="preserve">，死水位 </w:t>
            </w:r>
            <w:r>
              <w:rPr>
                <w:rFonts w:hint="default" w:ascii="Times New Roman" w:hAnsi="Times New Roman" w:eastAsia="宋体" w:cs="Times New Roman"/>
                <w:bCs/>
                <w:color w:val="auto"/>
                <w:kern w:val="0"/>
                <w:sz w:val="24"/>
                <w:lang w:val="en-US" w:eastAsia="zh-CN"/>
              </w:rPr>
              <w:t>370.7m</w:t>
            </w:r>
            <w:r>
              <w:rPr>
                <w:rFonts w:hint="eastAsia" w:ascii="Times New Roman" w:hAnsi="Times New Roman" w:eastAsia="宋体" w:cs="Times New Roman"/>
                <w:bCs/>
                <w:color w:val="auto"/>
                <w:kern w:val="0"/>
                <w:sz w:val="24"/>
                <w:lang w:val="en-US" w:eastAsia="zh-CN"/>
              </w:rPr>
              <w:t>，库尾回水最大高程</w:t>
            </w:r>
            <w:r>
              <w:rPr>
                <w:rFonts w:hint="default" w:ascii="Times New Roman" w:hAnsi="Times New Roman" w:eastAsia="宋体" w:cs="Times New Roman"/>
                <w:bCs/>
                <w:color w:val="auto"/>
                <w:kern w:val="0"/>
                <w:sz w:val="24"/>
                <w:lang w:val="en-US" w:eastAsia="zh-CN"/>
              </w:rPr>
              <w:t>371.8m</w:t>
            </w:r>
            <w:r>
              <w:rPr>
                <w:rFonts w:hint="eastAsia" w:ascii="Times New Roman" w:hAnsi="Times New Roman" w:eastAsia="宋体" w:cs="Times New Roman"/>
                <w:bCs/>
                <w:color w:val="auto"/>
                <w:kern w:val="0"/>
                <w:sz w:val="24"/>
                <w:lang w:val="en-US" w:eastAsia="zh-CN"/>
              </w:rPr>
              <w:t xml:space="preserve">，上游回水长度约 </w:t>
            </w:r>
            <w:r>
              <w:rPr>
                <w:rFonts w:hint="default" w:ascii="Times New Roman" w:hAnsi="Times New Roman" w:eastAsia="宋体" w:cs="Times New Roman"/>
                <w:bCs/>
                <w:color w:val="auto"/>
                <w:kern w:val="0"/>
                <w:sz w:val="24"/>
                <w:lang w:val="en-US" w:eastAsia="zh-CN"/>
              </w:rPr>
              <w:t>3km</w:t>
            </w:r>
            <w:r>
              <w:rPr>
                <w:rFonts w:hint="eastAsia" w:ascii="Times New Roman" w:hAnsi="Times New Roman" w:eastAsia="宋体" w:cs="Times New Roman"/>
                <w:bCs/>
                <w:color w:val="auto"/>
                <w:kern w:val="0"/>
                <w:sz w:val="24"/>
                <w:lang w:val="en-US" w:eastAsia="zh-CN"/>
              </w:rPr>
              <w:t xml:space="preserve">，正常蓄水位库容 </w:t>
            </w:r>
            <w:r>
              <w:rPr>
                <w:rFonts w:hint="default" w:ascii="Times New Roman" w:hAnsi="Times New Roman" w:eastAsia="宋体" w:cs="Times New Roman"/>
                <w:bCs/>
                <w:color w:val="auto"/>
                <w:kern w:val="0"/>
                <w:sz w:val="24"/>
                <w:lang w:val="en-US" w:eastAsia="zh-CN"/>
              </w:rPr>
              <w:t xml:space="preserve">17 </w:t>
            </w:r>
            <w:r>
              <w:rPr>
                <w:rFonts w:hint="eastAsia" w:ascii="Times New Roman" w:hAnsi="Times New Roman" w:eastAsia="宋体" w:cs="Times New Roman"/>
                <w:bCs/>
                <w:color w:val="auto"/>
                <w:kern w:val="0"/>
                <w:sz w:val="24"/>
                <w:lang w:val="en-US" w:eastAsia="zh-CN"/>
              </w:rPr>
              <w:t xml:space="preserve">万 </w:t>
            </w:r>
            <w:r>
              <w:rPr>
                <w:rFonts w:hint="default" w:ascii="Times New Roman" w:hAnsi="Times New Roman" w:eastAsia="宋体" w:cs="Times New Roman"/>
                <w:bCs/>
                <w:color w:val="auto"/>
                <w:kern w:val="0"/>
                <w:sz w:val="24"/>
                <w:lang w:val="en-US" w:eastAsia="zh-CN"/>
              </w:rPr>
              <w:t>m3</w:t>
            </w:r>
            <w:r>
              <w:rPr>
                <w:rFonts w:hint="eastAsia" w:ascii="Times New Roman" w:hAnsi="Times New Roman" w:eastAsia="宋体" w:cs="Times New Roman"/>
                <w:bCs/>
                <w:color w:val="auto"/>
                <w:kern w:val="0"/>
                <w:sz w:val="24"/>
                <w:lang w:val="en-US" w:eastAsia="zh-CN"/>
              </w:rPr>
              <w:t xml:space="preserve">，多年平均流量 </w:t>
            </w:r>
            <w:r>
              <w:rPr>
                <w:rFonts w:hint="default" w:ascii="Times New Roman" w:hAnsi="Times New Roman" w:eastAsia="宋体" w:cs="Times New Roman"/>
                <w:bCs/>
                <w:color w:val="auto"/>
                <w:kern w:val="0"/>
                <w:sz w:val="24"/>
                <w:lang w:val="en-US" w:eastAsia="zh-CN"/>
              </w:rPr>
              <w:t>15.7 m3 /s</w:t>
            </w:r>
            <w:r>
              <w:rPr>
                <w:rFonts w:hint="eastAsia" w:ascii="Times New Roman" w:hAnsi="Times New Roman" w:eastAsia="宋体" w:cs="Times New Roman"/>
                <w:bCs/>
                <w:color w:val="auto"/>
                <w:kern w:val="0"/>
                <w:sz w:val="24"/>
                <w:lang w:val="en-US" w:eastAsia="zh-CN"/>
              </w:rPr>
              <w:t xml:space="preserve">，多年平均径流量 </w:t>
            </w:r>
            <w:r>
              <w:rPr>
                <w:rFonts w:hint="default" w:ascii="Times New Roman" w:hAnsi="Times New Roman" w:eastAsia="宋体" w:cs="Times New Roman"/>
                <w:bCs/>
                <w:color w:val="auto"/>
                <w:kern w:val="0"/>
                <w:sz w:val="24"/>
                <w:lang w:val="en-US" w:eastAsia="zh-CN"/>
              </w:rPr>
              <w:t xml:space="preserve">5.13 </w:t>
            </w:r>
            <w:r>
              <w:rPr>
                <w:rFonts w:hint="eastAsia" w:ascii="Times New Roman" w:hAnsi="Times New Roman" w:eastAsia="宋体" w:cs="Times New Roman"/>
                <w:bCs/>
                <w:color w:val="auto"/>
                <w:kern w:val="0"/>
                <w:sz w:val="24"/>
                <w:lang w:val="en-US" w:eastAsia="zh-CN"/>
              </w:rPr>
              <w:t xml:space="preserve">亿 </w:t>
            </w:r>
            <w:r>
              <w:rPr>
                <w:rFonts w:hint="default" w:ascii="Times New Roman" w:hAnsi="Times New Roman" w:eastAsia="宋体" w:cs="Times New Roman"/>
                <w:bCs/>
                <w:color w:val="auto"/>
                <w:kern w:val="0"/>
                <w:sz w:val="24"/>
                <w:lang w:val="en-US" w:eastAsia="zh-CN"/>
              </w:rPr>
              <w:t>m3</w:t>
            </w:r>
            <w:r>
              <w:rPr>
                <w:rFonts w:hint="eastAsia" w:ascii="Times New Roman" w:hAnsi="Times New Roman" w:eastAsia="宋体" w:cs="Times New Roman"/>
                <w:bCs/>
                <w:color w:val="auto"/>
                <w:kern w:val="0"/>
                <w:sz w:val="24"/>
                <w:lang w:val="en-US" w:eastAsia="zh-CN"/>
              </w:rPr>
              <w:t>，属径流式，无调节能力。按照气盾坝的运行方式，主汛期（</w:t>
            </w:r>
            <w:r>
              <w:rPr>
                <w:rFonts w:hint="default" w:ascii="Times New Roman" w:hAnsi="Times New Roman" w:eastAsia="宋体" w:cs="Times New Roman"/>
                <w:bCs/>
                <w:color w:val="auto"/>
                <w:kern w:val="0"/>
                <w:sz w:val="24"/>
                <w:lang w:val="en-US" w:eastAsia="zh-CN"/>
              </w:rPr>
              <w:t xml:space="preserve">6~9 </w:t>
            </w:r>
            <w:r>
              <w:rPr>
                <w:rFonts w:hint="eastAsia" w:ascii="Times New Roman" w:hAnsi="Times New Roman" w:eastAsia="宋体" w:cs="Times New Roman"/>
                <w:bCs/>
                <w:color w:val="auto"/>
                <w:kern w:val="0"/>
                <w:sz w:val="24"/>
                <w:lang w:val="en-US" w:eastAsia="zh-CN"/>
              </w:rPr>
              <w:t xml:space="preserve">月）气盾坝倒伏运行，气盾坝升坝运行初期蓄水发生在 </w:t>
            </w:r>
            <w:r>
              <w:rPr>
                <w:rFonts w:hint="default" w:ascii="Times New Roman" w:hAnsi="Times New Roman" w:eastAsia="宋体" w:cs="Times New Roman"/>
                <w:bCs/>
                <w:color w:val="auto"/>
                <w:kern w:val="0"/>
                <w:sz w:val="24"/>
                <w:lang w:val="en-US" w:eastAsia="zh-CN"/>
              </w:rPr>
              <w:t xml:space="preserve">10 </w:t>
            </w:r>
            <w:r>
              <w:rPr>
                <w:rFonts w:hint="eastAsia" w:ascii="Times New Roman" w:hAnsi="Times New Roman" w:eastAsia="宋体" w:cs="Times New Roman"/>
                <w:bCs/>
                <w:color w:val="auto"/>
                <w:kern w:val="0"/>
                <w:sz w:val="24"/>
                <w:lang w:val="en-US" w:eastAsia="zh-CN"/>
              </w:rPr>
              <w:t>月份，</w:t>
            </w:r>
            <w:r>
              <w:rPr>
                <w:rFonts w:hint="default" w:ascii="Times New Roman" w:hAnsi="Times New Roman" w:eastAsia="宋体" w:cs="Times New Roman"/>
                <w:bCs/>
                <w:color w:val="auto"/>
                <w:kern w:val="0"/>
                <w:sz w:val="24"/>
                <w:lang w:val="en-US" w:eastAsia="zh-CN"/>
              </w:rPr>
              <w:t xml:space="preserve">10 </w:t>
            </w:r>
            <w:r>
              <w:rPr>
                <w:rFonts w:hint="eastAsia" w:ascii="Times New Roman" w:hAnsi="Times New Roman" w:eastAsia="宋体" w:cs="Times New Roman"/>
                <w:bCs/>
                <w:color w:val="auto"/>
                <w:kern w:val="0"/>
                <w:sz w:val="24"/>
                <w:lang w:val="en-US" w:eastAsia="zh-CN"/>
              </w:rPr>
              <w:t>月份</w:t>
            </w:r>
            <w:r>
              <w:rPr>
                <w:rFonts w:hint="default" w:ascii="Times New Roman" w:hAnsi="Times New Roman" w:eastAsia="宋体" w:cs="Times New Roman"/>
                <w:bCs/>
                <w:color w:val="auto"/>
                <w:kern w:val="0"/>
                <w:sz w:val="24"/>
                <w:lang w:val="en-US" w:eastAsia="zh-CN"/>
              </w:rPr>
              <w:t>(p=75%)</w:t>
            </w:r>
            <w:r>
              <w:rPr>
                <w:rFonts w:hint="eastAsia" w:ascii="Times New Roman" w:hAnsi="Times New Roman" w:eastAsia="宋体" w:cs="Times New Roman"/>
                <w:bCs/>
                <w:color w:val="auto"/>
                <w:kern w:val="0"/>
                <w:sz w:val="24"/>
                <w:lang w:val="en-US" w:eastAsia="zh-CN"/>
              </w:rPr>
              <w:t xml:space="preserve">来水量为 </w:t>
            </w:r>
            <w:r>
              <w:rPr>
                <w:rFonts w:hint="default" w:ascii="Times New Roman" w:hAnsi="Times New Roman" w:eastAsia="宋体" w:cs="Times New Roman"/>
                <w:bCs/>
                <w:color w:val="auto"/>
                <w:kern w:val="0"/>
                <w:sz w:val="24"/>
                <w:lang w:val="en-US" w:eastAsia="zh-CN"/>
              </w:rPr>
              <w:t xml:space="preserve">3292 </w:t>
            </w:r>
            <w:r>
              <w:rPr>
                <w:rFonts w:hint="eastAsia" w:ascii="Times New Roman" w:hAnsi="Times New Roman" w:eastAsia="宋体" w:cs="Times New Roman"/>
                <w:bCs/>
                <w:color w:val="auto"/>
                <w:kern w:val="0"/>
                <w:sz w:val="24"/>
                <w:lang w:val="en-US" w:eastAsia="zh-CN"/>
              </w:rPr>
              <w:t xml:space="preserve">万 </w:t>
            </w:r>
            <w:r>
              <w:rPr>
                <w:rFonts w:hint="default" w:ascii="Times New Roman" w:hAnsi="Times New Roman" w:eastAsia="宋体" w:cs="Times New Roman"/>
                <w:bCs/>
                <w:color w:val="auto"/>
                <w:kern w:val="0"/>
                <w:sz w:val="24"/>
                <w:lang w:val="en-US" w:eastAsia="zh-CN"/>
              </w:rPr>
              <w:t>m3</w:t>
            </w:r>
            <w:r>
              <w:rPr>
                <w:rFonts w:hint="eastAsia" w:ascii="Times New Roman" w:hAnsi="Times New Roman" w:eastAsia="宋体" w:cs="Times New Roman"/>
                <w:bCs/>
                <w:color w:val="auto"/>
                <w:kern w:val="0"/>
                <w:sz w:val="24"/>
                <w:lang w:val="en-US" w:eastAsia="zh-CN"/>
              </w:rPr>
              <w:t xml:space="preserve">，蓄水量为 </w:t>
            </w:r>
            <w:r>
              <w:rPr>
                <w:rFonts w:hint="default" w:ascii="Times New Roman" w:hAnsi="Times New Roman" w:eastAsia="宋体" w:cs="Times New Roman"/>
                <w:bCs/>
                <w:color w:val="auto"/>
                <w:kern w:val="0"/>
                <w:sz w:val="24"/>
                <w:lang w:val="en-US" w:eastAsia="zh-CN"/>
              </w:rPr>
              <w:t xml:space="preserve">17 </w:t>
            </w:r>
            <w:r>
              <w:rPr>
                <w:rFonts w:hint="eastAsia" w:ascii="Times New Roman" w:hAnsi="Times New Roman" w:eastAsia="宋体" w:cs="Times New Roman"/>
                <w:bCs/>
                <w:color w:val="auto"/>
                <w:kern w:val="0"/>
                <w:sz w:val="24"/>
                <w:lang w:val="en-US" w:eastAsia="zh-CN"/>
              </w:rPr>
              <w:t xml:space="preserve">万 </w:t>
            </w:r>
            <w:r>
              <w:rPr>
                <w:rFonts w:hint="default" w:ascii="Times New Roman" w:hAnsi="Times New Roman" w:eastAsia="宋体" w:cs="Times New Roman"/>
                <w:bCs/>
                <w:color w:val="auto"/>
                <w:kern w:val="0"/>
                <w:sz w:val="24"/>
                <w:lang w:val="en-US" w:eastAsia="zh-CN"/>
              </w:rPr>
              <w:t>m3</w:t>
            </w:r>
            <w:r>
              <w:rPr>
                <w:rFonts w:hint="eastAsia" w:ascii="Times New Roman" w:hAnsi="Times New Roman" w:eastAsia="宋体" w:cs="Times New Roman"/>
                <w:bCs/>
                <w:color w:val="auto"/>
                <w:kern w:val="0"/>
                <w:sz w:val="24"/>
                <w:lang w:val="en-US" w:eastAsia="zh-CN"/>
              </w:rPr>
              <w:t xml:space="preserve">，若在 </w:t>
            </w:r>
            <w:r>
              <w:rPr>
                <w:rFonts w:hint="default" w:ascii="Times New Roman" w:hAnsi="Times New Roman" w:eastAsia="宋体" w:cs="Times New Roman"/>
                <w:bCs/>
                <w:color w:val="auto"/>
                <w:kern w:val="0"/>
                <w:sz w:val="24"/>
                <w:lang w:val="en-US" w:eastAsia="zh-CN"/>
              </w:rPr>
              <w:t xml:space="preserve">10 </w:t>
            </w:r>
            <w:r>
              <w:rPr>
                <w:rFonts w:hint="eastAsia" w:ascii="Times New Roman" w:hAnsi="Times New Roman" w:eastAsia="宋体" w:cs="Times New Roman"/>
                <w:bCs/>
                <w:color w:val="auto"/>
                <w:kern w:val="0"/>
                <w:sz w:val="24"/>
                <w:lang w:val="en-US" w:eastAsia="zh-CN"/>
              </w:rPr>
              <w:t xml:space="preserve">月份蓄水，仅需 </w:t>
            </w:r>
            <w:r>
              <w:rPr>
                <w:rFonts w:hint="default" w:ascii="Times New Roman" w:hAnsi="Times New Roman" w:eastAsia="宋体" w:cs="Times New Roman"/>
                <w:bCs/>
                <w:color w:val="auto"/>
                <w:kern w:val="0"/>
                <w:sz w:val="24"/>
                <w:lang w:val="en-US" w:eastAsia="zh-CN"/>
              </w:rPr>
              <w:t>4</w:t>
            </w:r>
            <w:r>
              <w:rPr>
                <w:rFonts w:hint="eastAsia" w:ascii="Times New Roman" w:hAnsi="Times New Roman" w:eastAsia="宋体" w:cs="Times New Roman"/>
                <w:bCs/>
                <w:color w:val="auto"/>
                <w:kern w:val="0"/>
                <w:sz w:val="24"/>
                <w:lang w:val="en-US" w:eastAsia="zh-CN"/>
              </w:rPr>
              <w:t xml:space="preserve">～ </w:t>
            </w:r>
            <w:r>
              <w:rPr>
                <w:rFonts w:hint="default" w:ascii="Times New Roman" w:hAnsi="Times New Roman" w:eastAsia="宋体" w:cs="Times New Roman"/>
                <w:bCs/>
                <w:color w:val="auto"/>
                <w:kern w:val="0"/>
                <w:sz w:val="24"/>
                <w:lang w:val="en-US" w:eastAsia="zh-CN"/>
              </w:rPr>
              <w:t xml:space="preserve">6 </w:t>
            </w:r>
            <w:r>
              <w:rPr>
                <w:rFonts w:hint="eastAsia" w:ascii="Times New Roman" w:hAnsi="Times New Roman" w:eastAsia="宋体" w:cs="Times New Roman"/>
                <w:bCs/>
                <w:color w:val="auto"/>
                <w:kern w:val="0"/>
                <w:sz w:val="24"/>
                <w:lang w:val="en-US" w:eastAsia="zh-CN"/>
              </w:rPr>
              <w:t xml:space="preserve">小时就可以蓄满。 </w:t>
            </w:r>
          </w:p>
          <w:p>
            <w:pPr>
              <w:widowControl/>
              <w:adjustRightInd w:val="0"/>
              <w:snapToGrid w:val="0"/>
              <w:spacing w:line="360" w:lineRule="auto"/>
              <w:ind w:firstLine="480" w:firstLineChars="200"/>
              <w:jc w:val="left"/>
              <w:rPr>
                <w:rFonts w:hint="default" w:ascii="Times New Roman" w:hAnsi="Times New Roman" w:eastAsia="宋体" w:cs="Times New Roman"/>
                <w:bCs/>
                <w:color w:val="auto"/>
                <w:kern w:val="0"/>
                <w:sz w:val="24"/>
                <w:lang w:val="en-US" w:eastAsia="zh-CN"/>
              </w:rPr>
            </w:pPr>
            <w:r>
              <w:rPr>
                <w:rFonts w:hint="eastAsia" w:ascii="Times New Roman" w:hAnsi="Times New Roman" w:eastAsia="宋体" w:cs="Times New Roman"/>
                <w:bCs/>
                <w:color w:val="auto"/>
                <w:kern w:val="0"/>
                <w:sz w:val="24"/>
                <w:lang w:val="en-US" w:eastAsia="zh-CN"/>
              </w:rPr>
              <w:t>气盾坝正常运行期间，在主汛期（</w:t>
            </w:r>
            <w:r>
              <w:rPr>
                <w:rFonts w:hint="default" w:ascii="Times New Roman" w:hAnsi="Times New Roman" w:eastAsia="宋体" w:cs="Times New Roman"/>
                <w:bCs/>
                <w:color w:val="auto"/>
                <w:kern w:val="0"/>
                <w:sz w:val="24"/>
                <w:lang w:val="en-US" w:eastAsia="zh-CN"/>
              </w:rPr>
              <w:t xml:space="preserve">6~9 </w:t>
            </w:r>
            <w:r>
              <w:rPr>
                <w:rFonts w:hint="eastAsia" w:ascii="Times New Roman" w:hAnsi="Times New Roman" w:eastAsia="宋体" w:cs="Times New Roman"/>
                <w:bCs/>
                <w:color w:val="auto"/>
                <w:kern w:val="0"/>
                <w:sz w:val="24"/>
                <w:lang w:val="en-US" w:eastAsia="zh-CN"/>
              </w:rPr>
              <w:t>月）和非主汛期（</w:t>
            </w:r>
            <w:r>
              <w:rPr>
                <w:rFonts w:hint="default" w:ascii="Times New Roman" w:hAnsi="Times New Roman" w:eastAsia="宋体" w:cs="Times New Roman"/>
                <w:bCs/>
                <w:color w:val="auto"/>
                <w:kern w:val="0"/>
                <w:sz w:val="24"/>
                <w:lang w:val="en-US" w:eastAsia="zh-CN"/>
              </w:rPr>
              <w:t>10</w:t>
            </w:r>
            <w:r>
              <w:rPr>
                <w:rFonts w:hint="eastAsia" w:ascii="Times New Roman" w:hAnsi="Times New Roman" w:eastAsia="宋体" w:cs="Times New Roman"/>
                <w:bCs/>
                <w:color w:val="auto"/>
                <w:kern w:val="0"/>
                <w:sz w:val="24"/>
                <w:lang w:val="en-US" w:eastAsia="zh-CN"/>
              </w:rPr>
              <w:t xml:space="preserve">月至次年 </w:t>
            </w:r>
            <w:r>
              <w:rPr>
                <w:rFonts w:hint="default" w:ascii="Times New Roman" w:hAnsi="Times New Roman" w:eastAsia="宋体" w:cs="Times New Roman"/>
                <w:bCs/>
                <w:color w:val="auto"/>
                <w:kern w:val="0"/>
                <w:sz w:val="24"/>
                <w:lang w:val="en-US" w:eastAsia="zh-CN"/>
              </w:rPr>
              <w:t xml:space="preserve">5 </w:t>
            </w:r>
            <w:r>
              <w:rPr>
                <w:rFonts w:hint="eastAsia" w:ascii="Times New Roman" w:hAnsi="Times New Roman" w:eastAsia="宋体" w:cs="Times New Roman"/>
                <w:bCs/>
                <w:color w:val="auto"/>
                <w:kern w:val="0"/>
                <w:sz w:val="24"/>
                <w:lang w:val="en-US" w:eastAsia="zh-CN"/>
              </w:rPr>
              <w:t>月），安福堰坝上游来水量扣除灌溉取水量后，其余来水量通过安福堰气盾坝完全倒伏过流或气盾坝泄流段坝顶溢流，下泄水量远大于灌溉取水量，安福堰坝下游河段水量充足；但在事故状态下气盾坝检修期间和气盾坝升坝运行的蓄水初期，若不采取一定的下泄流量保障措施，安福堰坝下可能会出现断流的现象。为确保安福堰坝下在正常运行、事故检修或升坝运行蓄水初期，坝下游河段均不出现断流现象，能够满足坝下游河段水生生物生长繁殖需求，《</w:t>
            </w:r>
            <w:r>
              <w:rPr>
                <w:rFonts w:hint="default" w:ascii="Times New Roman" w:hAnsi="Times New Roman" w:eastAsia="宋体" w:cs="Times New Roman"/>
                <w:bCs/>
                <w:color w:val="auto"/>
                <w:kern w:val="0"/>
                <w:sz w:val="24"/>
                <w:lang w:val="en-US" w:eastAsia="zh-CN"/>
              </w:rPr>
              <w:t>乐山市市中区苏稽峨眉河安福堰综合</w:t>
            </w:r>
            <w:r>
              <w:rPr>
                <w:rFonts w:hint="eastAsia" w:ascii="Times New Roman" w:hAnsi="Times New Roman" w:eastAsia="宋体" w:cs="Times New Roman"/>
                <w:bCs/>
                <w:color w:val="auto"/>
                <w:kern w:val="0"/>
                <w:sz w:val="24"/>
                <w:lang w:val="en-US" w:eastAsia="zh-CN"/>
              </w:rPr>
              <w:t>整治工程对水生生物影响及补救措施专题报告</w:t>
            </w:r>
          </w:p>
          <w:p>
            <w:pPr>
              <w:widowControl/>
              <w:adjustRightInd w:val="0"/>
              <w:snapToGrid w:val="0"/>
              <w:spacing w:line="360" w:lineRule="auto"/>
              <w:jc w:val="left"/>
              <w:rPr>
                <w:rFonts w:hint="eastAsia" w:ascii="Times New Roman" w:hAnsi="Times New Roman" w:eastAsia="宋体" w:cs="Times New Roman"/>
                <w:bCs/>
                <w:color w:val="auto"/>
                <w:kern w:val="0"/>
                <w:sz w:val="24"/>
                <w:lang w:val="en-US" w:eastAsia="zh-CN"/>
              </w:rPr>
            </w:pPr>
            <w:r>
              <w:rPr>
                <w:rFonts w:hint="eastAsia" w:ascii="Times New Roman" w:hAnsi="Times New Roman" w:eastAsia="宋体" w:cs="Times New Roman"/>
                <w:bCs/>
                <w:color w:val="auto"/>
                <w:kern w:val="0"/>
                <w:sz w:val="24"/>
                <w:lang w:val="en-US" w:eastAsia="zh-CN"/>
              </w:rPr>
              <w:t xml:space="preserve">》提出下泄流量保障措施如下： </w:t>
            </w:r>
          </w:p>
          <w:p>
            <w:pPr>
              <w:widowControl/>
              <w:adjustRightInd w:val="0"/>
              <w:snapToGrid w:val="0"/>
              <w:spacing w:line="360" w:lineRule="auto"/>
              <w:ind w:firstLine="480" w:firstLineChars="200"/>
              <w:jc w:val="left"/>
              <w:rPr>
                <w:rFonts w:hint="default" w:ascii="Times New Roman" w:hAnsi="Times New Roman" w:eastAsia="宋体" w:cs="Times New Roman"/>
                <w:bCs/>
                <w:color w:val="auto"/>
                <w:kern w:val="0"/>
                <w:sz w:val="24"/>
                <w:lang w:val="en-US" w:eastAsia="zh-CN"/>
              </w:rPr>
            </w:pPr>
            <w:r>
              <w:rPr>
                <w:rFonts w:hint="default" w:ascii="Times New Roman" w:hAnsi="Times New Roman" w:eastAsia="宋体" w:cs="Times New Roman"/>
                <w:bCs/>
                <w:color w:val="auto"/>
                <w:kern w:val="0"/>
                <w:sz w:val="24"/>
                <w:lang w:val="en-US" w:eastAsia="zh-CN"/>
              </w:rPr>
              <w:t>1</w:t>
            </w:r>
            <w:r>
              <w:rPr>
                <w:rFonts w:hint="eastAsia" w:ascii="Times New Roman" w:hAnsi="Times New Roman" w:eastAsia="宋体" w:cs="Times New Roman"/>
                <w:bCs/>
                <w:color w:val="auto"/>
                <w:kern w:val="0"/>
                <w:sz w:val="24"/>
                <w:lang w:val="en-US" w:eastAsia="zh-CN"/>
              </w:rPr>
              <w:t>）主汛期（</w:t>
            </w:r>
            <w:r>
              <w:rPr>
                <w:rFonts w:hint="default" w:ascii="Times New Roman" w:hAnsi="Times New Roman" w:eastAsia="宋体" w:cs="Times New Roman"/>
                <w:bCs/>
                <w:color w:val="auto"/>
                <w:kern w:val="0"/>
                <w:sz w:val="24"/>
                <w:lang w:val="en-US" w:eastAsia="zh-CN"/>
              </w:rPr>
              <w:t xml:space="preserve">6~9 </w:t>
            </w:r>
            <w:r>
              <w:rPr>
                <w:rFonts w:hint="eastAsia" w:ascii="Times New Roman" w:hAnsi="Times New Roman" w:eastAsia="宋体" w:cs="Times New Roman"/>
                <w:bCs/>
                <w:color w:val="auto"/>
                <w:kern w:val="0"/>
                <w:sz w:val="24"/>
                <w:lang w:val="en-US" w:eastAsia="zh-CN"/>
              </w:rPr>
              <w:t xml:space="preserve">月）气盾坝倒伏运行，上游来水量除灌溉取水量外，其余来水量通过气盾坝完全倒伏全部过流到坝下游河段； </w:t>
            </w:r>
          </w:p>
          <w:p>
            <w:pPr>
              <w:widowControl/>
              <w:adjustRightInd w:val="0"/>
              <w:snapToGrid w:val="0"/>
              <w:spacing w:line="360" w:lineRule="auto"/>
              <w:ind w:firstLine="480" w:firstLineChars="200"/>
              <w:jc w:val="left"/>
              <w:rPr>
                <w:rFonts w:hint="default" w:ascii="Times New Roman" w:hAnsi="Times New Roman" w:eastAsia="宋体" w:cs="Times New Roman"/>
                <w:bCs/>
                <w:color w:val="auto"/>
                <w:kern w:val="0"/>
                <w:sz w:val="24"/>
                <w:lang w:val="en-US" w:eastAsia="zh-CN"/>
              </w:rPr>
            </w:pPr>
            <w:r>
              <w:rPr>
                <w:rFonts w:hint="default" w:ascii="Times New Roman" w:hAnsi="Times New Roman" w:eastAsia="宋体" w:cs="Times New Roman"/>
                <w:bCs/>
                <w:color w:val="auto"/>
                <w:kern w:val="0"/>
                <w:sz w:val="24"/>
                <w:lang w:val="en-US" w:eastAsia="zh-CN"/>
              </w:rPr>
              <w:t>2</w:t>
            </w:r>
            <w:r>
              <w:rPr>
                <w:rFonts w:hint="eastAsia" w:ascii="Times New Roman" w:hAnsi="Times New Roman" w:eastAsia="宋体" w:cs="Times New Roman"/>
                <w:bCs/>
                <w:color w:val="auto"/>
                <w:kern w:val="0"/>
                <w:sz w:val="24"/>
                <w:lang w:val="en-US" w:eastAsia="zh-CN"/>
              </w:rPr>
              <w:t>）非主汛期（</w:t>
            </w:r>
            <w:r>
              <w:rPr>
                <w:rFonts w:hint="default" w:ascii="Times New Roman" w:hAnsi="Times New Roman" w:eastAsia="宋体" w:cs="Times New Roman"/>
                <w:bCs/>
                <w:color w:val="auto"/>
                <w:kern w:val="0"/>
                <w:sz w:val="24"/>
                <w:lang w:val="en-US" w:eastAsia="zh-CN"/>
              </w:rPr>
              <w:t xml:space="preserve">10 </w:t>
            </w:r>
            <w:r>
              <w:rPr>
                <w:rFonts w:hint="eastAsia" w:ascii="Times New Roman" w:hAnsi="Times New Roman" w:eastAsia="宋体" w:cs="Times New Roman"/>
                <w:bCs/>
                <w:color w:val="auto"/>
                <w:kern w:val="0"/>
                <w:sz w:val="24"/>
                <w:lang w:val="en-US" w:eastAsia="zh-CN"/>
              </w:rPr>
              <w:t xml:space="preserve">月至次年 </w:t>
            </w:r>
            <w:r>
              <w:rPr>
                <w:rFonts w:hint="default" w:ascii="Times New Roman" w:hAnsi="Times New Roman" w:eastAsia="宋体" w:cs="Times New Roman"/>
                <w:bCs/>
                <w:color w:val="auto"/>
                <w:kern w:val="0"/>
                <w:sz w:val="24"/>
                <w:lang w:val="en-US" w:eastAsia="zh-CN"/>
              </w:rPr>
              <w:t xml:space="preserve">5 </w:t>
            </w:r>
            <w:r>
              <w:rPr>
                <w:rFonts w:hint="eastAsia" w:ascii="Times New Roman" w:hAnsi="Times New Roman" w:eastAsia="宋体" w:cs="Times New Roman"/>
                <w:bCs/>
                <w:color w:val="auto"/>
                <w:kern w:val="0"/>
                <w:sz w:val="24"/>
                <w:lang w:val="en-US" w:eastAsia="zh-CN"/>
              </w:rPr>
              <w:t xml:space="preserve">月）气盾坝升坝运行，上游来水量除灌溉取水量外，其余来水量通过气盾坝泄流段坝顶全部溢流到坝下游河段； </w:t>
            </w:r>
          </w:p>
          <w:p>
            <w:pPr>
              <w:widowControl/>
              <w:adjustRightInd w:val="0"/>
              <w:snapToGrid w:val="0"/>
              <w:spacing w:line="360" w:lineRule="auto"/>
              <w:ind w:firstLine="480" w:firstLineChars="200"/>
              <w:jc w:val="left"/>
              <w:rPr>
                <w:rFonts w:hint="default" w:ascii="Times New Roman" w:hAnsi="Times New Roman" w:eastAsia="宋体" w:cs="Times New Roman"/>
                <w:bCs/>
                <w:color w:val="auto"/>
                <w:kern w:val="0"/>
                <w:sz w:val="24"/>
                <w:lang w:val="en-US" w:eastAsia="zh-CN"/>
              </w:rPr>
            </w:pPr>
            <w:r>
              <w:rPr>
                <w:rFonts w:hint="default" w:ascii="Times New Roman" w:hAnsi="Times New Roman" w:eastAsia="宋体" w:cs="Times New Roman"/>
                <w:bCs/>
                <w:color w:val="auto"/>
                <w:kern w:val="0"/>
                <w:sz w:val="24"/>
                <w:lang w:val="en-US" w:eastAsia="zh-CN"/>
              </w:rPr>
              <w:t>3</w:t>
            </w:r>
            <w:r>
              <w:rPr>
                <w:rFonts w:hint="eastAsia" w:ascii="Times New Roman" w:hAnsi="Times New Roman" w:eastAsia="宋体" w:cs="Times New Roman"/>
                <w:bCs/>
                <w:color w:val="auto"/>
                <w:kern w:val="0"/>
                <w:sz w:val="24"/>
                <w:lang w:val="en-US" w:eastAsia="zh-CN"/>
              </w:rPr>
              <w:t>）气盾坝检修在枯水期（</w:t>
            </w:r>
            <w:r>
              <w:rPr>
                <w:rFonts w:hint="default" w:ascii="Times New Roman" w:hAnsi="Times New Roman" w:eastAsia="宋体" w:cs="Times New Roman"/>
                <w:bCs/>
                <w:color w:val="auto"/>
                <w:kern w:val="0"/>
                <w:sz w:val="24"/>
                <w:lang w:val="en-US" w:eastAsia="zh-CN"/>
              </w:rPr>
              <w:t xml:space="preserve">12 </w:t>
            </w:r>
            <w:r>
              <w:rPr>
                <w:rFonts w:hint="eastAsia" w:ascii="Times New Roman" w:hAnsi="Times New Roman" w:eastAsia="宋体" w:cs="Times New Roman"/>
                <w:bCs/>
                <w:color w:val="auto"/>
                <w:kern w:val="0"/>
                <w:sz w:val="24"/>
                <w:lang w:val="en-US" w:eastAsia="zh-CN"/>
              </w:rPr>
              <w:t xml:space="preserve">月至次年 </w:t>
            </w:r>
            <w:r>
              <w:rPr>
                <w:rFonts w:hint="default" w:ascii="Times New Roman" w:hAnsi="Times New Roman" w:eastAsia="宋体" w:cs="Times New Roman"/>
                <w:bCs/>
                <w:color w:val="auto"/>
                <w:kern w:val="0"/>
                <w:sz w:val="24"/>
                <w:lang w:val="en-US" w:eastAsia="zh-CN"/>
              </w:rPr>
              <w:t xml:space="preserve">2 </w:t>
            </w:r>
            <w:r>
              <w:rPr>
                <w:rFonts w:hint="eastAsia" w:ascii="Times New Roman" w:hAnsi="Times New Roman" w:eastAsia="宋体" w:cs="Times New Roman"/>
                <w:bCs/>
                <w:color w:val="auto"/>
                <w:kern w:val="0"/>
                <w:sz w:val="24"/>
                <w:lang w:val="en-US" w:eastAsia="zh-CN"/>
              </w:rPr>
              <w:t xml:space="preserve">月）进行，检修期间，上游来水量除灌溉取水量外，其余来水量通过取水口下游约 </w:t>
            </w:r>
            <w:r>
              <w:rPr>
                <w:rFonts w:hint="default" w:ascii="Times New Roman" w:hAnsi="Times New Roman" w:eastAsia="宋体" w:cs="Times New Roman"/>
                <w:bCs/>
                <w:color w:val="auto"/>
                <w:kern w:val="0"/>
                <w:sz w:val="24"/>
                <w:lang w:val="en-US" w:eastAsia="zh-CN"/>
              </w:rPr>
              <w:t xml:space="preserve">70m </w:t>
            </w:r>
            <w:r>
              <w:rPr>
                <w:rFonts w:hint="eastAsia" w:ascii="Times New Roman" w:hAnsi="Times New Roman" w:eastAsia="宋体" w:cs="Times New Roman"/>
                <w:bCs/>
                <w:color w:val="auto"/>
                <w:kern w:val="0"/>
                <w:sz w:val="24"/>
                <w:lang w:val="en-US" w:eastAsia="zh-CN"/>
              </w:rPr>
              <w:t xml:space="preserve">的溢流堰全部排放到坝下游河段； </w:t>
            </w:r>
          </w:p>
          <w:p>
            <w:pPr>
              <w:widowControl/>
              <w:adjustRightInd w:val="0"/>
              <w:snapToGrid w:val="0"/>
              <w:spacing w:line="360" w:lineRule="auto"/>
              <w:ind w:firstLine="480" w:firstLineChars="200"/>
              <w:jc w:val="left"/>
              <w:rPr>
                <w:rFonts w:hint="default" w:ascii="Times New Roman" w:hAnsi="Times New Roman" w:eastAsia="宋体" w:cs="Times New Roman"/>
                <w:bCs/>
                <w:color w:val="auto"/>
                <w:kern w:val="0"/>
                <w:sz w:val="24"/>
                <w:lang w:val="en-US" w:eastAsia="zh-CN"/>
              </w:rPr>
            </w:pPr>
            <w:r>
              <w:rPr>
                <w:rFonts w:hint="default" w:ascii="Times New Roman" w:hAnsi="Times New Roman" w:eastAsia="宋体" w:cs="Times New Roman"/>
                <w:bCs/>
                <w:color w:val="auto"/>
                <w:kern w:val="0"/>
                <w:sz w:val="24"/>
                <w:lang w:val="en-US" w:eastAsia="zh-CN"/>
              </w:rPr>
              <w:t>4</w:t>
            </w:r>
            <w:r>
              <w:rPr>
                <w:rFonts w:hint="eastAsia" w:ascii="Times New Roman" w:hAnsi="Times New Roman" w:eastAsia="宋体" w:cs="Times New Roman"/>
                <w:bCs/>
                <w:color w:val="auto"/>
                <w:kern w:val="0"/>
                <w:sz w:val="24"/>
                <w:lang w:val="en-US" w:eastAsia="zh-CN"/>
              </w:rPr>
              <w:t>）为确保下泄流量满足坝下游河段水生生物生长繁殖需求，在枯水期（</w:t>
            </w:r>
            <w:r>
              <w:rPr>
                <w:rFonts w:hint="default" w:ascii="Times New Roman" w:hAnsi="Times New Roman" w:eastAsia="宋体" w:cs="Times New Roman"/>
                <w:bCs/>
                <w:color w:val="auto"/>
                <w:kern w:val="0"/>
                <w:sz w:val="24"/>
                <w:lang w:val="en-US" w:eastAsia="zh-CN"/>
              </w:rPr>
              <w:t>12</w:t>
            </w:r>
            <w:r>
              <w:rPr>
                <w:rFonts w:hint="eastAsia" w:ascii="Times New Roman" w:hAnsi="Times New Roman" w:eastAsia="宋体" w:cs="Times New Roman"/>
                <w:bCs/>
                <w:color w:val="auto"/>
                <w:kern w:val="0"/>
                <w:sz w:val="24"/>
                <w:lang w:val="en-US" w:eastAsia="zh-CN"/>
              </w:rPr>
              <w:t xml:space="preserve">月至次年 </w:t>
            </w:r>
            <w:r>
              <w:rPr>
                <w:rFonts w:hint="default" w:ascii="Times New Roman" w:hAnsi="Times New Roman" w:eastAsia="宋体" w:cs="Times New Roman"/>
                <w:bCs/>
                <w:color w:val="auto"/>
                <w:kern w:val="0"/>
                <w:sz w:val="24"/>
                <w:lang w:val="en-US" w:eastAsia="zh-CN"/>
              </w:rPr>
              <w:t xml:space="preserve">2 </w:t>
            </w:r>
            <w:r>
              <w:rPr>
                <w:rFonts w:hint="eastAsia" w:ascii="Times New Roman" w:hAnsi="Times New Roman" w:eastAsia="宋体" w:cs="Times New Roman"/>
                <w:bCs/>
                <w:color w:val="auto"/>
                <w:kern w:val="0"/>
                <w:sz w:val="24"/>
                <w:lang w:val="en-US" w:eastAsia="zh-CN"/>
              </w:rPr>
              <w:t xml:space="preserve">月）安福堰气盾坝不得对上游来水量进行拦蓄，上游来水量除灌溉取水量外，其余来水量通过气盾坝泄流段坝顶全部溢流到坝下游河段； </w:t>
            </w:r>
          </w:p>
          <w:p>
            <w:pPr>
              <w:widowControl/>
              <w:adjustRightInd w:val="0"/>
              <w:snapToGrid w:val="0"/>
              <w:spacing w:line="360" w:lineRule="auto"/>
              <w:ind w:firstLine="480" w:firstLineChars="200"/>
              <w:jc w:val="left"/>
              <w:rPr>
                <w:rFonts w:hint="default" w:ascii="Times New Roman" w:hAnsi="Times New Roman" w:eastAsia="宋体" w:cs="Times New Roman"/>
                <w:bCs/>
                <w:color w:val="auto"/>
                <w:kern w:val="0"/>
                <w:sz w:val="24"/>
                <w:lang w:val="en-US" w:eastAsia="zh-CN"/>
              </w:rPr>
            </w:pPr>
            <w:r>
              <w:rPr>
                <w:rFonts w:hint="default" w:ascii="Times New Roman" w:hAnsi="Times New Roman" w:eastAsia="宋体" w:cs="Times New Roman"/>
                <w:bCs/>
                <w:color w:val="auto"/>
                <w:kern w:val="0"/>
                <w:sz w:val="24"/>
                <w:lang w:val="en-US" w:eastAsia="zh-CN"/>
              </w:rPr>
              <w:t>5</w:t>
            </w:r>
            <w:r>
              <w:rPr>
                <w:rFonts w:hint="eastAsia" w:ascii="Times New Roman" w:hAnsi="Times New Roman" w:eastAsia="宋体" w:cs="Times New Roman"/>
                <w:bCs/>
                <w:color w:val="auto"/>
                <w:kern w:val="0"/>
                <w:sz w:val="24"/>
                <w:lang w:val="en-US" w:eastAsia="zh-CN"/>
              </w:rPr>
              <w:t>）气盾坝升坝运行蓄水初期（</w:t>
            </w:r>
            <w:r>
              <w:rPr>
                <w:rFonts w:hint="default" w:ascii="Times New Roman" w:hAnsi="Times New Roman" w:eastAsia="宋体" w:cs="Times New Roman"/>
                <w:bCs/>
                <w:color w:val="auto"/>
                <w:kern w:val="0"/>
                <w:sz w:val="24"/>
                <w:lang w:val="en-US" w:eastAsia="zh-CN"/>
              </w:rPr>
              <w:t xml:space="preserve">10 </w:t>
            </w:r>
            <w:r>
              <w:rPr>
                <w:rFonts w:hint="eastAsia" w:ascii="Times New Roman" w:hAnsi="Times New Roman" w:eastAsia="宋体" w:cs="Times New Roman"/>
                <w:bCs/>
                <w:color w:val="auto"/>
                <w:kern w:val="0"/>
                <w:sz w:val="24"/>
                <w:lang w:val="en-US" w:eastAsia="zh-CN"/>
              </w:rPr>
              <w:t>月份），为确保下泄流量满足坝下游河段水生生物生长繁殖需求，业主方需确保取水口下游溢流堰保持一定开度，确保蓄水初期溢流堰下泄流量</w:t>
            </w:r>
            <w:r>
              <w:rPr>
                <w:rFonts w:hint="default" w:ascii="Times New Roman" w:hAnsi="Times New Roman" w:eastAsia="宋体" w:cs="Times New Roman"/>
                <w:bCs/>
                <w:color w:val="auto"/>
                <w:kern w:val="0"/>
                <w:sz w:val="24"/>
                <w:lang w:val="en-US" w:eastAsia="zh-CN"/>
              </w:rPr>
              <w:t>≥3.14m3 /s</w:t>
            </w:r>
            <w:r>
              <w:rPr>
                <w:rFonts w:hint="eastAsia" w:ascii="Times New Roman" w:hAnsi="Times New Roman" w:eastAsia="宋体" w:cs="Times New Roman"/>
                <w:bCs/>
                <w:color w:val="auto"/>
                <w:kern w:val="0"/>
                <w:sz w:val="24"/>
                <w:lang w:val="en-US" w:eastAsia="zh-CN"/>
              </w:rPr>
              <w:t xml:space="preserve">（按坝址处多年平均流量 </w:t>
            </w:r>
            <w:r>
              <w:rPr>
                <w:rFonts w:hint="default" w:ascii="Times New Roman" w:hAnsi="Times New Roman" w:eastAsia="宋体" w:cs="Times New Roman"/>
                <w:bCs/>
                <w:color w:val="auto"/>
                <w:kern w:val="0"/>
                <w:sz w:val="24"/>
                <w:lang w:val="en-US" w:eastAsia="zh-CN"/>
              </w:rPr>
              <w:t xml:space="preserve">15.7 m3 /s </w:t>
            </w:r>
            <w:r>
              <w:rPr>
                <w:rFonts w:hint="eastAsia" w:ascii="Times New Roman" w:hAnsi="Times New Roman" w:eastAsia="宋体" w:cs="Times New Roman"/>
                <w:bCs/>
                <w:color w:val="auto"/>
                <w:kern w:val="0"/>
                <w:sz w:val="24"/>
                <w:lang w:val="en-US" w:eastAsia="zh-CN"/>
              </w:rPr>
              <w:t xml:space="preserve">的 </w:t>
            </w:r>
            <w:r>
              <w:rPr>
                <w:rFonts w:hint="default" w:ascii="Times New Roman" w:hAnsi="Times New Roman" w:eastAsia="宋体" w:cs="Times New Roman"/>
                <w:bCs/>
                <w:color w:val="auto"/>
                <w:kern w:val="0"/>
                <w:sz w:val="24"/>
                <w:lang w:val="en-US" w:eastAsia="zh-CN"/>
              </w:rPr>
              <w:t>20%</w:t>
            </w:r>
            <w:r>
              <w:rPr>
                <w:rFonts w:hint="eastAsia" w:ascii="Times New Roman" w:hAnsi="Times New Roman" w:eastAsia="宋体" w:cs="Times New Roman"/>
                <w:bCs/>
                <w:color w:val="auto"/>
                <w:kern w:val="0"/>
                <w:sz w:val="24"/>
                <w:lang w:val="en-US" w:eastAsia="zh-CN"/>
              </w:rPr>
              <w:t xml:space="preserve">计）； </w:t>
            </w:r>
          </w:p>
          <w:p>
            <w:pPr>
              <w:widowControl/>
              <w:adjustRightInd w:val="0"/>
              <w:snapToGrid w:val="0"/>
              <w:spacing w:line="360" w:lineRule="auto"/>
              <w:ind w:firstLine="480" w:firstLineChars="200"/>
              <w:jc w:val="left"/>
              <w:rPr>
                <w:rFonts w:hint="default" w:ascii="Times New Roman" w:hAnsi="Times New Roman" w:eastAsia="宋体" w:cs="Times New Roman"/>
                <w:bCs/>
                <w:color w:val="auto"/>
                <w:kern w:val="0"/>
                <w:sz w:val="24"/>
                <w:lang w:val="en-US" w:eastAsia="zh-CN"/>
              </w:rPr>
            </w:pPr>
            <w:r>
              <w:rPr>
                <w:rFonts w:hint="default" w:ascii="Times New Roman" w:hAnsi="Times New Roman" w:eastAsia="宋体" w:cs="Times New Roman"/>
                <w:bCs/>
                <w:color w:val="auto"/>
                <w:kern w:val="0"/>
                <w:sz w:val="24"/>
                <w:lang w:val="en-US" w:eastAsia="zh-CN"/>
              </w:rPr>
              <w:t>6</w:t>
            </w:r>
            <w:r>
              <w:rPr>
                <w:rFonts w:hint="eastAsia" w:ascii="Times New Roman" w:hAnsi="Times New Roman" w:eastAsia="宋体" w:cs="Times New Roman"/>
                <w:bCs/>
                <w:color w:val="auto"/>
                <w:kern w:val="0"/>
                <w:sz w:val="24"/>
                <w:lang w:val="en-US" w:eastAsia="zh-CN"/>
              </w:rPr>
              <w:t>）下泄流量保障措施由业主方负责设施设备的管理和运行，当地渔业行政主管部门负责监督实施。</w:t>
            </w:r>
          </w:p>
          <w:p>
            <w:pPr>
              <w:widowControl/>
              <w:adjustRightInd w:val="0"/>
              <w:snapToGrid w:val="0"/>
              <w:spacing w:line="360" w:lineRule="auto"/>
              <w:ind w:firstLine="480" w:firstLineChars="200"/>
              <w:jc w:val="left"/>
              <w:rPr>
                <w:rFonts w:hint="eastAsia" w:ascii="Times New Roman" w:hAnsi="Times New Roman" w:eastAsia="宋体" w:cs="Times New Roman"/>
                <w:bCs/>
                <w:color w:val="auto"/>
                <w:kern w:val="0"/>
                <w:sz w:val="24"/>
                <w:lang w:val="en-US" w:eastAsia="zh-CN"/>
              </w:rPr>
            </w:pPr>
            <w:r>
              <w:rPr>
                <w:rFonts w:hint="eastAsia" w:ascii="Times New Roman" w:hAnsi="Times New Roman" w:eastAsia="宋体" w:cs="Times New Roman"/>
                <w:bCs/>
                <w:color w:val="auto"/>
                <w:kern w:val="0"/>
                <w:sz w:val="24"/>
                <w:lang w:val="en-US" w:eastAsia="zh-CN"/>
              </w:rPr>
              <w:t>5、过鱼保障措施</w:t>
            </w:r>
          </w:p>
          <w:p>
            <w:pPr>
              <w:widowControl/>
              <w:adjustRightInd w:val="0"/>
              <w:snapToGrid w:val="0"/>
              <w:spacing w:line="360" w:lineRule="auto"/>
              <w:ind w:firstLine="480" w:firstLineChars="200"/>
              <w:jc w:val="left"/>
              <w:rPr>
                <w:rFonts w:hint="default" w:ascii="Times New Roman" w:hAnsi="Times New Roman" w:eastAsia="宋体" w:cs="Times New Roman"/>
                <w:color w:val="auto"/>
                <w:spacing w:val="0"/>
                <w:sz w:val="24"/>
                <w:szCs w:val="24"/>
                <w:lang w:val="en-US" w:eastAsia="zh-CN"/>
              </w:rPr>
            </w:pPr>
            <w:r>
              <w:rPr>
                <w:rFonts w:hint="eastAsia" w:ascii="Times New Roman" w:hAnsi="Times New Roman" w:eastAsia="宋体" w:cs="Times New Roman"/>
                <w:bCs/>
                <w:color w:val="auto"/>
                <w:kern w:val="0"/>
                <w:sz w:val="24"/>
                <w:lang w:val="en-US" w:eastAsia="zh-CN"/>
              </w:rPr>
              <w:t xml:space="preserve">河流的连通性是河流生态系统的最基本特点，是河流生态系统保持其生态结构和执行其生态功能的重要前提条件和基础，由于拦河堰的阻隔，工程改变了河段原有的连通条件，造成了鱼类生境片段化，对鱼类资源产生了严重的不利影响，因此有必要采取一定的补救措施。目前，主要的过鱼设施类型包括鱼道、防自然通道、升鱼机、鱼闸、集运系统、人工网捕过坝、船闸过鱼等，据统计这些措施在实施中均出现过鱼效果不理想、实施及后期维护费用过高等特点。安福堰气盾坝建成后正常蓄水位 </w:t>
            </w:r>
            <w:r>
              <w:rPr>
                <w:rFonts w:hint="default" w:ascii="Times New Roman" w:hAnsi="Times New Roman" w:eastAsia="宋体" w:cs="Times New Roman"/>
                <w:bCs/>
                <w:color w:val="auto"/>
                <w:kern w:val="0"/>
                <w:sz w:val="24"/>
                <w:lang w:val="en-US" w:eastAsia="zh-CN"/>
              </w:rPr>
              <w:t>371.7m</w:t>
            </w:r>
            <w:r>
              <w:rPr>
                <w:rFonts w:hint="eastAsia" w:ascii="Times New Roman" w:hAnsi="Times New Roman" w:eastAsia="宋体" w:cs="Times New Roman"/>
                <w:bCs/>
                <w:color w:val="auto"/>
                <w:kern w:val="0"/>
                <w:sz w:val="24"/>
                <w:lang w:val="en-US" w:eastAsia="zh-CN"/>
              </w:rPr>
              <w:t xml:space="preserve">，死水位 </w:t>
            </w:r>
            <w:r>
              <w:rPr>
                <w:rFonts w:hint="default" w:ascii="Times New Roman" w:hAnsi="Times New Roman" w:eastAsia="宋体" w:cs="Times New Roman"/>
                <w:bCs/>
                <w:color w:val="auto"/>
                <w:kern w:val="0"/>
                <w:sz w:val="24"/>
                <w:lang w:val="en-US" w:eastAsia="zh-CN"/>
              </w:rPr>
              <w:t>370.7m</w:t>
            </w:r>
            <w:r>
              <w:rPr>
                <w:rFonts w:hint="eastAsia" w:ascii="Times New Roman" w:hAnsi="Times New Roman" w:eastAsia="宋体" w:cs="Times New Roman"/>
                <w:bCs/>
                <w:color w:val="auto"/>
                <w:kern w:val="0"/>
                <w:sz w:val="24"/>
                <w:lang w:val="en-US" w:eastAsia="zh-CN"/>
              </w:rPr>
              <w:t xml:space="preserve">，库尾回水最大高程 </w:t>
            </w:r>
            <w:r>
              <w:rPr>
                <w:rFonts w:hint="default" w:ascii="Times New Roman" w:hAnsi="Times New Roman" w:eastAsia="宋体" w:cs="Times New Roman"/>
                <w:bCs/>
                <w:color w:val="auto"/>
                <w:kern w:val="0"/>
                <w:sz w:val="24"/>
                <w:lang w:val="en-US" w:eastAsia="zh-CN"/>
              </w:rPr>
              <w:t>371.8m</w:t>
            </w:r>
            <w:r>
              <w:rPr>
                <w:rFonts w:hint="eastAsia" w:ascii="Times New Roman" w:hAnsi="Times New Roman" w:eastAsia="宋体" w:cs="Times New Roman"/>
                <w:bCs/>
                <w:color w:val="auto"/>
                <w:kern w:val="0"/>
                <w:sz w:val="24"/>
                <w:lang w:val="en-US" w:eastAsia="zh-CN"/>
              </w:rPr>
              <w:t xml:space="preserve">，上游回水长度约 </w:t>
            </w:r>
            <w:r>
              <w:rPr>
                <w:rFonts w:hint="default" w:ascii="Times New Roman" w:hAnsi="Times New Roman" w:eastAsia="宋体" w:cs="Times New Roman"/>
                <w:bCs/>
                <w:color w:val="auto"/>
                <w:kern w:val="0"/>
                <w:sz w:val="24"/>
                <w:lang w:val="en-US" w:eastAsia="zh-CN"/>
              </w:rPr>
              <w:t>3km</w:t>
            </w:r>
            <w:r>
              <w:rPr>
                <w:rFonts w:hint="eastAsia" w:ascii="Times New Roman" w:hAnsi="Times New Roman" w:eastAsia="宋体" w:cs="Times New Roman"/>
                <w:bCs/>
                <w:color w:val="auto"/>
                <w:kern w:val="0"/>
                <w:sz w:val="24"/>
                <w:lang w:val="en-US" w:eastAsia="zh-CN"/>
              </w:rPr>
              <w:t xml:space="preserve">，正常蓄水位库容 </w:t>
            </w:r>
            <w:r>
              <w:rPr>
                <w:rFonts w:hint="default" w:ascii="Times New Roman" w:hAnsi="Times New Roman" w:eastAsia="宋体" w:cs="Times New Roman"/>
                <w:bCs/>
                <w:color w:val="auto"/>
                <w:kern w:val="0"/>
                <w:sz w:val="24"/>
                <w:lang w:val="en-US" w:eastAsia="zh-CN"/>
              </w:rPr>
              <w:t xml:space="preserve">18.3 </w:t>
            </w:r>
            <w:r>
              <w:rPr>
                <w:rFonts w:hint="eastAsia" w:ascii="Times New Roman" w:hAnsi="Times New Roman" w:eastAsia="宋体" w:cs="Times New Roman"/>
                <w:bCs/>
                <w:color w:val="auto"/>
                <w:kern w:val="0"/>
                <w:sz w:val="24"/>
                <w:lang w:val="en-US" w:eastAsia="zh-CN"/>
              </w:rPr>
              <w:t xml:space="preserve">万 </w:t>
            </w:r>
            <w:r>
              <w:rPr>
                <w:rFonts w:hint="default" w:ascii="Times New Roman" w:hAnsi="Times New Roman" w:eastAsia="宋体" w:cs="Times New Roman"/>
                <w:bCs/>
                <w:color w:val="auto"/>
                <w:kern w:val="0"/>
                <w:sz w:val="24"/>
                <w:lang w:val="en-US" w:eastAsia="zh-CN"/>
              </w:rPr>
              <w:t>m3</w:t>
            </w:r>
            <w:r>
              <w:rPr>
                <w:rFonts w:hint="eastAsia" w:ascii="Times New Roman" w:hAnsi="Times New Roman" w:eastAsia="宋体" w:cs="Times New Roman"/>
                <w:bCs/>
                <w:color w:val="auto"/>
                <w:kern w:val="0"/>
                <w:sz w:val="24"/>
                <w:lang w:val="en-US" w:eastAsia="zh-CN"/>
              </w:rPr>
              <w:t xml:space="preserve">，多年平均流量 </w:t>
            </w:r>
            <w:r>
              <w:rPr>
                <w:rFonts w:hint="default" w:ascii="Times New Roman" w:hAnsi="Times New Roman" w:eastAsia="宋体" w:cs="Times New Roman"/>
                <w:bCs/>
                <w:color w:val="auto"/>
                <w:kern w:val="0"/>
                <w:sz w:val="24"/>
                <w:lang w:val="en-US" w:eastAsia="zh-CN"/>
              </w:rPr>
              <w:t>15.7 m3 /s</w:t>
            </w:r>
            <w:r>
              <w:rPr>
                <w:rFonts w:hint="eastAsia" w:ascii="Times New Roman" w:hAnsi="Times New Roman" w:eastAsia="宋体" w:cs="Times New Roman"/>
                <w:bCs/>
                <w:color w:val="auto"/>
                <w:kern w:val="0"/>
                <w:sz w:val="24"/>
                <w:lang w:val="en-US" w:eastAsia="zh-CN"/>
              </w:rPr>
              <w:t xml:space="preserve">，多年平均径流量 </w:t>
            </w:r>
            <w:r>
              <w:rPr>
                <w:rFonts w:hint="default" w:ascii="Times New Roman" w:hAnsi="Times New Roman" w:eastAsia="宋体" w:cs="Times New Roman"/>
                <w:bCs/>
                <w:color w:val="auto"/>
                <w:kern w:val="0"/>
                <w:sz w:val="24"/>
                <w:lang w:val="en-US" w:eastAsia="zh-CN"/>
              </w:rPr>
              <w:t xml:space="preserve">5.13 </w:t>
            </w:r>
            <w:r>
              <w:rPr>
                <w:rFonts w:hint="eastAsia" w:ascii="Times New Roman" w:hAnsi="Times New Roman" w:eastAsia="宋体" w:cs="Times New Roman"/>
                <w:bCs/>
                <w:color w:val="auto"/>
                <w:kern w:val="0"/>
                <w:sz w:val="24"/>
                <w:lang w:val="en-US" w:eastAsia="zh-CN"/>
              </w:rPr>
              <w:t xml:space="preserve">亿 </w:t>
            </w:r>
            <w:r>
              <w:rPr>
                <w:rFonts w:hint="default" w:ascii="Times New Roman" w:hAnsi="Times New Roman" w:eastAsia="宋体" w:cs="Times New Roman"/>
                <w:bCs/>
                <w:color w:val="auto"/>
                <w:kern w:val="0"/>
                <w:sz w:val="24"/>
                <w:lang w:val="en-US" w:eastAsia="zh-CN"/>
              </w:rPr>
              <w:t>m3</w:t>
            </w:r>
            <w:r>
              <w:rPr>
                <w:rFonts w:hint="eastAsia" w:ascii="Times New Roman" w:hAnsi="Times New Roman" w:eastAsia="宋体" w:cs="Times New Roman"/>
                <w:bCs/>
                <w:color w:val="auto"/>
                <w:kern w:val="0"/>
                <w:sz w:val="24"/>
                <w:lang w:val="en-US" w:eastAsia="zh-CN"/>
              </w:rPr>
              <w:t>，属径流式，无调节能力。根据安福堰的坝体特性，《乐山市市中区苏稽峨眉河安福堰综合整治工程对水生生物影响及补救措施专题报告》的批复（乐农复【2023】5号，见附件）提出以下补救措施：一是落实全年过鱼保障，即 6-9 月气盾坝完全倒伏过鱼，4-5 月工程河段主要鱼类繁殖期气盾坝运行方式集中倒伏过鱼。二是工程建设后连续 3 年在安福堰坝上下游河段投入资金 18 万元用于增殖放流。三是实施增殖放流措施后次年开始连续 3 年投入 27 万元开展水生生物监测。四是在工程右岸河段增设 1 次远程在线监控设备，并将左右岸 2 次监控设施均接入市中区农业农村局管理平台，投入 20 万元保障设备的正常运行不少于 4 年。五是在工程施工期和运行期投入 20 万元对施工人员和附近群众进行法律法规等水环境保护宣传，发动群众参与鱼类资源的保护。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7"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bCs/>
                <w:spacing w:val="10"/>
                <w:szCs w:val="21"/>
              </w:rPr>
            </w:pPr>
            <w:r>
              <w:rPr>
                <w:rFonts w:hint="default" w:ascii="Times New Roman" w:hAnsi="Times New Roman" w:cs="Times New Roman"/>
                <w:bCs/>
                <w:szCs w:val="21"/>
              </w:rPr>
              <w:t>其他</w:t>
            </w:r>
          </w:p>
        </w:tc>
        <w:tc>
          <w:tcPr>
            <w:tcW w:w="746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1、环境管理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b/>
                <w:bCs/>
                <w:sz w:val="24"/>
                <w:szCs w:val="24"/>
              </w:rPr>
            </w:pPr>
            <w:r>
              <w:rPr>
                <w:rFonts w:hint="default" w:ascii="Times New Roman" w:hAnsi="Times New Roman" w:cs="Times New Roman"/>
                <w:sz w:val="24"/>
                <w:szCs w:val="24"/>
              </w:rPr>
              <w:t>（1）环境管理的目的</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bCs/>
                <w:sz w:val="24"/>
                <w:szCs w:val="24"/>
              </w:rPr>
            </w:pPr>
            <w:r>
              <w:rPr>
                <w:rFonts w:hint="default" w:ascii="Times New Roman" w:hAnsi="Times New Roman" w:cs="Times New Roman"/>
                <w:bCs/>
                <w:sz w:val="24"/>
                <w:szCs w:val="24"/>
              </w:rPr>
              <w:t>本工程在建设期将对周围环境产生一定的影响，因此必须通过必要的措施来减缓和消除不利的环境影响。为了保证环保措施的切实落实，使项目的社会、经济和环境效益得到协调发展，必须加强环境管理。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bCs/>
                <w:sz w:val="24"/>
                <w:szCs w:val="24"/>
              </w:rPr>
            </w:pPr>
            <w:r>
              <w:rPr>
                <w:rFonts w:hint="default" w:ascii="Times New Roman" w:hAnsi="Times New Roman" w:cs="Times New Roman"/>
                <w:bCs/>
                <w:sz w:val="24"/>
                <w:szCs w:val="24"/>
              </w:rPr>
              <w:t>（2）环保机构的设置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bCs/>
                <w:sz w:val="24"/>
                <w:szCs w:val="24"/>
              </w:rPr>
            </w:pPr>
            <w:r>
              <w:rPr>
                <w:rFonts w:hint="default" w:ascii="Times New Roman" w:hAnsi="Times New Roman" w:cs="Times New Roman"/>
                <w:bCs/>
                <w:sz w:val="24"/>
                <w:szCs w:val="24"/>
              </w:rPr>
              <w:t>建设单位在设置工程管理机构时，应建立环境保护管理机构，以便对施工期的环境保护工作进行监督和管理，管理机构应设专职（或兼职）人员，其职责如下：</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bCs/>
                <w:sz w:val="24"/>
                <w:szCs w:val="24"/>
              </w:rPr>
            </w:pPr>
            <w:r>
              <w:rPr>
                <w:rFonts w:hint="default" w:ascii="Times New Roman" w:hAnsi="Times New Roman" w:cs="Times New Roman"/>
                <w:bCs/>
                <w:sz w:val="24"/>
                <w:szCs w:val="24"/>
              </w:rPr>
              <w:t>①监督施工期环保措施的实施。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bCs/>
                <w:sz w:val="24"/>
                <w:szCs w:val="24"/>
              </w:rPr>
            </w:pPr>
            <w:r>
              <w:rPr>
                <w:rFonts w:hint="default" w:ascii="Times New Roman" w:hAnsi="Times New Roman" w:cs="Times New Roman"/>
                <w:bCs/>
                <w:sz w:val="24"/>
                <w:szCs w:val="24"/>
              </w:rPr>
              <w:t>②负责与地方环保部门的联系，包括区域环境保护措施的协调。</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bCs/>
                <w:sz w:val="24"/>
                <w:szCs w:val="24"/>
              </w:rPr>
            </w:pPr>
            <w:r>
              <w:rPr>
                <w:rFonts w:hint="default" w:ascii="Times New Roman" w:hAnsi="Times New Roman" w:cs="Times New Roman"/>
                <w:bCs/>
                <w:sz w:val="24"/>
                <w:szCs w:val="24"/>
              </w:rPr>
              <w:t>③负责好管理机构内部的环保和安全教育工作。</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bCs/>
                <w:sz w:val="24"/>
                <w:szCs w:val="24"/>
              </w:rPr>
            </w:pPr>
            <w:r>
              <w:rPr>
                <w:rFonts w:hint="default" w:ascii="Times New Roman" w:hAnsi="Times New Roman" w:cs="Times New Roman"/>
                <w:bCs/>
                <w:sz w:val="24"/>
                <w:szCs w:val="24"/>
              </w:rPr>
              <w:t>④宣传、贯彻和执行国家、地方政府及有关部门制定的环境保护法律法规和条例等。</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bCs/>
                <w:sz w:val="24"/>
                <w:szCs w:val="24"/>
              </w:rPr>
            </w:pPr>
            <w:r>
              <w:rPr>
                <w:rFonts w:hint="default" w:ascii="Times New Roman" w:hAnsi="Times New Roman" w:cs="Times New Roman"/>
                <w:bCs/>
                <w:sz w:val="24"/>
                <w:szCs w:val="24"/>
              </w:rPr>
              <w:t>（3）环境管理的主要内容</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bCs/>
                <w:sz w:val="24"/>
                <w:szCs w:val="24"/>
              </w:rPr>
            </w:pPr>
            <w:r>
              <w:rPr>
                <w:rFonts w:hint="default" w:ascii="Times New Roman" w:hAnsi="Times New Roman" w:cs="Times New Roman"/>
                <w:bCs/>
                <w:sz w:val="24"/>
                <w:szCs w:val="24"/>
              </w:rPr>
              <w:t>项目施工阶段：</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bCs/>
                <w:sz w:val="24"/>
                <w:szCs w:val="24"/>
              </w:rPr>
            </w:pPr>
            <w:r>
              <w:rPr>
                <w:rFonts w:hint="default" w:ascii="Times New Roman" w:hAnsi="Times New Roman" w:cs="Times New Roman"/>
                <w:bCs/>
                <w:sz w:val="24"/>
                <w:szCs w:val="24"/>
              </w:rPr>
              <w:t>①工程建设单位应定期或不定期对施工点的环保措施执行情况进行监督检查，并写出相应的检查报告。</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bCs/>
                <w:sz w:val="24"/>
                <w:szCs w:val="24"/>
              </w:rPr>
            </w:pPr>
            <w:r>
              <w:rPr>
                <w:rFonts w:hint="default" w:ascii="Times New Roman" w:hAnsi="Times New Roman" w:cs="Times New Roman"/>
                <w:bCs/>
                <w:sz w:val="24"/>
                <w:szCs w:val="24"/>
              </w:rPr>
              <w:t>②监督检查的重点为各施工点扬尘、噪声的控制、水土流失的防治，施工队伍生活污水、生活垃圾的处理和处置等。</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bCs/>
                <w:sz w:val="24"/>
                <w:szCs w:val="24"/>
              </w:rPr>
            </w:pPr>
            <w:r>
              <w:rPr>
                <w:rFonts w:hint="default" w:ascii="Times New Roman" w:hAnsi="Times New Roman" w:cs="Times New Roman"/>
                <w:bCs/>
                <w:sz w:val="24"/>
                <w:szCs w:val="24"/>
              </w:rPr>
              <w:t>③落实施工设计文件中各项环保措施的执行情况、环保设施的施工进度和资金使用情况。</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bCs/>
                <w:sz w:val="24"/>
                <w:szCs w:val="24"/>
              </w:rPr>
            </w:pPr>
            <w:r>
              <w:rPr>
                <w:rFonts w:hint="default" w:ascii="Times New Roman" w:hAnsi="Times New Roman" w:cs="Times New Roman"/>
                <w:bCs/>
                <w:sz w:val="24"/>
                <w:szCs w:val="24"/>
              </w:rPr>
              <w:t>施工完成阶段：</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bCs/>
                <w:sz w:val="24"/>
                <w:szCs w:val="24"/>
              </w:rPr>
            </w:pPr>
            <w:r>
              <w:rPr>
                <w:rFonts w:hint="default" w:ascii="Times New Roman" w:hAnsi="Times New Roman" w:cs="Times New Roman"/>
                <w:bCs/>
                <w:sz w:val="24"/>
                <w:szCs w:val="24"/>
              </w:rPr>
              <w:t>①施工完成阶段应重点对各类临时性占地的还原，建筑垃圾的清运及施工现场的清理进行监督检查。</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bCs/>
                <w:sz w:val="24"/>
                <w:szCs w:val="24"/>
              </w:rPr>
            </w:pPr>
            <w:r>
              <w:rPr>
                <w:rFonts w:hint="default" w:ascii="Times New Roman" w:hAnsi="Times New Roman" w:cs="Times New Roman"/>
                <w:bCs/>
                <w:sz w:val="24"/>
                <w:szCs w:val="24"/>
              </w:rPr>
              <w:t>②建设单位应对合同中所定的各项环保条款进行完成和实施情况评估。</w:t>
            </w:r>
          </w:p>
          <w:p>
            <w:pPr>
              <w:pStyle w:val="40"/>
              <w:keepNext w:val="0"/>
              <w:keepLines w:val="0"/>
              <w:pageBreakBefore w:val="0"/>
              <w:widowControl w:val="0"/>
              <w:numPr>
                <w:ilvl w:val="0"/>
                <w:numId w:val="0"/>
              </w:numPr>
              <w:tabs>
                <w:tab w:val="left" w:pos="420"/>
                <w:tab w:val="left" w:pos="870"/>
                <w:tab w:val="left" w:pos="3150"/>
              </w:tabs>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bCs/>
                <w:sz w:val="24"/>
                <w:szCs w:val="24"/>
              </w:rPr>
              <w:t>③环保设施的竣工验收</w:t>
            </w:r>
            <w:r>
              <w:rPr>
                <w:rFonts w:hint="default" w:ascii="Times New Roman" w:hAnsi="Times New Roman" w:cs="Times New Roman"/>
                <w:sz w:val="24"/>
                <w:szCs w:val="24"/>
              </w:rPr>
              <w:t>。</w:t>
            </w:r>
          </w:p>
          <w:p>
            <w:pPr>
              <w:pStyle w:val="40"/>
              <w:keepNext w:val="0"/>
              <w:keepLines w:val="0"/>
              <w:pageBreakBefore w:val="0"/>
              <w:widowControl w:val="0"/>
              <w:numPr>
                <w:ilvl w:val="0"/>
                <w:numId w:val="0"/>
              </w:numPr>
              <w:tabs>
                <w:tab w:val="left" w:pos="420"/>
                <w:tab w:val="left" w:pos="870"/>
                <w:tab w:val="left" w:pos="3150"/>
              </w:tabs>
              <w:kinsoku/>
              <w:wordWrap/>
              <w:overflowPunct/>
              <w:topLinePunct w:val="0"/>
              <w:autoSpaceDE/>
              <w:autoSpaceDN/>
              <w:bidi w:val="0"/>
              <w:adjustRightInd w:val="0"/>
              <w:snapToGrid w:val="0"/>
              <w:spacing w:after="0" w:afterLines="0" w:line="360" w:lineRule="auto"/>
              <w:ind w:firstLine="480" w:firstLineChars="200"/>
              <w:textAlignment w:val="auto"/>
              <w:rPr>
                <w:rFonts w:hint="default" w:ascii="Times New Roman" w:hAnsi="Times New Roman" w:eastAsia="黑体" w:cs="Times New Roman"/>
                <w:b w:val="0"/>
                <w:bCs w:val="0"/>
                <w:color w:val="000000"/>
                <w:sz w:val="24"/>
                <w:szCs w:val="24"/>
                <w:lang w:val="en-US" w:eastAsia="zh-CN"/>
              </w:rPr>
            </w:pPr>
            <w:r>
              <w:rPr>
                <w:rFonts w:hint="eastAsia" w:ascii="Times New Roman" w:hAnsi="Times New Roman" w:eastAsia="黑体" w:cs="Times New Roman"/>
                <w:b w:val="0"/>
                <w:bCs w:val="0"/>
                <w:color w:val="000000"/>
                <w:sz w:val="24"/>
                <w:szCs w:val="24"/>
                <w:lang w:val="en-US" w:eastAsia="zh-CN"/>
              </w:rPr>
              <w:t>2</w:t>
            </w:r>
            <w:r>
              <w:rPr>
                <w:rFonts w:hint="default" w:ascii="Times New Roman" w:hAnsi="Times New Roman" w:eastAsia="黑体" w:cs="Times New Roman"/>
                <w:b w:val="0"/>
                <w:bCs w:val="0"/>
                <w:color w:val="000000"/>
                <w:sz w:val="24"/>
                <w:szCs w:val="24"/>
                <w:lang w:val="en-US" w:eastAsia="zh-CN"/>
              </w:rPr>
              <w:t>、环境监测计划</w:t>
            </w:r>
          </w:p>
          <w:p>
            <w:pPr>
              <w:pStyle w:val="40"/>
              <w:keepNext w:val="0"/>
              <w:keepLines w:val="0"/>
              <w:pageBreakBefore w:val="0"/>
              <w:widowControl w:val="0"/>
              <w:numPr>
                <w:ilvl w:val="0"/>
                <w:numId w:val="0"/>
              </w:numPr>
              <w:tabs>
                <w:tab w:val="left" w:pos="420"/>
                <w:tab w:val="left" w:pos="870"/>
                <w:tab w:val="left" w:pos="3150"/>
              </w:tabs>
              <w:kinsoku/>
              <w:wordWrap/>
              <w:overflowPunct/>
              <w:topLinePunct w:val="0"/>
              <w:autoSpaceDE/>
              <w:autoSpaceDN/>
              <w:bidi w:val="0"/>
              <w:adjustRightInd w:val="0"/>
              <w:snapToGrid w:val="0"/>
              <w:spacing w:after="0" w:afterLines="0" w:line="360" w:lineRule="auto"/>
              <w:ind w:firstLine="480" w:firstLineChars="200"/>
              <w:textAlignment w:val="auto"/>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val="en-US" w:eastAsia="zh-CN"/>
              </w:rPr>
              <w:t>（1）环境监测目的</w:t>
            </w:r>
          </w:p>
          <w:p>
            <w:pPr>
              <w:pStyle w:val="40"/>
              <w:keepNext w:val="0"/>
              <w:keepLines w:val="0"/>
              <w:pageBreakBefore w:val="0"/>
              <w:widowControl w:val="0"/>
              <w:numPr>
                <w:ilvl w:val="0"/>
                <w:numId w:val="0"/>
              </w:numPr>
              <w:tabs>
                <w:tab w:val="left" w:pos="420"/>
                <w:tab w:val="left" w:pos="870"/>
                <w:tab w:val="left" w:pos="3150"/>
              </w:tabs>
              <w:kinsoku/>
              <w:wordWrap/>
              <w:overflowPunct/>
              <w:topLinePunct w:val="0"/>
              <w:autoSpaceDE/>
              <w:autoSpaceDN/>
              <w:bidi w:val="0"/>
              <w:adjustRightInd w:val="0"/>
              <w:snapToGrid w:val="0"/>
              <w:spacing w:after="0" w:afterLines="0" w:line="360" w:lineRule="auto"/>
              <w:ind w:firstLine="480" w:firstLineChars="200"/>
              <w:textAlignment w:val="auto"/>
              <w:rPr>
                <w:rFonts w:hint="default" w:ascii="Times New Roman" w:hAnsi="Times New Roman" w:cs="Times New Roman"/>
                <w:b w:val="0"/>
                <w:bCs/>
                <w:color w:val="000000"/>
                <w:sz w:val="24"/>
                <w:szCs w:val="24"/>
              </w:rPr>
            </w:pPr>
            <w:r>
              <w:rPr>
                <w:rFonts w:hint="default" w:ascii="Times New Roman" w:hAnsi="Times New Roman" w:cs="Times New Roman"/>
                <w:b w:val="0"/>
                <w:bCs/>
                <w:color w:val="000000"/>
                <w:sz w:val="24"/>
                <w:szCs w:val="24"/>
              </w:rPr>
              <w:t>为保证本评价提出的环保措施在施工期和营运期能有效减少污染物的排放，使整个受工程建设影响的区域符合本报告提出的环境质量标准，工程施工期和营运期必须执行本监测计划。通过实施环境监测计划，全面及时地掌握工程施工期和营运期环境状况，对可能发生的污染进行监测，为制定必要的污染控制措施提供依据。</w:t>
            </w:r>
          </w:p>
          <w:p>
            <w:pPr>
              <w:pStyle w:val="40"/>
              <w:keepNext w:val="0"/>
              <w:keepLines w:val="0"/>
              <w:pageBreakBefore w:val="0"/>
              <w:widowControl w:val="0"/>
              <w:numPr>
                <w:ilvl w:val="0"/>
                <w:numId w:val="0"/>
              </w:numPr>
              <w:tabs>
                <w:tab w:val="left" w:pos="420"/>
                <w:tab w:val="left" w:pos="870"/>
                <w:tab w:val="left" w:pos="3150"/>
              </w:tabs>
              <w:kinsoku/>
              <w:wordWrap/>
              <w:overflowPunct/>
              <w:topLinePunct w:val="0"/>
              <w:autoSpaceDE/>
              <w:autoSpaceDN/>
              <w:bidi w:val="0"/>
              <w:adjustRightInd w:val="0"/>
              <w:snapToGrid w:val="0"/>
              <w:spacing w:after="0" w:afterLines="0" w:line="360" w:lineRule="auto"/>
              <w:ind w:firstLine="480" w:firstLineChars="200"/>
              <w:textAlignment w:val="auto"/>
              <w:rPr>
                <w:rFonts w:hint="default" w:ascii="Times New Roman" w:hAnsi="Times New Roman" w:cs="Times New Roman"/>
                <w:color w:val="000000"/>
                <w:sz w:val="24"/>
                <w:szCs w:val="24"/>
                <w:lang w:val="en-US" w:eastAsia="zh-CN"/>
              </w:rPr>
            </w:pPr>
            <w:r>
              <w:rPr>
                <w:rFonts w:hint="default" w:ascii="Times New Roman" w:hAnsi="Times New Roman" w:cs="Times New Roman"/>
                <w:color w:val="000000"/>
                <w:sz w:val="24"/>
                <w:szCs w:val="24"/>
                <w:lang w:val="en-US" w:eastAsia="zh-CN"/>
              </w:rPr>
              <w:t>（2）环境监测计划</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b w:val="0"/>
                <w:bCs/>
                <w:color w:val="000000"/>
                <w:kern w:val="0"/>
                <w:sz w:val="24"/>
                <w:szCs w:val="24"/>
                <w:lang w:val="en-US" w:eastAsia="zh-CN" w:bidi="ar-SA"/>
              </w:rPr>
            </w:pPr>
            <w:r>
              <w:rPr>
                <w:rFonts w:hint="default" w:ascii="Times New Roman" w:hAnsi="Times New Roman" w:eastAsia="宋体" w:cs="Times New Roman"/>
                <w:b w:val="0"/>
                <w:bCs/>
                <w:color w:val="000000"/>
                <w:sz w:val="24"/>
                <w:szCs w:val="24"/>
              </w:rPr>
              <w:t>采取定时和不定时抽检相结合的方式进行定点和流动监测，监测重点为</w:t>
            </w:r>
            <w:r>
              <w:rPr>
                <w:rFonts w:hint="eastAsia" w:ascii="Times New Roman" w:hAnsi="Times New Roman" w:eastAsia="宋体" w:cs="Times New Roman"/>
                <w:b w:val="0"/>
                <w:bCs/>
                <w:color w:val="000000"/>
                <w:sz w:val="24"/>
                <w:szCs w:val="24"/>
                <w:lang w:eastAsia="zh-CN"/>
              </w:rPr>
              <w:t>大气</w:t>
            </w:r>
            <w:r>
              <w:rPr>
                <w:rFonts w:hint="default" w:ascii="Times New Roman" w:hAnsi="Times New Roman" w:eastAsia="宋体" w:cs="Times New Roman"/>
                <w:b w:val="0"/>
                <w:bCs/>
                <w:color w:val="000000"/>
                <w:sz w:val="24"/>
                <w:szCs w:val="24"/>
              </w:rPr>
              <w:t>、水、声环境，监测计划见表</w:t>
            </w:r>
            <w:r>
              <w:rPr>
                <w:rFonts w:hint="eastAsia" w:ascii="Times New Roman" w:hAnsi="Times New Roman" w:eastAsia="宋体" w:cs="Times New Roman"/>
                <w:b w:val="0"/>
                <w:bCs/>
                <w:color w:val="000000"/>
                <w:sz w:val="24"/>
                <w:szCs w:val="24"/>
                <w:lang w:val="en-US" w:eastAsia="zh-CN"/>
              </w:rPr>
              <w:t>5</w:t>
            </w:r>
            <w:r>
              <w:rPr>
                <w:rFonts w:hint="default" w:ascii="Times New Roman" w:hAnsi="Times New Roman" w:eastAsia="宋体" w:cs="Times New Roman"/>
                <w:b w:val="0"/>
                <w:bCs/>
                <w:color w:val="000000"/>
                <w:sz w:val="24"/>
                <w:szCs w:val="24"/>
                <w:lang w:val="en-US" w:eastAsia="zh-CN"/>
              </w:rPr>
              <w:t>-</w:t>
            </w:r>
            <w:r>
              <w:rPr>
                <w:rFonts w:hint="eastAsia" w:ascii="Times New Roman" w:hAnsi="Times New Roman" w:eastAsia="宋体" w:cs="Times New Roman"/>
                <w:b w:val="0"/>
                <w:bCs/>
                <w:color w:val="000000"/>
                <w:sz w:val="24"/>
                <w:szCs w:val="24"/>
                <w:lang w:val="en-US" w:eastAsia="zh-CN"/>
              </w:rPr>
              <w:t>2</w:t>
            </w:r>
            <w:r>
              <w:rPr>
                <w:rFonts w:hint="default" w:ascii="Times New Roman" w:hAnsi="Times New Roman" w:eastAsia="宋体" w:cs="Times New Roman"/>
                <w:b w:val="0"/>
                <w:bCs/>
                <w:color w:val="000000"/>
                <w:sz w:val="24"/>
                <w:szCs w:val="24"/>
                <w:lang w:val="en-US" w:eastAsia="zh-CN"/>
              </w:rPr>
              <w:t>。</w:t>
            </w:r>
            <w:r>
              <w:rPr>
                <w:rFonts w:hint="default" w:ascii="Times New Roman" w:hAnsi="Times New Roman" w:eastAsia="宋体" w:cs="Times New Roman"/>
                <w:b w:val="0"/>
                <w:bCs/>
                <w:color w:val="000000"/>
                <w:kern w:val="0"/>
                <w:sz w:val="24"/>
                <w:szCs w:val="24"/>
                <w:lang w:val="en-US" w:eastAsia="zh-CN" w:bidi="ar-SA"/>
              </w:rPr>
              <w:t>监测计划由符合国家环境质量监测认证资质的单位承担。</w:t>
            </w:r>
          </w:p>
          <w:p>
            <w:pPr>
              <w:pStyle w:val="2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sz w:val="21"/>
                <w:szCs w:val="21"/>
                <w:lang w:val="en-US"/>
              </w:rPr>
            </w:pPr>
            <w:r>
              <w:rPr>
                <w:rFonts w:hint="default" w:ascii="Times New Roman" w:hAnsi="Times New Roman" w:eastAsia="宋体" w:cs="Times New Roman"/>
                <w:b/>
                <w:bCs w:val="0"/>
                <w:color w:val="000000"/>
                <w:sz w:val="21"/>
                <w:szCs w:val="21"/>
              </w:rPr>
              <w:t>表</w:t>
            </w:r>
            <w:r>
              <w:rPr>
                <w:rFonts w:hint="default" w:ascii="Times New Roman" w:hAnsi="Times New Roman" w:eastAsia="宋体" w:cs="Times New Roman"/>
                <w:b/>
                <w:bCs w:val="0"/>
                <w:color w:val="000000"/>
                <w:sz w:val="21"/>
                <w:szCs w:val="21"/>
                <w:lang w:val="en-US" w:eastAsia="zh-CN"/>
              </w:rPr>
              <w:t>5-2  环境监测计划</w:t>
            </w:r>
          </w:p>
          <w:tbl>
            <w:tblPr>
              <w:tblStyle w:val="4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963"/>
              <w:gridCol w:w="1570"/>
              <w:gridCol w:w="2348"/>
              <w:gridCol w:w="1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2" w:type="pct"/>
                  <w:noWrap w:val="0"/>
                  <w:vAlign w:val="center"/>
                </w:tcPr>
                <w:p>
                  <w:pPr>
                    <w:pStyle w:val="40"/>
                    <w:numPr>
                      <w:ilvl w:val="0"/>
                      <w:numId w:val="0"/>
                    </w:numPr>
                    <w:tabs>
                      <w:tab w:val="left" w:pos="420"/>
                      <w:tab w:val="left" w:pos="870"/>
                      <w:tab w:val="left" w:pos="3150"/>
                    </w:tabs>
                    <w:ind w:left="0" w:leftChars="0" w:right="0" w:rightChars="0" w:firstLine="0" w:firstLineChars="0"/>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时段</w:t>
                  </w:r>
                </w:p>
              </w:tc>
              <w:tc>
                <w:tcPr>
                  <w:tcW w:w="665" w:type="pct"/>
                  <w:noWrap w:val="0"/>
                  <w:vAlign w:val="center"/>
                </w:tcPr>
                <w:p>
                  <w:pPr>
                    <w:pStyle w:val="40"/>
                    <w:numPr>
                      <w:ilvl w:val="0"/>
                      <w:numId w:val="0"/>
                    </w:numPr>
                    <w:tabs>
                      <w:tab w:val="left" w:pos="420"/>
                      <w:tab w:val="left" w:pos="870"/>
                      <w:tab w:val="left" w:pos="3150"/>
                    </w:tabs>
                    <w:ind w:left="0" w:leftChars="0" w:right="0" w:rightChars="0" w:firstLine="0" w:firstLineChars="0"/>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类别</w:t>
                  </w:r>
                </w:p>
              </w:tc>
              <w:tc>
                <w:tcPr>
                  <w:tcW w:w="1084" w:type="pct"/>
                  <w:noWrap w:val="0"/>
                  <w:vAlign w:val="center"/>
                </w:tcPr>
                <w:p>
                  <w:pPr>
                    <w:pStyle w:val="40"/>
                    <w:numPr>
                      <w:ilvl w:val="0"/>
                      <w:numId w:val="0"/>
                    </w:numPr>
                    <w:tabs>
                      <w:tab w:val="left" w:pos="420"/>
                      <w:tab w:val="left" w:pos="870"/>
                      <w:tab w:val="left" w:pos="3150"/>
                    </w:tabs>
                    <w:ind w:left="0" w:leftChars="0" w:right="0" w:rightChars="0" w:firstLine="0" w:firstLineChars="0"/>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测点位置</w:t>
                  </w:r>
                </w:p>
              </w:tc>
              <w:tc>
                <w:tcPr>
                  <w:tcW w:w="1621" w:type="pct"/>
                  <w:noWrap w:val="0"/>
                  <w:vAlign w:val="center"/>
                </w:tcPr>
                <w:p>
                  <w:pPr>
                    <w:pStyle w:val="40"/>
                    <w:numPr>
                      <w:ilvl w:val="0"/>
                      <w:numId w:val="0"/>
                    </w:numPr>
                    <w:tabs>
                      <w:tab w:val="left" w:pos="420"/>
                      <w:tab w:val="left" w:pos="870"/>
                      <w:tab w:val="left" w:pos="3150"/>
                    </w:tabs>
                    <w:ind w:left="0" w:leftChars="0" w:right="0" w:rightChars="0" w:firstLine="0" w:firstLineChars="0"/>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监测项目</w:t>
                  </w:r>
                </w:p>
              </w:tc>
              <w:tc>
                <w:tcPr>
                  <w:tcW w:w="1095" w:type="pct"/>
                  <w:noWrap w:val="0"/>
                  <w:vAlign w:val="center"/>
                </w:tcPr>
                <w:p>
                  <w:pPr>
                    <w:pStyle w:val="40"/>
                    <w:numPr>
                      <w:ilvl w:val="0"/>
                      <w:numId w:val="0"/>
                    </w:numPr>
                    <w:tabs>
                      <w:tab w:val="left" w:pos="420"/>
                      <w:tab w:val="left" w:pos="870"/>
                      <w:tab w:val="left" w:pos="3150"/>
                    </w:tabs>
                    <w:ind w:left="0" w:leftChars="0" w:right="0" w:rightChars="0" w:firstLine="0" w:firstLineChars="0"/>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监测频次及历时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32" w:type="pct"/>
                  <w:vMerge w:val="restart"/>
                  <w:noWrap w:val="0"/>
                  <w:vAlign w:val="center"/>
                </w:tcPr>
                <w:p>
                  <w:pPr>
                    <w:pStyle w:val="40"/>
                    <w:numPr>
                      <w:ilvl w:val="0"/>
                      <w:numId w:val="0"/>
                    </w:numPr>
                    <w:tabs>
                      <w:tab w:val="left" w:pos="420"/>
                      <w:tab w:val="left" w:pos="870"/>
                      <w:tab w:val="left" w:pos="3150"/>
                    </w:tabs>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施工期</w:t>
                  </w:r>
                </w:p>
              </w:tc>
              <w:tc>
                <w:tcPr>
                  <w:tcW w:w="665" w:type="pct"/>
                  <w:noWrap w:val="0"/>
                  <w:vAlign w:val="center"/>
                </w:tcPr>
                <w:p>
                  <w:pPr>
                    <w:pStyle w:val="40"/>
                    <w:numPr>
                      <w:ilvl w:val="0"/>
                      <w:numId w:val="0"/>
                    </w:numPr>
                    <w:tabs>
                      <w:tab w:val="left" w:pos="420"/>
                      <w:tab w:val="left" w:pos="870"/>
                      <w:tab w:val="left" w:pos="3150"/>
                    </w:tabs>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水环境</w:t>
                  </w:r>
                </w:p>
              </w:tc>
              <w:tc>
                <w:tcPr>
                  <w:tcW w:w="1084" w:type="pct"/>
                  <w:noWrap w:val="0"/>
                  <w:vAlign w:val="center"/>
                </w:tcPr>
                <w:p>
                  <w:pPr>
                    <w:pStyle w:val="40"/>
                    <w:numPr>
                      <w:ilvl w:val="0"/>
                      <w:numId w:val="0"/>
                    </w:numPr>
                    <w:tabs>
                      <w:tab w:val="left" w:pos="420"/>
                      <w:tab w:val="left" w:pos="870"/>
                      <w:tab w:val="left" w:pos="3150"/>
                    </w:tabs>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围堰上游500m处，围堰</w:t>
                  </w:r>
                  <w:r>
                    <w:rPr>
                      <w:rFonts w:hint="default" w:ascii="Times New Roman" w:hAnsi="Times New Roman" w:cs="Times New Roman"/>
                      <w:color w:val="auto"/>
                      <w:sz w:val="21"/>
                      <w:szCs w:val="21"/>
                      <w:vertAlign w:val="baseline"/>
                      <w:lang w:val="en-US" w:eastAsia="zh-CN"/>
                    </w:rPr>
                    <w:t>下游</w:t>
                  </w:r>
                  <w:r>
                    <w:rPr>
                      <w:rFonts w:hint="eastAsia" w:ascii="Times New Roman" w:hAnsi="Times New Roman" w:cs="Times New Roman"/>
                      <w:color w:val="auto"/>
                      <w:sz w:val="21"/>
                      <w:szCs w:val="21"/>
                      <w:vertAlign w:val="baseline"/>
                      <w:lang w:val="en-US" w:eastAsia="zh-CN"/>
                    </w:rPr>
                    <w:t>1000</w:t>
                  </w:r>
                  <w:r>
                    <w:rPr>
                      <w:rFonts w:hint="default" w:ascii="Times New Roman" w:hAnsi="Times New Roman" w:cs="Times New Roman"/>
                      <w:color w:val="auto"/>
                      <w:sz w:val="21"/>
                      <w:szCs w:val="21"/>
                      <w:vertAlign w:val="baseline"/>
                      <w:lang w:val="en-US" w:eastAsia="zh-CN"/>
                    </w:rPr>
                    <w:t>m</w:t>
                  </w:r>
                  <w:r>
                    <w:rPr>
                      <w:rFonts w:hint="eastAsia" w:ascii="Times New Roman" w:hAnsi="Times New Roman" w:cs="Times New Roman"/>
                      <w:color w:val="auto"/>
                      <w:sz w:val="21"/>
                      <w:szCs w:val="21"/>
                      <w:vertAlign w:val="baseline"/>
                      <w:lang w:val="en-US" w:eastAsia="zh-CN"/>
                    </w:rPr>
                    <w:t>处</w:t>
                  </w:r>
                </w:p>
              </w:tc>
              <w:tc>
                <w:tcPr>
                  <w:tcW w:w="1621" w:type="pct"/>
                  <w:noWrap w:val="0"/>
                  <w:vAlign w:val="center"/>
                </w:tcPr>
                <w:p>
                  <w:pPr>
                    <w:pStyle w:val="40"/>
                    <w:numPr>
                      <w:ilvl w:val="0"/>
                      <w:numId w:val="0"/>
                    </w:numPr>
                    <w:tabs>
                      <w:tab w:val="left" w:pos="420"/>
                      <w:tab w:val="left" w:pos="870"/>
                      <w:tab w:val="left" w:pos="3150"/>
                    </w:tabs>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SS、COD</w:t>
                  </w:r>
                  <w:r>
                    <w:rPr>
                      <w:rFonts w:hint="eastAsia" w:ascii="Times New Roman" w:hAnsi="Times New Roman" w:cs="Times New Roman"/>
                      <w:color w:val="auto"/>
                      <w:sz w:val="21"/>
                      <w:szCs w:val="21"/>
                      <w:vertAlign w:val="baseline"/>
                      <w:lang w:val="en-US" w:eastAsia="zh-CN"/>
                    </w:rPr>
                    <w:t>、BOD</w:t>
                  </w:r>
                  <w:r>
                    <w:rPr>
                      <w:rFonts w:hint="eastAsia" w:ascii="Times New Roman" w:hAnsi="Times New Roman" w:cs="Times New Roman"/>
                      <w:color w:val="auto"/>
                      <w:sz w:val="21"/>
                      <w:szCs w:val="21"/>
                      <w:vertAlign w:val="subscript"/>
                      <w:lang w:val="en-US" w:eastAsia="zh-CN"/>
                    </w:rPr>
                    <w:t>5</w:t>
                  </w:r>
                  <w:r>
                    <w:rPr>
                      <w:rFonts w:hint="eastAsia" w:ascii="Times New Roman" w:hAnsi="Times New Roman" w:cs="Times New Roman"/>
                      <w:color w:val="auto"/>
                      <w:sz w:val="21"/>
                      <w:szCs w:val="21"/>
                      <w:vertAlign w:val="baseline"/>
                      <w:lang w:val="en-US" w:eastAsia="zh-CN"/>
                    </w:rPr>
                    <w:t>、石油类</w:t>
                  </w:r>
                </w:p>
              </w:tc>
              <w:tc>
                <w:tcPr>
                  <w:tcW w:w="1095" w:type="pct"/>
                  <w:noWrap w:val="0"/>
                  <w:vAlign w:val="center"/>
                </w:tcPr>
                <w:p>
                  <w:pPr>
                    <w:pStyle w:val="40"/>
                    <w:numPr>
                      <w:ilvl w:val="0"/>
                      <w:numId w:val="0"/>
                    </w:numPr>
                    <w:tabs>
                      <w:tab w:val="left" w:pos="420"/>
                      <w:tab w:val="left" w:pos="870"/>
                      <w:tab w:val="left" w:pos="3150"/>
                    </w:tabs>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施工期</w:t>
                  </w:r>
                  <w:r>
                    <w:rPr>
                      <w:rFonts w:hint="default" w:ascii="Times New Roman" w:hAnsi="Times New Roman" w:cs="Times New Roman"/>
                      <w:color w:val="auto"/>
                      <w:sz w:val="21"/>
                      <w:szCs w:val="21"/>
                      <w:vertAlign w:val="baseline"/>
                      <w:lang w:val="en-US" w:eastAsia="zh-CN"/>
                    </w:rPr>
                    <w:t>监测1</w:t>
                  </w:r>
                  <w:r>
                    <w:rPr>
                      <w:rFonts w:hint="eastAsia" w:ascii="Times New Roman" w:hAnsi="Times New Roman" w:cs="Times New Roman"/>
                      <w:color w:val="auto"/>
                      <w:sz w:val="21"/>
                      <w:szCs w:val="21"/>
                      <w:vertAlign w:val="baseline"/>
                      <w:lang w:val="en-US" w:eastAsia="zh-CN"/>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32" w:type="pct"/>
                  <w:vMerge w:val="continue"/>
                  <w:noWrap w:val="0"/>
                  <w:vAlign w:val="center"/>
                </w:tcPr>
                <w:p>
                  <w:pPr>
                    <w:pStyle w:val="40"/>
                    <w:numPr>
                      <w:ilvl w:val="0"/>
                      <w:numId w:val="0"/>
                    </w:numPr>
                    <w:tabs>
                      <w:tab w:val="left" w:pos="420"/>
                      <w:tab w:val="left" w:pos="870"/>
                      <w:tab w:val="left" w:pos="3150"/>
                    </w:tabs>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c>
                <w:tcPr>
                  <w:tcW w:w="665" w:type="pct"/>
                  <w:noWrap w:val="0"/>
                  <w:vAlign w:val="center"/>
                </w:tcPr>
                <w:p>
                  <w:pPr>
                    <w:pStyle w:val="40"/>
                    <w:numPr>
                      <w:ilvl w:val="0"/>
                      <w:numId w:val="0"/>
                    </w:numPr>
                    <w:tabs>
                      <w:tab w:val="left" w:pos="420"/>
                      <w:tab w:val="left" w:pos="870"/>
                      <w:tab w:val="left" w:pos="3150"/>
                    </w:tabs>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大气环境</w:t>
                  </w:r>
                </w:p>
              </w:tc>
              <w:tc>
                <w:tcPr>
                  <w:tcW w:w="1084" w:type="pct"/>
                  <w:noWrap w:val="0"/>
                  <w:vAlign w:val="center"/>
                </w:tcPr>
                <w:p>
                  <w:pPr>
                    <w:pStyle w:val="40"/>
                    <w:numPr>
                      <w:ilvl w:val="0"/>
                      <w:numId w:val="0"/>
                    </w:numPr>
                    <w:tabs>
                      <w:tab w:val="left" w:pos="420"/>
                      <w:tab w:val="left" w:pos="870"/>
                      <w:tab w:val="left" w:pos="3150"/>
                    </w:tabs>
                    <w:ind w:left="0" w:leftChars="0" w:right="0" w:rightChars="0" w:firstLine="0" w:firstLineChars="0"/>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施工场地周边</w:t>
                  </w:r>
                </w:p>
              </w:tc>
              <w:tc>
                <w:tcPr>
                  <w:tcW w:w="1621" w:type="pct"/>
                  <w:noWrap w:val="0"/>
                  <w:vAlign w:val="center"/>
                </w:tcPr>
                <w:p>
                  <w:pPr>
                    <w:pStyle w:val="40"/>
                    <w:numPr>
                      <w:ilvl w:val="0"/>
                      <w:numId w:val="0"/>
                    </w:numPr>
                    <w:tabs>
                      <w:tab w:val="left" w:pos="420"/>
                      <w:tab w:val="left" w:pos="870"/>
                      <w:tab w:val="left" w:pos="3150"/>
                    </w:tabs>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颗粒物</w:t>
                  </w:r>
                </w:p>
              </w:tc>
              <w:tc>
                <w:tcPr>
                  <w:tcW w:w="1095" w:type="pct"/>
                  <w:noWrap w:val="0"/>
                  <w:vAlign w:val="center"/>
                </w:tcPr>
                <w:p>
                  <w:pPr>
                    <w:pStyle w:val="40"/>
                    <w:numPr>
                      <w:ilvl w:val="0"/>
                      <w:numId w:val="0"/>
                    </w:numPr>
                    <w:tabs>
                      <w:tab w:val="left" w:pos="420"/>
                      <w:tab w:val="left" w:pos="870"/>
                      <w:tab w:val="left" w:pos="3150"/>
                    </w:tabs>
                    <w:ind w:left="0" w:leftChars="0" w:right="0" w:rightChars="0" w:firstLine="0" w:firstLineChars="0"/>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施工期</w:t>
                  </w:r>
                  <w:r>
                    <w:rPr>
                      <w:rFonts w:hint="default" w:ascii="Times New Roman" w:hAnsi="Times New Roman" w:cs="Times New Roman"/>
                      <w:color w:val="auto"/>
                      <w:sz w:val="21"/>
                      <w:szCs w:val="21"/>
                      <w:vertAlign w:val="baseline"/>
                      <w:lang w:val="en-US" w:eastAsia="zh-CN"/>
                    </w:rPr>
                    <w:t>监测1</w:t>
                  </w:r>
                  <w:r>
                    <w:rPr>
                      <w:rFonts w:hint="eastAsia" w:ascii="Times New Roman" w:hAnsi="Times New Roman" w:cs="Times New Roman"/>
                      <w:color w:val="auto"/>
                      <w:sz w:val="21"/>
                      <w:szCs w:val="21"/>
                      <w:vertAlign w:val="baseline"/>
                      <w:lang w:val="en-US" w:eastAsia="zh-CN"/>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2" w:type="pct"/>
                  <w:vMerge w:val="continue"/>
                  <w:noWrap w:val="0"/>
                  <w:vAlign w:val="center"/>
                </w:tcPr>
                <w:p>
                  <w:pPr>
                    <w:pStyle w:val="40"/>
                    <w:numPr>
                      <w:ilvl w:val="0"/>
                      <w:numId w:val="0"/>
                    </w:numPr>
                    <w:tabs>
                      <w:tab w:val="left" w:pos="420"/>
                      <w:tab w:val="left" w:pos="870"/>
                      <w:tab w:val="left" w:pos="3150"/>
                    </w:tabs>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p>
              </w:tc>
              <w:tc>
                <w:tcPr>
                  <w:tcW w:w="665" w:type="pct"/>
                  <w:noWrap w:val="0"/>
                  <w:vAlign w:val="center"/>
                </w:tcPr>
                <w:p>
                  <w:pPr>
                    <w:pStyle w:val="40"/>
                    <w:numPr>
                      <w:ilvl w:val="0"/>
                      <w:numId w:val="0"/>
                    </w:numPr>
                    <w:tabs>
                      <w:tab w:val="left" w:pos="420"/>
                      <w:tab w:val="left" w:pos="870"/>
                      <w:tab w:val="left" w:pos="3150"/>
                    </w:tabs>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声环境</w:t>
                  </w:r>
                </w:p>
              </w:tc>
              <w:tc>
                <w:tcPr>
                  <w:tcW w:w="1084" w:type="pct"/>
                  <w:noWrap w:val="0"/>
                  <w:vAlign w:val="center"/>
                </w:tcPr>
                <w:p>
                  <w:pPr>
                    <w:pStyle w:val="40"/>
                    <w:numPr>
                      <w:ilvl w:val="0"/>
                      <w:numId w:val="0"/>
                    </w:numPr>
                    <w:tabs>
                      <w:tab w:val="left" w:pos="420"/>
                      <w:tab w:val="left" w:pos="870"/>
                      <w:tab w:val="left" w:pos="3150"/>
                    </w:tabs>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施工场地周边居民点、临时堆料区</w:t>
                  </w:r>
                </w:p>
              </w:tc>
              <w:tc>
                <w:tcPr>
                  <w:tcW w:w="1621" w:type="pct"/>
                  <w:noWrap w:val="0"/>
                  <w:vAlign w:val="center"/>
                </w:tcPr>
                <w:p>
                  <w:pPr>
                    <w:pStyle w:val="40"/>
                    <w:numPr>
                      <w:ilvl w:val="0"/>
                      <w:numId w:val="0"/>
                    </w:numPr>
                    <w:tabs>
                      <w:tab w:val="left" w:pos="420"/>
                      <w:tab w:val="left" w:pos="870"/>
                      <w:tab w:val="left" w:pos="3150"/>
                    </w:tabs>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LeqA</w:t>
                  </w:r>
                </w:p>
              </w:tc>
              <w:tc>
                <w:tcPr>
                  <w:tcW w:w="1095" w:type="pct"/>
                  <w:noWrap w:val="0"/>
                  <w:vAlign w:val="center"/>
                </w:tcPr>
                <w:p>
                  <w:pPr>
                    <w:pStyle w:val="37"/>
                    <w:keepNext w:val="0"/>
                    <w:keepLines w:val="0"/>
                    <w:widowControl/>
                    <w:suppressLineNumbers w:val="0"/>
                    <w:ind w:left="0" w:leftChars="0" w:right="0" w:rightChars="0" w:firstLine="0" w:firstLineChars="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rPr>
                    <w:t>施工期</w:t>
                  </w:r>
                  <w:r>
                    <w:rPr>
                      <w:rFonts w:hint="eastAsia" w:ascii="Times New Roman" w:hAnsi="Times New Roman" w:cs="Times New Roman"/>
                      <w:color w:val="auto"/>
                      <w:sz w:val="21"/>
                      <w:szCs w:val="21"/>
                      <w:lang w:eastAsia="zh-CN"/>
                    </w:rPr>
                    <w:t>监测</w:t>
                  </w:r>
                  <w:r>
                    <w:rPr>
                      <w:rFonts w:hint="default" w:ascii="Times New Roman" w:hAnsi="Times New Roman" w:cs="Times New Roman"/>
                      <w:color w:val="auto"/>
                      <w:sz w:val="21"/>
                      <w:szCs w:val="21"/>
                    </w:rPr>
                    <w:t>1次，每次监测1天，昼间、夜间各一次</w:t>
                  </w:r>
                </w:p>
              </w:tc>
            </w:tr>
          </w:tbl>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520" w:firstLineChars="200"/>
              <w:jc w:val="both"/>
              <w:textAlignment w:val="auto"/>
              <w:rPr>
                <w:rFonts w:hint="default" w:ascii="Times New Roman" w:hAnsi="Times New Roman" w:cs="Times New Roman"/>
                <w:bCs/>
                <w:color w:val="0000FF"/>
                <w:spacing w:val="1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7" w:type="dxa"/>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bCs/>
                <w:spacing w:val="10"/>
                <w:szCs w:val="21"/>
              </w:rPr>
            </w:pPr>
            <w:r>
              <w:rPr>
                <w:rFonts w:hint="default" w:ascii="Times New Roman" w:hAnsi="Times New Roman" w:cs="Times New Roman"/>
                <w:bCs/>
                <w:szCs w:val="21"/>
              </w:rPr>
              <w:t>环保投资</w:t>
            </w:r>
          </w:p>
        </w:tc>
        <w:tc>
          <w:tcPr>
            <w:tcW w:w="746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color w:val="auto"/>
                <w:spacing w:val="0"/>
                <w:sz w:val="24"/>
                <w:szCs w:val="24"/>
                <w:highlight w:val="green"/>
                <w:lang w:eastAsia="zh-CN"/>
              </w:rPr>
            </w:pPr>
            <w:r>
              <w:rPr>
                <w:rFonts w:hint="default" w:ascii="Times New Roman" w:hAnsi="Times New Roman" w:cs="Times New Roman"/>
                <w:color w:val="auto"/>
                <w:spacing w:val="0"/>
                <w:sz w:val="24"/>
                <w:szCs w:val="24"/>
              </w:rPr>
              <w:t>本工程总投资为</w:t>
            </w:r>
            <w:r>
              <w:rPr>
                <w:rFonts w:hint="eastAsia" w:ascii="Times New Roman" w:hAnsi="Times New Roman" w:cs="Times New Roman"/>
                <w:color w:val="auto"/>
                <w:spacing w:val="0"/>
                <w:sz w:val="24"/>
                <w:szCs w:val="24"/>
                <w:lang w:val="en-US" w:eastAsia="zh-CN"/>
              </w:rPr>
              <w:t>3438</w:t>
            </w:r>
            <w:r>
              <w:rPr>
                <w:rFonts w:hint="default" w:ascii="Times New Roman" w:hAnsi="Times New Roman" w:cs="Times New Roman"/>
                <w:color w:val="auto"/>
                <w:spacing w:val="0"/>
                <w:sz w:val="24"/>
                <w:szCs w:val="24"/>
              </w:rPr>
              <w:t>万元，环保投资合计</w:t>
            </w:r>
            <w:r>
              <w:rPr>
                <w:rFonts w:hint="eastAsia" w:ascii="Times New Roman" w:hAnsi="Times New Roman" w:cs="Times New Roman"/>
                <w:color w:val="auto"/>
                <w:spacing w:val="0"/>
                <w:sz w:val="24"/>
                <w:szCs w:val="24"/>
                <w:lang w:val="en-US" w:eastAsia="zh-CN"/>
              </w:rPr>
              <w:t>250万</w:t>
            </w:r>
            <w:r>
              <w:rPr>
                <w:rFonts w:hint="default" w:ascii="Times New Roman" w:hAnsi="Times New Roman" w:cs="Times New Roman"/>
                <w:color w:val="auto"/>
                <w:spacing w:val="0"/>
                <w:sz w:val="24"/>
                <w:szCs w:val="24"/>
              </w:rPr>
              <w:t>元，占总投资的</w:t>
            </w:r>
            <w:r>
              <w:rPr>
                <w:rFonts w:hint="eastAsia" w:ascii="Times New Roman" w:hAnsi="Times New Roman" w:cs="Times New Roman"/>
                <w:color w:val="auto"/>
                <w:spacing w:val="0"/>
                <w:sz w:val="24"/>
                <w:szCs w:val="24"/>
                <w:lang w:val="en-US" w:eastAsia="zh-CN"/>
              </w:rPr>
              <w:t>7.27%</w:t>
            </w:r>
            <w:r>
              <w:rPr>
                <w:rFonts w:hint="default" w:ascii="Times New Roman" w:hAnsi="Times New Roman" w:cs="Times New Roman"/>
                <w:color w:val="auto"/>
                <w:spacing w:val="0"/>
                <w:sz w:val="24"/>
                <w:szCs w:val="24"/>
              </w:rPr>
              <w:t>。本工程主要的环境保护直接投资估算详见表</w:t>
            </w:r>
            <w:r>
              <w:rPr>
                <w:rFonts w:hint="eastAsia" w:ascii="Times New Roman" w:hAnsi="Times New Roman" w:cs="Times New Roman"/>
                <w:color w:val="auto"/>
                <w:spacing w:val="0"/>
                <w:sz w:val="24"/>
                <w:szCs w:val="24"/>
                <w:lang w:val="en-US" w:eastAsia="zh-CN"/>
              </w:rPr>
              <w:t>5</w:t>
            </w:r>
            <w:r>
              <w:rPr>
                <w:rFonts w:hint="default" w:ascii="Times New Roman" w:hAnsi="Times New Roman" w:cs="Times New Roman"/>
                <w:color w:val="auto"/>
                <w:spacing w:val="0"/>
                <w:sz w:val="24"/>
                <w:szCs w:val="24"/>
              </w:rPr>
              <w:t>-</w:t>
            </w:r>
            <w:r>
              <w:rPr>
                <w:rFonts w:hint="eastAsia" w:ascii="Times New Roman" w:hAnsi="Times New Roman" w:cs="Times New Roman"/>
                <w:color w:val="auto"/>
                <w:spacing w:val="0"/>
                <w:sz w:val="24"/>
                <w:szCs w:val="24"/>
                <w:lang w:val="en-US" w:eastAsia="zh-CN"/>
              </w:rPr>
              <w:t>3</w:t>
            </w:r>
            <w:r>
              <w:rPr>
                <w:rFonts w:hint="default" w:ascii="Times New Roman" w:hAnsi="Times New Roman" w:cs="Times New Roman"/>
                <w:color w:val="auto"/>
                <w:spacing w:val="0"/>
                <w:sz w:val="24"/>
                <w:szCs w:val="24"/>
                <w:lang w:eastAsia="zh-CN"/>
              </w:rPr>
              <w:t>。</w:t>
            </w:r>
          </w:p>
          <w:p>
            <w:pPr>
              <w:pStyle w:val="2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000000"/>
                <w:sz w:val="21"/>
                <w:szCs w:val="21"/>
                <w:lang w:val="zh-CN"/>
              </w:rPr>
            </w:pPr>
            <w:r>
              <w:rPr>
                <w:rFonts w:hint="default" w:ascii="Times New Roman" w:hAnsi="Times New Roman" w:eastAsia="宋体" w:cs="Times New Roman"/>
                <w:b/>
                <w:bCs w:val="0"/>
                <w:color w:val="000000"/>
                <w:sz w:val="21"/>
                <w:szCs w:val="21"/>
                <w:lang w:val="zh-CN"/>
              </w:rPr>
              <w:t>表</w:t>
            </w:r>
            <w:r>
              <w:rPr>
                <w:rFonts w:hint="eastAsia" w:ascii="Times New Roman" w:hAnsi="Times New Roman" w:eastAsia="宋体" w:cs="Times New Roman"/>
                <w:b/>
                <w:bCs w:val="0"/>
                <w:color w:val="000000"/>
                <w:sz w:val="21"/>
                <w:szCs w:val="21"/>
                <w:lang w:val="en-US" w:eastAsia="zh-CN"/>
              </w:rPr>
              <w:t>5</w:t>
            </w:r>
            <w:r>
              <w:rPr>
                <w:rFonts w:hint="default" w:ascii="Times New Roman" w:hAnsi="Times New Roman" w:eastAsia="宋体" w:cs="Times New Roman"/>
                <w:b/>
                <w:bCs w:val="0"/>
                <w:color w:val="000000"/>
                <w:sz w:val="21"/>
                <w:szCs w:val="21"/>
                <w:lang w:val="zh-CN"/>
              </w:rPr>
              <w:t>-</w:t>
            </w:r>
            <w:r>
              <w:rPr>
                <w:rFonts w:hint="eastAsia" w:ascii="Times New Roman" w:hAnsi="Times New Roman" w:eastAsia="宋体" w:cs="Times New Roman"/>
                <w:b/>
                <w:bCs w:val="0"/>
                <w:color w:val="000000"/>
                <w:sz w:val="21"/>
                <w:szCs w:val="21"/>
                <w:lang w:val="en-US" w:eastAsia="zh-CN"/>
              </w:rPr>
              <w:t>3</w:t>
            </w:r>
            <w:r>
              <w:rPr>
                <w:rFonts w:hint="default" w:ascii="Times New Roman" w:hAnsi="Times New Roman" w:eastAsia="宋体" w:cs="Times New Roman"/>
                <w:b/>
                <w:bCs w:val="0"/>
                <w:color w:val="000000"/>
                <w:sz w:val="21"/>
                <w:szCs w:val="21"/>
                <w:lang w:val="zh-CN"/>
              </w:rPr>
              <w:t xml:space="preserve"> </w:t>
            </w:r>
            <w:r>
              <w:rPr>
                <w:rFonts w:hint="default" w:ascii="Times New Roman" w:hAnsi="Times New Roman" w:eastAsia="宋体" w:cs="Times New Roman"/>
                <w:b/>
                <w:bCs w:val="0"/>
                <w:color w:val="000000"/>
                <w:sz w:val="21"/>
                <w:szCs w:val="21"/>
              </w:rPr>
              <w:t xml:space="preserve"> </w:t>
            </w:r>
            <w:r>
              <w:rPr>
                <w:rFonts w:hint="default" w:ascii="Times New Roman" w:hAnsi="Times New Roman" w:eastAsia="宋体" w:cs="Times New Roman"/>
                <w:b/>
                <w:bCs w:val="0"/>
                <w:color w:val="000000"/>
                <w:sz w:val="21"/>
                <w:szCs w:val="21"/>
                <w:lang w:val="zh-CN"/>
              </w:rPr>
              <w:t>主要环保投资估算</w:t>
            </w:r>
          </w:p>
          <w:tbl>
            <w:tblPr>
              <w:tblStyle w:val="41"/>
              <w:tblW w:w="4997"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699"/>
              <w:gridCol w:w="965"/>
              <w:gridCol w:w="4840"/>
              <w:gridCol w:w="72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48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b/>
                      <w:bCs/>
                      <w:color w:val="auto"/>
                      <w:spacing w:val="0"/>
                      <w:sz w:val="21"/>
                      <w:szCs w:val="21"/>
                      <w:lang w:eastAsia="zh-CN"/>
                    </w:rPr>
                  </w:pPr>
                  <w:bookmarkStart w:id="22" w:name="_Toc13623"/>
                  <w:r>
                    <w:rPr>
                      <w:rFonts w:hint="default" w:ascii="Times New Roman" w:hAnsi="Times New Roman" w:cs="Times New Roman"/>
                      <w:b/>
                      <w:bCs/>
                      <w:color w:val="auto"/>
                      <w:spacing w:val="0"/>
                      <w:sz w:val="21"/>
                      <w:szCs w:val="21"/>
                      <w:lang w:eastAsia="zh-CN"/>
                    </w:rPr>
                    <w:t>时间</w:t>
                  </w:r>
                </w:p>
              </w:tc>
              <w:tc>
                <w:tcPr>
                  <w:tcW w:w="667"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cs="Times New Roman"/>
                      <w:b/>
                      <w:bCs/>
                      <w:color w:val="auto"/>
                      <w:spacing w:val="0"/>
                      <w:sz w:val="21"/>
                      <w:szCs w:val="21"/>
                    </w:rPr>
                  </w:pPr>
                  <w:r>
                    <w:rPr>
                      <w:rFonts w:hint="default" w:ascii="Times New Roman" w:hAnsi="Times New Roman" w:cs="Times New Roman"/>
                      <w:b/>
                      <w:bCs/>
                      <w:color w:val="auto"/>
                      <w:spacing w:val="0"/>
                      <w:sz w:val="21"/>
                      <w:szCs w:val="21"/>
                    </w:rPr>
                    <w:t>项目</w:t>
                  </w:r>
                </w:p>
              </w:tc>
              <w:tc>
                <w:tcPr>
                  <w:tcW w:w="3345"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cs="Times New Roman"/>
                      <w:b/>
                      <w:bCs/>
                      <w:color w:val="auto"/>
                      <w:spacing w:val="0"/>
                      <w:sz w:val="21"/>
                      <w:szCs w:val="21"/>
                    </w:rPr>
                  </w:pPr>
                  <w:r>
                    <w:rPr>
                      <w:rFonts w:hint="default" w:ascii="Times New Roman" w:hAnsi="Times New Roman" w:cs="Times New Roman"/>
                      <w:b/>
                      <w:bCs/>
                      <w:color w:val="auto"/>
                      <w:spacing w:val="0"/>
                      <w:sz w:val="21"/>
                      <w:szCs w:val="21"/>
                    </w:rPr>
                    <w:t>治理措施</w:t>
                  </w:r>
                </w:p>
              </w:tc>
              <w:tc>
                <w:tcPr>
                  <w:tcW w:w="50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cs="Times New Roman"/>
                      <w:b/>
                      <w:bCs/>
                      <w:color w:val="auto"/>
                      <w:spacing w:val="0"/>
                      <w:sz w:val="21"/>
                      <w:szCs w:val="21"/>
                    </w:rPr>
                  </w:pPr>
                  <w:r>
                    <w:rPr>
                      <w:rFonts w:hint="default" w:ascii="Times New Roman" w:hAnsi="Times New Roman" w:cs="Times New Roman"/>
                      <w:b/>
                      <w:bCs/>
                      <w:color w:val="auto"/>
                      <w:spacing w:val="0"/>
                      <w:sz w:val="21"/>
                      <w:szCs w:val="21"/>
                    </w:rPr>
                    <w:t>投资</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b/>
                      <w:bCs/>
                      <w:color w:val="auto"/>
                      <w:spacing w:val="0"/>
                      <w:sz w:val="21"/>
                      <w:szCs w:val="21"/>
                      <w:lang w:eastAsia="zh-CN"/>
                    </w:rPr>
                  </w:pPr>
                  <w:r>
                    <w:rPr>
                      <w:rFonts w:hint="default" w:ascii="Times New Roman" w:hAnsi="Times New Roman" w:cs="Times New Roman"/>
                      <w:b/>
                      <w:bCs/>
                      <w:color w:val="auto"/>
                      <w:spacing w:val="0"/>
                      <w:sz w:val="21"/>
                      <w:szCs w:val="21"/>
                      <w:lang w:eastAsia="zh-CN"/>
                    </w:rPr>
                    <w:t>（</w:t>
                  </w:r>
                  <w:r>
                    <w:rPr>
                      <w:rFonts w:hint="default" w:ascii="Times New Roman" w:hAnsi="Times New Roman" w:cs="Times New Roman"/>
                      <w:b/>
                      <w:bCs/>
                      <w:color w:val="auto"/>
                      <w:spacing w:val="0"/>
                      <w:sz w:val="21"/>
                      <w:szCs w:val="21"/>
                    </w:rPr>
                    <w:t>万元</w:t>
                  </w:r>
                  <w:r>
                    <w:rPr>
                      <w:rFonts w:hint="default" w:ascii="Times New Roman" w:hAnsi="Times New Roman" w:cs="Times New Roman"/>
                      <w:b/>
                      <w:bCs/>
                      <w:color w:val="auto"/>
                      <w:spacing w:val="0"/>
                      <w:sz w:val="21"/>
                      <w:szCs w:val="21"/>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483" w:type="pct"/>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b/>
                      <w:bCs/>
                      <w:color w:val="auto"/>
                      <w:spacing w:val="0"/>
                      <w:sz w:val="21"/>
                      <w:szCs w:val="21"/>
                      <w:lang w:eastAsia="zh-CN"/>
                    </w:rPr>
                  </w:pPr>
                  <w:r>
                    <w:rPr>
                      <w:rFonts w:hint="default" w:ascii="Times New Roman" w:hAnsi="Times New Roman" w:cs="Times New Roman"/>
                      <w:b/>
                      <w:bCs/>
                      <w:color w:val="auto"/>
                      <w:spacing w:val="0"/>
                      <w:sz w:val="21"/>
                      <w:szCs w:val="21"/>
                      <w:lang w:eastAsia="zh-CN"/>
                    </w:rPr>
                    <w:t>施工期</w:t>
                  </w:r>
                </w:p>
              </w:tc>
              <w:tc>
                <w:tcPr>
                  <w:tcW w:w="667"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cs="Times New Roman"/>
                      <w:b/>
                      <w:bCs/>
                      <w:color w:val="auto"/>
                      <w:spacing w:val="0"/>
                      <w:sz w:val="21"/>
                      <w:szCs w:val="21"/>
                    </w:rPr>
                  </w:pPr>
                  <w:r>
                    <w:rPr>
                      <w:rFonts w:hint="default" w:ascii="Times New Roman" w:hAnsi="Times New Roman" w:cs="Times New Roman"/>
                      <w:color w:val="auto"/>
                      <w:spacing w:val="0"/>
                      <w:sz w:val="21"/>
                      <w:szCs w:val="21"/>
                    </w:rPr>
                    <w:t>废水</w:t>
                  </w:r>
                </w:p>
              </w:tc>
              <w:tc>
                <w:tcPr>
                  <w:tcW w:w="3345"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b w:val="0"/>
                      <w:bCs w:val="0"/>
                      <w:color w:val="auto"/>
                      <w:spacing w:val="0"/>
                      <w:sz w:val="21"/>
                      <w:szCs w:val="21"/>
                      <w:lang w:val="en-US" w:eastAsia="zh-CN"/>
                    </w:rPr>
                  </w:pPr>
                  <w:r>
                    <w:rPr>
                      <w:rFonts w:hint="default" w:ascii="Times New Roman" w:hAnsi="Times New Roman" w:cs="Times New Roman"/>
                      <w:color w:val="auto"/>
                      <w:lang w:eastAsia="zh-CN"/>
                    </w:rPr>
                    <w:t>施工人员生活污水依托租用周边民房内已有的生活污水处理设施处理</w:t>
                  </w:r>
                  <w:r>
                    <w:rPr>
                      <w:rFonts w:hint="default" w:ascii="Times New Roman" w:hAnsi="Times New Roman" w:cs="Times New Roman"/>
                      <w:b w:val="0"/>
                      <w:bCs w:val="0"/>
                      <w:color w:val="auto"/>
                      <w:spacing w:val="0"/>
                      <w:sz w:val="21"/>
                      <w:szCs w:val="21"/>
                      <w:lang w:eastAsia="zh-CN"/>
                    </w:rPr>
                    <w:t>，每个施工区域设置</w:t>
                  </w:r>
                  <w:r>
                    <w:rPr>
                      <w:rFonts w:hint="eastAsia" w:ascii="Times New Roman" w:hAnsi="Times New Roman" w:cs="Times New Roman"/>
                      <w:b w:val="0"/>
                      <w:bCs w:val="0"/>
                      <w:color w:val="auto"/>
                      <w:spacing w:val="0"/>
                      <w:sz w:val="21"/>
                      <w:szCs w:val="21"/>
                      <w:lang w:val="en-US" w:eastAsia="zh-CN"/>
                    </w:rPr>
                    <w:t>1</w:t>
                  </w:r>
                  <w:r>
                    <w:rPr>
                      <w:rFonts w:hint="default" w:ascii="Times New Roman" w:hAnsi="Times New Roman" w:cs="Times New Roman"/>
                      <w:b w:val="0"/>
                      <w:bCs w:val="0"/>
                      <w:color w:val="auto"/>
                      <w:spacing w:val="0"/>
                      <w:sz w:val="21"/>
                      <w:szCs w:val="21"/>
                      <w:lang w:eastAsia="zh-CN"/>
                    </w:rPr>
                    <w:t>沉淀池（</w:t>
                  </w:r>
                  <w:r>
                    <w:rPr>
                      <w:rFonts w:hint="eastAsia" w:ascii="Times New Roman" w:hAnsi="Times New Roman" w:cs="Times New Roman"/>
                      <w:b w:val="0"/>
                      <w:bCs w:val="0"/>
                      <w:color w:val="auto"/>
                      <w:spacing w:val="0"/>
                      <w:sz w:val="21"/>
                      <w:szCs w:val="21"/>
                      <w:lang w:val="en-US" w:eastAsia="zh-CN"/>
                    </w:rPr>
                    <w:t>3</w:t>
                  </w:r>
                  <w:r>
                    <w:rPr>
                      <w:rFonts w:hint="default" w:ascii="Times New Roman" w:hAnsi="Times New Roman" w:cs="Times New Roman"/>
                      <w:b w:val="0"/>
                      <w:bCs w:val="0"/>
                      <w:color w:val="auto"/>
                      <w:spacing w:val="0"/>
                      <w:sz w:val="21"/>
                      <w:szCs w:val="21"/>
                      <w:lang w:val="en-US" w:eastAsia="zh-CN"/>
                    </w:rPr>
                    <w:t>m</w:t>
                  </w:r>
                  <w:r>
                    <w:rPr>
                      <w:rFonts w:hint="default" w:ascii="Times New Roman" w:hAnsi="Times New Roman" w:cs="Times New Roman"/>
                      <w:b w:val="0"/>
                      <w:bCs w:val="0"/>
                      <w:color w:val="auto"/>
                      <w:spacing w:val="0"/>
                      <w:sz w:val="21"/>
                      <w:szCs w:val="21"/>
                      <w:vertAlign w:val="superscript"/>
                      <w:lang w:val="en-US" w:eastAsia="zh-CN"/>
                    </w:rPr>
                    <w:t>3</w:t>
                  </w:r>
                  <w:r>
                    <w:rPr>
                      <w:rFonts w:hint="eastAsia" w:ascii="Times New Roman" w:hAnsi="Times New Roman" w:cs="Times New Roman"/>
                      <w:b w:val="0"/>
                      <w:bCs w:val="0"/>
                      <w:color w:val="auto"/>
                      <w:spacing w:val="0"/>
                      <w:sz w:val="21"/>
                      <w:szCs w:val="21"/>
                      <w:vertAlign w:val="baseline"/>
                      <w:lang w:val="en-US" w:eastAsia="zh-CN"/>
                    </w:rPr>
                    <w:t>/个</w:t>
                  </w:r>
                  <w:r>
                    <w:rPr>
                      <w:rFonts w:hint="default" w:ascii="Times New Roman" w:hAnsi="Times New Roman" w:cs="Times New Roman"/>
                      <w:b w:val="0"/>
                      <w:bCs w:val="0"/>
                      <w:color w:val="auto"/>
                      <w:spacing w:val="0"/>
                      <w:sz w:val="21"/>
                      <w:szCs w:val="21"/>
                      <w:lang w:eastAsia="zh-CN"/>
                    </w:rPr>
                    <w:t>）</w:t>
                  </w:r>
                  <w:r>
                    <w:rPr>
                      <w:rFonts w:hint="eastAsia" w:ascii="Times New Roman" w:hAnsi="Times New Roman" w:cs="Times New Roman"/>
                      <w:b w:val="0"/>
                      <w:bCs w:val="0"/>
                      <w:color w:val="auto"/>
                      <w:spacing w:val="0"/>
                      <w:sz w:val="21"/>
                      <w:szCs w:val="21"/>
                      <w:lang w:eastAsia="zh-CN"/>
                    </w:rPr>
                    <w:t>，堆料区设置</w:t>
                  </w:r>
                  <w:r>
                    <w:rPr>
                      <w:rFonts w:hint="eastAsia" w:ascii="Times New Roman" w:hAnsi="Times New Roman" w:cs="Times New Roman"/>
                      <w:b w:val="0"/>
                      <w:bCs w:val="0"/>
                      <w:color w:val="auto"/>
                      <w:spacing w:val="0"/>
                      <w:sz w:val="21"/>
                      <w:szCs w:val="21"/>
                      <w:lang w:val="en-US" w:eastAsia="zh-CN"/>
                    </w:rPr>
                    <w:t>1个三级沉淀池（30m</w:t>
                  </w:r>
                  <w:r>
                    <w:rPr>
                      <w:rFonts w:hint="eastAsia" w:ascii="Times New Roman" w:hAnsi="Times New Roman" w:cs="Times New Roman"/>
                      <w:b w:val="0"/>
                      <w:bCs w:val="0"/>
                      <w:color w:val="auto"/>
                      <w:spacing w:val="0"/>
                      <w:sz w:val="21"/>
                      <w:szCs w:val="21"/>
                      <w:vertAlign w:val="superscript"/>
                      <w:lang w:val="en-US" w:eastAsia="zh-CN"/>
                    </w:rPr>
                    <w:t>3</w:t>
                  </w:r>
                  <w:r>
                    <w:rPr>
                      <w:rFonts w:hint="eastAsia" w:ascii="Times New Roman" w:hAnsi="Times New Roman" w:cs="Times New Roman"/>
                      <w:b w:val="0"/>
                      <w:bCs w:val="0"/>
                      <w:color w:val="auto"/>
                      <w:spacing w:val="0"/>
                      <w:sz w:val="21"/>
                      <w:szCs w:val="21"/>
                      <w:lang w:val="en-US" w:eastAsia="zh-CN"/>
                    </w:rPr>
                    <w:t>）</w:t>
                  </w:r>
                </w:p>
              </w:tc>
              <w:tc>
                <w:tcPr>
                  <w:tcW w:w="50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cs="Times New Roman"/>
                      <w:b w:val="0"/>
                      <w:bCs w:val="0"/>
                      <w:color w:val="auto"/>
                      <w:spacing w:val="0"/>
                      <w:sz w:val="21"/>
                      <w:szCs w:val="21"/>
                      <w:lang w:val="en-US" w:eastAsia="zh-CN"/>
                    </w:rPr>
                  </w:pPr>
                  <w:r>
                    <w:rPr>
                      <w:rFonts w:hint="eastAsia" w:ascii="Times New Roman" w:hAnsi="Times New Roman" w:cs="Times New Roman"/>
                      <w:b w:val="0"/>
                      <w:bCs w:val="0"/>
                      <w:color w:val="auto"/>
                      <w:spacing w:val="0"/>
                      <w:sz w:val="21"/>
                      <w:szCs w:val="21"/>
                      <w:lang w:val="en-US" w:eastAsia="zh-CN"/>
                    </w:rPr>
                    <w:t>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483"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cs="Times New Roman"/>
                      <w:b/>
                      <w:bCs/>
                      <w:color w:val="auto"/>
                      <w:spacing w:val="0"/>
                      <w:sz w:val="21"/>
                      <w:szCs w:val="21"/>
                      <w:lang w:eastAsia="zh-CN"/>
                    </w:rPr>
                  </w:pPr>
                </w:p>
              </w:tc>
              <w:tc>
                <w:tcPr>
                  <w:tcW w:w="667"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b/>
                      <w:bCs/>
                      <w:color w:val="auto"/>
                      <w:spacing w:val="0"/>
                      <w:sz w:val="21"/>
                      <w:szCs w:val="21"/>
                      <w:lang w:eastAsia="zh-CN"/>
                    </w:rPr>
                  </w:pPr>
                  <w:r>
                    <w:rPr>
                      <w:rFonts w:hint="default" w:ascii="Times New Roman" w:hAnsi="Times New Roman" w:cs="Times New Roman"/>
                      <w:color w:val="auto"/>
                      <w:spacing w:val="0"/>
                      <w:sz w:val="21"/>
                      <w:szCs w:val="21"/>
                      <w:lang w:eastAsia="zh-CN"/>
                    </w:rPr>
                    <w:t>废气</w:t>
                  </w:r>
                </w:p>
              </w:tc>
              <w:tc>
                <w:tcPr>
                  <w:tcW w:w="3345"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b w:val="0"/>
                      <w:bCs w:val="0"/>
                      <w:color w:val="auto"/>
                      <w:spacing w:val="0"/>
                      <w:sz w:val="21"/>
                      <w:szCs w:val="21"/>
                      <w:lang w:val="en-US" w:eastAsia="zh-CN"/>
                    </w:rPr>
                  </w:pPr>
                  <w:r>
                    <w:rPr>
                      <w:rFonts w:hint="default" w:ascii="Times New Roman" w:hAnsi="Times New Roman" w:cs="Times New Roman"/>
                      <w:b w:val="0"/>
                      <w:bCs w:val="0"/>
                      <w:color w:val="auto"/>
                      <w:spacing w:val="0"/>
                      <w:sz w:val="21"/>
                      <w:szCs w:val="21"/>
                      <w:lang w:eastAsia="zh-CN"/>
                    </w:rPr>
                    <w:t>运输道路及施工区洒水降尘、加强设备和车辆的检修和维护，施工场地设置车辆冲洗池</w:t>
                  </w:r>
                  <w:r>
                    <w:rPr>
                      <w:rFonts w:hint="eastAsia" w:ascii="Times New Roman" w:hAnsi="Times New Roman" w:cs="Times New Roman"/>
                      <w:b w:val="0"/>
                      <w:bCs w:val="0"/>
                      <w:color w:val="auto"/>
                      <w:spacing w:val="0"/>
                      <w:sz w:val="21"/>
                      <w:szCs w:val="21"/>
                      <w:lang w:eastAsia="zh-CN"/>
                    </w:rPr>
                    <w:t>，每个上岸点堆料场内设置</w:t>
                  </w:r>
                  <w:r>
                    <w:rPr>
                      <w:rFonts w:hint="eastAsia" w:ascii="Times New Roman" w:hAnsi="Times New Roman" w:cs="Times New Roman"/>
                      <w:b w:val="0"/>
                      <w:bCs w:val="0"/>
                      <w:color w:val="auto"/>
                      <w:spacing w:val="0"/>
                      <w:sz w:val="21"/>
                      <w:szCs w:val="21"/>
                      <w:lang w:val="en-US" w:eastAsia="zh-CN"/>
                    </w:rPr>
                    <w:t>1台洒水车</w:t>
                  </w:r>
                  <w:r>
                    <w:rPr>
                      <w:rFonts w:hint="eastAsia" w:ascii="Times New Roman" w:hAnsi="Times New Roman" w:eastAsia="宋体" w:cs="Times New Roman"/>
                      <w:b w:val="0"/>
                      <w:bCs w:val="0"/>
                      <w:color w:val="auto"/>
                      <w:spacing w:val="0"/>
                      <w:sz w:val="21"/>
                      <w:szCs w:val="21"/>
                      <w:lang w:val="en-US" w:eastAsia="zh-CN"/>
                    </w:rPr>
                    <w:t>。</w:t>
                  </w:r>
                </w:p>
              </w:tc>
              <w:tc>
                <w:tcPr>
                  <w:tcW w:w="50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cs="Times New Roman"/>
                      <w:b w:val="0"/>
                      <w:bCs w:val="0"/>
                      <w:color w:val="auto"/>
                      <w:spacing w:val="0"/>
                      <w:sz w:val="21"/>
                      <w:szCs w:val="21"/>
                      <w:lang w:val="en-US" w:eastAsia="zh-CN"/>
                    </w:rPr>
                  </w:pPr>
                  <w:r>
                    <w:rPr>
                      <w:rFonts w:hint="eastAsia" w:ascii="Times New Roman" w:hAnsi="Times New Roman" w:cs="Times New Roman"/>
                      <w:b w:val="0"/>
                      <w:bCs w:val="0"/>
                      <w:color w:val="auto"/>
                      <w:spacing w:val="0"/>
                      <w:sz w:val="21"/>
                      <w:szCs w:val="21"/>
                      <w:lang w:val="en-US" w:eastAsia="zh-CN"/>
                    </w:rPr>
                    <w:t>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483"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cs="Times New Roman"/>
                      <w:b/>
                      <w:bCs/>
                      <w:color w:val="auto"/>
                      <w:spacing w:val="0"/>
                      <w:sz w:val="21"/>
                      <w:szCs w:val="21"/>
                      <w:lang w:eastAsia="zh-CN"/>
                    </w:rPr>
                  </w:pPr>
                </w:p>
              </w:tc>
              <w:tc>
                <w:tcPr>
                  <w:tcW w:w="667"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cs="Times New Roman"/>
                      <w:b/>
                      <w:bCs/>
                      <w:color w:val="auto"/>
                      <w:spacing w:val="0"/>
                      <w:sz w:val="21"/>
                      <w:szCs w:val="21"/>
                    </w:rPr>
                  </w:pPr>
                  <w:r>
                    <w:rPr>
                      <w:rFonts w:hint="default" w:ascii="Times New Roman" w:hAnsi="Times New Roman" w:cs="Times New Roman"/>
                      <w:color w:val="auto"/>
                      <w:spacing w:val="0"/>
                      <w:sz w:val="21"/>
                      <w:szCs w:val="21"/>
                    </w:rPr>
                    <w:t>噪声</w:t>
                  </w:r>
                </w:p>
              </w:tc>
              <w:tc>
                <w:tcPr>
                  <w:tcW w:w="3345"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eastAsia" w:ascii="Times New Roman" w:hAnsi="Times New Roman" w:eastAsia="宋体" w:cs="Times New Roman"/>
                      <w:b w:val="0"/>
                      <w:bCs w:val="0"/>
                      <w:color w:val="auto"/>
                      <w:spacing w:val="0"/>
                      <w:sz w:val="21"/>
                      <w:szCs w:val="21"/>
                      <w:lang w:eastAsia="zh-CN"/>
                    </w:rPr>
                  </w:pPr>
                  <w:r>
                    <w:rPr>
                      <w:rFonts w:hint="default" w:ascii="Times New Roman" w:hAnsi="Times New Roman" w:eastAsia="宋体" w:cs="Times New Roman"/>
                      <w:b w:val="0"/>
                      <w:bCs w:val="0"/>
                      <w:color w:val="auto"/>
                      <w:spacing w:val="0"/>
                      <w:sz w:val="21"/>
                      <w:szCs w:val="21"/>
                      <w:lang w:eastAsia="zh-CN"/>
                    </w:rPr>
                    <w:t>选低噪声设备，严格控制施工作业时间；加强车辆管 理，控制场区车辆车速，夜间不施工</w:t>
                  </w:r>
                  <w:r>
                    <w:rPr>
                      <w:rFonts w:hint="eastAsia" w:ascii="Times New Roman" w:hAnsi="Times New Roman" w:eastAsia="宋体" w:cs="Times New Roman"/>
                      <w:b w:val="0"/>
                      <w:bCs w:val="0"/>
                      <w:color w:val="auto"/>
                      <w:spacing w:val="0"/>
                      <w:sz w:val="21"/>
                      <w:szCs w:val="21"/>
                      <w:lang w:eastAsia="zh-CN"/>
                    </w:rPr>
                    <w:t>（</w:t>
                  </w:r>
                  <w:r>
                    <w:rPr>
                      <w:rFonts w:hint="eastAsia" w:ascii="Times New Roman" w:hAnsi="Times New Roman" w:eastAsia="宋体" w:cs="Times New Roman"/>
                      <w:b w:val="0"/>
                      <w:bCs w:val="0"/>
                      <w:color w:val="auto"/>
                      <w:spacing w:val="0"/>
                      <w:sz w:val="21"/>
                      <w:szCs w:val="21"/>
                      <w:lang w:val="en-US" w:eastAsia="zh-CN"/>
                    </w:rPr>
                    <w:t>20:00~8:00</w:t>
                  </w:r>
                  <w:r>
                    <w:rPr>
                      <w:rFonts w:hint="eastAsia" w:ascii="Times New Roman" w:hAnsi="Times New Roman" w:eastAsia="宋体" w:cs="Times New Roman"/>
                      <w:b w:val="0"/>
                      <w:bCs w:val="0"/>
                      <w:color w:val="auto"/>
                      <w:spacing w:val="0"/>
                      <w:sz w:val="21"/>
                      <w:szCs w:val="21"/>
                      <w:lang w:eastAsia="zh-CN"/>
                    </w:rPr>
                    <w:t>）</w:t>
                  </w:r>
                </w:p>
              </w:tc>
              <w:tc>
                <w:tcPr>
                  <w:tcW w:w="50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cs="Times New Roman"/>
                      <w:b w:val="0"/>
                      <w:bCs w:val="0"/>
                      <w:color w:val="auto"/>
                      <w:spacing w:val="0"/>
                      <w:sz w:val="21"/>
                      <w:szCs w:val="21"/>
                      <w:lang w:val="en-US" w:eastAsia="zh-CN"/>
                    </w:rPr>
                  </w:pPr>
                  <w:r>
                    <w:rPr>
                      <w:rFonts w:hint="eastAsia" w:ascii="Times New Roman" w:hAnsi="Times New Roman" w:cs="Times New Roman"/>
                      <w:b w:val="0"/>
                      <w:bCs w:val="0"/>
                      <w:color w:val="auto"/>
                      <w:spacing w:val="0"/>
                      <w:sz w:val="21"/>
                      <w:szCs w:val="21"/>
                      <w:lang w:val="en-US" w:eastAsia="zh-CN"/>
                    </w:rPr>
                    <w:t>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483"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cs="Times New Roman"/>
                      <w:b/>
                      <w:bCs/>
                      <w:color w:val="auto"/>
                      <w:spacing w:val="0"/>
                      <w:sz w:val="21"/>
                      <w:szCs w:val="21"/>
                      <w:lang w:eastAsia="zh-CN"/>
                    </w:rPr>
                  </w:pPr>
                </w:p>
              </w:tc>
              <w:tc>
                <w:tcPr>
                  <w:tcW w:w="667"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b/>
                      <w:bCs/>
                      <w:color w:val="auto"/>
                      <w:spacing w:val="0"/>
                      <w:sz w:val="21"/>
                      <w:szCs w:val="21"/>
                      <w:lang w:eastAsia="zh-CN"/>
                    </w:rPr>
                  </w:pPr>
                  <w:r>
                    <w:rPr>
                      <w:rFonts w:hint="default" w:ascii="Times New Roman" w:hAnsi="Times New Roman" w:cs="Times New Roman"/>
                      <w:b w:val="0"/>
                      <w:bCs w:val="0"/>
                      <w:color w:val="auto"/>
                      <w:spacing w:val="0"/>
                      <w:sz w:val="21"/>
                      <w:szCs w:val="21"/>
                      <w:lang w:eastAsia="zh-CN"/>
                    </w:rPr>
                    <w:t>固废</w:t>
                  </w:r>
                </w:p>
              </w:tc>
              <w:tc>
                <w:tcPr>
                  <w:tcW w:w="3345"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both"/>
                    <w:textAlignment w:val="baseline"/>
                    <w:rPr>
                      <w:rFonts w:hint="default"/>
                      <w:lang w:eastAsia="zh-CN"/>
                    </w:rPr>
                  </w:pPr>
                  <w:r>
                    <w:rPr>
                      <w:rFonts w:hint="default"/>
                      <w:lang w:eastAsia="zh-CN"/>
                    </w:rPr>
                    <w:t>生活垃圾：各施工场地设置垃圾桶，集中收集后由当地环卫部门统一处理；</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both"/>
                    <w:textAlignment w:val="baseline"/>
                    <w:rPr>
                      <w:rFonts w:hint="eastAsia"/>
                      <w:lang w:eastAsia="zh-CN"/>
                    </w:rPr>
                  </w:pPr>
                  <w:r>
                    <w:rPr>
                      <w:rFonts w:hint="default"/>
                      <w:lang w:val="en-US" w:eastAsia="zh-CN"/>
                    </w:rPr>
                    <w:t>建筑垃圾能</w:t>
                  </w:r>
                  <w:r>
                    <w:rPr>
                      <w:rFonts w:hint="default"/>
                      <w:lang w:eastAsia="zh-CN"/>
                    </w:rPr>
                    <w:t>回收利用的回收利用，不能回收的</w:t>
                  </w:r>
                  <w:r>
                    <w:rPr>
                      <w:rFonts w:hint="eastAsia"/>
                      <w:lang w:eastAsia="zh-CN"/>
                    </w:rPr>
                    <w:t>运至政府指定建筑垃圾堆场填埋；</w:t>
                  </w:r>
                </w:p>
                <w:p>
                  <w:pPr>
                    <w:pStyle w:val="2"/>
                    <w:rPr>
                      <w:rFonts w:hint="default"/>
                      <w:lang w:val="en-US" w:eastAsia="zh-CN"/>
                    </w:rPr>
                  </w:pPr>
                  <w:r>
                    <w:rPr>
                      <w:rFonts w:hint="eastAsia" w:ascii="Times New Roman" w:hAnsi="Times New Roman" w:eastAsia="宋体" w:cs="Times New Roman"/>
                      <w:b w:val="0"/>
                      <w:bCs w:val="0"/>
                      <w:color w:val="auto"/>
                      <w:spacing w:val="0"/>
                      <w:sz w:val="21"/>
                      <w:szCs w:val="21"/>
                      <w:lang w:val="en-US" w:eastAsia="zh-CN"/>
                    </w:rPr>
                    <w:t>弃土：及时</w:t>
                  </w:r>
                  <w:r>
                    <w:rPr>
                      <w:rFonts w:hint="eastAsia" w:ascii="Times New Roman" w:hAnsi="Times New Roman" w:eastAsia="宋体" w:cs="Times New Roman"/>
                      <w:kern w:val="2"/>
                      <w:sz w:val="21"/>
                      <w:szCs w:val="24"/>
                      <w:lang w:val="en-US" w:eastAsia="zh-CN" w:bidi="ar-SA"/>
                    </w:rPr>
                    <w:t>运至苏稽镇石鼓寺村老鸦滩堆料场堆放</w:t>
                  </w:r>
                </w:p>
              </w:tc>
              <w:tc>
                <w:tcPr>
                  <w:tcW w:w="50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cs="Times New Roman"/>
                      <w:b w:val="0"/>
                      <w:bCs w:val="0"/>
                      <w:color w:val="auto"/>
                      <w:spacing w:val="0"/>
                      <w:sz w:val="21"/>
                      <w:szCs w:val="21"/>
                      <w:lang w:val="en-US" w:eastAsia="zh-CN"/>
                    </w:rPr>
                  </w:pPr>
                  <w:r>
                    <w:rPr>
                      <w:rFonts w:hint="eastAsia" w:ascii="Times New Roman" w:hAnsi="Times New Roman" w:cs="Times New Roman"/>
                      <w:b w:val="0"/>
                      <w:bCs w:val="0"/>
                      <w:color w:val="auto"/>
                      <w:spacing w:val="0"/>
                      <w:sz w:val="21"/>
                      <w:szCs w:val="21"/>
                      <w:lang w:val="en-US" w:eastAsia="zh-CN"/>
                    </w:rPr>
                    <w:t>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483"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cs="Times New Roman"/>
                      <w:b/>
                      <w:bCs/>
                      <w:color w:val="auto"/>
                      <w:spacing w:val="0"/>
                      <w:sz w:val="21"/>
                      <w:szCs w:val="21"/>
                      <w:lang w:eastAsia="zh-CN"/>
                    </w:rPr>
                  </w:pPr>
                </w:p>
              </w:tc>
              <w:tc>
                <w:tcPr>
                  <w:tcW w:w="667"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b w:val="0"/>
                      <w:bCs w:val="0"/>
                      <w:color w:val="auto"/>
                      <w:spacing w:val="0"/>
                      <w:sz w:val="21"/>
                      <w:szCs w:val="21"/>
                      <w:lang w:val="en-US" w:eastAsia="zh-CN"/>
                    </w:rPr>
                  </w:pPr>
                  <w:r>
                    <w:rPr>
                      <w:rFonts w:hint="default" w:ascii="Times New Roman" w:hAnsi="Times New Roman" w:eastAsia="宋体" w:cs="Times New Roman"/>
                      <w:b w:val="0"/>
                      <w:bCs w:val="0"/>
                      <w:color w:val="auto"/>
                      <w:spacing w:val="0"/>
                      <w:sz w:val="21"/>
                      <w:szCs w:val="21"/>
                      <w:lang w:eastAsia="zh-CN"/>
                    </w:rPr>
                    <w:t>生态环境保护及恢复措施</w:t>
                  </w:r>
                </w:p>
              </w:tc>
              <w:tc>
                <w:tcPr>
                  <w:tcW w:w="3345"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b w:val="0"/>
                      <w:bCs w:val="0"/>
                      <w:color w:val="auto"/>
                      <w:spacing w:val="0"/>
                      <w:sz w:val="21"/>
                      <w:szCs w:val="21"/>
                      <w:lang w:val="en-US" w:eastAsia="zh-CN"/>
                    </w:rPr>
                  </w:pPr>
                  <w:r>
                    <w:rPr>
                      <w:rFonts w:hint="eastAsia" w:ascii="Times New Roman" w:hAnsi="Times New Roman" w:eastAsia="宋体" w:cs="Times New Roman"/>
                      <w:b w:val="0"/>
                      <w:bCs w:val="0"/>
                      <w:color w:val="auto"/>
                      <w:spacing w:val="0"/>
                      <w:sz w:val="21"/>
                      <w:szCs w:val="21"/>
                      <w:lang w:val="en-US" w:eastAsia="zh-CN"/>
                    </w:rPr>
                    <w:t>密目网</w:t>
                  </w:r>
                  <w:r>
                    <w:rPr>
                      <w:rFonts w:hint="default" w:ascii="Times New Roman" w:hAnsi="Times New Roman" w:eastAsia="宋体" w:cs="Times New Roman"/>
                      <w:b w:val="0"/>
                      <w:bCs w:val="0"/>
                      <w:color w:val="auto"/>
                      <w:spacing w:val="0"/>
                      <w:sz w:val="21"/>
                      <w:szCs w:val="21"/>
                      <w:lang w:eastAsia="zh-CN"/>
                    </w:rPr>
                    <w:t>覆盖、土袋拦挡、沉砂池、开挖临时排水沟、迹地恢复等</w:t>
                  </w:r>
                </w:p>
              </w:tc>
              <w:tc>
                <w:tcPr>
                  <w:tcW w:w="50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cs="Times New Roman"/>
                      <w:b w:val="0"/>
                      <w:bCs w:val="0"/>
                      <w:color w:val="auto"/>
                      <w:spacing w:val="0"/>
                      <w:sz w:val="21"/>
                      <w:szCs w:val="21"/>
                      <w:lang w:val="en-US" w:eastAsia="zh-CN"/>
                    </w:rPr>
                  </w:pPr>
                  <w:r>
                    <w:rPr>
                      <w:rFonts w:hint="eastAsia" w:ascii="Times New Roman" w:hAnsi="Times New Roman" w:cs="Times New Roman"/>
                      <w:b w:val="0"/>
                      <w:bCs w:val="0"/>
                      <w:color w:val="auto"/>
                      <w:spacing w:val="0"/>
                      <w:sz w:val="21"/>
                      <w:szCs w:val="21"/>
                      <w:lang w:val="en-US" w:eastAsia="zh-CN"/>
                    </w:rPr>
                    <w:t>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483"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cs="Times New Roman"/>
                      <w:color w:val="auto"/>
                      <w:spacing w:val="0"/>
                      <w:sz w:val="21"/>
                      <w:szCs w:val="21"/>
                      <w:highlight w:val="red"/>
                    </w:rPr>
                  </w:pPr>
                </w:p>
              </w:tc>
              <w:tc>
                <w:tcPr>
                  <w:tcW w:w="667"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eastAsia" w:ascii="Times New Roman" w:hAnsi="Times New Roman" w:eastAsia="宋体" w:cs="Times New Roman"/>
                      <w:b w:val="0"/>
                      <w:bCs w:val="0"/>
                      <w:color w:val="auto"/>
                      <w:spacing w:val="0"/>
                      <w:sz w:val="21"/>
                      <w:szCs w:val="21"/>
                      <w:lang w:eastAsia="zh-CN"/>
                    </w:rPr>
                  </w:pPr>
                  <w:r>
                    <w:rPr>
                      <w:rFonts w:hint="eastAsia" w:ascii="Times New Roman" w:hAnsi="Times New Roman" w:eastAsia="宋体" w:cs="Times New Roman"/>
                      <w:b w:val="0"/>
                      <w:bCs w:val="0"/>
                      <w:color w:val="auto"/>
                      <w:spacing w:val="0"/>
                      <w:sz w:val="21"/>
                      <w:szCs w:val="21"/>
                      <w:lang w:eastAsia="zh-CN"/>
                    </w:rPr>
                    <w:t>监测费用</w:t>
                  </w:r>
                </w:p>
              </w:tc>
              <w:tc>
                <w:tcPr>
                  <w:tcW w:w="3345"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eastAsia" w:ascii="Times New Roman" w:hAnsi="Times New Roman" w:eastAsia="宋体" w:cs="Times New Roman"/>
                      <w:b w:val="0"/>
                      <w:bCs w:val="0"/>
                      <w:color w:val="auto"/>
                      <w:spacing w:val="0"/>
                      <w:sz w:val="21"/>
                      <w:szCs w:val="21"/>
                      <w:lang w:eastAsia="zh-CN"/>
                    </w:rPr>
                  </w:pPr>
                  <w:r>
                    <w:rPr>
                      <w:rFonts w:hint="eastAsia" w:ascii="Times New Roman" w:hAnsi="Times New Roman" w:eastAsia="宋体" w:cs="Times New Roman"/>
                      <w:b w:val="0"/>
                      <w:bCs w:val="0"/>
                      <w:color w:val="auto"/>
                      <w:spacing w:val="0"/>
                      <w:sz w:val="21"/>
                      <w:szCs w:val="21"/>
                      <w:lang w:eastAsia="zh-CN"/>
                    </w:rPr>
                    <w:t>水、大气、噪声监测费用</w:t>
                  </w:r>
                </w:p>
              </w:tc>
              <w:tc>
                <w:tcPr>
                  <w:tcW w:w="50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b w:val="0"/>
                      <w:bCs w:val="0"/>
                      <w:color w:val="auto"/>
                      <w:spacing w:val="0"/>
                      <w:sz w:val="21"/>
                      <w:szCs w:val="21"/>
                      <w:lang w:val="en-US" w:eastAsia="zh-CN"/>
                    </w:rPr>
                  </w:pPr>
                  <w:r>
                    <w:rPr>
                      <w:rFonts w:hint="eastAsia" w:ascii="Times New Roman" w:hAnsi="Times New Roman" w:eastAsia="宋体" w:cs="Times New Roman"/>
                      <w:b w:val="0"/>
                      <w:bCs w:val="0"/>
                      <w:color w:val="auto"/>
                      <w:spacing w:val="0"/>
                      <w:sz w:val="21"/>
                      <w:szCs w:val="21"/>
                      <w:lang w:val="en-US" w:eastAsia="zh-CN"/>
                    </w:rP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483"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cs="Times New Roman"/>
                      <w:color w:val="auto"/>
                      <w:spacing w:val="0"/>
                      <w:sz w:val="21"/>
                      <w:szCs w:val="21"/>
                      <w:highlight w:val="red"/>
                    </w:rPr>
                  </w:pPr>
                </w:p>
              </w:tc>
              <w:tc>
                <w:tcPr>
                  <w:tcW w:w="667"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b w:val="0"/>
                      <w:bCs w:val="0"/>
                      <w:color w:val="auto"/>
                      <w:spacing w:val="0"/>
                      <w:sz w:val="21"/>
                      <w:szCs w:val="21"/>
                      <w:lang w:val="en-US" w:eastAsia="zh-CN"/>
                    </w:rPr>
                  </w:pPr>
                  <w:r>
                    <w:rPr>
                      <w:rFonts w:hint="eastAsia" w:ascii="Times New Roman" w:hAnsi="Times New Roman" w:eastAsia="宋体" w:cs="Times New Roman"/>
                      <w:b w:val="0"/>
                      <w:bCs w:val="0"/>
                      <w:color w:val="auto"/>
                      <w:spacing w:val="0"/>
                      <w:sz w:val="21"/>
                      <w:szCs w:val="21"/>
                      <w:lang w:val="en-US" w:eastAsia="zh-CN"/>
                    </w:rPr>
                    <w:t>环境风险</w:t>
                  </w:r>
                </w:p>
              </w:tc>
              <w:tc>
                <w:tcPr>
                  <w:tcW w:w="3345"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eastAsia" w:ascii="Times New Roman" w:hAnsi="Times New Roman" w:eastAsia="宋体" w:cs="Times New Roman"/>
                      <w:b w:val="0"/>
                      <w:bCs w:val="0"/>
                      <w:color w:val="auto"/>
                      <w:spacing w:val="0"/>
                      <w:sz w:val="21"/>
                      <w:szCs w:val="21"/>
                      <w:lang w:eastAsia="zh-CN"/>
                    </w:rPr>
                  </w:pPr>
                  <w:r>
                    <w:rPr>
                      <w:rFonts w:hint="eastAsia" w:ascii="Times New Roman" w:hAnsi="Times New Roman" w:eastAsia="宋体" w:cs="Times New Roman"/>
                      <w:b w:val="0"/>
                      <w:bCs w:val="0"/>
                      <w:color w:val="auto"/>
                      <w:spacing w:val="0"/>
                      <w:sz w:val="21"/>
                      <w:szCs w:val="21"/>
                      <w:lang w:eastAsia="zh-CN"/>
                    </w:rPr>
                    <w:t>建立完善施工期管理的制度等</w:t>
                  </w:r>
                </w:p>
              </w:tc>
              <w:tc>
                <w:tcPr>
                  <w:tcW w:w="50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b w:val="0"/>
                      <w:bCs w:val="0"/>
                      <w:color w:val="auto"/>
                      <w:spacing w:val="0"/>
                      <w:sz w:val="21"/>
                      <w:szCs w:val="21"/>
                      <w:lang w:val="en-US" w:eastAsia="zh-CN"/>
                    </w:rPr>
                  </w:pPr>
                  <w:r>
                    <w:rPr>
                      <w:rFonts w:hint="eastAsia" w:ascii="Times New Roman" w:hAnsi="Times New Roman" w:eastAsia="宋体" w:cs="Times New Roman"/>
                      <w:b w:val="0"/>
                      <w:bCs w:val="0"/>
                      <w:color w:val="auto"/>
                      <w:spacing w:val="0"/>
                      <w:sz w:val="21"/>
                      <w:szCs w:val="21"/>
                      <w:lang w:val="en-US" w:eastAsia="zh-CN"/>
                    </w:rP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48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eastAsia" w:ascii="Times New Roman" w:hAnsi="Times New Roman" w:eastAsia="宋体" w:cs="Times New Roman"/>
                      <w:color w:val="auto"/>
                      <w:spacing w:val="0"/>
                      <w:sz w:val="21"/>
                      <w:szCs w:val="21"/>
                      <w:highlight w:val="red"/>
                      <w:lang w:val="en-US" w:eastAsia="zh-CN"/>
                    </w:rPr>
                  </w:pPr>
                  <w:r>
                    <w:rPr>
                      <w:rFonts w:hint="eastAsia" w:ascii="Times New Roman" w:hAnsi="Times New Roman" w:eastAsia="宋体" w:cs="Times New Roman"/>
                      <w:b w:val="0"/>
                      <w:bCs w:val="0"/>
                      <w:color w:val="auto"/>
                      <w:spacing w:val="0"/>
                      <w:sz w:val="21"/>
                      <w:szCs w:val="21"/>
                      <w:lang w:val="en-US" w:eastAsia="zh-CN"/>
                    </w:rPr>
                    <w:t>运营期</w:t>
                  </w:r>
                </w:p>
              </w:tc>
              <w:tc>
                <w:tcPr>
                  <w:tcW w:w="667"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b w:val="0"/>
                      <w:bCs w:val="0"/>
                      <w:color w:val="auto"/>
                      <w:spacing w:val="0"/>
                      <w:sz w:val="21"/>
                      <w:szCs w:val="21"/>
                      <w:lang w:val="en-US" w:eastAsia="zh-CN"/>
                    </w:rPr>
                  </w:pPr>
                  <w:r>
                    <w:rPr>
                      <w:rFonts w:hint="eastAsia" w:ascii="Times New Roman" w:hAnsi="Times New Roman" w:eastAsia="宋体" w:cs="Times New Roman"/>
                      <w:b w:val="0"/>
                      <w:bCs w:val="0"/>
                      <w:color w:val="auto"/>
                      <w:spacing w:val="0"/>
                      <w:sz w:val="21"/>
                      <w:szCs w:val="21"/>
                      <w:lang w:val="en-US" w:eastAsia="zh-CN"/>
                    </w:rPr>
                    <w:t>其他</w:t>
                  </w:r>
                </w:p>
              </w:tc>
              <w:tc>
                <w:tcPr>
                  <w:tcW w:w="3345"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eastAsia" w:ascii="Times New Roman" w:hAnsi="Times New Roman" w:eastAsia="宋体" w:cs="Times New Roman"/>
                      <w:b w:val="0"/>
                      <w:bCs w:val="0"/>
                      <w:color w:val="auto"/>
                      <w:spacing w:val="0"/>
                      <w:sz w:val="21"/>
                      <w:szCs w:val="21"/>
                      <w:lang w:eastAsia="zh-CN"/>
                    </w:rPr>
                  </w:pPr>
                  <w:r>
                    <w:rPr>
                      <w:rFonts w:hint="default" w:ascii="Times New Roman" w:hAnsi="Times New Roman" w:eastAsia="宋体" w:cs="Times New Roman"/>
                      <w:b w:val="0"/>
                      <w:bCs w:val="0"/>
                      <w:color w:val="auto"/>
                      <w:spacing w:val="0"/>
                      <w:sz w:val="21"/>
                      <w:szCs w:val="21"/>
                      <w:lang w:val="en-US" w:eastAsia="zh-CN"/>
                    </w:rPr>
                    <w:t>水下流量自动监测设备一套（HADCP）</w:t>
                  </w:r>
                </w:p>
              </w:tc>
              <w:tc>
                <w:tcPr>
                  <w:tcW w:w="50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b w:val="0"/>
                      <w:bCs w:val="0"/>
                      <w:color w:val="auto"/>
                      <w:spacing w:val="0"/>
                      <w:sz w:val="21"/>
                      <w:szCs w:val="21"/>
                      <w:lang w:val="en-US" w:eastAsia="zh-CN"/>
                    </w:rPr>
                  </w:pPr>
                  <w:r>
                    <w:rPr>
                      <w:rFonts w:hint="eastAsia" w:ascii="Times New Roman" w:hAnsi="Times New Roman" w:eastAsia="宋体" w:cs="Times New Roman"/>
                      <w:b w:val="0"/>
                      <w:bCs w:val="0"/>
                      <w:color w:val="auto"/>
                      <w:spacing w:val="0"/>
                      <w:sz w:val="21"/>
                      <w:szCs w:val="21"/>
                      <w:lang w:val="en-US" w:eastAsia="zh-CN"/>
                    </w:rPr>
                    <w:t>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0" w:hRule="atLeast"/>
                <w:jc w:val="center"/>
              </w:trPr>
              <w:tc>
                <w:tcPr>
                  <w:tcW w:w="4496" w:type="pct"/>
                  <w:gridSpan w:val="3"/>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eastAsia="宋体" w:cs="Times New Roman"/>
                      <w:color w:val="auto"/>
                      <w:spacing w:val="0"/>
                      <w:sz w:val="21"/>
                      <w:szCs w:val="21"/>
                      <w:lang w:eastAsia="zh-CN"/>
                    </w:rPr>
                  </w:pPr>
                  <w:r>
                    <w:rPr>
                      <w:rFonts w:hint="default" w:ascii="Times New Roman" w:hAnsi="Times New Roman" w:cs="Times New Roman"/>
                      <w:color w:val="auto"/>
                      <w:spacing w:val="0"/>
                      <w:sz w:val="21"/>
                      <w:szCs w:val="21"/>
                      <w:lang w:eastAsia="zh-CN"/>
                    </w:rPr>
                    <w:t>合计</w:t>
                  </w:r>
                </w:p>
              </w:tc>
              <w:tc>
                <w:tcPr>
                  <w:tcW w:w="503"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center"/>
                    <w:textAlignment w:val="baseline"/>
                    <w:rPr>
                      <w:rFonts w:hint="default" w:ascii="Times New Roman" w:hAnsi="Times New Roman" w:cs="Times New Roman"/>
                      <w:color w:val="auto"/>
                      <w:spacing w:val="0"/>
                      <w:sz w:val="21"/>
                      <w:szCs w:val="21"/>
                      <w:lang w:val="en-US" w:eastAsia="zh-CN"/>
                    </w:rPr>
                  </w:pPr>
                  <w:r>
                    <w:rPr>
                      <w:rFonts w:hint="eastAsia" w:ascii="Times New Roman" w:hAnsi="Times New Roman" w:cs="Times New Roman"/>
                      <w:color w:val="auto"/>
                      <w:spacing w:val="0"/>
                      <w:sz w:val="21"/>
                      <w:szCs w:val="21"/>
                      <w:lang w:val="en-US" w:eastAsia="zh-CN"/>
                    </w:rPr>
                    <w:t>250</w:t>
                  </w:r>
                </w:p>
              </w:tc>
            </w:tr>
            <w:bookmarkEnd w:id="22"/>
          </w:tbl>
          <w:p>
            <w:pPr>
              <w:keepNext w:val="0"/>
              <w:keepLines w:val="0"/>
              <w:pageBreakBefore w:val="0"/>
              <w:widowControl w:val="0"/>
              <w:kinsoku/>
              <w:wordWrap/>
              <w:overflowPunct/>
              <w:topLinePunct w:val="0"/>
              <w:autoSpaceDE/>
              <w:autoSpaceDN/>
              <w:bidi w:val="0"/>
              <w:adjustRightInd w:val="0"/>
              <w:snapToGrid w:val="0"/>
              <w:spacing w:line="360" w:lineRule="auto"/>
              <w:ind w:firstLine="520" w:firstLineChars="200"/>
              <w:jc w:val="both"/>
              <w:textAlignment w:val="auto"/>
              <w:rPr>
                <w:rFonts w:hint="default" w:ascii="Times New Roman" w:hAnsi="Times New Roman" w:cs="Times New Roman"/>
                <w:bCs/>
                <w:color w:val="0000FF"/>
                <w:spacing w:val="10"/>
                <w:szCs w:val="21"/>
              </w:rPr>
            </w:pPr>
          </w:p>
          <w:p>
            <w:pPr>
              <w:keepNext w:val="0"/>
              <w:keepLines w:val="0"/>
              <w:pageBreakBefore w:val="0"/>
              <w:widowControl w:val="0"/>
              <w:kinsoku/>
              <w:wordWrap/>
              <w:overflowPunct/>
              <w:topLinePunct w:val="0"/>
              <w:autoSpaceDE/>
              <w:autoSpaceDN/>
              <w:bidi w:val="0"/>
              <w:adjustRightInd w:val="0"/>
              <w:snapToGrid w:val="0"/>
              <w:spacing w:line="360" w:lineRule="auto"/>
              <w:ind w:firstLine="520" w:firstLineChars="200"/>
              <w:jc w:val="both"/>
              <w:textAlignment w:val="auto"/>
              <w:rPr>
                <w:rFonts w:hint="default" w:ascii="Times New Roman" w:hAnsi="Times New Roman" w:cs="Times New Roman"/>
                <w:bCs/>
                <w:color w:val="0000FF"/>
                <w:spacing w:val="10"/>
                <w:szCs w:val="21"/>
              </w:rPr>
            </w:pPr>
          </w:p>
          <w:p>
            <w:pPr>
              <w:keepNext w:val="0"/>
              <w:keepLines w:val="0"/>
              <w:pageBreakBefore w:val="0"/>
              <w:widowControl w:val="0"/>
              <w:kinsoku/>
              <w:wordWrap/>
              <w:overflowPunct/>
              <w:topLinePunct w:val="0"/>
              <w:autoSpaceDE/>
              <w:autoSpaceDN/>
              <w:bidi w:val="0"/>
              <w:adjustRightInd w:val="0"/>
              <w:snapToGrid w:val="0"/>
              <w:spacing w:line="360" w:lineRule="auto"/>
              <w:ind w:firstLine="520" w:firstLineChars="200"/>
              <w:jc w:val="both"/>
              <w:textAlignment w:val="auto"/>
              <w:rPr>
                <w:rFonts w:hint="default" w:ascii="Times New Roman" w:hAnsi="Times New Roman" w:cs="Times New Roman"/>
                <w:bCs/>
                <w:color w:val="0000FF"/>
                <w:spacing w:val="10"/>
                <w:szCs w:val="21"/>
              </w:rPr>
            </w:pPr>
          </w:p>
        </w:tc>
      </w:tr>
    </w:tbl>
    <w:p>
      <w:pPr>
        <w:keepNext w:val="0"/>
        <w:keepLines w:val="0"/>
        <w:pageBreakBefore w:val="0"/>
        <w:kinsoku/>
        <w:wordWrap/>
        <w:overflowPunct/>
        <w:topLinePunct w:val="0"/>
        <w:bidi w:val="0"/>
        <w:adjustRightInd w:val="0"/>
        <w:snapToGrid w:val="0"/>
        <w:textAlignment w:val="auto"/>
        <w:rPr>
          <w:rFonts w:hint="default" w:ascii="Times New Roman" w:hAnsi="Times New Roman" w:cs="Times New Roman"/>
        </w:rPr>
        <w:sectPr>
          <w:pgSz w:w="11907" w:h="16840"/>
          <w:pgMar w:top="1440" w:right="1797" w:bottom="1440" w:left="1797" w:header="851" w:footer="1077" w:gutter="0"/>
          <w:pgBorders>
            <w:top w:val="none" w:sz="0" w:space="0"/>
            <w:left w:val="none" w:sz="0" w:space="0"/>
            <w:bottom w:val="none" w:sz="0" w:space="0"/>
            <w:right w:val="none" w:sz="0" w:space="0"/>
          </w:pgBorders>
          <w:cols w:space="720" w:num="1"/>
          <w:docGrid w:linePitch="312" w:charSpace="0"/>
        </w:sectPr>
      </w:pPr>
    </w:p>
    <w:p>
      <w:pPr>
        <w:pStyle w:val="37"/>
        <w:keepNext w:val="0"/>
        <w:keepLines w:val="0"/>
        <w:pageBreakBefore w:val="0"/>
        <w:kinsoku/>
        <w:wordWrap/>
        <w:overflowPunct/>
        <w:topLinePunct w:val="0"/>
        <w:bidi w:val="0"/>
        <w:adjustRightInd w:val="0"/>
        <w:snapToGrid w:val="0"/>
        <w:jc w:val="center"/>
        <w:textAlignment w:val="auto"/>
        <w:outlineLvl w:val="0"/>
        <w:rPr>
          <w:rFonts w:hint="default" w:ascii="Times New Roman" w:hAnsi="Times New Roman" w:eastAsia="黑体" w:cs="Times New Roman"/>
          <w:snapToGrid w:val="0"/>
          <w:sz w:val="30"/>
          <w:szCs w:val="30"/>
        </w:rPr>
      </w:pPr>
      <w:r>
        <w:rPr>
          <w:rFonts w:hint="default" w:ascii="Times New Roman" w:hAnsi="Times New Roman" w:eastAsia="黑体" w:cs="Times New Roman"/>
          <w:snapToGrid w:val="0"/>
          <w:sz w:val="30"/>
          <w:szCs w:val="30"/>
        </w:rPr>
        <w:t>六、生态环境保护措施监督检查清单</w:t>
      </w:r>
    </w:p>
    <w:tbl>
      <w:tblPr>
        <w:tblStyle w:val="41"/>
        <w:tblW w:w="4693"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835"/>
        <w:gridCol w:w="4327"/>
        <w:gridCol w:w="2844"/>
        <w:gridCol w:w="2319"/>
        <w:gridCol w:w="19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9" w:type="pct"/>
            <w:vMerge w:val="restart"/>
            <w:tcBorders>
              <w:tl2br w:val="single" w:color="auto" w:sz="4" w:space="0"/>
            </w:tcBorders>
            <w:noWrap w:val="0"/>
            <w:vAlign w:val="top"/>
          </w:tcPr>
          <w:p>
            <w:pPr>
              <w:pStyle w:val="37"/>
              <w:keepNext w:val="0"/>
              <w:keepLines w:val="0"/>
              <w:pageBreakBefore w:val="0"/>
              <w:kinsoku/>
              <w:wordWrap/>
              <w:overflowPunct/>
              <w:topLinePunct w:val="0"/>
              <w:bidi w:val="0"/>
              <w:adjustRightInd w:val="0"/>
              <w:snapToGrid w:val="0"/>
              <w:spacing w:before="72" w:beforeLines="30" w:beforeAutospacing="0" w:after="0" w:afterAutospacing="0"/>
              <w:jc w:val="right"/>
              <w:textAlignment w:val="auto"/>
              <w:outlineLvl w:val="0"/>
              <w:rPr>
                <w:rFonts w:hint="default" w:ascii="Times New Roman" w:hAnsi="Times New Roman" w:eastAsia="黑体" w:cs="Times New Roman"/>
                <w:kern w:val="2"/>
                <w:sz w:val="21"/>
                <w:szCs w:val="21"/>
              </w:rPr>
            </w:pPr>
            <w:r>
              <w:rPr>
                <w:rFonts w:hint="default" w:ascii="Times New Roman" w:hAnsi="Times New Roman" w:eastAsia="黑体" w:cs="Times New Roman"/>
                <w:kern w:val="2"/>
                <w:sz w:val="21"/>
                <w:szCs w:val="21"/>
              </w:rPr>
              <w:t>内容</w:t>
            </w:r>
          </w:p>
          <w:p>
            <w:pPr>
              <w:pStyle w:val="37"/>
              <w:keepNext w:val="0"/>
              <w:keepLines w:val="0"/>
              <w:pageBreakBefore w:val="0"/>
              <w:kinsoku/>
              <w:wordWrap/>
              <w:overflowPunct/>
              <w:topLinePunct w:val="0"/>
              <w:bidi w:val="0"/>
              <w:adjustRightInd w:val="0"/>
              <w:snapToGrid w:val="0"/>
              <w:spacing w:before="0" w:beforeAutospacing="0" w:after="0" w:afterAutospacing="0" w:line="14" w:lineRule="auto"/>
              <w:textAlignment w:val="auto"/>
              <w:outlineLvl w:val="0"/>
              <w:rPr>
                <w:rFonts w:hint="default" w:ascii="Times New Roman" w:hAnsi="Times New Roman" w:eastAsia="黑体" w:cs="Times New Roman"/>
                <w:kern w:val="2"/>
                <w:sz w:val="135"/>
                <w:szCs w:val="21"/>
              </w:rPr>
            </w:pPr>
            <w:r>
              <w:rPr>
                <w:rFonts w:hint="default" w:ascii="Times New Roman" w:hAnsi="Times New Roman" w:eastAsia="黑体" w:cs="Times New Roman"/>
                <w:kern w:val="2"/>
                <w:sz w:val="21"/>
                <w:szCs w:val="21"/>
              </w:rPr>
              <w:t xml:space="preserve"> </w:t>
            </w:r>
            <w:r>
              <w:rPr>
                <w:rFonts w:hint="default" w:ascii="Times New Roman" w:hAnsi="Times New Roman" w:eastAsia="黑体" w:cs="Times New Roman"/>
                <w:kern w:val="2"/>
                <w:sz w:val="135"/>
                <w:szCs w:val="21"/>
              </w:rPr>
              <w:t xml:space="preserve"> </w:t>
            </w:r>
          </w:p>
          <w:p>
            <w:pPr>
              <w:pStyle w:val="37"/>
              <w:keepNext w:val="0"/>
              <w:keepLines w:val="0"/>
              <w:pageBreakBefore w:val="0"/>
              <w:kinsoku/>
              <w:wordWrap/>
              <w:overflowPunct/>
              <w:topLinePunct w:val="0"/>
              <w:bidi w:val="0"/>
              <w:adjustRightInd w:val="0"/>
              <w:snapToGrid w:val="0"/>
              <w:spacing w:before="0" w:beforeAutospacing="0" w:after="0" w:afterAutospacing="0"/>
              <w:jc w:val="both"/>
              <w:textAlignment w:val="auto"/>
              <w:outlineLvl w:val="0"/>
              <w:rPr>
                <w:rFonts w:hint="default" w:ascii="Times New Roman" w:hAnsi="Times New Roman" w:eastAsia="黑体" w:cs="Times New Roman"/>
                <w:kern w:val="2"/>
                <w:sz w:val="21"/>
                <w:szCs w:val="21"/>
              </w:rPr>
            </w:pPr>
            <w:r>
              <w:rPr>
                <w:rFonts w:hint="default" w:ascii="Times New Roman" w:hAnsi="Times New Roman" w:eastAsia="黑体" w:cs="Times New Roman"/>
                <w:kern w:val="2"/>
                <w:sz w:val="21"/>
                <w:szCs w:val="21"/>
              </w:rPr>
              <w:t>要素</w:t>
            </w:r>
          </w:p>
        </w:tc>
        <w:tc>
          <w:tcPr>
            <w:tcW w:w="2695" w:type="pct"/>
            <w:gridSpan w:val="2"/>
            <w:noWrap w:val="0"/>
            <w:vAlign w:val="center"/>
          </w:tcPr>
          <w:p>
            <w:pPr>
              <w:pStyle w:val="37"/>
              <w:keepNext w:val="0"/>
              <w:keepLines w:val="0"/>
              <w:pageBreakBefore w:val="0"/>
              <w:kinsoku/>
              <w:wordWrap/>
              <w:overflowPunct/>
              <w:topLinePunct w:val="0"/>
              <w:bidi w:val="0"/>
              <w:adjustRightInd w:val="0"/>
              <w:snapToGrid w:val="0"/>
              <w:spacing w:before="0" w:beforeAutospacing="0" w:after="0" w:afterAutospacing="0"/>
              <w:jc w:val="center"/>
              <w:textAlignment w:val="auto"/>
              <w:outlineLvl w:val="0"/>
              <w:rPr>
                <w:rFonts w:hint="default" w:ascii="Times New Roman" w:hAnsi="Times New Roman" w:eastAsia="黑体" w:cs="Times New Roman"/>
                <w:kern w:val="2"/>
                <w:sz w:val="21"/>
                <w:szCs w:val="21"/>
              </w:rPr>
            </w:pPr>
            <w:r>
              <w:rPr>
                <w:rFonts w:hint="default" w:ascii="Times New Roman" w:hAnsi="Times New Roman" w:eastAsia="黑体" w:cs="Times New Roman"/>
                <w:kern w:val="2"/>
                <w:sz w:val="21"/>
                <w:szCs w:val="21"/>
              </w:rPr>
              <w:t>施工期</w:t>
            </w:r>
          </w:p>
        </w:tc>
        <w:tc>
          <w:tcPr>
            <w:tcW w:w="1615" w:type="pct"/>
            <w:gridSpan w:val="2"/>
            <w:noWrap w:val="0"/>
            <w:vAlign w:val="center"/>
          </w:tcPr>
          <w:p>
            <w:pPr>
              <w:pStyle w:val="37"/>
              <w:keepNext w:val="0"/>
              <w:keepLines w:val="0"/>
              <w:pageBreakBefore w:val="0"/>
              <w:kinsoku/>
              <w:wordWrap/>
              <w:overflowPunct/>
              <w:topLinePunct w:val="0"/>
              <w:bidi w:val="0"/>
              <w:adjustRightInd w:val="0"/>
              <w:snapToGrid w:val="0"/>
              <w:spacing w:before="0" w:beforeAutospacing="0" w:after="0" w:afterAutospacing="0"/>
              <w:jc w:val="center"/>
              <w:textAlignment w:val="auto"/>
              <w:outlineLvl w:val="0"/>
              <w:rPr>
                <w:rFonts w:hint="default" w:ascii="Times New Roman" w:hAnsi="Times New Roman" w:eastAsia="黑体" w:cs="Times New Roman"/>
                <w:kern w:val="2"/>
                <w:sz w:val="21"/>
                <w:szCs w:val="21"/>
                <w:highlight w:val="red"/>
              </w:rPr>
            </w:pPr>
            <w:r>
              <w:rPr>
                <w:rFonts w:hint="default" w:ascii="Times New Roman" w:hAnsi="Times New Roman" w:eastAsia="黑体" w:cs="Times New Roman"/>
                <w:kern w:val="2"/>
                <w:sz w:val="21"/>
                <w:szCs w:val="21"/>
                <w:highlight w:val="none"/>
              </w:rPr>
              <w:t>运营期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9" w:type="pct"/>
            <w:vMerge w:val="continue"/>
            <w:noWrap w:val="0"/>
            <w:vAlign w:val="top"/>
          </w:tcPr>
          <w:p>
            <w:pPr>
              <w:pStyle w:val="37"/>
              <w:keepNext w:val="0"/>
              <w:keepLines w:val="0"/>
              <w:pageBreakBefore w:val="0"/>
              <w:kinsoku/>
              <w:wordWrap/>
              <w:overflowPunct/>
              <w:topLinePunct w:val="0"/>
              <w:bidi w:val="0"/>
              <w:adjustRightInd w:val="0"/>
              <w:snapToGrid w:val="0"/>
              <w:spacing w:before="0" w:beforeAutospacing="0" w:after="0" w:afterAutospacing="0"/>
              <w:ind w:firstLine="840"/>
              <w:jc w:val="center"/>
              <w:textAlignment w:val="auto"/>
              <w:outlineLvl w:val="0"/>
              <w:rPr>
                <w:rFonts w:hint="default" w:ascii="Times New Roman" w:hAnsi="Times New Roman" w:eastAsia="黑体" w:cs="Times New Roman"/>
                <w:kern w:val="2"/>
                <w:sz w:val="21"/>
                <w:szCs w:val="21"/>
              </w:rPr>
            </w:pPr>
          </w:p>
        </w:tc>
        <w:tc>
          <w:tcPr>
            <w:tcW w:w="1626" w:type="pct"/>
            <w:noWrap w:val="0"/>
            <w:vAlign w:val="center"/>
          </w:tcPr>
          <w:p>
            <w:pPr>
              <w:pStyle w:val="37"/>
              <w:keepNext w:val="0"/>
              <w:keepLines w:val="0"/>
              <w:pageBreakBefore w:val="0"/>
              <w:kinsoku/>
              <w:wordWrap/>
              <w:overflowPunct/>
              <w:topLinePunct w:val="0"/>
              <w:bidi w:val="0"/>
              <w:adjustRightInd w:val="0"/>
              <w:snapToGrid w:val="0"/>
              <w:spacing w:before="0" w:beforeAutospacing="0" w:after="0" w:afterAutospacing="0"/>
              <w:jc w:val="center"/>
              <w:textAlignment w:val="auto"/>
              <w:outlineLvl w:val="0"/>
              <w:rPr>
                <w:rFonts w:hint="default" w:ascii="Times New Roman" w:hAnsi="Times New Roman" w:eastAsia="黑体" w:cs="Times New Roman"/>
                <w:kern w:val="2"/>
                <w:sz w:val="21"/>
                <w:szCs w:val="21"/>
              </w:rPr>
            </w:pPr>
            <w:r>
              <w:rPr>
                <w:rFonts w:hint="default" w:ascii="Times New Roman" w:hAnsi="Times New Roman" w:eastAsia="黑体" w:cs="Times New Roman"/>
                <w:kern w:val="2"/>
                <w:sz w:val="21"/>
                <w:szCs w:val="21"/>
              </w:rPr>
              <w:t>环境保护措施</w:t>
            </w:r>
          </w:p>
        </w:tc>
        <w:tc>
          <w:tcPr>
            <w:tcW w:w="1068" w:type="pct"/>
            <w:noWrap w:val="0"/>
            <w:vAlign w:val="center"/>
          </w:tcPr>
          <w:p>
            <w:pPr>
              <w:pStyle w:val="37"/>
              <w:keepNext w:val="0"/>
              <w:keepLines w:val="0"/>
              <w:pageBreakBefore w:val="0"/>
              <w:kinsoku/>
              <w:wordWrap/>
              <w:overflowPunct/>
              <w:topLinePunct w:val="0"/>
              <w:bidi w:val="0"/>
              <w:adjustRightInd w:val="0"/>
              <w:snapToGrid w:val="0"/>
              <w:spacing w:before="0" w:beforeAutospacing="0" w:after="0" w:afterAutospacing="0"/>
              <w:jc w:val="center"/>
              <w:textAlignment w:val="auto"/>
              <w:outlineLvl w:val="0"/>
              <w:rPr>
                <w:rFonts w:hint="default" w:ascii="Times New Roman" w:hAnsi="Times New Roman" w:eastAsia="黑体" w:cs="Times New Roman"/>
                <w:kern w:val="2"/>
                <w:sz w:val="21"/>
                <w:szCs w:val="21"/>
              </w:rPr>
            </w:pPr>
            <w:r>
              <w:rPr>
                <w:rFonts w:hint="default" w:ascii="Times New Roman" w:hAnsi="Times New Roman" w:eastAsia="黑体" w:cs="Times New Roman"/>
                <w:kern w:val="2"/>
                <w:sz w:val="21"/>
                <w:szCs w:val="21"/>
              </w:rPr>
              <w:t>验收要求</w:t>
            </w:r>
          </w:p>
        </w:tc>
        <w:tc>
          <w:tcPr>
            <w:tcW w:w="871" w:type="pct"/>
            <w:noWrap w:val="0"/>
            <w:vAlign w:val="center"/>
          </w:tcPr>
          <w:p>
            <w:pPr>
              <w:pStyle w:val="37"/>
              <w:keepNext w:val="0"/>
              <w:keepLines w:val="0"/>
              <w:pageBreakBefore w:val="0"/>
              <w:kinsoku/>
              <w:wordWrap/>
              <w:overflowPunct/>
              <w:topLinePunct w:val="0"/>
              <w:bidi w:val="0"/>
              <w:adjustRightInd w:val="0"/>
              <w:snapToGrid w:val="0"/>
              <w:spacing w:before="0" w:beforeAutospacing="0" w:after="0" w:afterAutospacing="0"/>
              <w:jc w:val="center"/>
              <w:textAlignment w:val="auto"/>
              <w:outlineLvl w:val="0"/>
              <w:rPr>
                <w:rFonts w:hint="default" w:ascii="Times New Roman" w:hAnsi="Times New Roman" w:eastAsia="黑体" w:cs="Times New Roman"/>
                <w:kern w:val="2"/>
                <w:sz w:val="21"/>
                <w:szCs w:val="21"/>
                <w:highlight w:val="none"/>
              </w:rPr>
            </w:pPr>
            <w:r>
              <w:rPr>
                <w:rFonts w:hint="default" w:ascii="Times New Roman" w:hAnsi="Times New Roman" w:eastAsia="黑体" w:cs="Times New Roman"/>
                <w:kern w:val="2"/>
                <w:sz w:val="21"/>
                <w:szCs w:val="21"/>
                <w:highlight w:val="none"/>
              </w:rPr>
              <w:t>环境保护措施</w:t>
            </w:r>
          </w:p>
        </w:tc>
        <w:tc>
          <w:tcPr>
            <w:tcW w:w="743" w:type="pct"/>
            <w:noWrap w:val="0"/>
            <w:vAlign w:val="center"/>
          </w:tcPr>
          <w:p>
            <w:pPr>
              <w:pStyle w:val="37"/>
              <w:keepNext w:val="0"/>
              <w:keepLines w:val="0"/>
              <w:pageBreakBefore w:val="0"/>
              <w:kinsoku/>
              <w:wordWrap/>
              <w:overflowPunct/>
              <w:topLinePunct w:val="0"/>
              <w:bidi w:val="0"/>
              <w:adjustRightInd w:val="0"/>
              <w:snapToGrid w:val="0"/>
              <w:spacing w:before="0" w:beforeAutospacing="0" w:after="0" w:afterAutospacing="0"/>
              <w:jc w:val="center"/>
              <w:textAlignment w:val="auto"/>
              <w:outlineLvl w:val="0"/>
              <w:rPr>
                <w:rFonts w:hint="default" w:ascii="Times New Roman" w:hAnsi="Times New Roman" w:eastAsia="黑体" w:cs="Times New Roman"/>
                <w:kern w:val="2"/>
                <w:sz w:val="21"/>
                <w:szCs w:val="21"/>
                <w:highlight w:val="none"/>
              </w:rPr>
            </w:pPr>
            <w:r>
              <w:rPr>
                <w:rFonts w:hint="default" w:ascii="Times New Roman" w:hAnsi="Times New Roman" w:eastAsia="黑体" w:cs="Times New Roman"/>
                <w:kern w:val="2"/>
                <w:sz w:val="21"/>
                <w:szCs w:val="21"/>
                <w:highlight w:val="none"/>
              </w:rPr>
              <w:t>验收要求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9"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szCs w:val="21"/>
              </w:rPr>
            </w:pPr>
            <w:r>
              <w:rPr>
                <w:rFonts w:hint="default" w:ascii="Times New Roman" w:hAnsi="Times New Roman" w:cs="Times New Roman"/>
                <w:szCs w:val="21"/>
              </w:rPr>
              <w:t>陆生生态</w:t>
            </w:r>
          </w:p>
        </w:tc>
        <w:tc>
          <w:tcPr>
            <w:tcW w:w="1626" w:type="pct"/>
            <w:noWrap w:val="0"/>
            <w:vAlign w:val="center"/>
          </w:tcPr>
          <w:p>
            <w:pPr>
              <w:adjustRightInd w:val="0"/>
              <w:snapToGrid w:val="0"/>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Cs w:val="21"/>
              </w:rPr>
              <w:t>减少占地，减少水土流失</w:t>
            </w:r>
          </w:p>
        </w:tc>
        <w:tc>
          <w:tcPr>
            <w:tcW w:w="1068" w:type="pct"/>
            <w:noWrap w:val="0"/>
            <w:vAlign w:val="center"/>
          </w:tcPr>
          <w:p>
            <w:pPr>
              <w:adjustRightInd w:val="0"/>
              <w:snapToGrid w:val="0"/>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kern w:val="0"/>
                <w:szCs w:val="21"/>
              </w:rPr>
              <w:t>生态环境以不减少区内濒危珍稀动植物和不破坏生态系统完整性为标准，水土流失以不改变土壤侵蚀类型为标准</w:t>
            </w:r>
          </w:p>
        </w:tc>
        <w:tc>
          <w:tcPr>
            <w:tcW w:w="871"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Cs w:val="21"/>
                <w:highlight w:val="red"/>
                <w:lang w:val="en-US" w:eastAsia="zh-CN"/>
              </w:rPr>
            </w:pPr>
            <w:r>
              <w:rPr>
                <w:rFonts w:hint="eastAsia" w:ascii="Times New Roman" w:hAnsi="Times New Roman" w:eastAsia="宋体" w:cs="Times New Roman"/>
                <w:szCs w:val="21"/>
                <w:highlight w:val="none"/>
                <w:lang w:val="en-US" w:eastAsia="zh-CN"/>
              </w:rPr>
              <w:t>/</w:t>
            </w:r>
          </w:p>
        </w:tc>
        <w:tc>
          <w:tcPr>
            <w:tcW w:w="743"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Cs w:val="21"/>
                <w:highlight w:val="red"/>
                <w:lang w:val="en-US" w:eastAsia="zh-CN"/>
              </w:rPr>
            </w:pPr>
            <w:r>
              <w:rPr>
                <w:rFonts w:hint="eastAsia" w:ascii="Times New Roman" w:hAnsi="Times New Roman" w:eastAsia="宋体" w:cs="Times New Roman"/>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9"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szCs w:val="21"/>
              </w:rPr>
            </w:pPr>
            <w:r>
              <w:rPr>
                <w:rFonts w:hint="default" w:ascii="Times New Roman" w:hAnsi="Times New Roman" w:cs="Times New Roman"/>
                <w:szCs w:val="21"/>
              </w:rPr>
              <w:t>水生生态</w:t>
            </w:r>
          </w:p>
        </w:tc>
        <w:tc>
          <w:tcPr>
            <w:tcW w:w="1626"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eastAsia="zh-CN"/>
              </w:rPr>
              <w:t>缩短施工时间，优化施工时序，废水不外排，加强施工管理</w:t>
            </w:r>
          </w:p>
        </w:tc>
        <w:tc>
          <w:tcPr>
            <w:tcW w:w="1068" w:type="pct"/>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kern w:val="0"/>
                <w:szCs w:val="21"/>
              </w:rPr>
              <w:t>不减少区内濒危珍稀动植物和不破坏生态系统完整性为标准</w:t>
            </w:r>
          </w:p>
        </w:tc>
        <w:tc>
          <w:tcPr>
            <w:tcW w:w="871"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szCs w:val="21"/>
                <w:highlight w:val="red"/>
              </w:rPr>
            </w:pPr>
            <w:r>
              <w:rPr>
                <w:rFonts w:hint="eastAsia" w:ascii="Times New Roman" w:hAnsi="Times New Roman" w:eastAsia="宋体" w:cs="Times New Roman"/>
                <w:szCs w:val="21"/>
                <w:highlight w:val="none"/>
                <w:lang w:val="en-US" w:eastAsia="zh-CN"/>
              </w:rPr>
              <w:t>/</w:t>
            </w:r>
          </w:p>
        </w:tc>
        <w:tc>
          <w:tcPr>
            <w:tcW w:w="743"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szCs w:val="21"/>
                <w:highlight w:val="red"/>
              </w:rPr>
            </w:pPr>
            <w:r>
              <w:rPr>
                <w:rFonts w:hint="eastAsia" w:ascii="Times New Roman" w:hAnsi="Times New Roman" w:eastAsia="宋体" w:cs="Times New Roman"/>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9"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szCs w:val="21"/>
              </w:rPr>
            </w:pPr>
            <w:r>
              <w:rPr>
                <w:rFonts w:hint="default" w:ascii="Times New Roman" w:hAnsi="Times New Roman" w:cs="Times New Roman"/>
                <w:szCs w:val="21"/>
              </w:rPr>
              <w:t>地表水环境</w:t>
            </w:r>
          </w:p>
        </w:tc>
        <w:tc>
          <w:tcPr>
            <w:tcW w:w="1626"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基坑排水沉淀后用水泵排入下游水域</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施工废水隔油沉淀后回用或洒水降尘； 施工人员产生的生活污 水利用居民住宅现有设</w:t>
            </w:r>
          </w:p>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施处理</w:t>
            </w:r>
          </w:p>
        </w:tc>
        <w:tc>
          <w:tcPr>
            <w:tcW w:w="1068"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szCs w:val="21"/>
              </w:rPr>
            </w:pPr>
            <w:r>
              <w:rPr>
                <w:rFonts w:hint="default" w:ascii="Times New Roman" w:hAnsi="Times New Roman" w:cs="Times New Roman"/>
                <w:szCs w:val="21"/>
              </w:rPr>
              <w:t>不会对地表水体造成污染</w:t>
            </w:r>
          </w:p>
        </w:tc>
        <w:tc>
          <w:tcPr>
            <w:tcW w:w="871"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szCs w:val="21"/>
                <w:highlight w:val="red"/>
              </w:rPr>
            </w:pPr>
            <w:r>
              <w:rPr>
                <w:rFonts w:hint="eastAsia" w:ascii="Times New Roman" w:hAnsi="Times New Roman" w:eastAsia="宋体" w:cs="Times New Roman"/>
                <w:szCs w:val="21"/>
                <w:highlight w:val="none"/>
                <w:lang w:val="en-US" w:eastAsia="zh-CN"/>
              </w:rPr>
              <w:t>/</w:t>
            </w:r>
          </w:p>
        </w:tc>
        <w:tc>
          <w:tcPr>
            <w:tcW w:w="743"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szCs w:val="21"/>
                <w:highlight w:val="red"/>
              </w:rPr>
            </w:pPr>
            <w:r>
              <w:rPr>
                <w:rFonts w:hint="eastAsia" w:ascii="Times New Roman" w:hAnsi="Times New Roman" w:eastAsia="宋体" w:cs="Times New Roman"/>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9"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szCs w:val="21"/>
              </w:rPr>
            </w:pPr>
            <w:r>
              <w:rPr>
                <w:rFonts w:hint="default" w:ascii="Times New Roman" w:hAnsi="Times New Roman" w:cs="Times New Roman"/>
                <w:szCs w:val="21"/>
              </w:rPr>
              <w:t>地下水及土壤环境</w:t>
            </w:r>
          </w:p>
        </w:tc>
        <w:tc>
          <w:tcPr>
            <w:tcW w:w="1626" w:type="pct"/>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w:t>
            </w:r>
          </w:p>
        </w:tc>
        <w:tc>
          <w:tcPr>
            <w:tcW w:w="1068" w:type="pct"/>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w:t>
            </w:r>
          </w:p>
        </w:tc>
        <w:tc>
          <w:tcPr>
            <w:tcW w:w="871" w:type="pct"/>
            <w:noWrap w:val="0"/>
            <w:vAlign w:val="center"/>
          </w:tcPr>
          <w:p>
            <w:pPr>
              <w:adjustRightInd w:val="0"/>
              <w:snapToGrid w:val="0"/>
              <w:jc w:val="center"/>
              <w:rPr>
                <w:rFonts w:hint="default" w:ascii="Times New Roman" w:hAnsi="Times New Roman" w:cs="Times New Roman"/>
                <w:szCs w:val="21"/>
                <w:highlight w:val="red"/>
              </w:rPr>
            </w:pPr>
            <w:r>
              <w:rPr>
                <w:rFonts w:hint="eastAsia" w:ascii="Times New Roman" w:hAnsi="Times New Roman" w:eastAsia="宋体" w:cs="Times New Roman"/>
                <w:szCs w:val="21"/>
                <w:highlight w:val="none"/>
                <w:lang w:val="en-US" w:eastAsia="zh-CN"/>
              </w:rPr>
              <w:t>/</w:t>
            </w:r>
          </w:p>
        </w:tc>
        <w:tc>
          <w:tcPr>
            <w:tcW w:w="743" w:type="pct"/>
            <w:noWrap w:val="0"/>
            <w:vAlign w:val="center"/>
          </w:tcPr>
          <w:p>
            <w:pPr>
              <w:adjustRightInd w:val="0"/>
              <w:snapToGrid w:val="0"/>
              <w:jc w:val="center"/>
              <w:rPr>
                <w:rFonts w:hint="default" w:ascii="Times New Roman" w:hAnsi="Times New Roman" w:cs="Times New Roman"/>
                <w:szCs w:val="21"/>
                <w:highlight w:val="red"/>
              </w:rPr>
            </w:pPr>
            <w:r>
              <w:rPr>
                <w:rFonts w:hint="eastAsia" w:ascii="Times New Roman" w:hAnsi="Times New Roman" w:eastAsia="宋体" w:cs="Times New Roman"/>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9"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szCs w:val="21"/>
              </w:rPr>
            </w:pPr>
            <w:r>
              <w:rPr>
                <w:rFonts w:hint="default" w:ascii="Times New Roman" w:hAnsi="Times New Roman" w:cs="Times New Roman"/>
                <w:szCs w:val="21"/>
              </w:rPr>
              <w:t>声环境</w:t>
            </w:r>
          </w:p>
        </w:tc>
        <w:tc>
          <w:tcPr>
            <w:tcW w:w="1626" w:type="pct"/>
            <w:noWrap w:val="0"/>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选低噪声设备，施工场 地设置围栏；严格控制 施工作业时间；加强车 辆管理，控制场区车辆</w:t>
            </w:r>
          </w:p>
          <w:p>
            <w:pPr>
              <w:adjustRightInd w:val="0"/>
              <w:snapToGrid w:val="0"/>
              <w:jc w:val="center"/>
              <w:rPr>
                <w:rFonts w:hint="default" w:ascii="Times New Roman" w:hAnsi="Times New Roman" w:cs="Times New Roman"/>
                <w:szCs w:val="21"/>
              </w:rPr>
            </w:pPr>
            <w:r>
              <w:rPr>
                <w:rFonts w:hint="default" w:ascii="Times New Roman" w:hAnsi="Times New Roman" w:eastAsia="宋体" w:cs="Times New Roman"/>
                <w:szCs w:val="21"/>
              </w:rPr>
              <w:t>车速</w:t>
            </w:r>
          </w:p>
        </w:tc>
        <w:tc>
          <w:tcPr>
            <w:tcW w:w="1068" w:type="pct"/>
            <w:noWrap w:val="0"/>
            <w:vAlign w:val="center"/>
          </w:tcPr>
          <w:p>
            <w:pPr>
              <w:adjustRightInd w:val="0"/>
              <w:snapToGrid w:val="0"/>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满足</w:t>
            </w:r>
            <w:r>
              <w:rPr>
                <w:rFonts w:hint="default" w:ascii="Times New Roman" w:hAnsi="Times New Roman" w:cs="Times New Roman"/>
                <w:szCs w:val="21"/>
              </w:rPr>
              <w:t>《建筑施工场界环境噪声排放标准》 （GB12523-2011）</w:t>
            </w:r>
            <w:r>
              <w:rPr>
                <w:rFonts w:hint="eastAsia" w:ascii="Times New Roman" w:hAnsi="Times New Roman" w:cs="Times New Roman"/>
                <w:szCs w:val="21"/>
                <w:lang w:val="en-US" w:eastAsia="zh-CN"/>
              </w:rPr>
              <w:t>要求</w:t>
            </w:r>
          </w:p>
        </w:tc>
        <w:tc>
          <w:tcPr>
            <w:tcW w:w="871"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Cs w:val="21"/>
                <w:highlight w:val="red"/>
                <w:lang w:eastAsia="zh-CN"/>
              </w:rPr>
            </w:pPr>
            <w:r>
              <w:rPr>
                <w:rFonts w:hint="eastAsia" w:ascii="Times New Roman" w:hAnsi="Times New Roman" w:eastAsia="宋体" w:cs="Times New Roman"/>
                <w:szCs w:val="21"/>
                <w:highlight w:val="none"/>
                <w:lang w:val="en-US" w:eastAsia="zh-CN"/>
              </w:rPr>
              <w:t>/</w:t>
            </w:r>
          </w:p>
        </w:tc>
        <w:tc>
          <w:tcPr>
            <w:tcW w:w="743"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szCs w:val="21"/>
                <w:highlight w:val="red"/>
              </w:rPr>
            </w:pPr>
            <w:r>
              <w:rPr>
                <w:rFonts w:hint="eastAsia" w:ascii="Times New Roman" w:hAnsi="Times New Roman" w:eastAsia="宋体" w:cs="Times New Roman"/>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9"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szCs w:val="21"/>
              </w:rPr>
            </w:pPr>
            <w:r>
              <w:rPr>
                <w:rFonts w:hint="default" w:ascii="Times New Roman" w:hAnsi="Times New Roman" w:cs="Times New Roman"/>
                <w:szCs w:val="21"/>
              </w:rPr>
              <w:t>振动</w:t>
            </w:r>
          </w:p>
        </w:tc>
        <w:tc>
          <w:tcPr>
            <w:tcW w:w="1626"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szCs w:val="21"/>
              </w:rPr>
            </w:pPr>
            <w:r>
              <w:rPr>
                <w:rFonts w:hint="default" w:ascii="Times New Roman" w:hAnsi="Times New Roman" w:cs="Times New Roman"/>
                <w:color w:val="auto"/>
                <w:szCs w:val="21"/>
                <w:lang w:val="en-US" w:eastAsia="zh-CN"/>
              </w:rPr>
              <w:t>/</w:t>
            </w:r>
          </w:p>
        </w:tc>
        <w:tc>
          <w:tcPr>
            <w:tcW w:w="1068"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szCs w:val="21"/>
              </w:rPr>
            </w:pPr>
            <w:r>
              <w:rPr>
                <w:rFonts w:hint="default" w:ascii="Times New Roman" w:hAnsi="Times New Roman" w:cs="Times New Roman"/>
                <w:color w:val="auto"/>
                <w:szCs w:val="21"/>
                <w:lang w:val="en-US" w:eastAsia="zh-CN"/>
              </w:rPr>
              <w:t>/</w:t>
            </w:r>
          </w:p>
        </w:tc>
        <w:tc>
          <w:tcPr>
            <w:tcW w:w="871"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szCs w:val="21"/>
                <w:highlight w:val="red"/>
              </w:rPr>
            </w:pPr>
            <w:r>
              <w:rPr>
                <w:rFonts w:hint="eastAsia" w:ascii="Times New Roman" w:hAnsi="Times New Roman" w:eastAsia="宋体" w:cs="Times New Roman"/>
                <w:szCs w:val="21"/>
                <w:highlight w:val="none"/>
                <w:lang w:val="en-US" w:eastAsia="zh-CN"/>
              </w:rPr>
              <w:t>/</w:t>
            </w:r>
          </w:p>
        </w:tc>
        <w:tc>
          <w:tcPr>
            <w:tcW w:w="743"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szCs w:val="21"/>
                <w:highlight w:val="red"/>
              </w:rPr>
            </w:pPr>
            <w:r>
              <w:rPr>
                <w:rFonts w:hint="eastAsia" w:ascii="Times New Roman" w:hAnsi="Times New Roman" w:eastAsia="宋体" w:cs="Times New Roman"/>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9"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szCs w:val="21"/>
              </w:rPr>
            </w:pPr>
            <w:r>
              <w:rPr>
                <w:rFonts w:hint="default" w:ascii="Times New Roman" w:hAnsi="Times New Roman" w:cs="Times New Roman"/>
                <w:szCs w:val="21"/>
              </w:rPr>
              <w:t>大气环境</w:t>
            </w:r>
          </w:p>
        </w:tc>
        <w:tc>
          <w:tcPr>
            <w:tcW w:w="2766" w:type="dxa"/>
            <w:noWrap w:val="0"/>
            <w:vAlign w:val="top"/>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物料堆积采取覆盖等防</w:t>
            </w:r>
          </w:p>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尘措施；加强洒水；设</w:t>
            </w:r>
          </w:p>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置雾炮机；设置车辆清</w:t>
            </w:r>
          </w:p>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洗区；运输车辆篷布封</w:t>
            </w:r>
          </w:p>
          <w:p>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闭</w:t>
            </w:r>
            <w:r>
              <w:rPr>
                <w:rFonts w:hint="eastAsia" w:ascii="Times New Roman" w:hAnsi="Times New Roman" w:eastAsia="宋体" w:cs="Times New Roman"/>
                <w:szCs w:val="21"/>
                <w:lang w:eastAsia="zh-CN"/>
              </w:rPr>
              <w:t>；</w:t>
            </w:r>
          </w:p>
        </w:tc>
        <w:tc>
          <w:tcPr>
            <w:tcW w:w="1818" w:type="dxa"/>
            <w:noWrap w:val="0"/>
            <w:vAlign w:val="top"/>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满足《环境空气质量标准》 (GB3095-2012) 中的二级标准、《四川省施工场地扬尘排放标准》 (DB51/2682-2020)要求</w:t>
            </w:r>
          </w:p>
        </w:tc>
        <w:tc>
          <w:tcPr>
            <w:tcW w:w="871"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szCs w:val="21"/>
                <w:highlight w:val="red"/>
              </w:rPr>
            </w:pPr>
            <w:r>
              <w:rPr>
                <w:rFonts w:hint="eastAsia" w:ascii="Times New Roman" w:hAnsi="Times New Roman" w:eastAsia="宋体" w:cs="Times New Roman"/>
                <w:szCs w:val="21"/>
                <w:highlight w:val="none"/>
                <w:lang w:val="en-US" w:eastAsia="zh-CN"/>
              </w:rPr>
              <w:t>/</w:t>
            </w:r>
          </w:p>
        </w:tc>
        <w:tc>
          <w:tcPr>
            <w:tcW w:w="743"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szCs w:val="21"/>
                <w:highlight w:val="red"/>
              </w:rPr>
            </w:pPr>
            <w:r>
              <w:rPr>
                <w:rFonts w:hint="eastAsia" w:ascii="Times New Roman" w:hAnsi="Times New Roman" w:eastAsia="宋体" w:cs="Times New Roman"/>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9"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szCs w:val="21"/>
              </w:rPr>
            </w:pPr>
            <w:r>
              <w:rPr>
                <w:rFonts w:hint="default" w:ascii="Times New Roman" w:hAnsi="Times New Roman" w:cs="Times New Roman"/>
                <w:szCs w:val="21"/>
              </w:rPr>
              <w:t>固体废物</w:t>
            </w:r>
          </w:p>
        </w:tc>
        <w:tc>
          <w:tcPr>
            <w:tcW w:w="1626"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both"/>
              <w:textAlignment w:val="baseline"/>
              <w:rPr>
                <w:rFonts w:hint="default"/>
                <w:lang w:eastAsia="zh-CN"/>
              </w:rPr>
            </w:pPr>
            <w:r>
              <w:rPr>
                <w:rFonts w:hint="default"/>
                <w:lang w:eastAsia="zh-CN"/>
              </w:rPr>
              <w:t>生活垃圾：施工场地设置垃圾桶，集中收集后由当地环卫部门统一处理；</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both"/>
              <w:textAlignment w:val="baseline"/>
              <w:rPr>
                <w:rFonts w:hint="default"/>
                <w:lang w:val="en-US" w:eastAsia="zh-CN"/>
              </w:rPr>
            </w:pPr>
            <w:r>
              <w:rPr>
                <w:rFonts w:hint="eastAsia"/>
                <w:lang w:val="en-US" w:eastAsia="zh-CN"/>
              </w:rPr>
              <w:t>泥沙</w:t>
            </w:r>
            <w:r>
              <w:rPr>
                <w:rFonts w:hint="eastAsia"/>
                <w:lang w:eastAsia="zh-CN"/>
              </w:rPr>
              <w:t>：</w:t>
            </w:r>
            <w:r>
              <w:rPr>
                <w:rFonts w:hint="default"/>
                <w:lang w:eastAsia="zh-CN"/>
              </w:rPr>
              <w:t>晾干后</w:t>
            </w:r>
            <w:r>
              <w:rPr>
                <w:rFonts w:hint="eastAsia"/>
                <w:lang w:val="en-US" w:eastAsia="zh-CN"/>
              </w:rPr>
              <w:t>运至苏稽镇石鼓寺村老鸦滩堆料场堆放</w:t>
            </w:r>
            <w:r>
              <w:rPr>
                <w:rFonts w:hint="default"/>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firstLine="0"/>
              <w:jc w:val="both"/>
              <w:textAlignment w:val="baseline"/>
              <w:rPr>
                <w:rFonts w:hint="eastAsia"/>
                <w:lang w:eastAsia="zh-CN"/>
              </w:rPr>
            </w:pPr>
            <w:r>
              <w:rPr>
                <w:rFonts w:hint="default"/>
                <w:lang w:val="en-US" w:eastAsia="zh-CN"/>
              </w:rPr>
              <w:t>建筑垃圾</w:t>
            </w:r>
            <w:r>
              <w:rPr>
                <w:rFonts w:hint="eastAsia"/>
                <w:lang w:val="en-US" w:eastAsia="zh-CN"/>
              </w:rPr>
              <w:t>：</w:t>
            </w:r>
            <w:r>
              <w:rPr>
                <w:rFonts w:hint="default"/>
                <w:lang w:val="en-US" w:eastAsia="zh-CN"/>
              </w:rPr>
              <w:t>能</w:t>
            </w:r>
            <w:r>
              <w:rPr>
                <w:rFonts w:hint="default"/>
                <w:lang w:eastAsia="zh-CN"/>
              </w:rPr>
              <w:t>回收利用的回收利用，不能回收的</w:t>
            </w:r>
            <w:r>
              <w:rPr>
                <w:rFonts w:hint="eastAsia"/>
                <w:lang w:eastAsia="zh-CN"/>
              </w:rPr>
              <w:t>运至政府指定建筑垃圾堆场填埋；</w:t>
            </w:r>
          </w:p>
          <w:p>
            <w:pPr>
              <w:pStyle w:val="2"/>
              <w:rPr>
                <w:rFonts w:hint="default"/>
                <w:lang w:val="en-US"/>
              </w:rPr>
            </w:pPr>
            <w:r>
              <w:rPr>
                <w:rFonts w:hint="eastAsia" w:ascii="Times New Roman" w:hAnsi="Times New Roman" w:eastAsia="宋体" w:cs="Times New Roman"/>
                <w:b w:val="0"/>
                <w:bCs w:val="0"/>
                <w:color w:val="auto"/>
                <w:spacing w:val="0"/>
                <w:sz w:val="21"/>
                <w:szCs w:val="21"/>
                <w:lang w:val="en-US" w:eastAsia="zh-CN"/>
              </w:rPr>
              <w:t>弃土：及时清运至苏稽镇石鼓寺村老鸦滩堆料场堆放</w:t>
            </w:r>
          </w:p>
        </w:tc>
        <w:tc>
          <w:tcPr>
            <w:tcW w:w="1068"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szCs w:val="21"/>
              </w:rPr>
            </w:pPr>
            <w:r>
              <w:rPr>
                <w:rFonts w:hint="default" w:ascii="Times New Roman" w:hAnsi="Times New Roman" w:cs="Times New Roman"/>
                <w:color w:val="auto"/>
                <w:szCs w:val="21"/>
              </w:rPr>
              <w:t>妥善处置，不会带来二次污染</w:t>
            </w:r>
          </w:p>
        </w:tc>
        <w:tc>
          <w:tcPr>
            <w:tcW w:w="871"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szCs w:val="21"/>
                <w:highlight w:val="red"/>
              </w:rPr>
            </w:pPr>
            <w:r>
              <w:rPr>
                <w:rFonts w:hint="eastAsia" w:ascii="Times New Roman" w:hAnsi="Times New Roman" w:eastAsia="宋体" w:cs="Times New Roman"/>
                <w:szCs w:val="21"/>
                <w:highlight w:val="none"/>
                <w:lang w:val="en-US" w:eastAsia="zh-CN"/>
              </w:rPr>
              <w:t>/</w:t>
            </w:r>
          </w:p>
        </w:tc>
        <w:tc>
          <w:tcPr>
            <w:tcW w:w="743"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szCs w:val="21"/>
                <w:highlight w:val="red"/>
              </w:rPr>
            </w:pPr>
            <w:r>
              <w:rPr>
                <w:rFonts w:hint="eastAsia" w:ascii="Times New Roman" w:hAnsi="Times New Roman" w:eastAsia="宋体" w:cs="Times New Roman"/>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9"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szCs w:val="21"/>
              </w:rPr>
            </w:pPr>
            <w:r>
              <w:rPr>
                <w:rFonts w:hint="default" w:ascii="Times New Roman" w:hAnsi="Times New Roman" w:cs="Times New Roman"/>
                <w:szCs w:val="21"/>
              </w:rPr>
              <w:t>电磁环境</w:t>
            </w:r>
          </w:p>
        </w:tc>
        <w:tc>
          <w:tcPr>
            <w:tcW w:w="1626"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szCs w:val="21"/>
              </w:rPr>
            </w:pPr>
            <w:r>
              <w:rPr>
                <w:rFonts w:hint="default" w:ascii="Times New Roman" w:hAnsi="Times New Roman" w:cs="Times New Roman"/>
                <w:color w:val="auto"/>
                <w:szCs w:val="21"/>
                <w:lang w:val="en-US" w:eastAsia="zh-CN"/>
              </w:rPr>
              <w:t>/</w:t>
            </w:r>
          </w:p>
        </w:tc>
        <w:tc>
          <w:tcPr>
            <w:tcW w:w="1068"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szCs w:val="21"/>
              </w:rPr>
            </w:pPr>
            <w:r>
              <w:rPr>
                <w:rFonts w:hint="default" w:ascii="Times New Roman" w:hAnsi="Times New Roman" w:cs="Times New Roman"/>
                <w:color w:val="auto"/>
                <w:szCs w:val="21"/>
                <w:lang w:val="en-US" w:eastAsia="zh-CN"/>
              </w:rPr>
              <w:t>/</w:t>
            </w:r>
          </w:p>
        </w:tc>
        <w:tc>
          <w:tcPr>
            <w:tcW w:w="871"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szCs w:val="21"/>
                <w:highlight w:val="red"/>
              </w:rPr>
            </w:pPr>
            <w:r>
              <w:rPr>
                <w:rFonts w:hint="eastAsia" w:ascii="Times New Roman" w:hAnsi="Times New Roman" w:eastAsia="宋体" w:cs="Times New Roman"/>
                <w:szCs w:val="21"/>
                <w:highlight w:val="none"/>
                <w:lang w:val="en-US" w:eastAsia="zh-CN"/>
              </w:rPr>
              <w:t>/</w:t>
            </w:r>
          </w:p>
        </w:tc>
        <w:tc>
          <w:tcPr>
            <w:tcW w:w="743"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szCs w:val="21"/>
                <w:highlight w:val="red"/>
              </w:rPr>
            </w:pPr>
            <w:r>
              <w:rPr>
                <w:rFonts w:hint="eastAsia" w:ascii="Times New Roman" w:hAnsi="Times New Roman" w:eastAsia="宋体" w:cs="Times New Roman"/>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9"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szCs w:val="21"/>
              </w:rPr>
            </w:pPr>
            <w:r>
              <w:rPr>
                <w:rFonts w:hint="default" w:ascii="Times New Roman" w:hAnsi="Times New Roman" w:cs="Times New Roman"/>
                <w:szCs w:val="21"/>
              </w:rPr>
              <w:t>环境风险</w:t>
            </w:r>
          </w:p>
        </w:tc>
        <w:tc>
          <w:tcPr>
            <w:tcW w:w="1626" w:type="pct"/>
            <w:noWrap w:val="0"/>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Cs w:val="21"/>
              </w:rPr>
              <w:t>建立完善施工期管理的制度等</w:t>
            </w:r>
          </w:p>
        </w:tc>
        <w:tc>
          <w:tcPr>
            <w:tcW w:w="1068" w:type="pct"/>
            <w:noWrap w:val="0"/>
            <w:vAlign w:val="center"/>
          </w:tcPr>
          <w:p>
            <w:pPr>
              <w:adjustRightInd w:val="0"/>
              <w:snapToGrid w:val="0"/>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Cs w:val="21"/>
              </w:rPr>
              <w:t>不会造成风险影响</w:t>
            </w:r>
          </w:p>
        </w:tc>
        <w:tc>
          <w:tcPr>
            <w:tcW w:w="871"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szCs w:val="21"/>
                <w:highlight w:val="red"/>
                <w:lang w:val="en-US" w:eastAsia="zh-CN"/>
              </w:rPr>
            </w:pPr>
            <w:r>
              <w:rPr>
                <w:rFonts w:hint="eastAsia" w:ascii="Times New Roman" w:hAnsi="Times New Roman" w:eastAsia="宋体" w:cs="Times New Roman"/>
                <w:szCs w:val="21"/>
                <w:highlight w:val="none"/>
                <w:lang w:val="en-US" w:eastAsia="zh-CN"/>
              </w:rPr>
              <w:t>/</w:t>
            </w:r>
          </w:p>
        </w:tc>
        <w:tc>
          <w:tcPr>
            <w:tcW w:w="743"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szCs w:val="21"/>
                <w:highlight w:val="red"/>
              </w:rPr>
            </w:pPr>
            <w:r>
              <w:rPr>
                <w:rFonts w:hint="eastAsia" w:ascii="Times New Roman" w:hAnsi="Times New Roman" w:eastAsia="宋体" w:cs="Times New Roman"/>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9"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szCs w:val="21"/>
              </w:rPr>
            </w:pPr>
            <w:r>
              <w:rPr>
                <w:rFonts w:hint="default" w:ascii="Times New Roman" w:hAnsi="Times New Roman" w:cs="Times New Roman"/>
                <w:szCs w:val="21"/>
              </w:rPr>
              <w:t>环境监测</w:t>
            </w:r>
          </w:p>
        </w:tc>
        <w:tc>
          <w:tcPr>
            <w:tcW w:w="1626" w:type="pct"/>
            <w:noWrap w:val="0"/>
            <w:vAlign w:val="center"/>
          </w:tcPr>
          <w:p>
            <w:pPr>
              <w:keepNext w:val="0"/>
              <w:keepLines w:val="0"/>
              <w:pageBreakBefore w:val="0"/>
              <w:kinsoku/>
              <w:wordWrap/>
              <w:overflowPunct/>
              <w:topLinePunct w:val="0"/>
              <w:bidi w:val="0"/>
              <w:adjustRightInd w:val="0"/>
              <w:snapToGrid w:val="0"/>
              <w:jc w:val="center"/>
              <w:textAlignment w:val="auto"/>
              <w:rPr>
                <w:rFonts w:hint="eastAsia" w:ascii="Times New Roman" w:hAnsi="Times New Roman" w:eastAsia="宋体" w:cs="Times New Roman"/>
                <w:szCs w:val="21"/>
                <w:lang w:eastAsia="zh-CN"/>
              </w:rPr>
            </w:pPr>
            <w:r>
              <w:rPr>
                <w:rFonts w:hint="eastAsia" w:ascii="Times New Roman" w:hAnsi="Times New Roman" w:cs="Times New Roman"/>
                <w:szCs w:val="21"/>
                <w:lang w:eastAsia="zh-CN"/>
              </w:rPr>
              <w:t>水、大气、噪声</w:t>
            </w:r>
          </w:p>
        </w:tc>
        <w:tc>
          <w:tcPr>
            <w:tcW w:w="1068" w:type="pct"/>
            <w:noWrap w:val="0"/>
            <w:vAlign w:val="center"/>
          </w:tcPr>
          <w:p>
            <w:pPr>
              <w:keepNext w:val="0"/>
              <w:keepLines w:val="0"/>
              <w:pageBreakBefore w:val="0"/>
              <w:kinsoku/>
              <w:wordWrap/>
              <w:overflowPunct/>
              <w:topLinePunct w:val="0"/>
              <w:bidi w:val="0"/>
              <w:adjustRightInd w:val="0"/>
              <w:snapToGrid w:val="0"/>
              <w:jc w:val="center"/>
              <w:textAlignment w:val="auto"/>
              <w:rPr>
                <w:rFonts w:hint="eastAsia" w:ascii="Times New Roman" w:hAnsi="Times New Roman" w:eastAsia="宋体" w:cs="Times New Roman"/>
                <w:szCs w:val="21"/>
                <w:lang w:eastAsia="zh-CN"/>
              </w:rPr>
            </w:pPr>
            <w:r>
              <w:rPr>
                <w:rFonts w:hint="eastAsia" w:ascii="Times New Roman" w:hAnsi="Times New Roman" w:cs="Times New Roman"/>
                <w:szCs w:val="21"/>
                <w:lang w:eastAsia="zh-CN"/>
              </w:rPr>
              <w:t>达到相应标准要求</w:t>
            </w:r>
          </w:p>
        </w:tc>
        <w:tc>
          <w:tcPr>
            <w:tcW w:w="871"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szCs w:val="21"/>
                <w:highlight w:val="red"/>
              </w:rPr>
            </w:pPr>
            <w:r>
              <w:rPr>
                <w:rFonts w:hint="eastAsia" w:ascii="Times New Roman" w:hAnsi="Times New Roman" w:eastAsia="宋体" w:cs="Times New Roman"/>
                <w:szCs w:val="21"/>
                <w:highlight w:val="none"/>
                <w:lang w:val="en-US" w:eastAsia="zh-CN"/>
              </w:rPr>
              <w:t>/</w:t>
            </w:r>
          </w:p>
        </w:tc>
        <w:tc>
          <w:tcPr>
            <w:tcW w:w="743"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szCs w:val="21"/>
                <w:highlight w:val="red"/>
              </w:rPr>
            </w:pPr>
            <w:r>
              <w:rPr>
                <w:rFonts w:hint="eastAsia" w:ascii="Times New Roman" w:hAnsi="Times New Roman" w:eastAsia="宋体" w:cs="Times New Roman"/>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9"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szCs w:val="21"/>
              </w:rPr>
            </w:pPr>
            <w:r>
              <w:rPr>
                <w:rFonts w:hint="default" w:ascii="Times New Roman" w:hAnsi="Times New Roman" w:cs="Times New Roman"/>
                <w:szCs w:val="21"/>
              </w:rPr>
              <w:t>施工过程中应注意的主要问题</w:t>
            </w:r>
          </w:p>
        </w:tc>
        <w:tc>
          <w:tcPr>
            <w:tcW w:w="1626" w:type="pct"/>
            <w:noWrap w:val="0"/>
            <w:vAlign w:val="center"/>
          </w:tcPr>
          <w:p>
            <w:pPr>
              <w:keepNext w:val="0"/>
              <w:keepLines w:val="0"/>
              <w:pageBreakBefore w:val="0"/>
              <w:kinsoku/>
              <w:wordWrap/>
              <w:overflowPunct/>
              <w:topLinePunct w:val="0"/>
              <w:bidi w:val="0"/>
              <w:adjustRightInd w:val="0"/>
              <w:snapToGrid w:val="0"/>
              <w:jc w:val="both"/>
              <w:textAlignment w:val="auto"/>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1.严格落实施工期环境保护要求，将环境监理纳入施工监理的全过程，重点做好施工期扬尘控制、废水收集处置、噪声控制，和固废清运处置等，尽量降低工程建设对生态环境的影响。</w:t>
            </w:r>
          </w:p>
          <w:p>
            <w:pPr>
              <w:keepNext w:val="0"/>
              <w:keepLines w:val="0"/>
              <w:pageBreakBefore w:val="0"/>
              <w:kinsoku/>
              <w:wordWrap/>
              <w:overflowPunct/>
              <w:topLinePunct w:val="0"/>
              <w:bidi w:val="0"/>
              <w:adjustRightInd w:val="0"/>
              <w:snapToGrid w:val="0"/>
              <w:jc w:val="both"/>
              <w:textAlignment w:val="auto"/>
              <w:rPr>
                <w:rFonts w:hint="default" w:ascii="Times New Roman" w:hAnsi="Times New Roman" w:cs="Times New Roman"/>
                <w:szCs w:val="21"/>
              </w:rPr>
            </w:pPr>
            <w:r>
              <w:rPr>
                <w:rFonts w:hint="default" w:ascii="Times New Roman" w:hAnsi="Times New Roman" w:cs="Times New Roman"/>
                <w:color w:val="auto"/>
                <w:szCs w:val="21"/>
                <w:lang w:val="en-US" w:eastAsia="zh-CN"/>
              </w:rPr>
              <w:t>2.强化</w:t>
            </w:r>
            <w:r>
              <w:rPr>
                <w:rFonts w:hint="eastAsia" w:ascii="Times New Roman" w:hAnsi="Times New Roman" w:cs="Times New Roman"/>
                <w:color w:val="auto"/>
                <w:szCs w:val="21"/>
                <w:lang w:val="en-US" w:eastAsia="zh-CN"/>
              </w:rPr>
              <w:t>弃土</w:t>
            </w:r>
            <w:r>
              <w:rPr>
                <w:rFonts w:hint="default" w:ascii="Times New Roman" w:hAnsi="Times New Roman" w:cs="Times New Roman"/>
                <w:color w:val="auto"/>
                <w:szCs w:val="21"/>
                <w:lang w:val="en-US" w:eastAsia="zh-CN"/>
              </w:rPr>
              <w:t>清运、堆存过程中的二次污染防治，严格落实堆存料区域的扬尘、噪声控制，避免出现扰民问题。</w:t>
            </w:r>
          </w:p>
        </w:tc>
        <w:tc>
          <w:tcPr>
            <w:tcW w:w="1068"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szCs w:val="21"/>
              </w:rPr>
            </w:pPr>
            <w:r>
              <w:rPr>
                <w:rFonts w:hint="default" w:ascii="Times New Roman" w:hAnsi="Times New Roman" w:cs="Times New Roman"/>
                <w:color w:val="auto"/>
                <w:szCs w:val="21"/>
                <w:lang w:val="en-US" w:eastAsia="zh-CN"/>
              </w:rPr>
              <w:t>/</w:t>
            </w:r>
          </w:p>
        </w:tc>
        <w:tc>
          <w:tcPr>
            <w:tcW w:w="871"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szCs w:val="21"/>
                <w:highlight w:val="red"/>
              </w:rPr>
            </w:pPr>
            <w:r>
              <w:rPr>
                <w:rFonts w:hint="eastAsia" w:ascii="Times New Roman" w:hAnsi="Times New Roman" w:eastAsia="宋体" w:cs="Times New Roman"/>
                <w:szCs w:val="21"/>
                <w:highlight w:val="none"/>
                <w:lang w:val="en-US" w:eastAsia="zh-CN"/>
              </w:rPr>
              <w:t>/</w:t>
            </w:r>
          </w:p>
        </w:tc>
        <w:tc>
          <w:tcPr>
            <w:tcW w:w="743" w:type="pct"/>
            <w:noWrap w:val="0"/>
            <w:vAlign w:val="center"/>
          </w:tcPr>
          <w:p>
            <w:pPr>
              <w:keepNext w:val="0"/>
              <w:keepLines w:val="0"/>
              <w:pageBreakBefore w:val="0"/>
              <w:kinsoku/>
              <w:wordWrap/>
              <w:overflowPunct/>
              <w:topLinePunct w:val="0"/>
              <w:bidi w:val="0"/>
              <w:adjustRightInd w:val="0"/>
              <w:snapToGrid w:val="0"/>
              <w:jc w:val="center"/>
              <w:textAlignment w:val="auto"/>
              <w:rPr>
                <w:rFonts w:hint="default" w:ascii="Times New Roman" w:hAnsi="Times New Roman" w:cs="Times New Roman"/>
                <w:szCs w:val="21"/>
                <w:highlight w:val="red"/>
              </w:rPr>
            </w:pPr>
            <w:r>
              <w:rPr>
                <w:rFonts w:hint="eastAsia" w:ascii="Times New Roman" w:hAnsi="Times New Roman" w:eastAsia="宋体" w:cs="Times New Roman"/>
                <w:szCs w:val="21"/>
                <w:highlight w:val="none"/>
                <w:lang w:val="en-US" w:eastAsia="zh-CN"/>
              </w:rPr>
              <w:t>/</w:t>
            </w:r>
          </w:p>
        </w:tc>
      </w:tr>
    </w:tbl>
    <w:p>
      <w:pPr>
        <w:rPr>
          <w:rFonts w:hint="default" w:ascii="Times New Roman" w:hAnsi="Times New Roman" w:eastAsia="黑体" w:cs="Times New Roman"/>
          <w:snapToGrid w:val="0"/>
          <w:sz w:val="30"/>
          <w:szCs w:val="30"/>
        </w:rPr>
      </w:pPr>
      <w:r>
        <w:rPr>
          <w:rFonts w:hint="default" w:ascii="Times New Roman" w:hAnsi="Times New Roman" w:eastAsia="黑体" w:cs="Times New Roman"/>
          <w:snapToGrid w:val="0"/>
          <w:sz w:val="30"/>
          <w:szCs w:val="30"/>
        </w:rPr>
        <w:br w:type="page"/>
      </w:r>
    </w:p>
    <w:p>
      <w:pPr>
        <w:pStyle w:val="37"/>
        <w:keepNext w:val="0"/>
        <w:keepLines w:val="0"/>
        <w:pageBreakBefore w:val="0"/>
        <w:kinsoku/>
        <w:wordWrap/>
        <w:overflowPunct/>
        <w:topLinePunct w:val="0"/>
        <w:bidi w:val="0"/>
        <w:adjustRightInd w:val="0"/>
        <w:snapToGrid w:val="0"/>
        <w:spacing w:before="192" w:beforeLines="80" w:beforeAutospacing="0"/>
        <w:jc w:val="center"/>
        <w:textAlignment w:val="auto"/>
        <w:outlineLvl w:val="0"/>
        <w:rPr>
          <w:rFonts w:hint="default" w:ascii="Times New Roman" w:hAnsi="Times New Roman" w:eastAsia="黑体" w:cs="Times New Roman"/>
          <w:snapToGrid w:val="0"/>
          <w:sz w:val="30"/>
          <w:szCs w:val="30"/>
        </w:rPr>
      </w:pPr>
      <w:r>
        <w:rPr>
          <w:rFonts w:hint="default" w:ascii="Times New Roman" w:hAnsi="Times New Roman" w:eastAsia="黑体" w:cs="Times New Roman"/>
          <w:snapToGrid w:val="0"/>
          <w:sz w:val="30"/>
          <w:szCs w:val="30"/>
        </w:rPr>
        <w:t>七、结论</w:t>
      </w:r>
    </w:p>
    <w:tbl>
      <w:tblPr>
        <w:tblStyle w:val="41"/>
        <w:tblW w:w="85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0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31" w:hRule="atLeast"/>
          <w:jc w:val="center"/>
        </w:trPr>
        <w:tc>
          <w:tcPr>
            <w:tcW w:w="9289" w:type="dxa"/>
            <w:noWrap w:val="0"/>
            <w:vAlign w:val="center"/>
          </w:tcPr>
          <w:p>
            <w:pPr>
              <w:adjustRightInd w:val="0"/>
              <w:snapToGrid w:val="0"/>
              <w:spacing w:line="360" w:lineRule="auto"/>
              <w:ind w:firstLine="480" w:firstLineChars="200"/>
              <w:rPr>
                <w:rFonts w:hint="default" w:ascii="Times New Roman" w:hAnsi="Times New Roman" w:cs="Times New Roman"/>
                <w:b/>
                <w:bCs/>
                <w:snapToGrid w:val="0"/>
                <w:sz w:val="24"/>
                <w:u w:val="single"/>
              </w:rPr>
            </w:pPr>
            <w:r>
              <w:rPr>
                <w:rFonts w:hint="default" w:ascii="Times New Roman" w:hAnsi="Times New Roman" w:cs="Times New Roman"/>
                <w:bCs/>
                <w:snapToGrid w:val="0"/>
                <w:sz w:val="24"/>
              </w:rPr>
              <w:t>综上所述，项目建设符合国家产业政策，贯彻了“达标排放、文明施工”控制污染方针，采取的“三废”及噪声污染治理措施经济技术可行。工程实施后不会改变地表水、环境空气、声学等环境质量级别和现有功能。在严格落实环境影响报告表提出的环保对策及措施，确保项目所产生的污染物达标排放的前提下，本项目施工期和营运期对周围环境的影响可以控制在允许的范围以内。</w:t>
            </w:r>
            <w:r>
              <w:rPr>
                <w:rFonts w:hint="default" w:ascii="Times New Roman" w:hAnsi="Times New Roman" w:cs="Times New Roman"/>
                <w:b/>
                <w:bCs/>
                <w:snapToGrid w:val="0"/>
                <w:sz w:val="24"/>
                <w:u w:val="single"/>
              </w:rPr>
              <w:t>从环境保护角度而言，本项目的</w:t>
            </w:r>
            <w:r>
              <w:rPr>
                <w:rFonts w:hint="default" w:ascii="Times New Roman" w:hAnsi="Times New Roman" w:cs="Times New Roman"/>
                <w:b/>
                <w:snapToGrid w:val="0"/>
                <w:sz w:val="24"/>
                <w:u w:val="single"/>
              </w:rPr>
              <w:t>建设</w:t>
            </w:r>
            <w:r>
              <w:rPr>
                <w:rFonts w:hint="default" w:ascii="Times New Roman" w:hAnsi="Times New Roman" w:cs="Times New Roman"/>
                <w:b/>
                <w:bCs/>
                <w:snapToGrid w:val="0"/>
                <w:sz w:val="24"/>
                <w:u w:val="single"/>
              </w:rPr>
              <w:t>是可行的。</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FF"/>
                <w:szCs w:val="21"/>
              </w:rPr>
            </w:pPr>
          </w:p>
          <w:p>
            <w:pPr>
              <w:keepNext w:val="0"/>
              <w:keepLines w:val="0"/>
              <w:pageBreakBefore w:val="0"/>
              <w:kinsoku/>
              <w:wordWrap/>
              <w:overflowPunct/>
              <w:topLinePunct w:val="0"/>
              <w:bidi w:val="0"/>
              <w:adjustRightInd w:val="0"/>
              <w:snapToGrid w:val="0"/>
              <w:ind w:firstLine="315"/>
              <w:jc w:val="both"/>
              <w:textAlignment w:val="auto"/>
              <w:rPr>
                <w:rFonts w:hint="default" w:ascii="Times New Roman" w:hAnsi="Times New Roman" w:cs="Times New Roman"/>
                <w:szCs w:val="21"/>
              </w:rPr>
            </w:pPr>
          </w:p>
        </w:tc>
      </w:tr>
    </w:tbl>
    <w:p>
      <w:pPr>
        <w:keepNext w:val="0"/>
        <w:keepLines w:val="0"/>
        <w:pageBreakBefore w:val="0"/>
        <w:widowControl/>
        <w:kinsoku/>
        <w:wordWrap/>
        <w:overflowPunct/>
        <w:topLinePunct w:val="0"/>
        <w:bidi w:val="0"/>
        <w:adjustRightInd w:val="0"/>
        <w:snapToGrid w:val="0"/>
        <w:spacing w:before="192" w:beforeLines="80"/>
        <w:jc w:val="left"/>
        <w:textAlignment w:val="auto"/>
        <w:rPr>
          <w:rFonts w:hint="default" w:ascii="Times New Roman" w:hAnsi="Times New Roman" w:cs="Times New Roman"/>
        </w:rPr>
      </w:pPr>
    </w:p>
    <w:p>
      <w:pPr>
        <w:pStyle w:val="40"/>
        <w:rPr>
          <w:rFonts w:hint="eastAsia"/>
        </w:rPr>
      </w:pPr>
      <w:bookmarkStart w:id="23" w:name="_GoBack"/>
      <w:bookmarkEnd w:id="23"/>
    </w:p>
    <w:p>
      <w:pPr>
        <w:rPr>
          <w:rFonts w:hint="default" w:ascii="Times New Roman" w:hAnsi="Times New Roman" w:eastAsia="仿宋_GB2312" w:cs="Times New Roman"/>
          <w:color w:val="auto"/>
          <w:sz w:val="36"/>
          <w:szCs w:val="36"/>
          <w:highlight w:val="none"/>
        </w:rPr>
      </w:pPr>
    </w:p>
    <w:p>
      <w:pPr>
        <w:pStyle w:val="49"/>
        <w:rPr>
          <w:rFonts w:hint="eastAsia"/>
        </w:rPr>
      </w:pPr>
    </w:p>
    <w:sectPr>
      <w:headerReference r:id="rId12" w:type="default"/>
      <w:footerReference r:id="rId13" w:type="default"/>
      <w:pgSz w:w="16838" w:h="11906" w:orient="landscape"/>
      <w:pgMar w:top="1797" w:right="1440" w:bottom="1797" w:left="1440"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幼圆">
    <w:panose1 w:val="02010509060101010101"/>
    <w:charset w:val="86"/>
    <w:family w:val="modern"/>
    <w:pitch w:val="default"/>
    <w:sig w:usb0="00000001" w:usb1="080E0000" w:usb2="00000000" w:usb3="00000000" w:csb0="00040000" w:csb1="00000000"/>
  </w:font>
  <w:font w:name="TimesNewRomanPSMT">
    <w:altName w:val="Times New Roman"/>
    <w:panose1 w:val="00000000000000000000"/>
    <w:charset w:val="00"/>
    <w:family w:val="roman"/>
    <w:pitch w:val="default"/>
    <w:sig w:usb0="00000000" w:usb1="00000000" w:usb2="00000000" w:usb3="00000000" w:csb0="00040001" w:csb1="00000000"/>
  </w:font>
  <w:font w:name="楷体_GB2312">
    <w:panose1 w:val="02010609030101010101"/>
    <w:charset w:val="86"/>
    <w:family w:val="modern"/>
    <w:pitch w:val="default"/>
    <w:sig w:usb0="00000001" w:usb1="080E0000" w:usb2="00000000" w:usb3="00000000" w:csb0="00040000" w:csb1="00000000"/>
  </w:font>
  <w:font w:name="Courier">
    <w:altName w:val="Courier New"/>
    <w:panose1 w:val="02070409020205020404"/>
    <w:charset w:val="00"/>
    <w:family w:val="modern"/>
    <w:pitch w:val="default"/>
    <w:sig w:usb0="00000000" w:usb1="00000000" w:usb2="00000000" w:usb3="00000000" w:csb0="00000001" w:csb1="00000000"/>
  </w:font>
  <w:font w:name="PMingLiU">
    <w:panose1 w:val="02020500000000000000"/>
    <w:charset w:val="88"/>
    <w:family w:val="roman"/>
    <w:pitch w:val="default"/>
    <w:sig w:usb0="A00002FF" w:usb1="28CFFCFA" w:usb2="00000016" w:usb3="00000000" w:csb0="00100001" w:csb1="00000000"/>
  </w:font>
  <w:font w:name="宋?">
    <w:altName w:val="宋体"/>
    <w:panose1 w:val="00000000000000000000"/>
    <w:charset w:val="81"/>
    <w:family w:val="auto"/>
    <w:pitch w:val="default"/>
    <w:sig w:usb0="00000000" w:usb1="00000000" w:usb2="00000010" w:usb3="00000000" w:csb0="00080000" w:csb1="00000000"/>
  </w:font>
  <w:font w:name="MingLiU">
    <w:panose1 w:val="02020509000000000000"/>
    <w:charset w:val="88"/>
    <w:family w:val="modern"/>
    <w:pitch w:val="default"/>
    <w:sig w:usb0="A00002FF" w:usb1="28CFFCFA" w:usb2="00000016" w:usb3="00000000" w:csb0="00100001"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ˎ̥">
    <w:altName w:val="hakuyoxingshu7000"/>
    <w:panose1 w:val="00000000000000000000"/>
    <w:charset w:val="00"/>
    <w:family w:val="roman"/>
    <w:pitch w:val="default"/>
    <w:sig w:usb0="00000000" w:usb1="00000000" w:usb2="00000000" w:usb3="00000000" w:csb0="00040001" w:csb1="00000000"/>
  </w:font>
  <w:font w:name="华文仿宋">
    <w:panose1 w:val="02010600040101010101"/>
    <w:charset w:val="86"/>
    <w:family w:val="auto"/>
    <w:pitch w:val="default"/>
    <w:sig w:usb0="00000287" w:usb1="080F0000" w:usb2="00000000" w:usb3="00000000" w:csb0="0004009F" w:csb1="DFD70000"/>
  </w:font>
  <w:font w:name="Arial Unicode MS">
    <w:panose1 w:val="020B0604020202020204"/>
    <w:charset w:val="86"/>
    <w:family w:val="swiss"/>
    <w:pitch w:val="default"/>
    <w:sig w:usb0="FFFFFFFF" w:usb1="E9FFFFFF" w:usb2="0000003F" w:usb3="00000000" w:csb0="603F01FF" w:csb1="FFFF0000"/>
  </w:font>
  <w:font w:name="方正小标宋_GBK">
    <w:altName w:val="Arial Unicode MS"/>
    <w:panose1 w:val="02000000000000000000"/>
    <w:charset w:val="86"/>
    <w:family w:val="roma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汉仪大黑简">
    <w:altName w:val="黑体"/>
    <w:panose1 w:val="02010600000101010101"/>
    <w:charset w:val="86"/>
    <w:family w:val="auto"/>
    <w:pitch w:val="default"/>
    <w:sig w:usb0="00000000" w:usb1="00000000" w:usb2="00000002" w:usb3="00000000" w:csb0="00040000" w:csb1="00000000"/>
  </w:font>
  <w:font w:name="汉仪书宋二S">
    <w:altName w:val="宋体"/>
    <w:panose1 w:val="00020600040101010101"/>
    <w:charset w:val="86"/>
    <w:family w:val="auto"/>
    <w:pitch w:val="default"/>
    <w:sig w:usb0="00000000" w:usb1="00000000" w:usb2="00000016" w:usb3="00000000" w:csb0="00040000" w:csb1="00000000"/>
  </w:font>
  <w:font w:name="东文宋体">
    <w:altName w:val="宋体"/>
    <w:panose1 w:val="00000000000000000000"/>
    <w:charset w:val="00"/>
    <w:family w:val="auto"/>
    <w:pitch w:val="default"/>
    <w:sig w:usb0="00000000" w:usb1="00000000" w:usb2="00000000" w:usb3="00000000" w:csb0="00040001" w:csb1="00000000"/>
  </w:font>
  <w:font w:name="汉仪中等线B5">
    <w:altName w:val="宋体"/>
    <w:panose1 w:val="0101010401010101010B"/>
    <w:charset w:val="86"/>
    <w:family w:val="auto"/>
    <w:pitch w:val="default"/>
    <w:sig w:usb0="00000000" w:usb1="00000000" w:usb2="00000000" w:usb3="00000000" w:csb0="00040001" w:csb1="00000000"/>
  </w:font>
  <w:font w:name="汉仪细圆B5">
    <w:altName w:val="Microsoft JhengHei UI"/>
    <w:panose1 w:val="02010600000101010101"/>
    <w:charset w:val="88"/>
    <w:family w:val="auto"/>
    <w:pitch w:val="default"/>
    <w:sig w:usb0="00000000" w:usb1="00000000" w:usb2="00000002" w:usb3="00000000" w:csb0="00100000" w:csb1="00000000"/>
  </w:font>
  <w:font w:name="Helvetica">
    <w:altName w:val="Arial"/>
    <w:panose1 w:val="020B0604020202020204"/>
    <w:charset w:val="00"/>
    <w:family w:val="swiss"/>
    <w:pitch w:val="default"/>
    <w:sig w:usb0="00000000" w:usb1="00000000" w:usb2="00000009" w:usb3="00000000" w:csb0="000001FF" w:csb1="00000000"/>
  </w:font>
  <w:font w:name="微软雅黑">
    <w:panose1 w:val="020B0503020204020204"/>
    <w:charset w:val="86"/>
    <w:family w:val="auto"/>
    <w:pitch w:val="default"/>
    <w:sig w:usb0="80000287" w:usb1="280F3C52" w:usb2="00000016" w:usb3="00000000" w:csb0="0004001F" w:csb1="00000000"/>
  </w:font>
  <w:font w:name="Microsoft JhengHei UI">
    <w:panose1 w:val="020B0604030504040204"/>
    <w:charset w:val="88"/>
    <w:family w:val="auto"/>
    <w:pitch w:val="default"/>
    <w:sig w:usb0="000002A7" w:usb1="28CF4400" w:usb2="00000016" w:usb3="00000000" w:csb0="00100009" w:csb1="00000000"/>
  </w:font>
  <w:font w:name="hakuyoxingshu7000">
    <w:panose1 w:val="02000600000000000000"/>
    <w:charset w:val="86"/>
    <w:family w:val="auto"/>
    <w:pitch w:val="default"/>
    <w:sig w:usb0="FFFFFFFF" w:usb1="E9FFFFFF" w:usb2="0000003F" w:usb3="00000000" w:csb0="603F00FF" w:csb1="FFFF0000"/>
  </w:font>
  <w:font w:name="Wingdings 2">
    <w:panose1 w:val="05020102010507070707"/>
    <w:charset w:val="00"/>
    <w:family w:val="auto"/>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TimesNewRomanPSMT">
    <w:altName w:val="Times New Roman"/>
    <w:panose1 w:val="00000000000000000000"/>
    <w:charset w:val="80"/>
    <w:family w:val="auto"/>
    <w:pitch w:val="default"/>
    <w:sig w:usb0="00000000" w:usb1="00000000" w:usb2="0000000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ind w:right="360" w:firstLine="360"/>
      <w:jc w:val="center"/>
      <w:rPr>
        <w:rFonts w:ascii="Times New Roman" w:hAnsi="Times New Roman" w:eastAsia="宋体" w:cs="Times New Roman"/>
        <w:kern w:val="0"/>
        <w:sz w:val="18"/>
        <w:szCs w:val="20"/>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widowControl w:val="0"/>
      <w:snapToGrid w:val="0"/>
      <w:jc w:val="left"/>
      <w:rPr>
        <w:rStyle w:val="45"/>
        <w:rFonts w:ascii="Times New Roman" w:hAnsi="Times New Roman" w:eastAsia="宋体" w:cs="Times New Roman"/>
        <w:kern w:val="0"/>
        <w:sz w:val="18"/>
        <w:szCs w:val="20"/>
        <w:lang w:val="en-US" w:eastAsia="zh-CN" w:bidi="ar-SA"/>
      </w:rPr>
    </w:pPr>
    <w:r>
      <w:rPr>
        <w:rFonts w:ascii="Times New Roman" w:hAnsi="Times New Roman" w:eastAsia="宋体" w:cs="Times New Roman"/>
        <w:kern w:val="0"/>
        <w:sz w:val="18"/>
        <w:szCs w:val="20"/>
        <w:lang w:val="en-US" w:eastAsia="zh-CN" w:bidi="ar-SA"/>
      </w:rPr>
      <w:fldChar w:fldCharType="begin"/>
    </w:r>
    <w:r>
      <w:rPr>
        <w:rStyle w:val="45"/>
        <w:rFonts w:ascii="Times New Roman" w:hAnsi="Times New Roman" w:eastAsia="宋体" w:cs="Times New Roman"/>
        <w:kern w:val="0"/>
        <w:sz w:val="18"/>
        <w:szCs w:val="20"/>
        <w:lang w:val="en-US" w:eastAsia="zh-CN" w:bidi="ar-SA"/>
      </w:rPr>
      <w:instrText xml:space="preserve">PAGE  </w:instrText>
    </w:r>
    <w:r>
      <w:rPr>
        <w:rFonts w:ascii="Times New Roman" w:hAnsi="Times New Roman" w:eastAsia="宋体" w:cs="Times New Roman"/>
        <w:kern w:val="0"/>
        <w:sz w:val="18"/>
        <w:szCs w:val="20"/>
        <w:lang w:val="en-US" w:eastAsia="zh-CN" w:bidi="ar-SA"/>
      </w:rPr>
      <w:fldChar w:fldCharType="end"/>
    </w:r>
  </w:p>
  <w:p>
    <w:pPr>
      <w:widowControl w:val="0"/>
      <w:snapToGrid w:val="0"/>
      <w:ind w:right="360" w:firstLine="360"/>
      <w:jc w:val="left"/>
      <w:rPr>
        <w:rFonts w:ascii="Times New Roman" w:hAnsi="Times New Roman" w:eastAsia="宋体" w:cs="Times New Roman"/>
        <w:kern w:val="0"/>
        <w:sz w:val="18"/>
        <w:szCs w:val="20"/>
        <w:lang w:val="en-US" w:eastAsia="zh-CN" w:bidi="ar-S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left"/>
      <w:rPr>
        <w:rFonts w:ascii="Times New Roman" w:hAnsi="Times New Roman" w:eastAsia="宋体" w:cs="Times New Roman"/>
        <w:kern w:val="0"/>
        <w:sz w:val="18"/>
        <w:szCs w:val="20"/>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ind w:right="360" w:firstLine="360"/>
      <w:jc w:val="left"/>
      <w:rPr>
        <w:rFonts w:ascii="Times New Roman" w:hAnsi="Times New Roman" w:eastAsia="宋体" w:cs="Times New Roman"/>
        <w:kern w:val="0"/>
        <w:sz w:val="18"/>
        <w:szCs w:val="20"/>
        <w:lang w:val="en-US" w:eastAsia="zh-CN" w:bidi="ar-S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0" name="文本框 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3tojQ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3tojQzAgAAZQQAAA4AAAAAAAAAAQAgAAAAHwEAAGRycy9lMm9Eb2MueG1sUEsF&#10;BgAAAAAGAAYAWQEAAMQFA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outside" w:y="1"/>
      <w:rPr>
        <w:rStyle w:val="45"/>
        <w:rFonts w:ascii="宋体" w:hAnsi="宋体"/>
        <w:sz w:val="28"/>
        <w:szCs w:val="28"/>
      </w:rPr>
    </w:pPr>
    <w:r>
      <w:rPr>
        <w:rStyle w:val="45"/>
        <w:rFonts w:hint="eastAsia" w:ascii="宋体" w:hAnsi="宋体"/>
        <w:sz w:val="28"/>
        <w:szCs w:val="28"/>
      </w:rPr>
      <w:t>—</w:t>
    </w:r>
    <w:r>
      <w:rPr>
        <w:rStyle w:val="45"/>
        <w:rFonts w:hint="eastAsia" w:ascii="宋体" w:hAnsi="宋体"/>
        <w:sz w:val="20"/>
        <w:szCs w:val="20"/>
      </w:rPr>
      <w:t xml:space="preserve"> </w:t>
    </w:r>
    <w:r>
      <w:rPr>
        <w:rStyle w:val="45"/>
        <w:rFonts w:hint="default" w:ascii="Times New Roman" w:hAnsi="Times New Roman" w:cs="Times New Roman"/>
        <w:sz w:val="20"/>
        <w:szCs w:val="20"/>
      </w:rPr>
      <w:t xml:space="preserve"> </w:t>
    </w:r>
    <w:r>
      <w:rPr>
        <w:rFonts w:hint="default" w:ascii="Times New Roman" w:hAnsi="Times New Roman" w:cs="Times New Roman"/>
        <w:sz w:val="26"/>
        <w:szCs w:val="26"/>
      </w:rPr>
      <w:fldChar w:fldCharType="begin"/>
    </w:r>
    <w:r>
      <w:rPr>
        <w:rStyle w:val="45"/>
        <w:rFonts w:hint="default" w:ascii="Times New Roman" w:hAnsi="Times New Roman" w:cs="Times New Roman"/>
        <w:sz w:val="26"/>
        <w:szCs w:val="26"/>
      </w:rPr>
      <w:instrText xml:space="preserve">PAGE  </w:instrText>
    </w:r>
    <w:r>
      <w:rPr>
        <w:rFonts w:hint="default" w:ascii="Times New Roman" w:hAnsi="Times New Roman" w:cs="Times New Roman"/>
        <w:sz w:val="26"/>
        <w:szCs w:val="26"/>
      </w:rPr>
      <w:fldChar w:fldCharType="separate"/>
    </w:r>
    <w:r>
      <w:rPr>
        <w:rStyle w:val="45"/>
        <w:rFonts w:hint="default" w:ascii="Times New Roman" w:hAnsi="Times New Roman" w:cs="Times New Roman"/>
        <w:sz w:val="26"/>
        <w:szCs w:val="26"/>
      </w:rPr>
      <w:t>22</w:t>
    </w:r>
    <w:r>
      <w:rPr>
        <w:rFonts w:hint="default" w:ascii="Times New Roman" w:hAnsi="Times New Roman" w:cs="Times New Roman"/>
        <w:sz w:val="26"/>
        <w:szCs w:val="26"/>
      </w:rPr>
      <w:fldChar w:fldCharType="end"/>
    </w:r>
    <w:r>
      <w:rPr>
        <w:rStyle w:val="45"/>
        <w:rFonts w:hint="eastAsia" w:ascii="宋体" w:hAnsi="宋体"/>
        <w:sz w:val="20"/>
        <w:szCs w:val="20"/>
      </w:rPr>
      <w:t xml:space="preserve">  </w:t>
    </w:r>
    <w:r>
      <w:rPr>
        <w:rStyle w:val="45"/>
        <w:rFonts w:hint="eastAsia" w:ascii="宋体" w:hAnsi="宋体"/>
        <w:sz w:val="28"/>
        <w:szCs w:val="28"/>
      </w:rPr>
      <w:t>—</w:t>
    </w:r>
  </w:p>
  <w:p>
    <w:pPr>
      <w:pStyle w:val="23"/>
      <w:ind w:right="360" w:firstLine="360"/>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right"/>
    </w:pPr>
    <w:r>
      <w:fldChar w:fldCharType="begin"/>
    </w:r>
    <w:r>
      <w:instrText xml:space="preserve"> PAGE   \* MERGEFORMAT </w:instrText>
    </w:r>
    <w:r>
      <w:fldChar w:fldCharType="separate"/>
    </w:r>
    <w:r>
      <w:rPr>
        <w:lang w:val="zh-CN"/>
      </w:rPr>
      <w:t>51</w:t>
    </w:r>
    <w:r>
      <w:fldChar w:fldCharType="end"/>
    </w:r>
  </w:p>
  <w:p>
    <w:pPr>
      <w:pStyle w:val="23"/>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0"/>
      </w:pBdr>
      <w:snapToGrid w:val="0"/>
      <w:jc w:val="center"/>
      <w:rPr>
        <w:rFonts w:ascii="Times New Roman" w:hAnsi="Times New Roman" w:eastAsia="宋体" w:cs="Times New Roman"/>
        <w:kern w:val="0"/>
        <w:sz w:val="18"/>
        <w:szCs w:val="20"/>
        <w:lang w:val="en-US" w:eastAsia="zh-CN" w:bidi="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single" w:color="auto" w:sz="6" w:space="1"/>
      </w:pBdr>
      <w:snapToGrid w:val="0"/>
      <w:jc w:val="center"/>
      <w:rPr>
        <w:rFonts w:ascii="Times New Roman" w:hAnsi="Times New Roman" w:eastAsia="宋体" w:cs="Times New Roman"/>
        <w:kern w:val="0"/>
        <w:sz w:val="18"/>
        <w:szCs w:val="20"/>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single" w:color="auto" w:sz="6" w:space="1"/>
      </w:pBdr>
      <w:snapToGrid w:val="0"/>
      <w:jc w:val="center"/>
      <w:rPr>
        <w:rFonts w:ascii="Times New Roman" w:hAnsi="Times New Roman" w:eastAsia="宋体" w:cs="Times New Roman"/>
        <w:kern w:val="0"/>
        <w:sz w:val="18"/>
        <w:szCs w:val="20"/>
        <w:lang w:val="en-US" w:eastAsia="zh-CN" w:bidi="ar-S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thinThickSmallGap" w:color="auto" w:sz="12" w:space="1"/>
      </w:pBdr>
      <w:tabs>
        <w:tab w:val="center" w:pos="4153"/>
        <w:tab w:val="right" w:pos="8306"/>
      </w:tabs>
      <w:ind w:firstLine="0" w:firstLineChars="0"/>
      <w:jc w:val="left"/>
      <w:rPr>
        <w:sz w:val="24"/>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DF0EF0"/>
    <w:multiLevelType w:val="singleLevel"/>
    <w:tmpl w:val="9ADF0EF0"/>
    <w:lvl w:ilvl="0" w:tentative="0">
      <w:start w:val="5"/>
      <w:numFmt w:val="decimal"/>
      <w:suff w:val="nothing"/>
      <w:lvlText w:val="（%1）"/>
      <w:lvlJc w:val="left"/>
    </w:lvl>
  </w:abstractNum>
  <w:abstractNum w:abstractNumId="1">
    <w:nsid w:val="AD42B871"/>
    <w:multiLevelType w:val="singleLevel"/>
    <w:tmpl w:val="AD42B871"/>
    <w:lvl w:ilvl="0" w:tentative="0">
      <w:start w:val="2"/>
      <w:numFmt w:val="chineseCounting"/>
      <w:suff w:val="nothing"/>
      <w:lvlText w:val="%1、"/>
      <w:lvlJc w:val="left"/>
      <w:rPr>
        <w:rFonts w:hint="eastAsia"/>
      </w:rPr>
    </w:lvl>
  </w:abstractNum>
  <w:abstractNum w:abstractNumId="2">
    <w:nsid w:val="C8FFC807"/>
    <w:multiLevelType w:val="singleLevel"/>
    <w:tmpl w:val="C8FFC807"/>
    <w:lvl w:ilvl="0" w:tentative="0">
      <w:start w:val="1"/>
      <w:numFmt w:val="decimal"/>
      <w:suff w:val="nothing"/>
      <w:lvlText w:val="%1）"/>
      <w:lvlJc w:val="left"/>
    </w:lvl>
  </w:abstractNum>
  <w:abstractNum w:abstractNumId="3">
    <w:nsid w:val="C9F76661"/>
    <w:multiLevelType w:val="singleLevel"/>
    <w:tmpl w:val="C9F76661"/>
    <w:lvl w:ilvl="0" w:tentative="0">
      <w:start w:val="3"/>
      <w:numFmt w:val="decimal"/>
      <w:suff w:val="nothing"/>
      <w:lvlText w:val="%1、"/>
      <w:lvlJc w:val="left"/>
    </w:lvl>
  </w:abstractNum>
  <w:abstractNum w:abstractNumId="4">
    <w:nsid w:val="D24D34F4"/>
    <w:multiLevelType w:val="singleLevel"/>
    <w:tmpl w:val="D24D34F4"/>
    <w:lvl w:ilvl="0" w:tentative="0">
      <w:start w:val="1"/>
      <w:numFmt w:val="chineseCounting"/>
      <w:suff w:val="nothing"/>
      <w:lvlText w:val="(%1）"/>
      <w:lvlJc w:val="left"/>
      <w:rPr>
        <w:rFonts w:hint="eastAsia"/>
      </w:rPr>
    </w:lvl>
  </w:abstractNum>
  <w:abstractNum w:abstractNumId="5">
    <w:nsid w:val="0000000F"/>
    <w:multiLevelType w:val="multilevel"/>
    <w:tmpl w:val="0000000F"/>
    <w:lvl w:ilvl="0" w:tentative="0">
      <w:start w:val="1"/>
      <w:numFmt w:val="decimal"/>
      <w:lvlText w:val="%1"/>
      <w:lvlJc w:val="left"/>
      <w:pPr>
        <w:tabs>
          <w:tab w:val="left" w:pos="432"/>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pStyle w:val="7"/>
      <w:lvlText w:val="%1.%2.%3.%4"/>
      <w:lvlJc w:val="left"/>
      <w:pPr>
        <w:tabs>
          <w:tab w:val="left" w:pos="864"/>
        </w:tabs>
        <w:ind w:left="864" w:hanging="864"/>
      </w:pPr>
      <w:rPr>
        <w:rFonts w:hint="eastAsia"/>
      </w:rPr>
    </w:lvl>
    <w:lvl w:ilvl="4" w:tentative="0">
      <w:start w:val="1"/>
      <w:numFmt w:val="decimal"/>
      <w:lvlText w:val="%1.%2.%3.%4.%5"/>
      <w:lvlJc w:val="left"/>
      <w:pPr>
        <w:tabs>
          <w:tab w:val="left" w:pos="1800"/>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6">
    <w:nsid w:val="007C83C5"/>
    <w:multiLevelType w:val="singleLevel"/>
    <w:tmpl w:val="007C83C5"/>
    <w:lvl w:ilvl="0" w:tentative="0">
      <w:start w:val="3"/>
      <w:numFmt w:val="decimal"/>
      <w:suff w:val="nothing"/>
      <w:lvlText w:val="%1、"/>
      <w:lvlJc w:val="left"/>
    </w:lvl>
  </w:abstractNum>
  <w:abstractNum w:abstractNumId="7">
    <w:nsid w:val="0855DDEA"/>
    <w:multiLevelType w:val="singleLevel"/>
    <w:tmpl w:val="0855DDEA"/>
    <w:lvl w:ilvl="0" w:tentative="0">
      <w:start w:val="4"/>
      <w:numFmt w:val="decimal"/>
      <w:suff w:val="nothing"/>
      <w:lvlText w:val="（%1）"/>
      <w:lvlJc w:val="left"/>
    </w:lvl>
  </w:abstractNum>
  <w:abstractNum w:abstractNumId="8">
    <w:nsid w:val="48273669"/>
    <w:multiLevelType w:val="multilevel"/>
    <w:tmpl w:val="48273669"/>
    <w:lvl w:ilvl="0" w:tentative="0">
      <w:start w:val="1"/>
      <w:numFmt w:val="decimal"/>
      <w:pStyle w:val="235"/>
      <w:suff w:val="nothing"/>
      <w:lvlText w:val="%1、"/>
      <w:lvlJc w:val="left"/>
      <w:pPr>
        <w:ind w:left="2121" w:hanging="420"/>
      </w:pPr>
      <w:rPr>
        <w:rFonts w:hint="default"/>
        <w:b/>
        <w:bC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9">
    <w:nsid w:val="590C3712"/>
    <w:multiLevelType w:val="multilevel"/>
    <w:tmpl w:val="590C3712"/>
    <w:lvl w:ilvl="0" w:tentative="0">
      <w:start w:val="0"/>
      <w:numFmt w:val="none"/>
      <w:pStyle w:val="266"/>
      <w:lvlText w:val=""/>
      <w:lvlJc w:val="left"/>
      <w:pPr>
        <w:tabs>
          <w:tab w:val="left" w:pos="360"/>
        </w:tabs>
      </w:pPr>
    </w:lvl>
    <w:lvl w:ilvl="1" w:tentative="0">
      <w:start w:val="1"/>
      <w:numFmt w:val="lowerLetter"/>
      <w:lvlText w:val="%2)"/>
      <w:lvlJc w:val="left"/>
      <w:pPr>
        <w:ind w:left="840" w:hanging="420"/>
      </w:pPr>
      <w:rPr>
        <w:rFonts w:hint="default" w:ascii="宋体" w:hAnsi="宋体" w:eastAsia="宋体" w:cs="宋体"/>
      </w:rPr>
    </w:lvl>
    <w:lvl w:ilvl="2" w:tentative="0">
      <w:start w:val="1"/>
      <w:numFmt w:val="decimal"/>
      <w:lvlText w:val="%3."/>
      <w:lvlJc w:val="right"/>
      <w:pPr>
        <w:ind w:left="1260" w:hanging="420"/>
      </w:pPr>
      <w:rPr>
        <w:rFonts w:hint="default" w:ascii="宋体" w:hAnsi="宋体" w:eastAsia="宋体" w:cs="宋体"/>
      </w:rPr>
    </w:lvl>
    <w:lvl w:ilvl="3" w:tentative="0">
      <w:start w:val="1"/>
      <w:numFmt w:val="decimal"/>
      <w:lvlText w:val="%4."/>
      <w:lvlJc w:val="left"/>
      <w:pPr>
        <w:ind w:left="1680" w:hanging="420"/>
      </w:pPr>
      <w:rPr>
        <w:rFonts w:hint="default" w:ascii="宋体" w:hAnsi="宋体" w:eastAsia="宋体" w:cs="宋体"/>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
    <w:nsid w:val="7ED14685"/>
    <w:multiLevelType w:val="singleLevel"/>
    <w:tmpl w:val="7ED14685"/>
    <w:lvl w:ilvl="0" w:tentative="0">
      <w:start w:val="1"/>
      <w:numFmt w:val="bullet"/>
      <w:pStyle w:val="20"/>
      <w:lvlText w:val=""/>
      <w:lvlJc w:val="left"/>
      <w:pPr>
        <w:tabs>
          <w:tab w:val="left" w:pos="2040"/>
        </w:tabs>
        <w:ind w:left="2040" w:hanging="360"/>
      </w:pPr>
      <w:rPr>
        <w:rFonts w:hint="default" w:ascii="Wingdings" w:hAnsi="Wingdings"/>
      </w:rPr>
    </w:lvl>
  </w:abstractNum>
  <w:num w:numId="1">
    <w:abstractNumId w:val="5"/>
  </w:num>
  <w:num w:numId="2">
    <w:abstractNumId w:val="10"/>
  </w:num>
  <w:num w:numId="3">
    <w:abstractNumId w:val="8"/>
  </w:num>
  <w:num w:numId="4">
    <w:abstractNumId w:val="9"/>
  </w:num>
  <w:num w:numId="5">
    <w:abstractNumId w:val="4"/>
  </w:num>
  <w:num w:numId="6">
    <w:abstractNumId w:val="3"/>
  </w:num>
  <w:num w:numId="7">
    <w:abstractNumId w:val="2"/>
  </w:num>
  <w:num w:numId="8">
    <w:abstractNumId w:val="6"/>
  </w:num>
  <w:num w:numId="9">
    <w:abstractNumId w:val="7"/>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endnotePr>
    <w:numFmt w:val="decimal"/>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VjOWU3MGM1YjYyNTZiNDkyOGFhMTZjNTVjZDM0NjgifQ=="/>
  </w:docVars>
  <w:rsids>
    <w:rsidRoot w:val="4CC51681"/>
    <w:rsid w:val="00143723"/>
    <w:rsid w:val="00150902"/>
    <w:rsid w:val="0025035E"/>
    <w:rsid w:val="006A2EAD"/>
    <w:rsid w:val="00854F9C"/>
    <w:rsid w:val="00955394"/>
    <w:rsid w:val="00B4697A"/>
    <w:rsid w:val="00CE1CF4"/>
    <w:rsid w:val="00D34727"/>
    <w:rsid w:val="00EA480F"/>
    <w:rsid w:val="00F53CD5"/>
    <w:rsid w:val="01392CC3"/>
    <w:rsid w:val="01594742"/>
    <w:rsid w:val="015E0AA1"/>
    <w:rsid w:val="01962E2B"/>
    <w:rsid w:val="01C74BCA"/>
    <w:rsid w:val="01D62705"/>
    <w:rsid w:val="021F4145"/>
    <w:rsid w:val="024E3BCD"/>
    <w:rsid w:val="02805672"/>
    <w:rsid w:val="02D87096"/>
    <w:rsid w:val="02E2183C"/>
    <w:rsid w:val="0307687D"/>
    <w:rsid w:val="035D21FD"/>
    <w:rsid w:val="03DF2239"/>
    <w:rsid w:val="045D3736"/>
    <w:rsid w:val="04AE0DC8"/>
    <w:rsid w:val="04B97B11"/>
    <w:rsid w:val="04C55C41"/>
    <w:rsid w:val="04E747C2"/>
    <w:rsid w:val="050A70B6"/>
    <w:rsid w:val="05180283"/>
    <w:rsid w:val="055C7BF2"/>
    <w:rsid w:val="05804E48"/>
    <w:rsid w:val="059C7B24"/>
    <w:rsid w:val="06614682"/>
    <w:rsid w:val="067512AC"/>
    <w:rsid w:val="0779268E"/>
    <w:rsid w:val="08195139"/>
    <w:rsid w:val="082D180C"/>
    <w:rsid w:val="08352131"/>
    <w:rsid w:val="083B1DE4"/>
    <w:rsid w:val="084F0D5C"/>
    <w:rsid w:val="08560496"/>
    <w:rsid w:val="087375D9"/>
    <w:rsid w:val="08932046"/>
    <w:rsid w:val="08D07CD7"/>
    <w:rsid w:val="08D609C0"/>
    <w:rsid w:val="09223322"/>
    <w:rsid w:val="093D7238"/>
    <w:rsid w:val="09AC3BA4"/>
    <w:rsid w:val="09D23B5C"/>
    <w:rsid w:val="0A300F3E"/>
    <w:rsid w:val="0A690A42"/>
    <w:rsid w:val="0ABA277E"/>
    <w:rsid w:val="0AD304EE"/>
    <w:rsid w:val="0B0D5A73"/>
    <w:rsid w:val="0B100C28"/>
    <w:rsid w:val="0B641641"/>
    <w:rsid w:val="0B737DFC"/>
    <w:rsid w:val="0C1E1312"/>
    <w:rsid w:val="0C266E4F"/>
    <w:rsid w:val="0C7F6F4E"/>
    <w:rsid w:val="0C946F6B"/>
    <w:rsid w:val="0CC777E5"/>
    <w:rsid w:val="0CDB0707"/>
    <w:rsid w:val="0DDD7799"/>
    <w:rsid w:val="0DFD3960"/>
    <w:rsid w:val="0E1657E1"/>
    <w:rsid w:val="0EBF382D"/>
    <w:rsid w:val="0EF0007C"/>
    <w:rsid w:val="0F2A6253"/>
    <w:rsid w:val="10D83537"/>
    <w:rsid w:val="10FB3257"/>
    <w:rsid w:val="1116403C"/>
    <w:rsid w:val="11A744E6"/>
    <w:rsid w:val="11CF60C1"/>
    <w:rsid w:val="1208464E"/>
    <w:rsid w:val="12614BA6"/>
    <w:rsid w:val="128B36DF"/>
    <w:rsid w:val="13707CF2"/>
    <w:rsid w:val="13C51721"/>
    <w:rsid w:val="14521FBF"/>
    <w:rsid w:val="14AE4611"/>
    <w:rsid w:val="150E5154"/>
    <w:rsid w:val="154D01F0"/>
    <w:rsid w:val="159A2B43"/>
    <w:rsid w:val="15AA5CF1"/>
    <w:rsid w:val="16223187"/>
    <w:rsid w:val="170718E6"/>
    <w:rsid w:val="175627CE"/>
    <w:rsid w:val="17A24F79"/>
    <w:rsid w:val="18047AE0"/>
    <w:rsid w:val="18C97015"/>
    <w:rsid w:val="18CA0832"/>
    <w:rsid w:val="192C0E0C"/>
    <w:rsid w:val="194B3136"/>
    <w:rsid w:val="197E6AA6"/>
    <w:rsid w:val="19903300"/>
    <w:rsid w:val="19AB256E"/>
    <w:rsid w:val="19F53607"/>
    <w:rsid w:val="1A1B7E99"/>
    <w:rsid w:val="1A2E4B26"/>
    <w:rsid w:val="1A3E41FA"/>
    <w:rsid w:val="1AA1295A"/>
    <w:rsid w:val="1AF12A44"/>
    <w:rsid w:val="1B1A26E2"/>
    <w:rsid w:val="1B306FCF"/>
    <w:rsid w:val="1B3D691D"/>
    <w:rsid w:val="1B4C7724"/>
    <w:rsid w:val="1BED4E39"/>
    <w:rsid w:val="1C1F0578"/>
    <w:rsid w:val="1C28039D"/>
    <w:rsid w:val="1D4650ED"/>
    <w:rsid w:val="1D753DB0"/>
    <w:rsid w:val="1D915310"/>
    <w:rsid w:val="1D962123"/>
    <w:rsid w:val="1DC70DEC"/>
    <w:rsid w:val="1DDF4CD2"/>
    <w:rsid w:val="1E042A1B"/>
    <w:rsid w:val="1E25248A"/>
    <w:rsid w:val="1E3F2025"/>
    <w:rsid w:val="1F9A238D"/>
    <w:rsid w:val="1FDC1987"/>
    <w:rsid w:val="1FDE7D08"/>
    <w:rsid w:val="203F12C3"/>
    <w:rsid w:val="206146C8"/>
    <w:rsid w:val="20645E17"/>
    <w:rsid w:val="20C71CD9"/>
    <w:rsid w:val="21000432"/>
    <w:rsid w:val="211D50C8"/>
    <w:rsid w:val="216A4C05"/>
    <w:rsid w:val="21863D0D"/>
    <w:rsid w:val="2216046A"/>
    <w:rsid w:val="223B4BFE"/>
    <w:rsid w:val="22644AB9"/>
    <w:rsid w:val="22876AFD"/>
    <w:rsid w:val="23163EB2"/>
    <w:rsid w:val="2427107E"/>
    <w:rsid w:val="245A3DCA"/>
    <w:rsid w:val="24B94350"/>
    <w:rsid w:val="253F118A"/>
    <w:rsid w:val="2578310B"/>
    <w:rsid w:val="25D8356A"/>
    <w:rsid w:val="25E71BEC"/>
    <w:rsid w:val="25EC6ED5"/>
    <w:rsid w:val="25F015C5"/>
    <w:rsid w:val="26571D40"/>
    <w:rsid w:val="266F149F"/>
    <w:rsid w:val="27804D47"/>
    <w:rsid w:val="28145128"/>
    <w:rsid w:val="282838DA"/>
    <w:rsid w:val="28571D32"/>
    <w:rsid w:val="294D084D"/>
    <w:rsid w:val="29933722"/>
    <w:rsid w:val="29AA51F0"/>
    <w:rsid w:val="29DA4EBE"/>
    <w:rsid w:val="2A3253DE"/>
    <w:rsid w:val="2A356872"/>
    <w:rsid w:val="2A546059"/>
    <w:rsid w:val="2A5D2D01"/>
    <w:rsid w:val="2AF27BEF"/>
    <w:rsid w:val="2B0077CF"/>
    <w:rsid w:val="2B01741F"/>
    <w:rsid w:val="2B1C040B"/>
    <w:rsid w:val="2B1F6EF2"/>
    <w:rsid w:val="2B71731C"/>
    <w:rsid w:val="2BB0437F"/>
    <w:rsid w:val="2C3D5164"/>
    <w:rsid w:val="2CD261A7"/>
    <w:rsid w:val="2D321CC8"/>
    <w:rsid w:val="2D6477FE"/>
    <w:rsid w:val="2D833FE8"/>
    <w:rsid w:val="2D85397D"/>
    <w:rsid w:val="2DEE303D"/>
    <w:rsid w:val="2DF7769F"/>
    <w:rsid w:val="2DFF55A7"/>
    <w:rsid w:val="2EAE0106"/>
    <w:rsid w:val="2EC652B2"/>
    <w:rsid w:val="2F344423"/>
    <w:rsid w:val="305212CF"/>
    <w:rsid w:val="30CF1B19"/>
    <w:rsid w:val="30FD7924"/>
    <w:rsid w:val="311E24FD"/>
    <w:rsid w:val="315A5151"/>
    <w:rsid w:val="31746F9C"/>
    <w:rsid w:val="31873AFA"/>
    <w:rsid w:val="31E45D99"/>
    <w:rsid w:val="325B6989"/>
    <w:rsid w:val="32B722E3"/>
    <w:rsid w:val="32E55AEF"/>
    <w:rsid w:val="336C325E"/>
    <w:rsid w:val="34C60C67"/>
    <w:rsid w:val="350E0B57"/>
    <w:rsid w:val="353C3345"/>
    <w:rsid w:val="353C3CAC"/>
    <w:rsid w:val="354B7504"/>
    <w:rsid w:val="35A35FAD"/>
    <w:rsid w:val="36106FD5"/>
    <w:rsid w:val="36B01313"/>
    <w:rsid w:val="36B93809"/>
    <w:rsid w:val="36C631E8"/>
    <w:rsid w:val="371F41A4"/>
    <w:rsid w:val="3788036E"/>
    <w:rsid w:val="37A924CB"/>
    <w:rsid w:val="383F1698"/>
    <w:rsid w:val="38534CB7"/>
    <w:rsid w:val="38A56D41"/>
    <w:rsid w:val="38B54033"/>
    <w:rsid w:val="39212C99"/>
    <w:rsid w:val="39740B10"/>
    <w:rsid w:val="398639BF"/>
    <w:rsid w:val="39A26D13"/>
    <w:rsid w:val="39AE25A1"/>
    <w:rsid w:val="39F914CF"/>
    <w:rsid w:val="3A147AAC"/>
    <w:rsid w:val="3A2E248B"/>
    <w:rsid w:val="3AFE72DB"/>
    <w:rsid w:val="3B2565A9"/>
    <w:rsid w:val="3B993EB6"/>
    <w:rsid w:val="3BE15BA1"/>
    <w:rsid w:val="3C1B6DEE"/>
    <w:rsid w:val="3CAD29AD"/>
    <w:rsid w:val="3CCF454A"/>
    <w:rsid w:val="3CE25A6A"/>
    <w:rsid w:val="3D6852CB"/>
    <w:rsid w:val="3D9D1094"/>
    <w:rsid w:val="3E3D6F14"/>
    <w:rsid w:val="3E576F63"/>
    <w:rsid w:val="3E6A3F16"/>
    <w:rsid w:val="3E7E1783"/>
    <w:rsid w:val="3F0223F3"/>
    <w:rsid w:val="3F281E38"/>
    <w:rsid w:val="3FC6242C"/>
    <w:rsid w:val="3FD35A41"/>
    <w:rsid w:val="3FDC4DBB"/>
    <w:rsid w:val="40061E82"/>
    <w:rsid w:val="405E0770"/>
    <w:rsid w:val="40616FB3"/>
    <w:rsid w:val="40722C94"/>
    <w:rsid w:val="40994365"/>
    <w:rsid w:val="40C8628A"/>
    <w:rsid w:val="40FF6E50"/>
    <w:rsid w:val="41104488"/>
    <w:rsid w:val="414A56C0"/>
    <w:rsid w:val="4162197F"/>
    <w:rsid w:val="41722AF1"/>
    <w:rsid w:val="41DD508C"/>
    <w:rsid w:val="425303BA"/>
    <w:rsid w:val="428E3330"/>
    <w:rsid w:val="42AB7666"/>
    <w:rsid w:val="42BB005F"/>
    <w:rsid w:val="42BC36B5"/>
    <w:rsid w:val="42C72DDD"/>
    <w:rsid w:val="441F2B8F"/>
    <w:rsid w:val="444B7C62"/>
    <w:rsid w:val="44B5606C"/>
    <w:rsid w:val="454113CA"/>
    <w:rsid w:val="456316C1"/>
    <w:rsid w:val="459A4837"/>
    <w:rsid w:val="45F770A4"/>
    <w:rsid w:val="463A687E"/>
    <w:rsid w:val="465E7AF3"/>
    <w:rsid w:val="46756B4D"/>
    <w:rsid w:val="467B7704"/>
    <w:rsid w:val="467E26A2"/>
    <w:rsid w:val="468A57EA"/>
    <w:rsid w:val="46CC0674"/>
    <w:rsid w:val="472C7DB9"/>
    <w:rsid w:val="473B76F4"/>
    <w:rsid w:val="478A6064"/>
    <w:rsid w:val="47DB3EB5"/>
    <w:rsid w:val="47DD5A16"/>
    <w:rsid w:val="47F30BAC"/>
    <w:rsid w:val="489F51E6"/>
    <w:rsid w:val="49033AA7"/>
    <w:rsid w:val="49053025"/>
    <w:rsid w:val="49605F29"/>
    <w:rsid w:val="496A1820"/>
    <w:rsid w:val="49AE2C09"/>
    <w:rsid w:val="49F03E63"/>
    <w:rsid w:val="4A4302F3"/>
    <w:rsid w:val="4A9D7730"/>
    <w:rsid w:val="4A9F4ED2"/>
    <w:rsid w:val="4AEB31A1"/>
    <w:rsid w:val="4B35253D"/>
    <w:rsid w:val="4B3F5B3D"/>
    <w:rsid w:val="4B484E83"/>
    <w:rsid w:val="4B564475"/>
    <w:rsid w:val="4BAC2D11"/>
    <w:rsid w:val="4BF55372"/>
    <w:rsid w:val="4C2F4549"/>
    <w:rsid w:val="4C3E3B1C"/>
    <w:rsid w:val="4C4A104E"/>
    <w:rsid w:val="4C756707"/>
    <w:rsid w:val="4CA11C08"/>
    <w:rsid w:val="4CB730C8"/>
    <w:rsid w:val="4CC51681"/>
    <w:rsid w:val="4D886208"/>
    <w:rsid w:val="4D8B1D7C"/>
    <w:rsid w:val="4DAB0432"/>
    <w:rsid w:val="4DCA4FE5"/>
    <w:rsid w:val="4DCE2983"/>
    <w:rsid w:val="4E0232B1"/>
    <w:rsid w:val="4E9F2A5D"/>
    <w:rsid w:val="4F38594F"/>
    <w:rsid w:val="4F515FE9"/>
    <w:rsid w:val="4F9414B9"/>
    <w:rsid w:val="4FA12AF2"/>
    <w:rsid w:val="4FD16792"/>
    <w:rsid w:val="502425D9"/>
    <w:rsid w:val="50BA4FC9"/>
    <w:rsid w:val="50BC6D86"/>
    <w:rsid w:val="50E02679"/>
    <w:rsid w:val="50FA58BC"/>
    <w:rsid w:val="51382F51"/>
    <w:rsid w:val="51A92E83"/>
    <w:rsid w:val="51C31DA4"/>
    <w:rsid w:val="523650DE"/>
    <w:rsid w:val="52912564"/>
    <w:rsid w:val="52DE77D4"/>
    <w:rsid w:val="52E96F1C"/>
    <w:rsid w:val="52EF4BF8"/>
    <w:rsid w:val="532A43C2"/>
    <w:rsid w:val="533E09D9"/>
    <w:rsid w:val="534A733C"/>
    <w:rsid w:val="53702B43"/>
    <w:rsid w:val="54467018"/>
    <w:rsid w:val="54B92662"/>
    <w:rsid w:val="550D2678"/>
    <w:rsid w:val="5586388A"/>
    <w:rsid w:val="55DA22E2"/>
    <w:rsid w:val="563B3990"/>
    <w:rsid w:val="568360A8"/>
    <w:rsid w:val="568B2EA3"/>
    <w:rsid w:val="56A277AC"/>
    <w:rsid w:val="56C660B4"/>
    <w:rsid w:val="56CB1DE5"/>
    <w:rsid w:val="575D3FBB"/>
    <w:rsid w:val="57C06D11"/>
    <w:rsid w:val="57D263DD"/>
    <w:rsid w:val="58107F8D"/>
    <w:rsid w:val="581C7926"/>
    <w:rsid w:val="584A7F36"/>
    <w:rsid w:val="587A1A63"/>
    <w:rsid w:val="587A54B2"/>
    <w:rsid w:val="59074BA6"/>
    <w:rsid w:val="592D7C8F"/>
    <w:rsid w:val="594D7F0C"/>
    <w:rsid w:val="598835F0"/>
    <w:rsid w:val="59E978B5"/>
    <w:rsid w:val="5AAD1584"/>
    <w:rsid w:val="5AC121E6"/>
    <w:rsid w:val="5AF13DA4"/>
    <w:rsid w:val="5B82786A"/>
    <w:rsid w:val="5B8B5CB2"/>
    <w:rsid w:val="5C3C7AB7"/>
    <w:rsid w:val="5C8F3A65"/>
    <w:rsid w:val="5CF45604"/>
    <w:rsid w:val="5D467400"/>
    <w:rsid w:val="5DAA141C"/>
    <w:rsid w:val="5DDB1CC1"/>
    <w:rsid w:val="5E491B7D"/>
    <w:rsid w:val="5EC1721C"/>
    <w:rsid w:val="5ED04E54"/>
    <w:rsid w:val="5EDF2450"/>
    <w:rsid w:val="5F5373F4"/>
    <w:rsid w:val="5F8B122C"/>
    <w:rsid w:val="5F9D7EB8"/>
    <w:rsid w:val="5FEB54B0"/>
    <w:rsid w:val="60130582"/>
    <w:rsid w:val="60432D29"/>
    <w:rsid w:val="608C29D5"/>
    <w:rsid w:val="60BA0BE9"/>
    <w:rsid w:val="61157D57"/>
    <w:rsid w:val="616E3CD7"/>
    <w:rsid w:val="61755907"/>
    <w:rsid w:val="61926F26"/>
    <w:rsid w:val="61E20692"/>
    <w:rsid w:val="62995E01"/>
    <w:rsid w:val="62CF0CE3"/>
    <w:rsid w:val="62ED2CC5"/>
    <w:rsid w:val="63334C22"/>
    <w:rsid w:val="636276DD"/>
    <w:rsid w:val="637D16D3"/>
    <w:rsid w:val="639867C6"/>
    <w:rsid w:val="64286496"/>
    <w:rsid w:val="6442109A"/>
    <w:rsid w:val="644F43BE"/>
    <w:rsid w:val="646A5445"/>
    <w:rsid w:val="648C47B0"/>
    <w:rsid w:val="649E470F"/>
    <w:rsid w:val="64A47949"/>
    <w:rsid w:val="64E03700"/>
    <w:rsid w:val="655A2533"/>
    <w:rsid w:val="656761A5"/>
    <w:rsid w:val="65CD7172"/>
    <w:rsid w:val="65D67186"/>
    <w:rsid w:val="66157F1F"/>
    <w:rsid w:val="666A4FEF"/>
    <w:rsid w:val="66A12197"/>
    <w:rsid w:val="671E5E43"/>
    <w:rsid w:val="67AA3780"/>
    <w:rsid w:val="685052AC"/>
    <w:rsid w:val="685755C8"/>
    <w:rsid w:val="69BA63AE"/>
    <w:rsid w:val="69CE253D"/>
    <w:rsid w:val="69F11EE7"/>
    <w:rsid w:val="6A12081F"/>
    <w:rsid w:val="6A1D516C"/>
    <w:rsid w:val="6A4F3A38"/>
    <w:rsid w:val="6A9E1BFD"/>
    <w:rsid w:val="6B8F0760"/>
    <w:rsid w:val="6BD21C54"/>
    <w:rsid w:val="6BEE2099"/>
    <w:rsid w:val="6C25268D"/>
    <w:rsid w:val="6C6A4035"/>
    <w:rsid w:val="6D0C615C"/>
    <w:rsid w:val="6D1E1452"/>
    <w:rsid w:val="6D36105C"/>
    <w:rsid w:val="6E403CB0"/>
    <w:rsid w:val="6E636184"/>
    <w:rsid w:val="6EDB28FB"/>
    <w:rsid w:val="6F186B7B"/>
    <w:rsid w:val="6F5F241C"/>
    <w:rsid w:val="6F931BF6"/>
    <w:rsid w:val="6FBE275D"/>
    <w:rsid w:val="700B3E3B"/>
    <w:rsid w:val="707A0433"/>
    <w:rsid w:val="708E3E12"/>
    <w:rsid w:val="71F73062"/>
    <w:rsid w:val="71FB7042"/>
    <w:rsid w:val="722C4FFE"/>
    <w:rsid w:val="727D3B15"/>
    <w:rsid w:val="728C6699"/>
    <w:rsid w:val="72B2437C"/>
    <w:rsid w:val="73051FF0"/>
    <w:rsid w:val="735A50DF"/>
    <w:rsid w:val="73A05C9A"/>
    <w:rsid w:val="73CB008F"/>
    <w:rsid w:val="7406705E"/>
    <w:rsid w:val="748C52D0"/>
    <w:rsid w:val="748D2974"/>
    <w:rsid w:val="74BE4E6C"/>
    <w:rsid w:val="75784937"/>
    <w:rsid w:val="75956B13"/>
    <w:rsid w:val="75F37958"/>
    <w:rsid w:val="76394AFB"/>
    <w:rsid w:val="76A1624D"/>
    <w:rsid w:val="76EF20B0"/>
    <w:rsid w:val="776275E7"/>
    <w:rsid w:val="776F0544"/>
    <w:rsid w:val="7774199C"/>
    <w:rsid w:val="77AF4A80"/>
    <w:rsid w:val="78126A72"/>
    <w:rsid w:val="781B2AFE"/>
    <w:rsid w:val="7835040A"/>
    <w:rsid w:val="78692CD8"/>
    <w:rsid w:val="78A2151A"/>
    <w:rsid w:val="790C7AD8"/>
    <w:rsid w:val="79474801"/>
    <w:rsid w:val="79E562A1"/>
    <w:rsid w:val="7AAD61DE"/>
    <w:rsid w:val="7AD711F4"/>
    <w:rsid w:val="7ADA12B7"/>
    <w:rsid w:val="7B603DFE"/>
    <w:rsid w:val="7D354F24"/>
    <w:rsid w:val="7D397C15"/>
    <w:rsid w:val="7E62389E"/>
    <w:rsid w:val="7E623D4C"/>
    <w:rsid w:val="7E6A5CE2"/>
    <w:rsid w:val="7E942C4C"/>
    <w:rsid w:val="7EAD0578"/>
    <w:rsid w:val="7FF31989"/>
    <w:rsid w:val="7FFEF811"/>
    <w:rsid w:val="97F6AAFE"/>
    <w:rsid w:val="BFFF2AFE"/>
    <w:rsid w:val="FB9EEC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qFormat="1" w:unhideWhenUsed="0" w:uiPriority="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3">
    <w:name w:val="heading 1"/>
    <w:basedOn w:val="4"/>
    <w:next w:val="1"/>
    <w:link w:val="88"/>
    <w:qFormat/>
    <w:uiPriority w:val="0"/>
    <w:pPr>
      <w:keepNext/>
      <w:keepLines/>
      <w:adjustRightInd w:val="0"/>
      <w:snapToGrid w:val="0"/>
      <w:spacing w:before="50" w:beforeLines="50" w:after="50" w:afterLines="50" w:line="360" w:lineRule="auto"/>
      <w:jc w:val="center"/>
      <w:outlineLvl w:val="0"/>
    </w:pPr>
    <w:rPr>
      <w:rFonts w:ascii="黑体" w:hAnsi="黑体" w:eastAsia="黑体"/>
      <w:snapToGrid w:val="0"/>
      <w:color w:val="000000"/>
      <w:sz w:val="32"/>
    </w:rPr>
  </w:style>
  <w:style w:type="paragraph" w:styleId="5">
    <w:name w:val="heading 2"/>
    <w:basedOn w:val="1"/>
    <w:next w:val="1"/>
    <w:link w:val="183"/>
    <w:qFormat/>
    <w:uiPriority w:val="0"/>
    <w:pPr>
      <w:keepNext/>
      <w:keepLines/>
      <w:adjustRightInd w:val="0"/>
      <w:snapToGrid w:val="0"/>
      <w:spacing w:line="360" w:lineRule="auto"/>
      <w:outlineLvl w:val="1"/>
    </w:pPr>
    <w:rPr>
      <w:rFonts w:ascii="黑体" w:hAnsi="宋体" w:eastAsia="Times New Roman"/>
      <w:b/>
      <w:bCs/>
      <w:snapToGrid w:val="0"/>
      <w:kern w:val="0"/>
      <w:szCs w:val="20"/>
    </w:rPr>
  </w:style>
  <w:style w:type="paragraph" w:styleId="6">
    <w:name w:val="heading 3"/>
    <w:basedOn w:val="1"/>
    <w:next w:val="1"/>
    <w:link w:val="275"/>
    <w:qFormat/>
    <w:uiPriority w:val="0"/>
    <w:pPr>
      <w:keepNext/>
      <w:keepLines/>
      <w:spacing w:line="360" w:lineRule="auto"/>
      <w:outlineLvl w:val="2"/>
    </w:pPr>
    <w:rPr>
      <w:rFonts w:ascii="黑体" w:hAnsi="宋体" w:eastAsia="Times New Roman"/>
      <w:bCs/>
      <w:snapToGrid w:val="0"/>
      <w:kern w:val="0"/>
      <w:szCs w:val="20"/>
    </w:rPr>
  </w:style>
  <w:style w:type="paragraph" w:styleId="7">
    <w:name w:val="heading 4"/>
    <w:basedOn w:val="1"/>
    <w:next w:val="1"/>
    <w:link w:val="255"/>
    <w:qFormat/>
    <w:uiPriority w:val="0"/>
    <w:pPr>
      <w:keepNext/>
      <w:keepLines/>
      <w:numPr>
        <w:ilvl w:val="3"/>
        <w:numId w:val="1"/>
      </w:numPr>
      <w:snapToGrid w:val="0"/>
      <w:spacing w:line="460" w:lineRule="atLeast"/>
      <w:outlineLvl w:val="3"/>
    </w:pPr>
    <w:rPr>
      <w:b/>
      <w:szCs w:val="20"/>
    </w:rPr>
  </w:style>
  <w:style w:type="paragraph" w:styleId="8">
    <w:name w:val="heading 5"/>
    <w:basedOn w:val="1"/>
    <w:next w:val="1"/>
    <w:link w:val="99"/>
    <w:qFormat/>
    <w:uiPriority w:val="0"/>
    <w:pPr>
      <w:ind w:firstLine="482" w:firstLineChars="0"/>
      <w:jc w:val="center"/>
      <w:outlineLvl w:val="4"/>
    </w:pPr>
    <w:rPr>
      <w:b/>
      <w:bCs/>
      <w:sz w:val="21"/>
      <w:szCs w:val="28"/>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pacing w:after="120"/>
    </w:pPr>
  </w:style>
  <w:style w:type="paragraph" w:styleId="4">
    <w:name w:val="Title"/>
    <w:basedOn w:val="1"/>
    <w:next w:val="1"/>
    <w:qFormat/>
    <w:uiPriority w:val="0"/>
    <w:pPr>
      <w:spacing w:before="240" w:after="60"/>
      <w:jc w:val="center"/>
      <w:outlineLvl w:val="0"/>
    </w:pPr>
    <w:rPr>
      <w:rFonts w:ascii="Cambria" w:hAnsi="Cambria"/>
      <w:b/>
      <w:bCs/>
      <w:sz w:val="32"/>
      <w:szCs w:val="32"/>
    </w:rPr>
  </w:style>
  <w:style w:type="paragraph" w:styleId="9">
    <w:name w:val="Normal Indent"/>
    <w:basedOn w:val="1"/>
    <w:next w:val="1"/>
    <w:link w:val="74"/>
    <w:qFormat/>
    <w:uiPriority w:val="0"/>
    <w:pPr>
      <w:ind w:firstLine="420"/>
    </w:pPr>
    <w:rPr>
      <w:szCs w:val="20"/>
    </w:rPr>
  </w:style>
  <w:style w:type="paragraph" w:styleId="10">
    <w:name w:val="caption"/>
    <w:basedOn w:val="1"/>
    <w:next w:val="1"/>
    <w:qFormat/>
    <w:uiPriority w:val="0"/>
    <w:pPr>
      <w:adjustRightInd w:val="0"/>
      <w:spacing w:before="152" w:after="160" w:line="240" w:lineRule="exact"/>
      <w:jc w:val="center"/>
      <w:textAlignment w:val="baseline"/>
    </w:pPr>
    <w:rPr>
      <w:kern w:val="0"/>
    </w:rPr>
  </w:style>
  <w:style w:type="paragraph" w:styleId="11">
    <w:name w:val="toa heading"/>
    <w:basedOn w:val="1"/>
    <w:next w:val="1"/>
    <w:qFormat/>
    <w:uiPriority w:val="0"/>
    <w:pPr>
      <w:spacing w:before="120"/>
    </w:pPr>
    <w:rPr>
      <w:rFonts w:ascii="Arial" w:hAnsi="Arial" w:cs="Arial"/>
    </w:rPr>
  </w:style>
  <w:style w:type="paragraph" w:styleId="12">
    <w:name w:val="annotation text"/>
    <w:basedOn w:val="1"/>
    <w:link w:val="83"/>
    <w:qFormat/>
    <w:uiPriority w:val="0"/>
    <w:pPr>
      <w:jc w:val="left"/>
    </w:pPr>
  </w:style>
  <w:style w:type="paragraph" w:styleId="13">
    <w:name w:val="Salutation"/>
    <w:basedOn w:val="1"/>
    <w:next w:val="1"/>
    <w:qFormat/>
    <w:uiPriority w:val="0"/>
    <w:pPr>
      <w:jc w:val="left"/>
    </w:pPr>
    <w:rPr>
      <w:rFonts w:ascii="Times New Roman" w:hAnsi="Times New Roman" w:eastAsia="仿宋_GB2312"/>
      <w:sz w:val="32"/>
    </w:rPr>
  </w:style>
  <w:style w:type="paragraph" w:styleId="14">
    <w:name w:val="Body Text 3"/>
    <w:basedOn w:val="1"/>
    <w:qFormat/>
    <w:uiPriority w:val="0"/>
    <w:pPr>
      <w:spacing w:line="360" w:lineRule="auto"/>
    </w:pPr>
    <w:rPr>
      <w:rFonts w:ascii="仿宋_GB2312" w:eastAsia="仿宋_GB2312"/>
      <w:sz w:val="24"/>
    </w:rPr>
  </w:style>
  <w:style w:type="paragraph" w:styleId="15">
    <w:name w:val="Body Text Indent"/>
    <w:basedOn w:val="1"/>
    <w:next w:val="1"/>
    <w:qFormat/>
    <w:uiPriority w:val="0"/>
    <w:pPr>
      <w:adjustRightInd w:val="0"/>
      <w:snapToGrid w:val="0"/>
      <w:spacing w:line="360" w:lineRule="auto"/>
      <w:ind w:firstLine="480"/>
    </w:pPr>
    <w:rPr>
      <w:bCs/>
      <w:kern w:val="0"/>
    </w:rPr>
  </w:style>
  <w:style w:type="paragraph" w:styleId="16">
    <w:name w:val="Block Text"/>
    <w:basedOn w:val="1"/>
    <w:qFormat/>
    <w:uiPriority w:val="0"/>
    <w:pPr>
      <w:spacing w:after="120"/>
      <w:ind w:left="1440" w:leftChars="700" w:right="700" w:rightChars="700"/>
    </w:pPr>
    <w:rPr>
      <w:rFonts w:ascii="Calibri" w:hAnsi="Calibri"/>
      <w:szCs w:val="20"/>
    </w:rPr>
  </w:style>
  <w:style w:type="paragraph" w:styleId="17">
    <w:name w:val="toc 3"/>
    <w:basedOn w:val="1"/>
    <w:next w:val="1"/>
    <w:qFormat/>
    <w:uiPriority w:val="0"/>
    <w:pPr>
      <w:ind w:left="840" w:leftChars="400"/>
    </w:pPr>
  </w:style>
  <w:style w:type="paragraph" w:styleId="18">
    <w:name w:val="Plain Text"/>
    <w:basedOn w:val="1"/>
    <w:next w:val="19"/>
    <w:qFormat/>
    <w:uiPriority w:val="0"/>
    <w:rPr>
      <w:rFonts w:ascii="宋体" w:hAnsi="Courier New"/>
      <w:szCs w:val="20"/>
    </w:rPr>
  </w:style>
  <w:style w:type="paragraph" w:customStyle="1" w:styleId="19">
    <w:name w:val="正本"/>
    <w:basedOn w:val="1"/>
    <w:qFormat/>
    <w:uiPriority w:val="0"/>
    <w:pPr>
      <w:adjustRightInd w:val="0"/>
      <w:snapToGrid w:val="0"/>
      <w:spacing w:line="360" w:lineRule="auto"/>
      <w:ind w:firstLine="200" w:firstLineChars="200"/>
    </w:pPr>
    <w:rPr>
      <w:kern w:val="2"/>
      <w:sz w:val="24"/>
      <w:szCs w:val="24"/>
      <w:lang w:val="en-US" w:bidi="ar-SA"/>
    </w:rPr>
  </w:style>
  <w:style w:type="paragraph" w:styleId="20">
    <w:name w:val="List Bullet 5"/>
    <w:basedOn w:val="1"/>
    <w:qFormat/>
    <w:uiPriority w:val="0"/>
    <w:pPr>
      <w:numPr>
        <w:ilvl w:val="0"/>
        <w:numId w:val="2"/>
      </w:numPr>
    </w:pPr>
  </w:style>
  <w:style w:type="paragraph" w:styleId="21">
    <w:name w:val="Date"/>
    <w:basedOn w:val="1"/>
    <w:next w:val="1"/>
    <w:qFormat/>
    <w:uiPriority w:val="0"/>
    <w:rPr>
      <w:szCs w:val="20"/>
    </w:rPr>
  </w:style>
  <w:style w:type="paragraph" w:styleId="22">
    <w:name w:val="Body Text Indent 2"/>
    <w:basedOn w:val="1"/>
    <w:next w:val="1"/>
    <w:qFormat/>
    <w:uiPriority w:val="0"/>
    <w:pPr>
      <w:adjustRightInd w:val="0"/>
      <w:snapToGrid w:val="0"/>
      <w:spacing w:line="360" w:lineRule="auto"/>
      <w:ind w:firstLine="480" w:firstLineChars="200"/>
    </w:pPr>
    <w:rPr>
      <w:rFonts w:ascii="宋体" w:hAnsi="宋体"/>
      <w:snapToGrid w:val="0"/>
      <w:color w:val="339966"/>
      <w:kern w:val="0"/>
    </w:rPr>
  </w:style>
  <w:style w:type="paragraph" w:styleId="23">
    <w:name w:val="footer"/>
    <w:basedOn w:val="1"/>
    <w:qFormat/>
    <w:uiPriority w:val="0"/>
    <w:pPr>
      <w:tabs>
        <w:tab w:val="center" w:pos="4153"/>
        <w:tab w:val="right" w:pos="8306"/>
      </w:tabs>
      <w:snapToGrid w:val="0"/>
      <w:jc w:val="left"/>
    </w:pPr>
    <w:rPr>
      <w:sz w:val="18"/>
      <w:szCs w:val="18"/>
    </w:rPr>
  </w:style>
  <w:style w:type="paragraph" w:styleId="24">
    <w:name w:val="header"/>
    <w:basedOn w:val="1"/>
    <w:next w:val="25"/>
    <w:qFormat/>
    <w:uiPriority w:val="0"/>
    <w:pPr>
      <w:pBdr>
        <w:bottom w:val="single" w:color="auto" w:sz="6" w:space="1"/>
      </w:pBdr>
      <w:tabs>
        <w:tab w:val="center" w:pos="4153"/>
        <w:tab w:val="right" w:pos="8306"/>
      </w:tabs>
      <w:snapToGrid w:val="0"/>
      <w:spacing w:line="240" w:lineRule="atLeast"/>
      <w:jc w:val="center"/>
    </w:pPr>
    <w:rPr>
      <w:rFonts w:ascii="幼圆" w:eastAsia="幼圆"/>
      <w:sz w:val="18"/>
      <w:szCs w:val="18"/>
    </w:rPr>
  </w:style>
  <w:style w:type="paragraph" w:customStyle="1" w:styleId="25">
    <w:name w:val="样式5"/>
    <w:basedOn w:val="26"/>
    <w:link w:val="269"/>
    <w:qFormat/>
    <w:uiPriority w:val="0"/>
    <w:pPr>
      <w:spacing w:line="360" w:lineRule="auto"/>
      <w:ind w:firstLine="1446" w:firstLineChars="200"/>
      <w:jc w:val="both"/>
    </w:pPr>
    <w:rPr>
      <w:sz w:val="24"/>
    </w:rPr>
  </w:style>
  <w:style w:type="paragraph" w:customStyle="1" w:styleId="26">
    <w:name w:val="样式3"/>
    <w:basedOn w:val="9"/>
    <w:qFormat/>
    <w:uiPriority w:val="0"/>
    <w:pPr>
      <w:snapToGrid/>
      <w:spacing w:line="520" w:lineRule="atLeast"/>
      <w:ind w:firstLine="560"/>
      <w:jc w:val="left"/>
    </w:pPr>
    <w:rPr>
      <w:kern w:val="0"/>
      <w:sz w:val="28"/>
    </w:rPr>
  </w:style>
  <w:style w:type="paragraph" w:styleId="27">
    <w:name w:val="toc 1"/>
    <w:basedOn w:val="1"/>
    <w:next w:val="1"/>
    <w:qFormat/>
    <w:uiPriority w:val="39"/>
    <w:pPr>
      <w:spacing w:before="120" w:after="120"/>
      <w:jc w:val="left"/>
    </w:pPr>
    <w:rPr>
      <w:rFonts w:ascii="Calibri" w:hAnsi="Calibri" w:cs="Calibri"/>
      <w:b/>
      <w:bCs/>
      <w:caps/>
      <w:sz w:val="20"/>
      <w:szCs w:val="20"/>
    </w:rPr>
  </w:style>
  <w:style w:type="paragraph" w:styleId="28">
    <w:name w:val="toc 4"/>
    <w:basedOn w:val="1"/>
    <w:next w:val="1"/>
    <w:qFormat/>
    <w:uiPriority w:val="0"/>
    <w:pPr>
      <w:ind w:left="1260" w:leftChars="600"/>
    </w:pPr>
  </w:style>
  <w:style w:type="paragraph" w:styleId="29">
    <w:name w:val="index heading"/>
    <w:basedOn w:val="1"/>
    <w:next w:val="30"/>
    <w:qFormat/>
    <w:uiPriority w:val="0"/>
    <w:rPr>
      <w:szCs w:val="20"/>
    </w:rPr>
  </w:style>
  <w:style w:type="paragraph" w:styleId="30">
    <w:name w:val="index 1"/>
    <w:basedOn w:val="1"/>
    <w:next w:val="1"/>
    <w:qFormat/>
    <w:uiPriority w:val="0"/>
    <w:pPr>
      <w:adjustRightInd w:val="0"/>
      <w:spacing w:before="60"/>
      <w:textAlignment w:val="baseline"/>
    </w:pPr>
    <w:rPr>
      <w:sz w:val="24"/>
      <w:szCs w:val="20"/>
    </w:rPr>
  </w:style>
  <w:style w:type="paragraph" w:styleId="31">
    <w:name w:val="List"/>
    <w:basedOn w:val="1"/>
    <w:next w:val="1"/>
    <w:qFormat/>
    <w:uiPriority w:val="99"/>
    <w:pPr>
      <w:ind w:left="200" w:hanging="200" w:hangingChars="200"/>
    </w:pPr>
    <w:rPr>
      <w:szCs w:val="20"/>
    </w:rPr>
  </w:style>
  <w:style w:type="paragraph" w:styleId="32">
    <w:name w:val="Body Text Indent 3"/>
    <w:basedOn w:val="1"/>
    <w:qFormat/>
    <w:uiPriority w:val="0"/>
    <w:pPr>
      <w:spacing w:line="360" w:lineRule="auto"/>
      <w:ind w:firstLine="480" w:firstLineChars="200"/>
    </w:pPr>
    <w:rPr>
      <w:rFonts w:ascii="宋体"/>
      <w:sz w:val="24"/>
    </w:rPr>
  </w:style>
  <w:style w:type="paragraph" w:styleId="33">
    <w:name w:val="table of figures"/>
    <w:basedOn w:val="1"/>
    <w:next w:val="1"/>
    <w:semiHidden/>
    <w:qFormat/>
    <w:uiPriority w:val="0"/>
    <w:pPr>
      <w:ind w:left="200" w:leftChars="200" w:hanging="200" w:hangingChars="200"/>
    </w:pPr>
  </w:style>
  <w:style w:type="paragraph" w:styleId="34">
    <w:name w:val="toc 2"/>
    <w:basedOn w:val="1"/>
    <w:next w:val="1"/>
    <w:qFormat/>
    <w:uiPriority w:val="39"/>
    <w:pPr>
      <w:ind w:left="240"/>
      <w:jc w:val="left"/>
    </w:pPr>
    <w:rPr>
      <w:rFonts w:ascii="Calibri" w:hAnsi="Calibri" w:cs="Calibri"/>
      <w:smallCaps/>
      <w:sz w:val="20"/>
      <w:szCs w:val="20"/>
    </w:rPr>
  </w:style>
  <w:style w:type="paragraph" w:styleId="35">
    <w:name w:val="Body Text 2"/>
    <w:basedOn w:val="1"/>
    <w:next w:val="1"/>
    <w:qFormat/>
    <w:uiPriority w:val="0"/>
    <w:pPr>
      <w:spacing w:after="120" w:line="480" w:lineRule="auto"/>
    </w:pPr>
  </w:style>
  <w:style w:type="paragraph" w:styleId="36">
    <w:name w:val="HTML Preformatted"/>
    <w:basedOn w:val="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rPr>
  </w:style>
  <w:style w:type="paragraph" w:styleId="37">
    <w:name w:val="Normal (Web)"/>
    <w:basedOn w:val="1"/>
    <w:next w:val="1"/>
    <w:qFormat/>
    <w:uiPriority w:val="99"/>
  </w:style>
  <w:style w:type="paragraph" w:styleId="38">
    <w:name w:val="annotation subject"/>
    <w:basedOn w:val="12"/>
    <w:next w:val="12"/>
    <w:link w:val="84"/>
    <w:qFormat/>
    <w:uiPriority w:val="0"/>
    <w:rPr>
      <w:b/>
      <w:bCs/>
    </w:rPr>
  </w:style>
  <w:style w:type="paragraph" w:styleId="39">
    <w:name w:val="Body Text First Indent"/>
    <w:basedOn w:val="2"/>
    <w:next w:val="1"/>
    <w:qFormat/>
    <w:uiPriority w:val="0"/>
    <w:pPr>
      <w:ind w:firstLine="420" w:firstLineChars="100"/>
    </w:pPr>
    <w:rPr>
      <w:rFonts w:ascii="黑体" w:hAnsi="黑体"/>
      <w:spacing w:val="10"/>
      <w:sz w:val="21"/>
    </w:rPr>
  </w:style>
  <w:style w:type="paragraph" w:styleId="40">
    <w:name w:val="Body Text First Indent 2"/>
    <w:basedOn w:val="15"/>
    <w:next w:val="39"/>
    <w:qFormat/>
    <w:uiPriority w:val="0"/>
    <w:pPr>
      <w:adjustRightInd/>
      <w:snapToGrid/>
      <w:spacing w:after="120" w:line="240" w:lineRule="auto"/>
      <w:ind w:left="420" w:leftChars="200" w:firstLine="420" w:firstLineChars="200"/>
    </w:pPr>
    <w:rPr>
      <w:bCs w:val="0"/>
      <w:kern w:val="2"/>
      <w:sz w:val="21"/>
    </w:rPr>
  </w:style>
  <w:style w:type="table" w:styleId="42">
    <w:name w:val="Table Grid"/>
    <w:basedOn w:val="4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0"/>
    <w:rPr>
      <w:b/>
    </w:rPr>
  </w:style>
  <w:style w:type="character" w:styleId="45">
    <w:name w:val="page number"/>
    <w:basedOn w:val="43"/>
    <w:qFormat/>
    <w:uiPriority w:val="0"/>
    <w:rPr>
      <w:rFonts w:ascii="宋体" w:hAnsi="宋体" w:eastAsia="宋体" w:cs="宋体"/>
      <w:kern w:val="2"/>
      <w:sz w:val="24"/>
      <w:szCs w:val="24"/>
      <w:lang w:val="en-US" w:eastAsia="zh-CN" w:bidi="ar-SA"/>
    </w:rPr>
  </w:style>
  <w:style w:type="character" w:styleId="46">
    <w:name w:val="Emphasis"/>
    <w:basedOn w:val="43"/>
    <w:qFormat/>
    <w:uiPriority w:val="0"/>
    <w:rPr>
      <w:i/>
      <w:iCs/>
    </w:rPr>
  </w:style>
  <w:style w:type="character" w:styleId="47">
    <w:name w:val="Hyperlink"/>
    <w:basedOn w:val="43"/>
    <w:qFormat/>
    <w:uiPriority w:val="99"/>
    <w:rPr>
      <w:rFonts w:ascii="宋体" w:hAnsi="宋体" w:eastAsia="宋体" w:cs="宋体"/>
      <w:color w:val="0000FF"/>
      <w:kern w:val="2"/>
      <w:sz w:val="24"/>
      <w:szCs w:val="24"/>
      <w:u w:val="single"/>
      <w:lang w:val="en-US" w:eastAsia="zh-CN" w:bidi="ar-SA"/>
    </w:rPr>
  </w:style>
  <w:style w:type="character" w:styleId="48">
    <w:name w:val="annotation reference"/>
    <w:basedOn w:val="43"/>
    <w:qFormat/>
    <w:uiPriority w:val="0"/>
    <w:rPr>
      <w:sz w:val="21"/>
      <w:szCs w:val="21"/>
    </w:rPr>
  </w:style>
  <w:style w:type="paragraph" w:customStyle="1" w:styleId="49">
    <w:name w:val="Default1"/>
    <w:qFormat/>
    <w:uiPriority w:val="0"/>
    <w:pPr>
      <w:widowControl w:val="0"/>
      <w:autoSpaceDE w:val="0"/>
      <w:autoSpaceDN w:val="0"/>
      <w:adjustRightInd w:val="0"/>
      <w:jc w:val="center"/>
    </w:pPr>
    <w:rPr>
      <w:rFonts w:ascii="Times New Roman" w:hAnsi="Times New Roman" w:eastAsia="宋体" w:cs="宋体"/>
      <w:b/>
      <w:color w:val="000000"/>
      <w:sz w:val="21"/>
      <w:szCs w:val="24"/>
      <w:lang w:val="en-US" w:eastAsia="zh-CN" w:bidi="ar-SA"/>
    </w:rPr>
  </w:style>
  <w:style w:type="paragraph" w:customStyle="1" w:styleId="50">
    <w:name w:val="简单回函地址"/>
    <w:basedOn w:val="1"/>
    <w:next w:val="51"/>
    <w:qFormat/>
    <w:uiPriority w:val="0"/>
    <w:rPr>
      <w:szCs w:val="20"/>
    </w:rPr>
  </w:style>
  <w:style w:type="paragraph" w:customStyle="1" w:styleId="51">
    <w:name w:val="正文2"/>
    <w:basedOn w:val="1"/>
    <w:next w:val="1"/>
    <w:qFormat/>
    <w:uiPriority w:val="0"/>
    <w:pPr>
      <w:ind w:firstLine="200"/>
    </w:pPr>
  </w:style>
  <w:style w:type="paragraph" w:customStyle="1" w:styleId="52">
    <w:name w:val="Char4 Char Char Char Char Char Char1"/>
    <w:basedOn w:val="1"/>
    <w:qFormat/>
    <w:uiPriority w:val="0"/>
    <w:pPr>
      <w:spacing w:line="360" w:lineRule="auto"/>
      <w:ind w:firstLine="200" w:firstLineChars="200"/>
    </w:pPr>
    <w:rPr>
      <w:rFonts w:ascii="宋体" w:cs="宋体"/>
      <w:sz w:val="24"/>
    </w:rPr>
  </w:style>
  <w:style w:type="paragraph" w:customStyle="1" w:styleId="53">
    <w:name w:val="0正文"/>
    <w:basedOn w:val="15"/>
    <w:unhideWhenUsed/>
    <w:qFormat/>
    <w:uiPriority w:val="0"/>
    <w:pPr>
      <w:ind w:firstLine="720"/>
    </w:pPr>
  </w:style>
  <w:style w:type="paragraph" w:customStyle="1" w:styleId="54">
    <w:name w:val="Default"/>
    <w:basedOn w:val="55"/>
    <w:next w:val="1"/>
    <w:link w:val="213"/>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5">
    <w:name w:val="纯文本1"/>
    <w:basedOn w:val="1"/>
    <w:qFormat/>
    <w:uiPriority w:val="0"/>
    <w:rPr>
      <w:rFonts w:ascii="宋体" w:hAnsi="Courier New"/>
      <w:kern w:val="0"/>
      <w:sz w:val="20"/>
      <w:szCs w:val="20"/>
    </w:rPr>
  </w:style>
  <w:style w:type="paragraph" w:customStyle="1" w:styleId="56">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57">
    <w:name w:val="1 表头"/>
    <w:basedOn w:val="1"/>
    <w:qFormat/>
    <w:uiPriority w:val="0"/>
    <w:pPr>
      <w:adjustRightInd w:val="0"/>
      <w:snapToGrid w:val="0"/>
      <w:spacing w:line="240" w:lineRule="auto"/>
      <w:ind w:firstLine="0" w:firstLineChars="0"/>
      <w:jc w:val="center"/>
    </w:pPr>
    <w:rPr>
      <w:b/>
      <w:color w:val="000000"/>
      <w:sz w:val="21"/>
      <w:szCs w:val="21"/>
    </w:rPr>
  </w:style>
  <w:style w:type="paragraph" w:customStyle="1" w:styleId="58">
    <w:name w:val="表文"/>
    <w:basedOn w:val="1"/>
    <w:next w:val="1"/>
    <w:qFormat/>
    <w:uiPriority w:val="0"/>
    <w:pPr>
      <w:overflowPunct w:val="0"/>
      <w:topLinePunct/>
      <w:spacing w:line="320" w:lineRule="exact"/>
      <w:jc w:val="center"/>
      <w:outlineLvl w:val="6"/>
    </w:pPr>
    <w:rPr>
      <w:kern w:val="0"/>
      <w:sz w:val="18"/>
      <w:szCs w:val="18"/>
    </w:rPr>
  </w:style>
  <w:style w:type="paragraph" w:customStyle="1" w:styleId="59">
    <w:name w:val="报告"/>
    <w:basedOn w:val="1"/>
    <w:qFormat/>
    <w:uiPriority w:val="0"/>
    <w:pPr>
      <w:adjustRightInd w:val="0"/>
      <w:spacing w:line="360" w:lineRule="auto"/>
      <w:ind w:firstLine="505"/>
      <w:textAlignment w:val="baseline"/>
    </w:pPr>
    <w:rPr>
      <w:kern w:val="0"/>
      <w:szCs w:val="20"/>
    </w:rPr>
  </w:style>
  <w:style w:type="paragraph" w:customStyle="1" w:styleId="60">
    <w:name w:val="主体"/>
    <w:qFormat/>
    <w:uiPriority w:val="0"/>
    <w:pPr>
      <w:widowControl w:val="0"/>
      <w:autoSpaceDE w:val="0"/>
      <w:autoSpaceDN w:val="0"/>
      <w:spacing w:line="440" w:lineRule="exact"/>
      <w:ind w:firstLine="480" w:firstLineChars="200"/>
      <w:jc w:val="both"/>
    </w:pPr>
    <w:rPr>
      <w:rFonts w:ascii="Times New Roman" w:hAnsi="Times New Roman" w:eastAsia="仿宋_GB2312" w:cs="Times New Roman"/>
      <w:bCs/>
      <w:kern w:val="2"/>
      <w:sz w:val="24"/>
      <w:szCs w:val="24"/>
      <w:lang w:val="en-US" w:eastAsia="zh-CN" w:bidi="ar-SA"/>
    </w:rPr>
  </w:style>
  <w:style w:type="character" w:customStyle="1" w:styleId="61">
    <w:name w:val="fontstyle11"/>
    <w:qFormat/>
    <w:uiPriority w:val="0"/>
    <w:rPr>
      <w:rFonts w:ascii="TimesNewRomanPSMT" w:hAnsi="TimesNewRomanPSMT" w:eastAsia="TimesNewRomanPSMT" w:cs="TimesNewRomanPSMT"/>
      <w:color w:val="000000"/>
      <w:kern w:val="0"/>
      <w:sz w:val="24"/>
      <w:szCs w:val="24"/>
    </w:rPr>
  </w:style>
  <w:style w:type="table" w:customStyle="1" w:styleId="62">
    <w:name w:val="报告表格式新建"/>
    <w:basedOn w:val="41"/>
    <w:qFormat/>
    <w:uiPriority w:val="99"/>
    <w:pPr>
      <w:jc w:val="center"/>
    </w:pPr>
    <w:rPr>
      <w:sz w:val="18"/>
    </w:rPr>
    <w:tblPr>
      <w:tblBorders>
        <w:top w:val="single" w:color="auto" w:sz="12" w:space="0"/>
        <w:bottom w:val="single" w:color="auto" w:sz="12" w:space="0"/>
        <w:insideH w:val="single" w:color="auto" w:sz="8" w:space="0"/>
        <w:insideV w:val="single" w:color="auto" w:sz="8" w:space="0"/>
      </w:tblBorders>
    </w:tblPr>
    <w:tcPr>
      <w:vAlign w:val="center"/>
    </w:tcPr>
  </w:style>
  <w:style w:type="paragraph" w:customStyle="1" w:styleId="63">
    <w:name w:val="样式 首行缩进:  2 字符"/>
    <w:basedOn w:val="1"/>
    <w:qFormat/>
    <w:uiPriority w:val="0"/>
    <w:pPr>
      <w:ind w:right="11" w:firstLine="480" w:firstLineChars="200"/>
    </w:pPr>
    <w:rPr>
      <w:bCs/>
    </w:rPr>
  </w:style>
  <w:style w:type="paragraph" w:customStyle="1" w:styleId="64">
    <w:name w:val="1文章"/>
    <w:basedOn w:val="1"/>
    <w:qFormat/>
    <w:uiPriority w:val="0"/>
    <w:pPr>
      <w:snapToGrid w:val="0"/>
      <w:spacing w:line="360" w:lineRule="auto"/>
      <w:ind w:firstLine="573"/>
    </w:pPr>
    <w:rPr>
      <w:rFonts w:eastAsia="仿宋_GB2312"/>
      <w:sz w:val="28"/>
    </w:rPr>
  </w:style>
  <w:style w:type="paragraph" w:customStyle="1" w:styleId="65">
    <w:name w:val="报告书"/>
    <w:basedOn w:val="1"/>
    <w:qFormat/>
    <w:uiPriority w:val="0"/>
    <w:pPr>
      <w:autoSpaceDE w:val="0"/>
      <w:autoSpaceDN w:val="0"/>
      <w:adjustRightInd w:val="0"/>
      <w:spacing w:line="360" w:lineRule="auto"/>
      <w:ind w:firstLine="480" w:firstLineChars="200"/>
      <w:textAlignment w:val="bottom"/>
    </w:pPr>
    <w:rPr>
      <w:rFonts w:hAnsi="宋体"/>
      <w:bCs/>
      <w:kern w:val="0"/>
    </w:rPr>
  </w:style>
  <w:style w:type="paragraph" w:customStyle="1" w:styleId="66">
    <w:name w:val="填表内容"/>
    <w:basedOn w:val="1"/>
    <w:qFormat/>
    <w:uiPriority w:val="0"/>
    <w:pPr>
      <w:adjustRightInd w:val="0"/>
      <w:jc w:val="center"/>
    </w:pPr>
    <w:rPr>
      <w:kern w:val="0"/>
      <w:sz w:val="21"/>
      <w:szCs w:val="20"/>
    </w:rPr>
  </w:style>
  <w:style w:type="character" w:customStyle="1" w:styleId="67">
    <w:name w:val="fontstyle01"/>
    <w:basedOn w:val="43"/>
    <w:qFormat/>
    <w:uiPriority w:val="0"/>
    <w:rPr>
      <w:rFonts w:ascii="宋体" w:hAnsi="宋体" w:eastAsia="宋体" w:cs="宋体"/>
      <w:color w:val="000000"/>
      <w:kern w:val="0"/>
      <w:sz w:val="24"/>
      <w:szCs w:val="24"/>
    </w:rPr>
  </w:style>
  <w:style w:type="paragraph" w:customStyle="1" w:styleId="68">
    <w:name w:val="xyb自建正文"/>
    <w:basedOn w:val="1"/>
    <w:qFormat/>
    <w:uiPriority w:val="0"/>
    <w:pPr>
      <w:adjustRightInd w:val="0"/>
      <w:snapToGrid w:val="0"/>
      <w:spacing w:line="360" w:lineRule="auto"/>
      <w:ind w:firstLine="480" w:firstLineChars="200"/>
      <w:textAlignment w:val="baseline"/>
    </w:pPr>
    <w:rPr>
      <w:snapToGrid w:val="0"/>
      <w:kern w:val="0"/>
    </w:rPr>
  </w:style>
  <w:style w:type="paragraph" w:customStyle="1" w:styleId="69">
    <w:name w:val="列表段落1"/>
    <w:basedOn w:val="1"/>
    <w:qFormat/>
    <w:uiPriority w:val="0"/>
    <w:pPr>
      <w:ind w:firstLine="420" w:firstLineChars="200"/>
    </w:pPr>
    <w:rPr>
      <w:rFonts w:ascii="Calibri" w:hAnsi="Calibri"/>
      <w:szCs w:val="22"/>
    </w:rPr>
  </w:style>
  <w:style w:type="paragraph" w:customStyle="1" w:styleId="70">
    <w:name w:val="Zw"/>
    <w:basedOn w:val="1"/>
    <w:next w:val="1"/>
    <w:qFormat/>
    <w:uiPriority w:val="0"/>
    <w:pPr>
      <w:spacing w:line="360" w:lineRule="auto"/>
      <w:ind w:firstLine="200" w:firstLineChars="200"/>
    </w:pPr>
    <w:rPr>
      <w:rFonts w:ascii="宋体" w:hAnsi="宋体" w:cs="宋体"/>
    </w:rPr>
  </w:style>
  <w:style w:type="character" w:customStyle="1" w:styleId="71">
    <w:name w:val="fontstyle21"/>
    <w:basedOn w:val="43"/>
    <w:qFormat/>
    <w:uiPriority w:val="0"/>
    <w:rPr>
      <w:rFonts w:ascii="TimesNewRomanPSMT" w:hAnsi="TimesNewRomanPSMT" w:eastAsia="TimesNewRomanPSMT" w:cs="TimesNewRomanPSMT"/>
      <w:color w:val="000000"/>
      <w:kern w:val="0"/>
      <w:sz w:val="24"/>
      <w:szCs w:val="24"/>
    </w:rPr>
  </w:style>
  <w:style w:type="paragraph" w:customStyle="1" w:styleId="72">
    <w:name w:val="样式2"/>
    <w:basedOn w:val="5"/>
    <w:qFormat/>
    <w:uiPriority w:val="0"/>
    <w:pPr>
      <w:tabs>
        <w:tab w:val="left" w:pos="567"/>
      </w:tabs>
      <w:snapToGrid/>
      <w:spacing w:before="156" w:beforeLines="50" w:line="400" w:lineRule="atLeast"/>
      <w:ind w:left="567" w:hanging="567"/>
      <w:jc w:val="left"/>
      <w:textAlignment w:val="baseline"/>
    </w:pPr>
    <w:rPr>
      <w:rFonts w:ascii="Times New Roman" w:hAnsi="Times New Roman" w:eastAsia="宋体"/>
      <w:b w:val="0"/>
      <w:bCs w:val="0"/>
      <w:snapToGrid/>
      <w:kern w:val="2"/>
      <w:szCs w:val="28"/>
    </w:rPr>
  </w:style>
  <w:style w:type="paragraph" w:customStyle="1" w:styleId="73">
    <w:name w:val="报告表格"/>
    <w:basedOn w:val="1"/>
    <w:qFormat/>
    <w:uiPriority w:val="0"/>
    <w:pPr>
      <w:autoSpaceDE w:val="0"/>
      <w:autoSpaceDN w:val="0"/>
      <w:adjustRightInd w:val="0"/>
      <w:spacing w:before="40" w:after="40"/>
      <w:jc w:val="center"/>
      <w:textAlignment w:val="bottom"/>
    </w:pPr>
    <w:rPr>
      <w:kern w:val="0"/>
      <w:sz w:val="21"/>
      <w:szCs w:val="20"/>
    </w:rPr>
  </w:style>
  <w:style w:type="character" w:customStyle="1" w:styleId="74">
    <w:name w:val="正文缩进 字符"/>
    <w:link w:val="9"/>
    <w:qFormat/>
    <w:uiPriority w:val="0"/>
    <w:rPr>
      <w:szCs w:val="20"/>
    </w:rPr>
  </w:style>
  <w:style w:type="paragraph" w:customStyle="1" w:styleId="75">
    <w:name w:val="表格标题"/>
    <w:basedOn w:val="76"/>
    <w:next w:val="77"/>
    <w:qFormat/>
    <w:uiPriority w:val="0"/>
    <w:pPr>
      <w:spacing w:before="120"/>
    </w:pPr>
    <w:rPr>
      <w:rFonts w:eastAsia="仿宋_GB2312"/>
    </w:rPr>
  </w:style>
  <w:style w:type="paragraph" w:customStyle="1" w:styleId="76">
    <w:name w:val="表格内容"/>
    <w:basedOn w:val="9"/>
    <w:next w:val="9"/>
    <w:link w:val="264"/>
    <w:qFormat/>
    <w:uiPriority w:val="0"/>
    <w:pPr>
      <w:spacing w:line="360" w:lineRule="auto"/>
      <w:jc w:val="center"/>
    </w:pPr>
    <w:rPr>
      <w:color w:val="000000"/>
    </w:rPr>
  </w:style>
  <w:style w:type="paragraph" w:customStyle="1" w:styleId="77">
    <w:name w:val="表格文字"/>
    <w:basedOn w:val="75"/>
    <w:next w:val="1"/>
    <w:qFormat/>
    <w:uiPriority w:val="99"/>
    <w:pPr>
      <w:tabs>
        <w:tab w:val="left" w:pos="7590"/>
      </w:tabs>
      <w:snapToGrid w:val="0"/>
      <w:jc w:val="center"/>
    </w:pPr>
    <w:rPr>
      <w:sz w:val="21"/>
      <w:lang w:val="zh-CN"/>
    </w:rPr>
  </w:style>
  <w:style w:type="paragraph" w:customStyle="1" w:styleId="78">
    <w:name w:val="表格文字2"/>
    <w:basedOn w:val="77"/>
    <w:qFormat/>
    <w:uiPriority w:val="0"/>
    <w:pPr>
      <w:spacing w:before="60"/>
    </w:pPr>
  </w:style>
  <w:style w:type="paragraph" w:customStyle="1" w:styleId="79">
    <w:name w:val="标题1"/>
    <w:basedOn w:val="1"/>
    <w:next w:val="1"/>
    <w:qFormat/>
    <w:uiPriority w:val="0"/>
    <w:pPr>
      <w:spacing w:line="500" w:lineRule="exact"/>
    </w:pPr>
    <w:rPr>
      <w:rFonts w:eastAsia="楷体_GB2312"/>
      <w:b/>
      <w:color w:val="000000"/>
      <w:spacing w:val="10"/>
      <w:sz w:val="28"/>
    </w:rPr>
  </w:style>
  <w:style w:type="paragraph" w:customStyle="1" w:styleId="80">
    <w:name w:val="正文-蓝色"/>
    <w:basedOn w:val="81"/>
    <w:qFormat/>
    <w:uiPriority w:val="0"/>
    <w:pPr>
      <w:ind w:firstLine="480"/>
    </w:pPr>
    <w:rPr>
      <w:color w:val="0000FF"/>
    </w:rPr>
  </w:style>
  <w:style w:type="paragraph" w:customStyle="1" w:styleId="81">
    <w:name w:val="正文-欣欣"/>
    <w:basedOn w:val="1"/>
    <w:next w:val="1"/>
    <w:qFormat/>
    <w:uiPriority w:val="0"/>
    <w:pPr>
      <w:ind w:firstLine="200" w:firstLineChars="200"/>
    </w:pPr>
    <w:rPr>
      <w:rFonts w:cs="Courier New"/>
      <w:szCs w:val="21"/>
    </w:rPr>
  </w:style>
  <w:style w:type="paragraph" w:customStyle="1" w:styleId="82">
    <w:name w:val="表格中文字"/>
    <w:basedOn w:val="1"/>
    <w:qFormat/>
    <w:uiPriority w:val="0"/>
    <w:pPr>
      <w:adjustRightInd w:val="0"/>
      <w:snapToGrid w:val="0"/>
      <w:spacing w:line="360" w:lineRule="atLeast"/>
      <w:jc w:val="center"/>
      <w:textAlignment w:val="baseline"/>
    </w:pPr>
    <w:rPr>
      <w:kern w:val="18"/>
      <w:sz w:val="21"/>
    </w:rPr>
  </w:style>
  <w:style w:type="character" w:customStyle="1" w:styleId="83">
    <w:name w:val="批注文字 字符"/>
    <w:basedOn w:val="43"/>
    <w:link w:val="12"/>
    <w:qFormat/>
    <w:uiPriority w:val="0"/>
    <w:rPr>
      <w:kern w:val="2"/>
      <w:sz w:val="24"/>
      <w:szCs w:val="24"/>
    </w:rPr>
  </w:style>
  <w:style w:type="character" w:customStyle="1" w:styleId="84">
    <w:name w:val="批注主题 字符"/>
    <w:basedOn w:val="83"/>
    <w:link w:val="38"/>
    <w:qFormat/>
    <w:uiPriority w:val="0"/>
    <w:rPr>
      <w:b/>
      <w:bCs/>
      <w:kern w:val="2"/>
      <w:sz w:val="24"/>
      <w:szCs w:val="24"/>
    </w:rPr>
  </w:style>
  <w:style w:type="paragraph" w:customStyle="1" w:styleId="85">
    <w:name w:val="WPSOffice手动目录 1"/>
    <w:qFormat/>
    <w:uiPriority w:val="0"/>
    <w:pPr>
      <w:ind w:leftChars="0"/>
    </w:pPr>
    <w:rPr>
      <w:rFonts w:ascii="Times New Roman" w:hAnsi="Times New Roman" w:eastAsia="宋体" w:cs="Times New Roman"/>
      <w:sz w:val="20"/>
      <w:szCs w:val="20"/>
    </w:rPr>
  </w:style>
  <w:style w:type="paragraph" w:customStyle="1" w:styleId="86">
    <w:name w:val="WPSOffice手动目录 2"/>
    <w:qFormat/>
    <w:uiPriority w:val="0"/>
    <w:pPr>
      <w:ind w:leftChars="200"/>
    </w:pPr>
    <w:rPr>
      <w:rFonts w:ascii="Times New Roman" w:hAnsi="Times New Roman" w:eastAsia="宋体" w:cs="Times New Roman"/>
      <w:sz w:val="20"/>
      <w:szCs w:val="20"/>
    </w:rPr>
  </w:style>
  <w:style w:type="paragraph" w:customStyle="1" w:styleId="87">
    <w:name w:val="正文文本缩进1"/>
    <w:basedOn w:val="1"/>
    <w:qFormat/>
    <w:uiPriority w:val="0"/>
    <w:pPr>
      <w:spacing w:after="120"/>
      <w:ind w:left="420" w:leftChars="200"/>
    </w:pPr>
    <w:rPr>
      <w:kern w:val="0"/>
      <w:sz w:val="20"/>
    </w:rPr>
  </w:style>
  <w:style w:type="character" w:customStyle="1" w:styleId="88">
    <w:name w:val="标题 1 Char"/>
    <w:link w:val="3"/>
    <w:qFormat/>
    <w:uiPriority w:val="0"/>
    <w:rPr>
      <w:rFonts w:ascii="黑体" w:hAnsi="黑体" w:eastAsia="黑体"/>
      <w:b/>
      <w:snapToGrid w:val="0"/>
      <w:color w:val="000000"/>
      <w:sz w:val="32"/>
    </w:rPr>
  </w:style>
  <w:style w:type="paragraph" w:customStyle="1" w:styleId="89">
    <w:name w:val="No Spacing1"/>
    <w:qFormat/>
    <w:uiPriority w:val="0"/>
    <w:pPr>
      <w:widowControl w:val="0"/>
      <w:contextualSpacing/>
      <w:jc w:val="center"/>
    </w:pPr>
    <w:rPr>
      <w:rFonts w:ascii="Times New Roman" w:hAnsi="Times New Roman" w:eastAsia="宋体" w:cs="Times New Roman"/>
      <w:sz w:val="21"/>
      <w:szCs w:val="24"/>
      <w:lang w:val="en-US" w:eastAsia="zh-CN" w:bidi="ar-SA"/>
    </w:rPr>
  </w:style>
  <w:style w:type="paragraph" w:styleId="90">
    <w:name w:val="No Spacing"/>
    <w:basedOn w:val="14"/>
    <w:next w:val="18"/>
    <w:qFormat/>
    <w:uiPriority w:val="1"/>
    <w:pPr>
      <w:widowControl w:val="0"/>
      <w:spacing w:line="340" w:lineRule="exact"/>
      <w:jc w:val="center"/>
    </w:pPr>
    <w:rPr>
      <w:rFonts w:ascii="Times New Roman" w:hAnsi="Times New Roman" w:eastAsia="宋体" w:cs="Times New Roman"/>
      <w:kern w:val="2"/>
      <w:sz w:val="21"/>
      <w:szCs w:val="24"/>
      <w:lang w:val="en-US" w:eastAsia="zh-CN" w:bidi="ar-SA"/>
    </w:rPr>
  </w:style>
  <w:style w:type="paragraph" w:customStyle="1" w:styleId="91">
    <w:name w:val="书正文"/>
    <w:basedOn w:val="1"/>
    <w:qFormat/>
    <w:uiPriority w:val="0"/>
    <w:pPr>
      <w:ind w:firstLine="480"/>
      <w:jc w:val="both"/>
    </w:pPr>
    <w:rPr>
      <w:rFonts w:ascii="Times New Roman" w:hAnsi="Times New Roman" w:eastAsia="宋体"/>
      <w:color w:val="000000"/>
      <w:sz w:val="24"/>
      <w:szCs w:val="22"/>
      <w:shd w:val="clear" w:color="auto" w:fill="FFFFFF"/>
    </w:rPr>
  </w:style>
  <w:style w:type="character" w:customStyle="1" w:styleId="92">
    <w:name w:val="font61"/>
    <w:basedOn w:val="43"/>
    <w:qFormat/>
    <w:uiPriority w:val="0"/>
    <w:rPr>
      <w:rFonts w:hint="eastAsia" w:ascii="宋体" w:hAnsi="宋体" w:eastAsia="宋体" w:cs="宋体"/>
      <w:color w:val="000000"/>
      <w:sz w:val="20"/>
      <w:szCs w:val="20"/>
      <w:u w:val="none"/>
    </w:rPr>
  </w:style>
  <w:style w:type="paragraph" w:customStyle="1" w:styleId="93">
    <w:name w:val="表头"/>
    <w:basedOn w:val="94"/>
    <w:next w:val="94"/>
    <w:qFormat/>
    <w:uiPriority w:val="0"/>
    <w:pPr>
      <w:widowControl/>
      <w:ind w:firstLine="0" w:firstLineChars="0"/>
      <w:jc w:val="center"/>
    </w:pPr>
    <w:rPr>
      <w:b/>
      <w:kern w:val="0"/>
      <w:sz w:val="20"/>
      <w:szCs w:val="20"/>
    </w:rPr>
  </w:style>
  <w:style w:type="paragraph" w:customStyle="1" w:styleId="94">
    <w:name w:val="表格"/>
    <w:basedOn w:val="33"/>
    <w:next w:val="1"/>
    <w:qFormat/>
    <w:uiPriority w:val="0"/>
    <w:pPr>
      <w:autoSpaceDE w:val="0"/>
      <w:autoSpaceDN w:val="0"/>
      <w:adjustRightInd w:val="0"/>
      <w:snapToGrid w:val="0"/>
      <w:spacing w:line="280" w:lineRule="exact"/>
      <w:jc w:val="center"/>
    </w:pPr>
    <w:rPr>
      <w:rFonts w:ascii="仿宋_GB2312" w:eastAsia="仿宋_GB2312"/>
      <w:kern w:val="0"/>
      <w:szCs w:val="20"/>
    </w:rPr>
  </w:style>
  <w:style w:type="paragraph" w:customStyle="1" w:styleId="95">
    <w:name w:val="表格式"/>
    <w:basedOn w:val="96"/>
    <w:qFormat/>
    <w:uiPriority w:val="0"/>
    <w:pPr>
      <w:spacing w:before="156" w:beforeLines="50" w:after="156" w:afterLines="50" w:line="240" w:lineRule="exact"/>
      <w:jc w:val="center"/>
    </w:pPr>
    <w:rPr>
      <w:rFonts w:ascii="Times New Roman" w:hAnsi="Times New Roman" w:eastAsia="宋体" w:cs="Times New Roman"/>
      <w:lang w:val="en-US" w:eastAsia="zh-CN" w:bidi="ar-SA"/>
    </w:rPr>
  </w:style>
  <w:style w:type="paragraph" w:customStyle="1" w:styleId="96">
    <w:name w:val="列表1"/>
    <w:basedOn w:val="1"/>
    <w:qFormat/>
    <w:uiPriority w:val="0"/>
    <w:pPr>
      <w:ind w:left="200" w:hanging="200" w:hangingChars="200"/>
    </w:pPr>
  </w:style>
  <w:style w:type="paragraph" w:customStyle="1" w:styleId="97">
    <w:name w:val="正文d"/>
    <w:basedOn w:val="1"/>
    <w:qFormat/>
    <w:uiPriority w:val="0"/>
    <w:pPr>
      <w:autoSpaceDE w:val="0"/>
      <w:autoSpaceDN w:val="0"/>
      <w:adjustRightInd w:val="0"/>
      <w:snapToGrid w:val="0"/>
      <w:spacing w:line="360" w:lineRule="auto"/>
      <w:ind w:firstLine="200" w:firstLineChars="200"/>
    </w:pPr>
    <w:rPr>
      <w:rFonts w:cs="宋体"/>
      <w:kern w:val="0"/>
      <w:szCs w:val="21"/>
    </w:rPr>
  </w:style>
  <w:style w:type="paragraph" w:customStyle="1" w:styleId="98">
    <w:name w:val="0表格"/>
    <w:basedOn w:val="1"/>
    <w:qFormat/>
    <w:uiPriority w:val="0"/>
    <w:pPr>
      <w:widowControl/>
      <w:jc w:val="center"/>
    </w:pPr>
    <w:rPr>
      <w:kern w:val="0"/>
      <w:szCs w:val="21"/>
    </w:rPr>
  </w:style>
  <w:style w:type="character" w:customStyle="1" w:styleId="99">
    <w:name w:val="标题 5 Char"/>
    <w:link w:val="8"/>
    <w:qFormat/>
    <w:uiPriority w:val="0"/>
    <w:rPr>
      <w:b/>
      <w:bCs/>
      <w:sz w:val="21"/>
      <w:szCs w:val="28"/>
    </w:rPr>
  </w:style>
  <w:style w:type="paragraph" w:customStyle="1" w:styleId="100">
    <w:name w:val="【表头】"/>
    <w:basedOn w:val="1"/>
    <w:qFormat/>
    <w:uiPriority w:val="0"/>
    <w:pPr>
      <w:snapToGrid w:val="0"/>
      <w:jc w:val="center"/>
    </w:pPr>
    <w:rPr>
      <w:rFonts w:ascii="Times New Roman" w:hAnsi="Times New Roman" w:eastAsia="黑体"/>
      <w:b/>
      <w:spacing w:val="4"/>
      <w:kern w:val="0"/>
      <w:sz w:val="24"/>
      <w:szCs w:val="24"/>
      <w:lang w:val="zh-CN"/>
    </w:rPr>
  </w:style>
  <w:style w:type="paragraph" w:customStyle="1" w:styleId="101">
    <w:name w:val="【表中文字】"/>
    <w:basedOn w:val="1"/>
    <w:qFormat/>
    <w:uiPriority w:val="0"/>
    <w:pPr>
      <w:adjustRightInd w:val="0"/>
      <w:snapToGrid w:val="0"/>
      <w:jc w:val="center"/>
    </w:pPr>
    <w:rPr>
      <w:kern w:val="0"/>
      <w:sz w:val="20"/>
      <w:szCs w:val="20"/>
    </w:rPr>
  </w:style>
  <w:style w:type="paragraph" w:customStyle="1" w:styleId="102">
    <w:name w:val="报告表正文"/>
    <w:basedOn w:val="1"/>
    <w:qFormat/>
    <w:uiPriority w:val="0"/>
    <w:pPr>
      <w:adjustRightInd w:val="0"/>
      <w:spacing w:line="312" w:lineRule="auto"/>
      <w:ind w:left="113" w:right="113" w:firstLine="482"/>
      <w:jc w:val="left"/>
      <w:textAlignment w:val="baseline"/>
    </w:pPr>
    <w:rPr>
      <w:kern w:val="0"/>
      <w:szCs w:val="20"/>
    </w:rPr>
  </w:style>
  <w:style w:type="paragraph" w:customStyle="1" w:styleId="103">
    <w:name w:val="p0"/>
    <w:basedOn w:val="1"/>
    <w:qFormat/>
    <w:uiPriority w:val="0"/>
    <w:pPr>
      <w:widowControl/>
      <w:spacing w:before="100" w:beforeAutospacing="1" w:after="100" w:afterAutospacing="1"/>
      <w:jc w:val="left"/>
    </w:pPr>
    <w:rPr>
      <w:rFonts w:ascii="宋体" w:hAnsi="宋体" w:cs="宋体"/>
      <w:kern w:val="0"/>
    </w:rPr>
  </w:style>
  <w:style w:type="paragraph" w:customStyle="1" w:styleId="104">
    <w:name w:val="表头样式"/>
    <w:basedOn w:val="1"/>
    <w:qFormat/>
    <w:uiPriority w:val="0"/>
    <w:pPr>
      <w:spacing w:beforeLines="50" w:afterLines="50"/>
      <w:jc w:val="center"/>
    </w:pPr>
    <w:rPr>
      <w:b/>
      <w:szCs w:val="21"/>
    </w:rPr>
  </w:style>
  <w:style w:type="paragraph" w:customStyle="1" w:styleId="105">
    <w:name w:val="正文01"/>
    <w:basedOn w:val="1"/>
    <w:link w:val="128"/>
    <w:qFormat/>
    <w:uiPriority w:val="0"/>
    <w:pPr>
      <w:ind w:firstLine="482"/>
    </w:pPr>
    <w:rPr>
      <w:szCs w:val="20"/>
    </w:rPr>
  </w:style>
  <w:style w:type="paragraph" w:customStyle="1" w:styleId="106">
    <w:name w:val="【正文】"/>
    <w:basedOn w:val="1"/>
    <w:qFormat/>
    <w:uiPriority w:val="0"/>
    <w:pPr>
      <w:spacing w:line="440" w:lineRule="exact"/>
      <w:ind w:firstLine="544" w:firstLineChars="200"/>
    </w:pPr>
    <w:rPr>
      <w:sz w:val="24"/>
      <w:szCs w:val="20"/>
    </w:rPr>
  </w:style>
  <w:style w:type="paragraph" w:customStyle="1" w:styleId="107">
    <w:name w:val="fcc正文"/>
    <w:basedOn w:val="1"/>
    <w:qFormat/>
    <w:uiPriority w:val="0"/>
    <w:pPr>
      <w:ind w:firstLine="200" w:firstLineChars="200"/>
    </w:pPr>
    <w:rPr>
      <w:rFonts w:ascii="Calibri" w:hAnsi="Calibri" w:cs="Times New Roman"/>
      <w:szCs w:val="20"/>
      <w:lang w:val="zh-CN"/>
    </w:rPr>
  </w:style>
  <w:style w:type="character" w:customStyle="1" w:styleId="108">
    <w:name w:val="页码1"/>
    <w:basedOn w:val="43"/>
    <w:qFormat/>
    <w:uiPriority w:val="0"/>
  </w:style>
  <w:style w:type="paragraph" w:customStyle="1" w:styleId="109">
    <w:name w:val="样式 样式 (西文) 宋体 (中文) 仿宋_GB2312 小四 + 首行缩进:  2 字符 行距: 最小值 12 磅"/>
    <w:basedOn w:val="1"/>
    <w:qFormat/>
    <w:uiPriority w:val="0"/>
    <w:pPr>
      <w:spacing w:line="240" w:lineRule="atLeast"/>
      <w:ind w:firstLine="640" w:firstLineChars="200"/>
      <w:jc w:val="left"/>
    </w:pPr>
    <w:rPr>
      <w:rFonts w:ascii="仿宋_GB2312" w:eastAsia="仿宋_GB2312"/>
      <w:b/>
      <w:color w:val="000000"/>
      <w:sz w:val="30"/>
      <w:szCs w:val="28"/>
    </w:rPr>
  </w:style>
  <w:style w:type="paragraph" w:customStyle="1" w:styleId="110">
    <w:name w:val="Normal (Web)"/>
    <w:basedOn w:val="1"/>
    <w:qFormat/>
    <w:uiPriority w:val="0"/>
    <w:pPr>
      <w:spacing w:before="100" w:beforeAutospacing="1" w:after="100" w:afterAutospacing="1"/>
    </w:pPr>
    <w:rPr>
      <w:rFonts w:ascii="宋体" w:hAnsi="宋体" w:cs="宋体"/>
      <w:sz w:val="24"/>
    </w:rPr>
  </w:style>
  <w:style w:type="paragraph" w:customStyle="1" w:styleId="111">
    <w:name w:val="List Paragraph"/>
    <w:basedOn w:val="1"/>
    <w:next w:val="1"/>
    <w:qFormat/>
    <w:uiPriority w:val="0"/>
    <w:pPr>
      <w:autoSpaceDE w:val="0"/>
      <w:autoSpaceDN w:val="0"/>
      <w:jc w:val="center"/>
    </w:pPr>
    <w:rPr>
      <w:szCs w:val="20"/>
    </w:rPr>
  </w:style>
  <w:style w:type="paragraph" w:customStyle="1" w:styleId="112">
    <w:name w:val="正文-1"/>
    <w:link w:val="182"/>
    <w:qFormat/>
    <w:uiPriority w:val="0"/>
    <w:pPr>
      <w:spacing w:line="480" w:lineRule="exact"/>
      <w:ind w:firstLine="200" w:firstLineChars="200"/>
      <w:jc w:val="both"/>
    </w:pPr>
    <w:rPr>
      <w:rFonts w:ascii="Times New Roman" w:hAnsi="Times New Roman" w:eastAsia="宋体" w:cs="宋体"/>
      <w:kern w:val="2"/>
      <w:sz w:val="24"/>
      <w:lang w:val="en-US" w:eastAsia="zh-CN" w:bidi="ar-SA"/>
    </w:rPr>
  </w:style>
  <w:style w:type="paragraph" w:customStyle="1" w:styleId="113">
    <w:name w:val="表题"/>
    <w:basedOn w:val="31"/>
    <w:next w:val="114"/>
    <w:link w:val="179"/>
    <w:qFormat/>
    <w:uiPriority w:val="0"/>
    <w:pPr>
      <w:spacing w:line="480" w:lineRule="exact"/>
      <w:jc w:val="center"/>
    </w:pPr>
    <w:rPr>
      <w:rFonts w:ascii="Times New Roman" w:hAnsi="宋体" w:eastAsia="宋体" w:cs="Times New Roman"/>
      <w:b/>
      <w:kern w:val="2"/>
      <w:sz w:val="21"/>
      <w:szCs w:val="24"/>
      <w:lang w:val="en-US" w:eastAsia="zh-CN" w:bidi="ar-SA"/>
    </w:rPr>
  </w:style>
  <w:style w:type="paragraph" w:customStyle="1" w:styleId="114">
    <w:name w:val="-正文"/>
    <w:basedOn w:val="1"/>
    <w:link w:val="180"/>
    <w:qFormat/>
    <w:uiPriority w:val="0"/>
    <w:pPr>
      <w:widowControl w:val="0"/>
      <w:spacing w:line="480" w:lineRule="exact"/>
      <w:ind w:firstLine="200" w:firstLineChars="200"/>
      <w:jc w:val="both"/>
    </w:pPr>
    <w:rPr>
      <w:rFonts w:cs="宋体"/>
      <w:kern w:val="2"/>
      <w:sz w:val="24"/>
    </w:rPr>
  </w:style>
  <w:style w:type="paragraph" w:customStyle="1" w:styleId="115">
    <w:name w:val="-表格"/>
    <w:basedOn w:val="94"/>
    <w:next w:val="1"/>
    <w:qFormat/>
    <w:uiPriority w:val="0"/>
    <w:pPr>
      <w:widowControl/>
      <w:tabs>
        <w:tab w:val="left" w:pos="3696"/>
      </w:tabs>
      <w:jc w:val="center"/>
    </w:pPr>
    <w:rPr>
      <w:rFonts w:ascii="宋体" w:hAnsi="宋体" w:cs="宋体"/>
      <w:snapToGrid w:val="0"/>
      <w:szCs w:val="20"/>
    </w:rPr>
  </w:style>
  <w:style w:type="paragraph" w:customStyle="1" w:styleId="116">
    <w:name w:val="GTR报告书表头"/>
    <w:basedOn w:val="1"/>
    <w:qFormat/>
    <w:uiPriority w:val="0"/>
    <w:pPr>
      <w:spacing w:line="500" w:lineRule="exact"/>
      <w:jc w:val="center"/>
    </w:pPr>
    <w:rPr>
      <w:rFonts w:eastAsia="黑体"/>
    </w:rPr>
  </w:style>
  <w:style w:type="paragraph" w:customStyle="1" w:styleId="117">
    <w:name w:val="GTR表格内容"/>
    <w:basedOn w:val="116"/>
    <w:qFormat/>
    <w:uiPriority w:val="0"/>
    <w:pPr>
      <w:spacing w:line="240" w:lineRule="auto"/>
    </w:pPr>
    <w:rPr>
      <w:rFonts w:eastAsia="宋体"/>
    </w:rPr>
  </w:style>
  <w:style w:type="paragraph" w:customStyle="1" w:styleId="118">
    <w:name w:val="小四正文格式"/>
    <w:basedOn w:val="1"/>
    <w:qFormat/>
    <w:uiPriority w:val="0"/>
    <w:pPr>
      <w:spacing w:line="360" w:lineRule="auto"/>
      <w:ind w:firstLine="200" w:firstLineChars="200"/>
    </w:pPr>
    <w:rPr>
      <w:rFonts w:ascii="宋体" w:hAnsi="宋体"/>
      <w:sz w:val="24"/>
    </w:rPr>
  </w:style>
  <w:style w:type="paragraph" w:customStyle="1" w:styleId="119">
    <w:name w:val="表中正文居中"/>
    <w:semiHidden/>
    <w:qFormat/>
    <w:uiPriority w:val="0"/>
    <w:pPr>
      <w:spacing w:before="120" w:after="156" w:line="240" w:lineRule="exact"/>
      <w:jc w:val="center"/>
    </w:pPr>
    <w:rPr>
      <w:rFonts w:ascii="宋体" w:hAnsi="Times New Roman" w:eastAsia="宋体" w:cs="Times New Roman"/>
      <w:kern w:val="2"/>
      <w:sz w:val="21"/>
      <w:lang w:val="en-US" w:eastAsia="zh-CN" w:bidi="ar-SA"/>
    </w:rPr>
  </w:style>
  <w:style w:type="paragraph" w:customStyle="1" w:styleId="120">
    <w:name w:val="表标题"/>
    <w:basedOn w:val="1"/>
    <w:next w:val="1"/>
    <w:semiHidden/>
    <w:qFormat/>
    <w:uiPriority w:val="0"/>
    <w:pPr>
      <w:adjustRightInd w:val="0"/>
      <w:jc w:val="center"/>
      <w:textAlignment w:val="baseline"/>
    </w:pPr>
    <w:rPr>
      <w:b/>
      <w:bCs/>
      <w:sz w:val="24"/>
      <w:szCs w:val="20"/>
    </w:rPr>
  </w:style>
  <w:style w:type="paragraph" w:customStyle="1" w:styleId="121">
    <w:name w:val=" Char Char Char Char Char Char Char Char Char1 Char Char Char Char"/>
    <w:basedOn w:val="1"/>
    <w:qFormat/>
    <w:uiPriority w:val="0"/>
    <w:rPr>
      <w:sz w:val="24"/>
    </w:rPr>
  </w:style>
  <w:style w:type="paragraph" w:customStyle="1" w:styleId="122">
    <w:name w:val="报告正文"/>
    <w:basedOn w:val="1"/>
    <w:link w:val="137"/>
    <w:semiHidden/>
    <w:qFormat/>
    <w:uiPriority w:val="0"/>
    <w:pPr>
      <w:adjustRightInd w:val="0"/>
      <w:snapToGrid w:val="0"/>
      <w:spacing w:line="480" w:lineRule="exact"/>
      <w:ind w:firstLine="560" w:firstLineChars="200"/>
    </w:pPr>
    <w:rPr>
      <w:sz w:val="28"/>
    </w:rPr>
  </w:style>
  <w:style w:type="paragraph" w:customStyle="1" w:styleId="123">
    <w:name w:val="常用正文样式"/>
    <w:basedOn w:val="1"/>
    <w:qFormat/>
    <w:uiPriority w:val="0"/>
    <w:pPr>
      <w:spacing w:line="360" w:lineRule="auto"/>
      <w:ind w:firstLine="480" w:firstLineChars="200"/>
    </w:pPr>
    <w:rPr>
      <w:rFonts w:ascii="宋体" w:hAnsi="宋体" w:eastAsia="仿宋_GB2312" w:cs="宋体"/>
      <w:bCs/>
      <w:kern w:val="28"/>
      <w:sz w:val="24"/>
    </w:rPr>
  </w:style>
  <w:style w:type="paragraph" w:customStyle="1" w:styleId="124">
    <w:name w:val="样式4"/>
    <w:basedOn w:val="1"/>
    <w:next w:val="1"/>
    <w:qFormat/>
    <w:uiPriority w:val="0"/>
    <w:pPr>
      <w:spacing w:line="440" w:lineRule="exact"/>
    </w:pPr>
    <w:rPr>
      <w:sz w:val="24"/>
      <w:szCs w:val="20"/>
    </w:rPr>
  </w:style>
  <w:style w:type="paragraph" w:customStyle="1" w:styleId="125">
    <w:name w:val="表格头"/>
    <w:basedOn w:val="1"/>
    <w:qFormat/>
    <w:uiPriority w:val="0"/>
    <w:pPr>
      <w:widowControl w:val="0"/>
      <w:jc w:val="center"/>
    </w:pPr>
    <w:rPr>
      <w:rFonts w:ascii="黑体" w:hAnsi="黑体"/>
      <w:b/>
      <w:sz w:val="21"/>
      <w:szCs w:val="24"/>
    </w:rPr>
  </w:style>
  <w:style w:type="paragraph" w:customStyle="1" w:styleId="126">
    <w:name w:val="-表题"/>
    <w:next w:val="114"/>
    <w:qFormat/>
    <w:uiPriority w:val="0"/>
    <w:pPr>
      <w:spacing w:line="480" w:lineRule="exact"/>
      <w:jc w:val="center"/>
    </w:pPr>
    <w:rPr>
      <w:rFonts w:ascii="Times New Roman" w:hAnsi="Times New Roman" w:eastAsia="宋体" w:cs="Times New Roman"/>
      <w:b/>
      <w:kern w:val="2"/>
      <w:sz w:val="21"/>
      <w:szCs w:val="24"/>
      <w:lang w:val="en-US" w:eastAsia="zh-CN" w:bidi="ar-SA"/>
    </w:rPr>
  </w:style>
  <w:style w:type="paragraph" w:customStyle="1" w:styleId="127">
    <w:name w:val="表中文字"/>
    <w:basedOn w:val="1"/>
    <w:qFormat/>
    <w:uiPriority w:val="0"/>
    <w:pPr>
      <w:widowControl w:val="0"/>
      <w:spacing w:line="300" w:lineRule="exact"/>
      <w:jc w:val="center"/>
    </w:pPr>
    <w:rPr>
      <w:color w:val="000000"/>
      <w:kern w:val="2"/>
      <w:sz w:val="21"/>
      <w:szCs w:val="24"/>
    </w:rPr>
  </w:style>
  <w:style w:type="character" w:customStyle="1" w:styleId="128">
    <w:name w:val="正文01 Char"/>
    <w:link w:val="105"/>
    <w:qFormat/>
    <w:uiPriority w:val="0"/>
    <w:rPr>
      <w:szCs w:val="20"/>
    </w:rPr>
  </w:style>
  <w:style w:type="paragraph" w:customStyle="1" w:styleId="129">
    <w:name w:val="表内容"/>
    <w:basedOn w:val="1"/>
    <w:next w:val="1"/>
    <w:qFormat/>
    <w:uiPriority w:val="0"/>
    <w:pPr>
      <w:jc w:val="center"/>
    </w:pPr>
    <w:rPr>
      <w:sz w:val="21"/>
      <w:szCs w:val="21"/>
    </w:rPr>
  </w:style>
  <w:style w:type="paragraph" w:customStyle="1" w:styleId="130">
    <w:name w:val="表格文字内容"/>
    <w:basedOn w:val="1"/>
    <w:qFormat/>
    <w:uiPriority w:val="0"/>
    <w:pPr>
      <w:spacing w:line="240" w:lineRule="exact"/>
      <w:jc w:val="center"/>
    </w:pPr>
    <w:rPr>
      <w:rFonts w:hAnsi="宋体"/>
      <w:sz w:val="18"/>
    </w:rPr>
  </w:style>
  <w:style w:type="paragraph" w:customStyle="1" w:styleId="131">
    <w:name w:val="报告正文scu"/>
    <w:qFormat/>
    <w:uiPriority w:val="0"/>
    <w:pPr>
      <w:widowControl w:val="0"/>
      <w:adjustRightInd w:val="0"/>
      <w:snapToGrid w:val="0"/>
      <w:spacing w:line="500" w:lineRule="exact"/>
      <w:ind w:firstLine="200" w:firstLineChars="200"/>
      <w:jc w:val="both"/>
    </w:pPr>
    <w:rPr>
      <w:rFonts w:ascii="Times New Roman" w:hAnsi="Times New Roman" w:eastAsia="宋体" w:cs="Times New Roman"/>
      <w:sz w:val="24"/>
      <w:szCs w:val="24"/>
      <w:lang w:val="en-US" w:eastAsia="zh-CN" w:bidi="ar-SA"/>
    </w:rPr>
  </w:style>
  <w:style w:type="paragraph" w:customStyle="1" w:styleId="132">
    <w:name w:val="_Style 1"/>
    <w:qFormat/>
    <w:uiPriority w:val="99"/>
    <w:pPr>
      <w:widowControl w:val="0"/>
      <w:jc w:val="both"/>
    </w:pPr>
    <w:rPr>
      <w:rFonts w:ascii="Times New Roman" w:hAnsi="Times New Roman" w:eastAsia="宋体" w:cs="Times New Roman"/>
      <w:bCs/>
      <w:sz w:val="24"/>
      <w:szCs w:val="24"/>
      <w:lang w:val="en-US" w:eastAsia="zh-CN" w:bidi="ar-SA"/>
    </w:rPr>
  </w:style>
  <w:style w:type="paragraph" w:customStyle="1" w:styleId="133">
    <w:name w:val="CM13"/>
    <w:basedOn w:val="54"/>
    <w:qFormat/>
    <w:uiPriority w:val="0"/>
    <w:rPr>
      <w:color w:val="auto"/>
    </w:rPr>
  </w:style>
  <w:style w:type="paragraph" w:customStyle="1" w:styleId="134">
    <w:name w:val="表格字体"/>
    <w:qFormat/>
    <w:uiPriority w:val="0"/>
    <w:pPr>
      <w:keepNext/>
      <w:keepLines/>
      <w:jc w:val="center"/>
    </w:pPr>
    <w:rPr>
      <w:rFonts w:ascii="Times New Roman" w:hAnsi="Times New Roman" w:eastAsia="宋体" w:cs="Times New Roman"/>
      <w:kern w:val="2"/>
      <w:sz w:val="21"/>
      <w:szCs w:val="24"/>
      <w:lang w:val="en-US" w:eastAsia="zh-CN" w:bidi="ar-SA"/>
    </w:rPr>
  </w:style>
  <w:style w:type="paragraph" w:customStyle="1" w:styleId="135">
    <w:name w:val="4"/>
    <w:basedOn w:val="1"/>
    <w:next w:val="15"/>
    <w:qFormat/>
    <w:uiPriority w:val="0"/>
    <w:pPr>
      <w:ind w:firstLine="540"/>
    </w:pPr>
    <w:rPr>
      <w:rFonts w:ascii="宋体"/>
      <w:sz w:val="28"/>
      <w:szCs w:val="20"/>
    </w:rPr>
  </w:style>
  <w:style w:type="paragraph" w:customStyle="1" w:styleId="136">
    <w:name w:val="CM3"/>
    <w:qFormat/>
    <w:uiPriority w:val="0"/>
    <w:pPr>
      <w:widowControl w:val="0"/>
      <w:autoSpaceDE w:val="0"/>
      <w:autoSpaceDN w:val="0"/>
      <w:adjustRightInd w:val="0"/>
      <w:spacing w:line="500" w:lineRule="atLeast"/>
    </w:pPr>
    <w:rPr>
      <w:rFonts w:hint="eastAsia" w:ascii="宋体" w:hAnsi="Calibri" w:eastAsia="宋体" w:cs="Times New Roman"/>
      <w:sz w:val="24"/>
      <w:szCs w:val="24"/>
      <w:lang w:val="en-US" w:eastAsia="zh-CN" w:bidi="ar-SA"/>
    </w:rPr>
  </w:style>
  <w:style w:type="character" w:customStyle="1" w:styleId="137">
    <w:name w:val="报告正文 Char"/>
    <w:link w:val="122"/>
    <w:qFormat/>
    <w:uiPriority w:val="0"/>
    <w:rPr>
      <w:sz w:val="28"/>
    </w:rPr>
  </w:style>
  <w:style w:type="paragraph" w:customStyle="1" w:styleId="138">
    <w:name w:val="正文文本报告（报告）"/>
    <w:basedOn w:val="1"/>
    <w:qFormat/>
    <w:uiPriority w:val="0"/>
    <w:pPr>
      <w:spacing w:line="440" w:lineRule="exact"/>
      <w:ind w:firstLine="200" w:firstLineChars="200"/>
    </w:pPr>
    <w:rPr>
      <w:sz w:val="24"/>
    </w:rPr>
  </w:style>
  <w:style w:type="character" w:customStyle="1" w:styleId="139">
    <w:name w:val="font21"/>
    <w:basedOn w:val="43"/>
    <w:qFormat/>
    <w:uiPriority w:val="0"/>
    <w:rPr>
      <w:rFonts w:hint="eastAsia" w:ascii="宋体" w:hAnsi="宋体" w:eastAsia="宋体" w:cs="宋体"/>
      <w:color w:val="000000"/>
      <w:sz w:val="22"/>
      <w:szCs w:val="22"/>
      <w:u w:val="none"/>
    </w:rPr>
  </w:style>
  <w:style w:type="paragraph" w:customStyle="1" w:styleId="140">
    <w:name w:val="章节目录"/>
    <w:basedOn w:val="1"/>
    <w:qFormat/>
    <w:uiPriority w:val="0"/>
    <w:pPr>
      <w:spacing w:line="360" w:lineRule="auto"/>
      <w:outlineLvl w:val="0"/>
    </w:pPr>
    <w:rPr>
      <w:b/>
      <w:sz w:val="28"/>
      <w:szCs w:val="28"/>
    </w:rPr>
  </w:style>
  <w:style w:type="paragraph" w:customStyle="1" w:styleId="141">
    <w:name w:val="报告表"/>
    <w:basedOn w:val="1"/>
    <w:qFormat/>
    <w:uiPriority w:val="0"/>
    <w:pPr>
      <w:autoSpaceDE w:val="0"/>
      <w:autoSpaceDN w:val="0"/>
      <w:spacing w:line="360" w:lineRule="auto"/>
      <w:ind w:firstLine="480" w:firstLineChars="200"/>
    </w:pPr>
    <w:rPr>
      <w:kern w:val="0"/>
      <w:sz w:val="24"/>
      <w:lang w:bidi="zh-CN"/>
    </w:rPr>
  </w:style>
  <w:style w:type="paragraph" w:customStyle="1" w:styleId="142">
    <w:name w:val="01表格"/>
    <w:basedOn w:val="1"/>
    <w:next w:val="1"/>
    <w:qFormat/>
    <w:uiPriority w:val="0"/>
    <w:pPr>
      <w:overflowPunct w:val="0"/>
      <w:topLinePunct/>
      <w:adjustRightInd w:val="0"/>
      <w:snapToGrid w:val="0"/>
      <w:spacing w:line="240" w:lineRule="auto"/>
      <w:jc w:val="center"/>
    </w:pPr>
    <w:rPr>
      <w:snapToGrid w:val="0"/>
      <w:kern w:val="0"/>
      <w:sz w:val="21"/>
      <w:szCs w:val="21"/>
    </w:rPr>
  </w:style>
  <w:style w:type="paragraph" w:customStyle="1" w:styleId="143">
    <w:name w:val="表字"/>
    <w:basedOn w:val="1"/>
    <w:qFormat/>
    <w:uiPriority w:val="0"/>
    <w:pPr>
      <w:spacing w:line="240" w:lineRule="auto"/>
      <w:jc w:val="center"/>
    </w:pPr>
    <w:rPr>
      <w:sz w:val="21"/>
      <w:szCs w:val="20"/>
    </w:rPr>
  </w:style>
  <w:style w:type="paragraph" w:customStyle="1" w:styleId="144">
    <w:name w:val="正文格式"/>
    <w:next w:val="1"/>
    <w:qFormat/>
    <w:uiPriority w:val="0"/>
    <w:pPr>
      <w:spacing w:before="156" w:beforeLines="50" w:line="440" w:lineRule="exact"/>
      <w:ind w:firstLine="560" w:firstLineChars="200"/>
    </w:pPr>
    <w:rPr>
      <w:rFonts w:ascii="Times New Roman" w:hAnsi="Times New Roman" w:eastAsia="仿宋_GB2312" w:cs="Times New Roman"/>
      <w:kern w:val="2"/>
      <w:sz w:val="28"/>
      <w:szCs w:val="28"/>
      <w:lang w:val="en-US" w:eastAsia="zh-CN" w:bidi="ar-SA"/>
    </w:rPr>
  </w:style>
  <w:style w:type="paragraph" w:customStyle="1" w:styleId="145">
    <w:name w:val="样式 小四 首行缩进:  0.85 厘米 行距: 1.5 倍行距"/>
    <w:basedOn w:val="1"/>
    <w:qFormat/>
    <w:uiPriority w:val="0"/>
    <w:pPr>
      <w:adjustRightInd w:val="0"/>
      <w:spacing w:line="360" w:lineRule="auto"/>
      <w:ind w:firstLine="480"/>
      <w:textAlignment w:val="baseline"/>
    </w:pPr>
    <w:rPr>
      <w:sz w:val="24"/>
    </w:rPr>
  </w:style>
  <w:style w:type="paragraph" w:customStyle="1" w:styleId="146">
    <w:name w:val="3"/>
    <w:basedOn w:val="147"/>
    <w:qFormat/>
    <w:uiPriority w:val="0"/>
    <w:pPr>
      <w:keepNext w:val="0"/>
      <w:keepLines w:val="0"/>
      <w:widowControl w:val="0"/>
      <w:suppressLineNumbers w:val="0"/>
      <w:spacing w:before="0" w:beforeAutospacing="0" w:after="0" w:afterAutospacing="0" w:line="312" w:lineRule="auto"/>
      <w:ind w:left="0" w:right="0" w:firstLine="200" w:firstLineChars="200"/>
      <w:jc w:val="both"/>
    </w:pPr>
    <w:rPr>
      <w:rFonts w:hint="default" w:ascii="Times New Roman" w:hAnsi="Times New Roman" w:eastAsia="黑体" w:cs="Times New Roman"/>
      <w:kern w:val="2"/>
      <w:sz w:val="24"/>
      <w:szCs w:val="24"/>
      <w:lang w:val="en-US" w:eastAsia="zh-CN" w:bidi="ar"/>
    </w:rPr>
  </w:style>
  <w:style w:type="paragraph" w:customStyle="1" w:styleId="147">
    <w:name w:val="正正"/>
    <w:basedOn w:val="1"/>
    <w:qFormat/>
    <w:uiPriority w:val="0"/>
    <w:pPr>
      <w:keepNext w:val="0"/>
      <w:keepLines w:val="0"/>
      <w:widowControl w:val="0"/>
      <w:suppressLineNumbers w:val="0"/>
      <w:spacing w:before="0" w:beforeAutospacing="0" w:after="0" w:afterAutospacing="0" w:line="312" w:lineRule="auto"/>
      <w:ind w:left="0" w:right="0" w:firstLine="200" w:firstLineChars="200"/>
      <w:jc w:val="both"/>
    </w:pPr>
    <w:rPr>
      <w:rFonts w:hint="default" w:ascii="Times New Roman" w:hAnsi="Times New Roman" w:eastAsia="宋体" w:cs="Times New Roman"/>
      <w:kern w:val="2"/>
      <w:sz w:val="24"/>
      <w:szCs w:val="24"/>
      <w:lang w:val="en-US" w:eastAsia="zh-CN" w:bidi="ar"/>
    </w:rPr>
  </w:style>
  <w:style w:type="paragraph" w:customStyle="1" w:styleId="148">
    <w:name w:val="样式 样式 样式 表头 + 段前: 0.5 行 段后: 0.5 行 + 段后: 0.5 行 + 段前: 0.5 行"/>
    <w:basedOn w:val="1"/>
    <w:qFormat/>
    <w:uiPriority w:val="0"/>
    <w:pPr>
      <w:keepNext w:val="0"/>
      <w:keepLines w:val="0"/>
      <w:widowControl w:val="0"/>
      <w:suppressLineNumbers w:val="0"/>
      <w:adjustRightInd w:val="0"/>
      <w:snapToGrid w:val="0"/>
      <w:spacing w:before="120" w:beforeAutospacing="0" w:after="0" w:afterAutospacing="0" w:line="312" w:lineRule="auto"/>
      <w:ind w:left="0" w:right="0" w:firstLine="200" w:firstLineChars="200"/>
      <w:jc w:val="center"/>
    </w:pPr>
    <w:rPr>
      <w:rFonts w:hint="default" w:ascii="Times New Roman" w:hAnsi="Times New Roman" w:eastAsia="宋体" w:cs="宋体"/>
      <w:b/>
      <w:kern w:val="2"/>
      <w:sz w:val="24"/>
      <w:szCs w:val="20"/>
      <w:lang w:val="en-US" w:eastAsia="zh-CN" w:bidi="ar"/>
    </w:rPr>
  </w:style>
  <w:style w:type="paragraph" w:customStyle="1" w:styleId="149">
    <w:name w:val="单晶硅项目正文"/>
    <w:basedOn w:val="1"/>
    <w:qFormat/>
    <w:uiPriority w:val="0"/>
    <w:pPr>
      <w:keepNext w:val="0"/>
      <w:keepLines w:val="0"/>
      <w:widowControl w:val="0"/>
      <w:suppressLineNumbers w:val="0"/>
      <w:spacing w:before="0" w:beforeAutospacing="0" w:after="0" w:afterAutospacing="0" w:line="560" w:lineRule="exact"/>
      <w:ind w:left="0" w:right="0" w:firstLine="480" w:firstLineChars="200"/>
      <w:jc w:val="both"/>
    </w:pPr>
    <w:rPr>
      <w:rFonts w:hint="eastAsia" w:ascii="宋体" w:hAnsi="宋体" w:eastAsia="宋体" w:cs="Times New Roman"/>
      <w:color w:val="000000"/>
      <w:kern w:val="0"/>
      <w:sz w:val="24"/>
      <w:szCs w:val="24"/>
      <w:lang w:val="en-US" w:eastAsia="zh-CN" w:bidi="ar"/>
    </w:rPr>
  </w:style>
  <w:style w:type="paragraph" w:customStyle="1" w:styleId="150">
    <w:name w:val="p"/>
    <w:basedOn w:val="151"/>
    <w:link w:val="225"/>
    <w:qFormat/>
    <w:uiPriority w:val="0"/>
    <w:pPr>
      <w:adjustRightInd w:val="0"/>
      <w:snapToGrid w:val="0"/>
      <w:spacing w:line="360" w:lineRule="auto"/>
      <w:ind w:firstLine="1446" w:firstLineChars="200"/>
      <w:jc w:val="left"/>
    </w:pPr>
    <w:rPr>
      <w:kern w:val="0"/>
      <w:sz w:val="20"/>
      <w:szCs w:val="20"/>
    </w:rPr>
  </w:style>
  <w:style w:type="paragraph" w:customStyle="1" w:styleId="151">
    <w:name w:val="样式1"/>
    <w:basedOn w:val="1"/>
    <w:next w:val="16"/>
    <w:qFormat/>
    <w:uiPriority w:val="0"/>
    <w:pPr>
      <w:ind w:left="90" w:leftChars="32"/>
    </w:pPr>
    <w:rPr>
      <w:rFonts w:ascii="宋体" w:hAnsi="宋体"/>
      <w:sz w:val="23"/>
      <w:szCs w:val="20"/>
    </w:rPr>
  </w:style>
  <w:style w:type="paragraph" w:customStyle="1" w:styleId="152">
    <w:name w:val="样式 行距: 固定值 24 磅 首行缩进:  2 字符"/>
    <w:basedOn w:val="1"/>
    <w:qFormat/>
    <w:uiPriority w:val="0"/>
    <w:pPr>
      <w:spacing w:line="480" w:lineRule="exact"/>
      <w:ind w:firstLine="480" w:firstLineChars="200"/>
    </w:pPr>
    <w:rPr>
      <w:sz w:val="24"/>
      <w:szCs w:val="20"/>
    </w:rPr>
  </w:style>
  <w:style w:type="paragraph" w:customStyle="1" w:styleId="153">
    <w:name w:val="正文样式"/>
    <w:basedOn w:val="1"/>
    <w:qFormat/>
    <w:uiPriority w:val="0"/>
    <w:pPr>
      <w:adjustRightInd w:val="0"/>
      <w:snapToGrid w:val="0"/>
      <w:spacing w:line="360" w:lineRule="auto"/>
      <w:ind w:firstLine="200" w:firstLineChars="200"/>
      <w:jc w:val="left"/>
    </w:pPr>
    <w:rPr>
      <w:rFonts w:cs="宋体"/>
      <w:sz w:val="24"/>
    </w:rPr>
  </w:style>
  <w:style w:type="table" w:customStyle="1" w:styleId="154">
    <w:name w:val="网格型1"/>
    <w:basedOn w:val="41"/>
    <w:unhideWhenUsed/>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5">
    <w:name w:val="p17"/>
    <w:basedOn w:val="1"/>
    <w:qFormat/>
    <w:uiPriority w:val="0"/>
    <w:pPr>
      <w:widowControl/>
      <w:spacing w:line="360" w:lineRule="auto"/>
      <w:ind w:firstLine="420"/>
    </w:pPr>
    <w:rPr>
      <w:rFonts w:ascii="宋体" w:hAnsi="宋体" w:cs="宋体"/>
      <w:color w:val="FF0000"/>
      <w:kern w:val="0"/>
      <w:sz w:val="24"/>
    </w:rPr>
  </w:style>
  <w:style w:type="paragraph" w:customStyle="1" w:styleId="156">
    <w:name w:val="p16"/>
    <w:basedOn w:val="1"/>
    <w:qFormat/>
    <w:uiPriority w:val="0"/>
    <w:pPr>
      <w:widowControl/>
      <w:snapToGrid w:val="0"/>
      <w:spacing w:line="360" w:lineRule="auto"/>
      <w:ind w:firstLine="420"/>
    </w:pPr>
    <w:rPr>
      <w:kern w:val="0"/>
      <w:sz w:val="24"/>
    </w:rPr>
  </w:style>
  <w:style w:type="paragraph" w:customStyle="1" w:styleId="157">
    <w:name w:val="正本文字"/>
    <w:basedOn w:val="1"/>
    <w:qFormat/>
    <w:uiPriority w:val="0"/>
    <w:pPr>
      <w:widowControl/>
      <w:adjustRightInd w:val="0"/>
      <w:snapToGrid w:val="0"/>
      <w:spacing w:line="360" w:lineRule="auto"/>
      <w:ind w:firstLine="480" w:firstLineChars="200"/>
      <w:jc w:val="left"/>
    </w:pPr>
    <w:rPr>
      <w:rFonts w:ascii="Calibri" w:hAnsi="Courier" w:eastAsia="PMingLiU" w:cs="宋体"/>
      <w:kern w:val="18"/>
      <w:sz w:val="24"/>
      <w:szCs w:val="20"/>
      <w:lang w:eastAsia="zh-TW"/>
    </w:rPr>
  </w:style>
  <w:style w:type="paragraph" w:customStyle="1" w:styleId="158">
    <w:name w:val="Table Paragraph"/>
    <w:basedOn w:val="1"/>
    <w:qFormat/>
    <w:uiPriority w:val="1"/>
    <w:pPr>
      <w:widowControl/>
      <w:jc w:val="left"/>
    </w:pPr>
    <w:rPr>
      <w:rFonts w:ascii="Calibri" w:hAnsi="Calibri" w:cs="宋体"/>
      <w:kern w:val="0"/>
      <w:sz w:val="22"/>
      <w:szCs w:val="22"/>
    </w:rPr>
  </w:style>
  <w:style w:type="paragraph" w:customStyle="1" w:styleId="159">
    <w:name w:val="1表格"/>
    <w:basedOn w:val="1"/>
    <w:qFormat/>
    <w:uiPriority w:val="0"/>
    <w:pPr>
      <w:snapToGrid w:val="0"/>
      <w:spacing w:line="160" w:lineRule="atLeast"/>
      <w:jc w:val="center"/>
    </w:pPr>
    <w:rPr>
      <w:rFonts w:eastAsia="仿宋_GB2312"/>
      <w:szCs w:val="20"/>
    </w:rPr>
  </w:style>
  <w:style w:type="paragraph" w:customStyle="1" w:styleId="160">
    <w:name w:val="标题 41"/>
    <w:basedOn w:val="1"/>
    <w:qFormat/>
    <w:uiPriority w:val="99"/>
    <w:pPr>
      <w:autoSpaceDE w:val="0"/>
      <w:autoSpaceDN w:val="0"/>
      <w:spacing w:before="2"/>
      <w:ind w:left="920"/>
      <w:jc w:val="left"/>
      <w:outlineLvl w:val="4"/>
    </w:pPr>
    <w:rPr>
      <w:rFonts w:ascii="宋体" w:hAnsi="宋体" w:cs="宋体"/>
      <w:b/>
      <w:bCs/>
      <w:kern w:val="0"/>
      <w:sz w:val="24"/>
      <w:lang w:val="zh-CN"/>
    </w:rPr>
  </w:style>
  <w:style w:type="paragraph" w:customStyle="1" w:styleId="161">
    <w:name w:val="标题 11"/>
    <w:basedOn w:val="1"/>
    <w:qFormat/>
    <w:uiPriority w:val="99"/>
    <w:pPr>
      <w:autoSpaceDE w:val="0"/>
      <w:autoSpaceDN w:val="0"/>
      <w:spacing w:before="49"/>
      <w:ind w:left="455"/>
      <w:jc w:val="center"/>
      <w:outlineLvl w:val="1"/>
    </w:pPr>
    <w:rPr>
      <w:rFonts w:ascii="宋体" w:hAnsi="宋体" w:cs="宋体"/>
      <w:b/>
      <w:bCs/>
      <w:kern w:val="0"/>
      <w:sz w:val="36"/>
      <w:szCs w:val="36"/>
      <w:lang w:val="zh-CN"/>
    </w:rPr>
  </w:style>
  <w:style w:type="paragraph" w:customStyle="1" w:styleId="162">
    <w:name w:val="正文粗"/>
    <w:basedOn w:val="1"/>
    <w:next w:val="91"/>
    <w:qFormat/>
    <w:uiPriority w:val="0"/>
    <w:pPr>
      <w:ind w:firstLine="482"/>
      <w:jc w:val="both"/>
    </w:pPr>
    <w:rPr>
      <w:rFonts w:ascii="Times New Roman" w:hAnsi="Times New Roman" w:eastAsia="宋体"/>
      <w:b/>
      <w:color w:val="000000"/>
      <w:sz w:val="24"/>
      <w:szCs w:val="20"/>
    </w:rPr>
  </w:style>
  <w:style w:type="paragraph" w:customStyle="1" w:styleId="163">
    <w:name w:val="表格粗"/>
    <w:basedOn w:val="91"/>
    <w:qFormat/>
    <w:uiPriority w:val="0"/>
    <w:pPr>
      <w:adjustRightInd w:val="0"/>
      <w:snapToGrid w:val="0"/>
      <w:spacing w:line="240" w:lineRule="auto"/>
      <w:ind w:firstLine="0" w:firstLineChars="0"/>
      <w:jc w:val="center"/>
    </w:pPr>
    <w:rPr>
      <w:b/>
      <w:sz w:val="21"/>
      <w:shd w:val="clear" w:color="auto" w:fill="auto"/>
    </w:rPr>
  </w:style>
  <w:style w:type="paragraph" w:customStyle="1" w:styleId="164">
    <w:name w:val="_Style 10"/>
    <w:basedOn w:val="1"/>
    <w:qFormat/>
    <w:uiPriority w:val="0"/>
    <w:rPr>
      <w:szCs w:val="20"/>
    </w:rPr>
  </w:style>
  <w:style w:type="paragraph" w:customStyle="1" w:styleId="165">
    <w:name w:val="表格1"/>
    <w:basedOn w:val="1"/>
    <w:qFormat/>
    <w:uiPriority w:val="99"/>
    <w:pPr>
      <w:spacing w:line="360" w:lineRule="exact"/>
    </w:pPr>
    <w:rPr>
      <w:rFonts w:hAnsi="宋?"/>
    </w:rPr>
  </w:style>
  <w:style w:type="paragraph" w:customStyle="1" w:styleId="166">
    <w:name w:val="zly-图表"/>
    <w:basedOn w:val="9"/>
    <w:qFormat/>
    <w:uiPriority w:val="0"/>
    <w:pPr>
      <w:jc w:val="center"/>
    </w:pPr>
    <w:rPr>
      <w:rFonts w:ascii="Calibri" w:hAnsi="Calibri"/>
    </w:rPr>
  </w:style>
  <w:style w:type="paragraph" w:customStyle="1" w:styleId="167">
    <w:name w:val="zly-正文"/>
    <w:basedOn w:val="1"/>
    <w:qFormat/>
    <w:uiPriority w:val="99"/>
    <w:pPr>
      <w:spacing w:line="360" w:lineRule="auto"/>
      <w:ind w:firstLine="200" w:firstLineChars="200"/>
    </w:pPr>
    <w:rPr>
      <w:rFonts w:ascii="Calibri" w:hAnsi="Calibri"/>
      <w:kern w:val="0"/>
      <w:sz w:val="24"/>
    </w:rPr>
  </w:style>
  <w:style w:type="paragraph" w:customStyle="1" w:styleId="168">
    <w:name w:val="正文文本 (2)"/>
    <w:basedOn w:val="1"/>
    <w:qFormat/>
    <w:uiPriority w:val="0"/>
    <w:pPr>
      <w:shd w:val="clear" w:color="auto" w:fill="FFFFFF"/>
      <w:spacing w:line="466" w:lineRule="exact"/>
      <w:ind w:hanging="520"/>
      <w:jc w:val="distribute"/>
    </w:pPr>
    <w:rPr>
      <w:rFonts w:ascii="MingLiU" w:hAnsi="MingLiU" w:eastAsia="MingLiU"/>
      <w:kern w:val="0"/>
      <w:sz w:val="22"/>
      <w:szCs w:val="22"/>
    </w:rPr>
  </w:style>
  <w:style w:type="paragraph" w:customStyle="1" w:styleId="169">
    <w:name w:val="妇幼正文"/>
    <w:basedOn w:val="1"/>
    <w:qFormat/>
    <w:uiPriority w:val="0"/>
    <w:pPr>
      <w:adjustRightInd w:val="0"/>
      <w:spacing w:line="360" w:lineRule="auto"/>
      <w:ind w:firstLine="480" w:firstLineChars="200"/>
    </w:pPr>
    <w:rPr>
      <w:color w:val="000000"/>
      <w:sz w:val="24"/>
    </w:rPr>
  </w:style>
  <w:style w:type="paragraph" w:customStyle="1" w:styleId="170">
    <w:name w:val="样式 小四 首行缩进:  0.95 厘米 行距: 多倍行距 1.25 字行"/>
    <w:basedOn w:val="1"/>
    <w:qFormat/>
    <w:uiPriority w:val="0"/>
    <w:pPr>
      <w:spacing w:line="360" w:lineRule="auto"/>
      <w:ind w:firstLine="539"/>
    </w:pPr>
    <w:rPr>
      <w:rFonts w:ascii="Times New Roman" w:hAnsi="Times New Roman" w:cs="宋体"/>
      <w:sz w:val="24"/>
      <w:szCs w:val="20"/>
      <w:lang w:bidi="ar-SA"/>
    </w:rPr>
  </w:style>
  <w:style w:type="paragraph" w:customStyle="1" w:styleId="171">
    <w:name w:val="文本正文3"/>
    <w:qFormat/>
    <w:uiPriority w:val="0"/>
    <w:pPr>
      <w:spacing w:line="360" w:lineRule="auto"/>
      <w:ind w:firstLine="177" w:firstLineChars="177"/>
    </w:pPr>
    <w:rPr>
      <w:rFonts w:ascii="Calibri" w:hAnsi="Calibri" w:eastAsia="宋体" w:cs="Times New Roman"/>
      <w:kern w:val="2"/>
      <w:sz w:val="24"/>
      <w:szCs w:val="21"/>
      <w:lang w:val="en-US" w:eastAsia="zh-CN" w:bidi="ar-SA"/>
    </w:rPr>
  </w:style>
  <w:style w:type="paragraph" w:customStyle="1" w:styleId="172">
    <w:name w:val="样式7"/>
    <w:basedOn w:val="124"/>
    <w:qFormat/>
    <w:uiPriority w:val="0"/>
    <w:pPr>
      <w:spacing w:before="0" w:beforeLines="0" w:after="0" w:afterLines="0"/>
      <w:ind w:firstLine="420" w:firstLineChars="200"/>
    </w:pPr>
    <w:rPr>
      <w:rFonts w:ascii="Times New Roman" w:eastAsia="华文中宋"/>
      <w:sz w:val="21"/>
      <w:szCs w:val="21"/>
    </w:rPr>
  </w:style>
  <w:style w:type="character" w:customStyle="1" w:styleId="173">
    <w:name w:val="font31"/>
    <w:basedOn w:val="43"/>
    <w:qFormat/>
    <w:uiPriority w:val="0"/>
    <w:rPr>
      <w:rFonts w:hint="default" w:ascii="Times New Roman" w:hAnsi="Times New Roman" w:cs="Times New Roman"/>
      <w:color w:val="000000"/>
      <w:sz w:val="21"/>
      <w:szCs w:val="21"/>
      <w:u w:val="none"/>
    </w:rPr>
  </w:style>
  <w:style w:type="character" w:customStyle="1" w:styleId="174">
    <w:name w:val="font11"/>
    <w:basedOn w:val="43"/>
    <w:qFormat/>
    <w:uiPriority w:val="0"/>
    <w:rPr>
      <w:rFonts w:hint="default" w:ascii="Calibri" w:hAnsi="Calibri" w:cs="Calibri"/>
      <w:color w:val="000000"/>
      <w:sz w:val="21"/>
      <w:szCs w:val="21"/>
      <w:u w:val="none"/>
    </w:rPr>
  </w:style>
  <w:style w:type="paragraph" w:customStyle="1" w:styleId="175">
    <w:name w:val="正文文本1"/>
    <w:basedOn w:val="1"/>
    <w:qFormat/>
    <w:uiPriority w:val="0"/>
    <w:pPr>
      <w:spacing w:line="480" w:lineRule="exact"/>
      <w:ind w:firstLine="200" w:firstLineChars="200"/>
    </w:pPr>
    <w:rPr>
      <w:color w:val="000000"/>
      <w:sz w:val="24"/>
    </w:rPr>
  </w:style>
  <w:style w:type="paragraph" w:customStyle="1" w:styleId="176">
    <w:name w:val="Char4 Char Char Char"/>
    <w:basedOn w:val="1"/>
    <w:qFormat/>
    <w:uiPriority w:val="0"/>
    <w:pPr>
      <w:adjustRightInd w:val="0"/>
      <w:snapToGrid w:val="0"/>
      <w:spacing w:line="360" w:lineRule="auto"/>
      <w:ind w:firstLine="200" w:firstLineChars="200"/>
    </w:pPr>
    <w:rPr>
      <w:sz w:val="24"/>
      <w:szCs w:val="20"/>
    </w:rPr>
  </w:style>
  <w:style w:type="paragraph" w:customStyle="1" w:styleId="177">
    <w:name w:val="大标题"/>
    <w:basedOn w:val="1"/>
    <w:qFormat/>
    <w:uiPriority w:val="0"/>
    <w:pPr>
      <w:spacing w:line="360" w:lineRule="auto"/>
    </w:pPr>
    <w:rPr>
      <w:rFonts w:ascii="宋体" w:hAnsi="宋体"/>
      <w:b/>
      <w:sz w:val="30"/>
      <w:szCs w:val="24"/>
    </w:rPr>
  </w:style>
  <w:style w:type="paragraph" w:customStyle="1" w:styleId="178">
    <w:name w:val="表格01"/>
    <w:qFormat/>
    <w:uiPriority w:val="0"/>
    <w:pPr>
      <w:jc w:val="center"/>
    </w:pPr>
    <w:rPr>
      <w:rFonts w:ascii="Times New Roman" w:hAnsi="Times New Roman" w:eastAsia="宋体" w:cs="宋体"/>
      <w:kern w:val="2"/>
      <w:sz w:val="21"/>
      <w:szCs w:val="21"/>
      <w:lang w:val="en-US" w:eastAsia="zh-CN" w:bidi="ar-SA"/>
    </w:rPr>
  </w:style>
  <w:style w:type="character" w:customStyle="1" w:styleId="179">
    <w:name w:val="表题 Char"/>
    <w:link w:val="113"/>
    <w:qFormat/>
    <w:uiPriority w:val="0"/>
    <w:rPr>
      <w:rFonts w:ascii="Times New Roman" w:hAnsi="宋体" w:eastAsia="宋体" w:cs="Times New Roman"/>
      <w:b/>
      <w:kern w:val="2"/>
      <w:sz w:val="21"/>
      <w:szCs w:val="24"/>
      <w:lang w:val="en-US" w:eastAsia="zh-CN" w:bidi="ar-SA"/>
    </w:rPr>
  </w:style>
  <w:style w:type="character" w:customStyle="1" w:styleId="180">
    <w:name w:val="-正文 Char"/>
    <w:link w:val="114"/>
    <w:qFormat/>
    <w:uiPriority w:val="0"/>
    <w:rPr>
      <w:rFonts w:cs="宋体"/>
      <w:kern w:val="2"/>
      <w:sz w:val="24"/>
    </w:rPr>
  </w:style>
  <w:style w:type="paragraph" w:customStyle="1" w:styleId="181">
    <w:name w:val="标题-3"/>
    <w:basedOn w:val="1"/>
    <w:qFormat/>
    <w:uiPriority w:val="0"/>
    <w:pPr>
      <w:spacing w:line="480" w:lineRule="exact"/>
      <w:ind w:firstLine="482" w:firstLineChars="200"/>
    </w:pPr>
    <w:rPr>
      <w:rFonts w:cs="宋体"/>
      <w:b/>
      <w:bCs/>
      <w:sz w:val="24"/>
      <w:szCs w:val="20"/>
    </w:rPr>
  </w:style>
  <w:style w:type="character" w:customStyle="1" w:styleId="182">
    <w:name w:val="正文-1 Char"/>
    <w:link w:val="112"/>
    <w:qFormat/>
    <w:uiPriority w:val="0"/>
    <w:rPr>
      <w:rFonts w:ascii="Times New Roman" w:hAnsi="Times New Roman" w:eastAsia="宋体" w:cs="宋体"/>
      <w:kern w:val="2"/>
      <w:sz w:val="24"/>
      <w:lang w:val="en-US" w:eastAsia="zh-CN" w:bidi="ar-SA"/>
    </w:rPr>
  </w:style>
  <w:style w:type="character" w:customStyle="1" w:styleId="183">
    <w:name w:val="标题 2 Char"/>
    <w:link w:val="5"/>
    <w:qFormat/>
    <w:uiPriority w:val="0"/>
    <w:rPr>
      <w:rFonts w:ascii="黑体" w:hAnsi="宋体" w:eastAsia="Times New Roman"/>
      <w:b/>
      <w:bCs/>
      <w:snapToGrid w:val="0"/>
      <w:kern w:val="0"/>
      <w:szCs w:val="20"/>
    </w:rPr>
  </w:style>
  <w:style w:type="paragraph" w:customStyle="1" w:styleId="184">
    <w:name w:val="13"/>
    <w:basedOn w:val="1"/>
    <w:qFormat/>
    <w:uiPriority w:val="0"/>
    <w:pPr>
      <w:wordWrap w:val="0"/>
      <w:autoSpaceDE w:val="0"/>
      <w:autoSpaceDN w:val="0"/>
      <w:adjustRightInd w:val="0"/>
      <w:jc w:val="center"/>
    </w:pPr>
    <w:rPr>
      <w:rFonts w:ascii="Calibri" w:hAnsi="Calibri" w:eastAsia="宋体" w:cs="Times New Roman"/>
      <w:kern w:val="0"/>
      <w:szCs w:val="21"/>
    </w:rPr>
  </w:style>
  <w:style w:type="paragraph" w:customStyle="1" w:styleId="185">
    <w:name w:val="12"/>
    <w:basedOn w:val="1"/>
    <w:link w:val="188"/>
    <w:qFormat/>
    <w:uiPriority w:val="0"/>
    <w:pPr>
      <w:wordWrap w:val="0"/>
      <w:topLinePunct/>
      <w:adjustRightInd w:val="0"/>
      <w:snapToGrid w:val="0"/>
      <w:spacing w:line="360" w:lineRule="auto"/>
      <w:ind w:firstLine="200" w:firstLineChars="200"/>
      <w:jc w:val="left"/>
    </w:pPr>
    <w:rPr>
      <w:sz w:val="24"/>
    </w:rPr>
  </w:style>
  <w:style w:type="paragraph" w:customStyle="1" w:styleId="186">
    <w:name w:val="14"/>
    <w:basedOn w:val="1"/>
    <w:qFormat/>
    <w:uiPriority w:val="0"/>
    <w:pPr>
      <w:tabs>
        <w:tab w:val="right" w:pos="8306"/>
      </w:tabs>
      <w:spacing w:line="360" w:lineRule="auto"/>
      <w:jc w:val="center"/>
    </w:pPr>
    <w:rPr>
      <w:b/>
      <w:bCs/>
      <w:color w:val="000000"/>
      <w:szCs w:val="21"/>
    </w:rPr>
  </w:style>
  <w:style w:type="paragraph" w:customStyle="1" w:styleId="187">
    <w:name w:val="表格内容-龙池"/>
    <w:basedOn w:val="1"/>
    <w:qFormat/>
    <w:uiPriority w:val="0"/>
    <w:pPr>
      <w:autoSpaceDE w:val="0"/>
      <w:autoSpaceDN w:val="0"/>
      <w:adjustRightInd w:val="0"/>
      <w:contextualSpacing/>
      <w:jc w:val="center"/>
    </w:pPr>
    <w:rPr>
      <w:kern w:val="0"/>
      <w:szCs w:val="21"/>
    </w:rPr>
  </w:style>
  <w:style w:type="character" w:customStyle="1" w:styleId="188">
    <w:name w:val="12 Char"/>
    <w:basedOn w:val="43"/>
    <w:link w:val="185"/>
    <w:qFormat/>
    <w:uiPriority w:val="0"/>
    <w:rPr>
      <w:sz w:val="24"/>
    </w:rPr>
  </w:style>
  <w:style w:type="paragraph" w:customStyle="1" w:styleId="189">
    <w:name w:val="正文-龙池"/>
    <w:basedOn w:val="1"/>
    <w:qFormat/>
    <w:uiPriority w:val="0"/>
    <w:pPr>
      <w:autoSpaceDE w:val="0"/>
      <w:autoSpaceDN w:val="0"/>
      <w:adjustRightInd w:val="0"/>
      <w:spacing w:line="360" w:lineRule="auto"/>
      <w:ind w:firstLine="480" w:firstLineChars="200"/>
      <w:contextualSpacing/>
    </w:pPr>
    <w:rPr>
      <w:kern w:val="0"/>
      <w:sz w:val="24"/>
    </w:rPr>
  </w:style>
  <w:style w:type="paragraph" w:customStyle="1" w:styleId="190">
    <w:name w:val="标题-龙池"/>
    <w:basedOn w:val="1"/>
    <w:qFormat/>
    <w:uiPriority w:val="0"/>
    <w:pPr>
      <w:tabs>
        <w:tab w:val="left" w:pos="841"/>
      </w:tabs>
      <w:kinsoku w:val="0"/>
      <w:overflowPunct w:val="0"/>
      <w:autoSpaceDE w:val="0"/>
      <w:autoSpaceDN w:val="0"/>
      <w:adjustRightInd w:val="0"/>
      <w:spacing w:line="360" w:lineRule="auto"/>
      <w:contextualSpacing/>
      <w:jc w:val="center"/>
    </w:pPr>
    <w:rPr>
      <w:b/>
      <w:kern w:val="0"/>
      <w:szCs w:val="21"/>
    </w:rPr>
  </w:style>
  <w:style w:type="paragraph" w:customStyle="1" w:styleId="191">
    <w:name w:val="Body Text Indent"/>
    <w:basedOn w:val="1"/>
    <w:qFormat/>
    <w:uiPriority w:val="0"/>
    <w:pPr>
      <w:spacing w:line="360" w:lineRule="auto"/>
      <w:ind w:firstLine="480"/>
    </w:pPr>
    <w:rPr>
      <w:rFonts w:ascii="宋体"/>
      <w:sz w:val="24"/>
    </w:rPr>
  </w:style>
  <w:style w:type="paragraph" w:customStyle="1" w:styleId="192">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character" w:customStyle="1" w:styleId="193">
    <w:name w:val="font01"/>
    <w:basedOn w:val="43"/>
    <w:qFormat/>
    <w:uiPriority w:val="0"/>
    <w:rPr>
      <w:rFonts w:hint="eastAsia" w:ascii="宋体" w:hAnsi="宋体" w:eastAsia="宋体" w:cs="宋体"/>
      <w:color w:val="000000"/>
      <w:sz w:val="24"/>
      <w:szCs w:val="24"/>
      <w:u w:val="none"/>
      <w:vertAlign w:val="superscript"/>
    </w:rPr>
  </w:style>
  <w:style w:type="paragraph" w:customStyle="1" w:styleId="194">
    <w:name w:val="表格题目"/>
    <w:basedOn w:val="10"/>
    <w:next w:val="195"/>
    <w:qFormat/>
    <w:uiPriority w:val="0"/>
    <w:pPr>
      <w:keepNext/>
    </w:pPr>
    <w:rPr>
      <w:rFonts w:ascii="黑体" w:hAnsi="黑体" w:eastAsia="黑体"/>
      <w:szCs w:val="24"/>
    </w:rPr>
  </w:style>
  <w:style w:type="paragraph" w:customStyle="1" w:styleId="195">
    <w:name w:val="表名、图名"/>
    <w:basedOn w:val="1"/>
    <w:next w:val="1"/>
    <w:qFormat/>
    <w:uiPriority w:val="0"/>
    <w:pPr>
      <w:ind w:firstLine="0" w:firstLineChars="0"/>
      <w:jc w:val="center"/>
    </w:pPr>
    <w:rPr>
      <w:rFonts w:eastAsia="黑体"/>
    </w:rPr>
  </w:style>
  <w:style w:type="character" w:customStyle="1" w:styleId="196">
    <w:name w:val="font51"/>
    <w:basedOn w:val="43"/>
    <w:qFormat/>
    <w:uiPriority w:val="0"/>
    <w:rPr>
      <w:rFonts w:hint="default" w:ascii="Times New Roman" w:hAnsi="Times New Roman" w:cs="Times New Roman"/>
      <w:color w:val="000000"/>
      <w:sz w:val="21"/>
      <w:szCs w:val="21"/>
      <w:u w:val="none"/>
      <w:vertAlign w:val="superscript"/>
    </w:rPr>
  </w:style>
  <w:style w:type="character" w:customStyle="1" w:styleId="197">
    <w:name w:val="font71"/>
    <w:qFormat/>
    <w:uiPriority w:val="0"/>
    <w:rPr>
      <w:rFonts w:hint="eastAsia" w:ascii="宋体" w:hAnsi="宋体" w:eastAsia="宋体" w:cs="宋体"/>
      <w:b/>
      <w:color w:val="000000"/>
      <w:sz w:val="21"/>
      <w:szCs w:val="21"/>
      <w:u w:val="none"/>
    </w:rPr>
  </w:style>
  <w:style w:type="character" w:customStyle="1" w:styleId="198">
    <w:name w:val="font41"/>
    <w:qFormat/>
    <w:uiPriority w:val="0"/>
    <w:rPr>
      <w:rFonts w:hint="eastAsia" w:ascii="宋体" w:hAnsi="宋体" w:eastAsia="宋体" w:cs="宋体"/>
      <w:color w:val="000000"/>
      <w:sz w:val="21"/>
      <w:szCs w:val="21"/>
      <w:u w:val="none"/>
    </w:rPr>
  </w:style>
  <w:style w:type="character" w:customStyle="1" w:styleId="199">
    <w:name w:val="font81"/>
    <w:basedOn w:val="43"/>
    <w:qFormat/>
    <w:uiPriority w:val="0"/>
    <w:rPr>
      <w:rFonts w:hint="eastAsia" w:ascii="宋体" w:hAnsi="宋体" w:eastAsia="宋体" w:cs="宋体"/>
      <w:color w:val="000000"/>
      <w:sz w:val="24"/>
      <w:szCs w:val="24"/>
      <w:u w:val="none"/>
    </w:rPr>
  </w:style>
  <w:style w:type="character" w:customStyle="1" w:styleId="200">
    <w:name w:val="font101"/>
    <w:basedOn w:val="43"/>
    <w:qFormat/>
    <w:uiPriority w:val="0"/>
    <w:rPr>
      <w:rFonts w:hint="default" w:ascii="Times New Roman" w:hAnsi="Times New Roman" w:cs="Times New Roman"/>
      <w:color w:val="000000"/>
      <w:sz w:val="21"/>
      <w:szCs w:val="21"/>
      <w:u w:val="none"/>
      <w:vertAlign w:val="superscript"/>
    </w:rPr>
  </w:style>
  <w:style w:type="paragraph" w:customStyle="1" w:styleId="201">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bidi="ar-SA"/>
    </w:rPr>
  </w:style>
  <w:style w:type="table" w:customStyle="1" w:styleId="202">
    <w:name w:val="Table Grid_0"/>
    <w:basedOn w:val="41"/>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03">
    <w:name w:val="正文(首行缩进)宋旭峰"/>
    <w:basedOn w:val="9"/>
    <w:qFormat/>
    <w:uiPriority w:val="0"/>
    <w:pPr>
      <w:spacing w:line="360" w:lineRule="auto"/>
      <w:ind w:firstLine="480" w:firstLineChars="200"/>
    </w:pPr>
    <w:rPr>
      <w:snapToGrid w:val="0"/>
      <w:color w:val="0000FF"/>
      <w:kern w:val="0"/>
      <w:sz w:val="24"/>
      <w:szCs w:val="24"/>
    </w:rPr>
  </w:style>
  <w:style w:type="paragraph" w:customStyle="1" w:styleId="204">
    <w:name w:val="content"/>
    <w:basedOn w:val="1"/>
    <w:qFormat/>
    <w:uiPriority w:val="0"/>
    <w:pPr>
      <w:widowControl/>
      <w:spacing w:before="100" w:beforeAutospacing="1" w:after="100" w:afterAutospacing="1" w:line="360" w:lineRule="auto"/>
    </w:pPr>
    <w:rPr>
      <w:rFonts w:ascii="宋体" w:hAnsi="宋体"/>
      <w:kern w:val="0"/>
      <w:sz w:val="18"/>
      <w:szCs w:val="18"/>
    </w:rPr>
  </w:style>
  <w:style w:type="paragraph" w:customStyle="1" w:styleId="205">
    <w:name w:val="a正文"/>
    <w:basedOn w:val="1"/>
    <w:qFormat/>
    <w:uiPriority w:val="0"/>
    <w:pPr>
      <w:spacing w:line="360" w:lineRule="auto"/>
      <w:ind w:firstLine="200" w:firstLineChars="200"/>
    </w:pPr>
    <w:rPr>
      <w:rFonts w:ascii="Times New Roman" w:hAnsi="Times New Roman"/>
      <w:sz w:val="24"/>
      <w:szCs w:val="28"/>
    </w:rPr>
  </w:style>
  <w:style w:type="character" w:customStyle="1" w:styleId="206">
    <w:name w:val="nr1"/>
    <w:qFormat/>
    <w:uiPriority w:val="0"/>
    <w:rPr>
      <w:rFonts w:hint="default" w:ascii="ˎ̥" w:hAnsi="ˎ̥"/>
      <w:color w:val="000000"/>
      <w:sz w:val="21"/>
      <w:szCs w:val="21"/>
      <w:u w:val="none"/>
    </w:rPr>
  </w:style>
  <w:style w:type="paragraph" w:customStyle="1" w:styleId="207">
    <w:name w:val="1表内字"/>
    <w:next w:val="1"/>
    <w:qFormat/>
    <w:uiPriority w:val="0"/>
    <w:pPr>
      <w:shd w:val="clear" w:color="auto" w:fill="FFFFFF"/>
      <w:jc w:val="center"/>
    </w:pPr>
    <w:rPr>
      <w:rFonts w:ascii="Times New Roman" w:hAnsi="Times New Roman" w:eastAsia="宋体" w:cs="Times New Roman"/>
      <w:bCs/>
      <w:color w:val="000000"/>
      <w:kern w:val="2"/>
      <w:sz w:val="21"/>
      <w:szCs w:val="21"/>
      <w:lang w:val="en-US" w:eastAsia="zh-CN" w:bidi="ar-SA"/>
    </w:rPr>
  </w:style>
  <w:style w:type="paragraph" w:customStyle="1" w:styleId="208">
    <w:name w:val="TOC Heading"/>
    <w:basedOn w:val="3"/>
    <w:next w:val="1"/>
    <w:semiHidden/>
    <w:unhideWhenUsed/>
    <w:qFormat/>
    <w:uiPriority w:val="39"/>
    <w:pPr>
      <w:keepLines/>
      <w:widowControl/>
      <w:overflowPunct/>
      <w:snapToGrid/>
      <w:spacing w:before="480" w:after="0" w:line="276" w:lineRule="auto"/>
      <w:ind w:left="0" w:firstLine="0"/>
      <w:jc w:val="left"/>
      <w:outlineLvl w:val="9"/>
    </w:pPr>
    <w:rPr>
      <w:rFonts w:ascii="Cambria" w:hAnsi="Cambria" w:eastAsia="宋体"/>
      <w:color w:val="365F91"/>
      <w:kern w:val="0"/>
      <w:sz w:val="28"/>
      <w:szCs w:val="28"/>
    </w:rPr>
  </w:style>
  <w:style w:type="paragraph" w:customStyle="1" w:styleId="209">
    <w:name w:val="真·正文"/>
    <w:basedOn w:val="1"/>
    <w:next w:val="1"/>
    <w:qFormat/>
    <w:uiPriority w:val="0"/>
    <w:pPr>
      <w:ind w:firstLine="200"/>
    </w:pPr>
    <w:rPr>
      <w:rFonts w:ascii="Calibri"/>
      <w:sz w:val="24"/>
    </w:rPr>
  </w:style>
  <w:style w:type="paragraph" w:customStyle="1" w:styleId="210">
    <w:name w:val="正文A"/>
    <w:basedOn w:val="1"/>
    <w:qFormat/>
    <w:uiPriority w:val="0"/>
    <w:pPr>
      <w:spacing w:line="500" w:lineRule="exact"/>
      <w:ind w:firstLine="480" w:firstLineChars="200"/>
    </w:pPr>
    <w:rPr>
      <w:rFonts w:eastAsia="华文仿宋" w:cs="华文仿宋"/>
      <w:kern w:val="0"/>
      <w:sz w:val="24"/>
    </w:rPr>
  </w:style>
  <w:style w:type="paragraph" w:customStyle="1" w:styleId="211">
    <w:name w:val="表格正文(康健城)"/>
    <w:basedOn w:val="1"/>
    <w:qFormat/>
    <w:uiPriority w:val="0"/>
    <w:pPr>
      <w:adjustRightInd w:val="0"/>
      <w:snapToGrid w:val="0"/>
      <w:jc w:val="center"/>
    </w:pPr>
    <w:rPr>
      <w:szCs w:val="21"/>
    </w:rPr>
  </w:style>
  <w:style w:type="paragraph" w:customStyle="1" w:styleId="212">
    <w:name w:val="图件标题"/>
    <w:basedOn w:val="1"/>
    <w:qFormat/>
    <w:uiPriority w:val="0"/>
    <w:pPr>
      <w:ind w:firstLine="0" w:firstLineChars="0"/>
      <w:jc w:val="center"/>
    </w:pPr>
    <w:rPr>
      <w:rFonts w:ascii="Times New Roman" w:hAnsi="Times New Roman" w:eastAsia="宋体"/>
      <w:b/>
    </w:rPr>
  </w:style>
  <w:style w:type="character" w:customStyle="1" w:styleId="213">
    <w:name w:val="Default 字符"/>
    <w:link w:val="54"/>
    <w:qFormat/>
    <w:uiPriority w:val="0"/>
    <w:rPr>
      <w:rFonts w:ascii="宋体" w:hAnsi="Times New Roman" w:eastAsia="宋体" w:cs="宋体"/>
      <w:color w:val="000000"/>
      <w:sz w:val="24"/>
      <w:szCs w:val="24"/>
      <w:lang w:val="en-US" w:eastAsia="zh-CN" w:bidi="ar-SA"/>
    </w:rPr>
  </w:style>
  <w:style w:type="paragraph" w:customStyle="1" w:styleId="214">
    <w:name w:val="图表标题"/>
    <w:basedOn w:val="59"/>
    <w:next w:val="1"/>
    <w:qFormat/>
    <w:uiPriority w:val="0"/>
    <w:pPr>
      <w:jc w:val="center"/>
    </w:pPr>
    <w:rPr>
      <w:b/>
      <w:color w:val="000000"/>
      <w:szCs w:val="21"/>
    </w:rPr>
  </w:style>
  <w:style w:type="paragraph" w:customStyle="1" w:styleId="215">
    <w:name w:val="W正文"/>
    <w:basedOn w:val="1"/>
    <w:qFormat/>
    <w:uiPriority w:val="0"/>
    <w:pPr>
      <w:adjustRightInd w:val="0"/>
      <w:snapToGrid w:val="0"/>
      <w:spacing w:line="360" w:lineRule="auto"/>
      <w:ind w:firstLine="200" w:firstLineChars="200"/>
    </w:pPr>
    <w:rPr>
      <w:kern w:val="0"/>
      <w:sz w:val="24"/>
      <w:szCs w:val="20"/>
    </w:rPr>
  </w:style>
  <w:style w:type="paragraph" w:customStyle="1" w:styleId="216">
    <w:name w:val="标题3"/>
    <w:basedOn w:val="6"/>
    <w:qFormat/>
    <w:uiPriority w:val="0"/>
    <w:pPr>
      <w:keepLines w:val="0"/>
      <w:widowControl/>
      <w:ind w:firstLine="200" w:firstLineChars="200"/>
      <w:jc w:val="center"/>
    </w:pPr>
    <w:rPr>
      <w:bCs w:val="0"/>
      <w:color w:val="000000"/>
      <w:szCs w:val="28"/>
    </w:rPr>
  </w:style>
  <w:style w:type="paragraph" w:customStyle="1" w:styleId="217">
    <w:name w:val="！表格中"/>
    <w:basedOn w:val="1"/>
    <w:next w:val="1"/>
    <w:qFormat/>
    <w:uiPriority w:val="0"/>
    <w:pPr>
      <w:spacing w:line="240" w:lineRule="auto"/>
      <w:ind w:firstLine="0" w:firstLineChars="0"/>
      <w:jc w:val="center"/>
    </w:pPr>
    <w:rPr>
      <w:sz w:val="18"/>
    </w:rPr>
  </w:style>
  <w:style w:type="character" w:customStyle="1" w:styleId="218">
    <w:name w:val="font91"/>
    <w:qFormat/>
    <w:uiPriority w:val="0"/>
    <w:rPr>
      <w:rFonts w:hint="eastAsia" w:ascii="宋体" w:hAnsi="宋体" w:eastAsia="宋体" w:cs="宋体"/>
      <w:b/>
      <w:color w:val="000000"/>
      <w:sz w:val="21"/>
      <w:szCs w:val="21"/>
      <w:u w:val="none"/>
    </w:rPr>
  </w:style>
  <w:style w:type="character" w:customStyle="1" w:styleId="219">
    <w:name w:val="font12"/>
    <w:qFormat/>
    <w:uiPriority w:val="0"/>
    <w:rPr>
      <w:rFonts w:hint="default" w:ascii="Times New Roman" w:hAnsi="Times New Roman" w:cs="Times New Roman"/>
      <w:b/>
      <w:color w:val="000000"/>
      <w:sz w:val="21"/>
      <w:szCs w:val="21"/>
      <w:u w:val="none"/>
    </w:rPr>
  </w:style>
  <w:style w:type="character" w:customStyle="1" w:styleId="220">
    <w:name w:val="font111"/>
    <w:qFormat/>
    <w:uiPriority w:val="0"/>
    <w:rPr>
      <w:rFonts w:hint="default" w:ascii="Times New Roman" w:hAnsi="Times New Roman" w:cs="Times New Roman"/>
      <w:color w:val="000000"/>
      <w:sz w:val="21"/>
      <w:szCs w:val="21"/>
      <w:u w:val="none"/>
    </w:rPr>
  </w:style>
  <w:style w:type="paragraph" w:customStyle="1" w:styleId="221">
    <w:name w:val="样式 正文"/>
    <w:basedOn w:val="1"/>
    <w:next w:val="1"/>
    <w:qFormat/>
    <w:uiPriority w:val="0"/>
    <w:pPr>
      <w:spacing w:line="360" w:lineRule="auto"/>
      <w:ind w:firstLine="200" w:firstLineChars="200"/>
    </w:pPr>
    <w:rPr>
      <w:rFonts w:eastAsia="宋体"/>
      <w:kern w:val="2"/>
      <w:sz w:val="24"/>
      <w:szCs w:val="32"/>
      <w:lang w:val="en-US" w:eastAsia="zh-CN" w:bidi="ar-SA"/>
    </w:rPr>
  </w:style>
  <w:style w:type="paragraph" w:customStyle="1" w:styleId="222">
    <w:name w:val="正文样式-yu"/>
    <w:basedOn w:val="1"/>
    <w:qFormat/>
    <w:uiPriority w:val="0"/>
    <w:pPr>
      <w:spacing w:line="360" w:lineRule="auto"/>
    </w:pPr>
    <w:rPr>
      <w:rFonts w:ascii="宋体" w:hAnsi="宋体"/>
      <w:kern w:val="0"/>
      <w:sz w:val="28"/>
      <w:szCs w:val="20"/>
      <w:lang w:val="zh-CN"/>
    </w:rPr>
  </w:style>
  <w:style w:type="paragraph" w:customStyle="1" w:styleId="223">
    <w:name w:val="缩进"/>
    <w:basedOn w:val="1"/>
    <w:qFormat/>
    <w:uiPriority w:val="99"/>
    <w:pPr>
      <w:widowControl/>
      <w:autoSpaceDE w:val="0"/>
      <w:autoSpaceDN w:val="0"/>
      <w:adjustRightInd w:val="0"/>
      <w:spacing w:line="400" w:lineRule="atLeast"/>
      <w:ind w:firstLine="425"/>
      <w:jc w:val="left"/>
    </w:pPr>
    <w:rPr>
      <w:kern w:val="0"/>
      <w:sz w:val="24"/>
      <w:szCs w:val="20"/>
    </w:rPr>
  </w:style>
  <w:style w:type="paragraph" w:customStyle="1" w:styleId="224">
    <w:name w:val="xz标题4"/>
    <w:basedOn w:val="7"/>
    <w:qFormat/>
    <w:uiPriority w:val="0"/>
    <w:pPr>
      <w:numPr>
        <w:ilvl w:val="0"/>
        <w:numId w:val="0"/>
      </w:numPr>
      <w:tabs>
        <w:tab w:val="left" w:pos="360"/>
      </w:tabs>
      <w:adjustRightInd/>
      <w:spacing w:before="0" w:after="0" w:line="360" w:lineRule="auto"/>
      <w:textAlignment w:val="auto"/>
    </w:pPr>
    <w:rPr>
      <w:rFonts w:eastAsia="宋体"/>
      <w:bCs/>
      <w:kern w:val="2"/>
      <w:sz w:val="28"/>
      <w:szCs w:val="28"/>
    </w:rPr>
  </w:style>
  <w:style w:type="character" w:customStyle="1" w:styleId="225">
    <w:name w:val="p Char"/>
    <w:link w:val="150"/>
    <w:qFormat/>
    <w:uiPriority w:val="0"/>
    <w:rPr>
      <w:kern w:val="0"/>
      <w:sz w:val="20"/>
      <w:szCs w:val="20"/>
    </w:rPr>
  </w:style>
  <w:style w:type="paragraph" w:customStyle="1" w:styleId="226">
    <w:name w:val="大表格正文"/>
    <w:basedOn w:val="1"/>
    <w:qFormat/>
    <w:uiPriority w:val="0"/>
    <w:pPr>
      <w:spacing w:line="240" w:lineRule="auto"/>
      <w:ind w:firstLine="0" w:firstLineChars="0"/>
      <w:jc w:val="center"/>
    </w:pPr>
  </w:style>
  <w:style w:type="paragraph" w:customStyle="1" w:styleId="227">
    <w:name w:val="标准正文"/>
    <w:basedOn w:val="1"/>
    <w:qFormat/>
    <w:uiPriority w:val="0"/>
    <w:pPr>
      <w:spacing w:line="360" w:lineRule="auto"/>
      <w:ind w:firstLine="200" w:firstLineChars="200"/>
      <w:jc w:val="both"/>
    </w:pPr>
    <w:rPr>
      <w:sz w:val="24"/>
      <w:szCs w:val="22"/>
    </w:rPr>
  </w:style>
  <w:style w:type="paragraph" w:customStyle="1" w:styleId="228">
    <w:name w:val="样式 正文缩进 + 宋体 行距: 固定值 22 磅"/>
    <w:basedOn w:val="9"/>
    <w:qFormat/>
    <w:uiPriority w:val="0"/>
    <w:pPr>
      <w:ind w:firstLine="0" w:firstLineChars="0"/>
    </w:pPr>
    <w:rPr>
      <w:rFonts w:ascii="Arial Unicode MS" w:hAnsi="Arial Unicode MS" w:cs="宋体"/>
      <w:szCs w:val="20"/>
    </w:rPr>
  </w:style>
  <w:style w:type="paragraph" w:customStyle="1" w:styleId="229">
    <w:name w:val="样式 样式 样式 样式 小四 左 首行缩进:  2 字符 + 首行缩进:  2 字符 Char + 右  0 字符1 + 首行缩...3"/>
    <w:basedOn w:val="1"/>
    <w:qFormat/>
    <w:uiPriority w:val="0"/>
    <w:pPr>
      <w:adjustRightInd w:val="0"/>
      <w:spacing w:line="360" w:lineRule="auto"/>
      <w:ind w:firstLine="480" w:firstLineChars="200"/>
      <w:jc w:val="left"/>
      <w:textAlignment w:val="baseline"/>
    </w:pPr>
    <w:rPr>
      <w:rFonts w:cs="宋体"/>
      <w:sz w:val="24"/>
      <w:szCs w:val="20"/>
    </w:rPr>
  </w:style>
  <w:style w:type="paragraph" w:customStyle="1" w:styleId="230">
    <w:name w:val="正文-环评"/>
    <w:basedOn w:val="9"/>
    <w:qFormat/>
    <w:uiPriority w:val="0"/>
    <w:pPr>
      <w:spacing w:line="480" w:lineRule="exact"/>
      <w:ind w:firstLineChars="0"/>
    </w:pPr>
    <w:rPr>
      <w:rFonts w:eastAsia="仿宋"/>
      <w:bCs/>
      <w:sz w:val="28"/>
      <w:szCs w:val="28"/>
    </w:rPr>
  </w:style>
  <w:style w:type="paragraph" w:customStyle="1" w:styleId="231">
    <w:name w:val="环评正文"/>
    <w:basedOn w:val="1"/>
    <w:qFormat/>
    <w:uiPriority w:val="0"/>
    <w:pPr>
      <w:spacing w:line="500" w:lineRule="exact"/>
      <w:ind w:firstLine="200" w:firstLineChars="200"/>
      <w:jc w:val="left"/>
    </w:pPr>
    <w:rPr>
      <w:kern w:val="0"/>
      <w:sz w:val="24"/>
      <w:szCs w:val="20"/>
    </w:rPr>
  </w:style>
  <w:style w:type="paragraph" w:customStyle="1" w:styleId="232">
    <w:name w:val="_正文格式"/>
    <w:basedOn w:val="1"/>
    <w:qFormat/>
    <w:uiPriority w:val="0"/>
    <w:pPr>
      <w:spacing w:line="500" w:lineRule="exact"/>
      <w:ind w:firstLine="567"/>
      <w:jc w:val="left"/>
    </w:pPr>
    <w:rPr>
      <w:sz w:val="24"/>
    </w:rPr>
  </w:style>
  <w:style w:type="paragraph" w:customStyle="1" w:styleId="233">
    <w:name w:val="表格内"/>
    <w:basedOn w:val="1"/>
    <w:qFormat/>
    <w:uiPriority w:val="0"/>
    <w:pPr>
      <w:spacing w:line="360" w:lineRule="exact"/>
      <w:jc w:val="center"/>
    </w:pPr>
    <w:rPr>
      <w:rFonts w:ascii="Times New Roman" w:hAnsi="Times New Roman" w:cs="Times New Roman"/>
      <w:snapToGrid w:val="0"/>
      <w:szCs w:val="21"/>
    </w:rPr>
  </w:style>
  <w:style w:type="paragraph" w:customStyle="1" w:styleId="234">
    <w:name w:val="报告书正文"/>
    <w:basedOn w:val="1"/>
    <w:qFormat/>
    <w:uiPriority w:val="0"/>
    <w:pPr>
      <w:spacing w:line="360" w:lineRule="auto"/>
      <w:ind w:firstLine="480" w:firstLineChars="200"/>
    </w:pPr>
    <w:rPr>
      <w:rFonts w:ascii="Calibri" w:hAnsi="Calibri"/>
      <w:sz w:val="24"/>
    </w:rPr>
  </w:style>
  <w:style w:type="paragraph" w:customStyle="1" w:styleId="235">
    <w:name w:val="小标题"/>
    <w:basedOn w:val="97"/>
    <w:qFormat/>
    <w:uiPriority w:val="0"/>
    <w:pPr>
      <w:numPr>
        <w:ilvl w:val="0"/>
        <w:numId w:val="3"/>
      </w:numPr>
      <w:ind w:left="0" w:firstLine="200"/>
    </w:pPr>
    <w:rPr>
      <w:rFonts w:cs="Times New Roman"/>
      <w:b/>
    </w:rPr>
  </w:style>
  <w:style w:type="paragraph" w:customStyle="1" w:styleId="236">
    <w:name w:val="文本"/>
    <w:basedOn w:val="1"/>
    <w:qFormat/>
    <w:uiPriority w:val="0"/>
    <w:pPr>
      <w:adjustRightInd w:val="0"/>
      <w:snapToGrid w:val="0"/>
      <w:spacing w:line="360" w:lineRule="auto"/>
      <w:ind w:firstLine="480" w:firstLineChars="200"/>
      <w:jc w:val="left"/>
    </w:pPr>
    <w:rPr>
      <w:sz w:val="24"/>
      <w:szCs w:val="24"/>
    </w:rPr>
  </w:style>
  <w:style w:type="paragraph" w:customStyle="1" w:styleId="237">
    <w:name w:val="正文(首行缩进)"/>
    <w:basedOn w:val="1"/>
    <w:next w:val="1"/>
    <w:qFormat/>
    <w:uiPriority w:val="0"/>
    <w:pPr>
      <w:adjustRightInd w:val="0"/>
      <w:spacing w:line="360" w:lineRule="auto"/>
      <w:ind w:firstLine="540" w:firstLineChars="225"/>
      <w:textAlignment w:val="baseline"/>
    </w:pPr>
    <w:rPr>
      <w:color w:val="000000"/>
      <w:sz w:val="24"/>
    </w:rPr>
  </w:style>
  <w:style w:type="paragraph" w:customStyle="1" w:styleId="238">
    <w:name w:val="我"/>
    <w:basedOn w:val="1"/>
    <w:qFormat/>
    <w:uiPriority w:val="0"/>
    <w:pPr>
      <w:spacing w:line="360" w:lineRule="auto"/>
      <w:ind w:firstLine="640" w:firstLineChars="200"/>
    </w:pPr>
    <w:rPr>
      <w:kern w:val="0"/>
      <w:sz w:val="24"/>
      <w:szCs w:val="20"/>
    </w:rPr>
  </w:style>
  <w:style w:type="paragraph" w:customStyle="1" w:styleId="239">
    <w:name w:val="！正文"/>
    <w:basedOn w:val="1"/>
    <w:qFormat/>
    <w:uiPriority w:val="0"/>
    <w:pPr>
      <w:spacing w:line="460" w:lineRule="exact"/>
      <w:ind w:firstLine="200" w:firstLineChars="200"/>
    </w:pPr>
    <w:rPr>
      <w:spacing w:val="-2"/>
      <w:kern w:val="0"/>
      <w:sz w:val="24"/>
      <w:szCs w:val="20"/>
    </w:rPr>
  </w:style>
  <w:style w:type="paragraph" w:customStyle="1" w:styleId="240">
    <w:name w:val="rpt_表项"/>
    <w:basedOn w:val="1"/>
    <w:qFormat/>
    <w:uiPriority w:val="0"/>
    <w:pPr>
      <w:spacing w:before="60" w:after="60"/>
      <w:jc w:val="center"/>
    </w:pPr>
    <w:rPr>
      <w:rFonts w:cs="宋体"/>
      <w:sz w:val="22"/>
      <w:szCs w:val="20"/>
    </w:rPr>
  </w:style>
  <w:style w:type="paragraph" w:customStyle="1" w:styleId="241">
    <w:name w:val="表题注"/>
    <w:basedOn w:val="10"/>
    <w:qFormat/>
    <w:uiPriority w:val="0"/>
    <w:pPr>
      <w:jc w:val="center"/>
    </w:pPr>
    <w:rPr>
      <w:rFonts w:ascii="宋体" w:hAnsi="宋体" w:eastAsia="宋体" w:cs="宋体"/>
      <w:bCs/>
      <w:sz w:val="24"/>
    </w:rPr>
  </w:style>
  <w:style w:type="paragraph" w:customStyle="1" w:styleId="242">
    <w:name w:val="样式 样式 表格内文字 + 宋体 + Times New Roman"/>
    <w:basedOn w:val="1"/>
    <w:qFormat/>
    <w:uiPriority w:val="0"/>
    <w:pPr>
      <w:adjustRightInd w:val="0"/>
      <w:snapToGrid w:val="0"/>
      <w:spacing w:line="320" w:lineRule="exact"/>
      <w:jc w:val="center"/>
    </w:pPr>
    <w:rPr>
      <w:b/>
    </w:rPr>
  </w:style>
  <w:style w:type="paragraph" w:customStyle="1" w:styleId="243">
    <w:name w:val="表头标题格式"/>
    <w:basedOn w:val="1"/>
    <w:qFormat/>
    <w:uiPriority w:val="0"/>
    <w:pPr>
      <w:tabs>
        <w:tab w:val="left" w:pos="360"/>
        <w:tab w:val="left" w:pos="1620"/>
      </w:tabs>
      <w:ind w:firstLine="0" w:firstLineChars="0"/>
      <w:jc w:val="center"/>
    </w:pPr>
    <w:rPr>
      <w:rFonts w:ascii="黑体" w:hAnsi="黑体" w:eastAsia="黑体"/>
      <w:b/>
      <w:bCs/>
      <w:sz w:val="21"/>
      <w:szCs w:val="24"/>
    </w:rPr>
  </w:style>
  <w:style w:type="paragraph" w:customStyle="1" w:styleId="244">
    <w:name w:val="无间隔1"/>
    <w:next w:val="1"/>
    <w:qFormat/>
    <w:uiPriority w:val="1"/>
    <w:pPr>
      <w:widowControl w:val="0"/>
      <w:spacing w:line="240" w:lineRule="exact"/>
      <w:jc w:val="center"/>
    </w:pPr>
    <w:rPr>
      <w:rFonts w:ascii="Arial Unicode MS" w:hAnsi="Arial Unicode MS" w:eastAsia="宋体" w:cs="Times New Roman"/>
      <w:kern w:val="2"/>
      <w:sz w:val="21"/>
      <w:szCs w:val="24"/>
      <w:lang w:val="en-US" w:eastAsia="zh-CN" w:bidi="ar-SA"/>
    </w:rPr>
  </w:style>
  <w:style w:type="paragraph" w:customStyle="1" w:styleId="245">
    <w:name w:val="样式 正文 行距: 固定值 25 磅"/>
    <w:qFormat/>
    <w:uiPriority w:val="0"/>
    <w:pPr>
      <w:widowControl w:val="0"/>
      <w:adjustRightInd w:val="0"/>
      <w:spacing w:line="500" w:lineRule="exact"/>
      <w:ind w:firstLine="200" w:firstLineChars="200"/>
      <w:jc w:val="both"/>
    </w:pPr>
    <w:rPr>
      <w:rFonts w:ascii="Times New Roman" w:hAnsi="Times New Roman" w:eastAsia="宋体" w:cs="宋体"/>
      <w:kern w:val="2"/>
      <w:sz w:val="24"/>
      <w:szCs w:val="24"/>
      <w:lang w:val="en-US" w:eastAsia="zh-CN" w:bidi="ar-SA"/>
    </w:rPr>
  </w:style>
  <w:style w:type="paragraph" w:customStyle="1" w:styleId="246">
    <w:name w:val="三级"/>
    <w:basedOn w:val="1"/>
    <w:qFormat/>
    <w:uiPriority w:val="0"/>
    <w:pPr>
      <w:adjustRightInd w:val="0"/>
      <w:snapToGrid w:val="0"/>
      <w:spacing w:line="360" w:lineRule="auto"/>
      <w:jc w:val="left"/>
      <w:outlineLvl w:val="2"/>
    </w:pPr>
    <w:rPr>
      <w:b/>
      <w:kern w:val="0"/>
      <w:szCs w:val="24"/>
    </w:rPr>
  </w:style>
  <w:style w:type="paragraph" w:customStyle="1" w:styleId="247">
    <w:name w:val="王 表格文字"/>
    <w:basedOn w:val="1"/>
    <w:qFormat/>
    <w:uiPriority w:val="0"/>
    <w:pPr>
      <w:jc w:val="center"/>
    </w:pPr>
    <w:rPr>
      <w:rFonts w:eastAsia="仿宋_GB2312"/>
      <w:snapToGrid w:val="0"/>
    </w:rPr>
  </w:style>
  <w:style w:type="paragraph" w:customStyle="1" w:styleId="248">
    <w:name w:val="Char Char Char Char Char Char Char Char Char Char Char Char Char Char Char Char Char Char1 Char Char Char Char Char Char Char"/>
    <w:basedOn w:val="1"/>
    <w:qFormat/>
    <w:uiPriority w:val="0"/>
  </w:style>
  <w:style w:type="paragraph" w:customStyle="1" w:styleId="249">
    <w:name w:val="表格5号字"/>
    <w:qFormat/>
    <w:uiPriority w:val="0"/>
    <w:pPr>
      <w:widowControl w:val="0"/>
      <w:jc w:val="center"/>
    </w:pPr>
    <w:rPr>
      <w:rFonts w:ascii="Times New Roman" w:hAnsi="Times New Roman" w:eastAsia="宋体" w:cs="Times New Roman"/>
      <w:kern w:val="2"/>
      <w:sz w:val="21"/>
      <w:szCs w:val="21"/>
      <w:lang w:val="en-US" w:eastAsia="zh-CN" w:bidi="ar-SA"/>
    </w:rPr>
  </w:style>
  <w:style w:type="paragraph" w:customStyle="1" w:styleId="250">
    <w:name w:val="表"/>
    <w:basedOn w:val="1"/>
    <w:qFormat/>
    <w:uiPriority w:val="0"/>
    <w:pPr>
      <w:widowControl/>
      <w:jc w:val="center"/>
    </w:pPr>
    <w:rPr>
      <w:bCs/>
      <w:kern w:val="0"/>
      <w:sz w:val="21"/>
      <w:szCs w:val="21"/>
    </w:rPr>
  </w:style>
  <w:style w:type="paragraph" w:customStyle="1" w:styleId="251">
    <w:name w:val="x正文"/>
    <w:basedOn w:val="1"/>
    <w:qFormat/>
    <w:uiPriority w:val="0"/>
    <w:pPr>
      <w:adjustRightInd/>
      <w:spacing w:line="360" w:lineRule="auto"/>
      <w:ind w:firstLine="480" w:firstLineChars="200"/>
      <w:jc w:val="both"/>
      <w:textAlignment w:val="auto"/>
    </w:pPr>
    <w:rPr>
      <w:kern w:val="2"/>
      <w:sz w:val="24"/>
      <w:szCs w:val="24"/>
    </w:rPr>
  </w:style>
  <w:style w:type="table" w:customStyle="1" w:styleId="252">
    <w:name w:val="Table Normal"/>
    <w:basedOn w:val="41"/>
    <w:unhideWhenUsed/>
    <w:qFormat/>
    <w:uiPriority w:val="0"/>
    <w:tblPr>
      <w:tblCellMar>
        <w:top w:w="0" w:type="dxa"/>
        <w:left w:w="0" w:type="dxa"/>
        <w:bottom w:w="0" w:type="dxa"/>
        <w:right w:w="0" w:type="dxa"/>
      </w:tblCellMar>
    </w:tblPr>
  </w:style>
  <w:style w:type="character" w:customStyle="1" w:styleId="253">
    <w:name w:val="10"/>
    <w:basedOn w:val="43"/>
    <w:qFormat/>
    <w:uiPriority w:val="0"/>
    <w:rPr>
      <w:rFonts w:hint="default" w:ascii="Calibri" w:hAnsi="Calibri" w:cs="Calibri"/>
    </w:rPr>
  </w:style>
  <w:style w:type="character" w:customStyle="1" w:styleId="254">
    <w:name w:val="15"/>
    <w:basedOn w:val="43"/>
    <w:qFormat/>
    <w:uiPriority w:val="0"/>
    <w:rPr>
      <w:rFonts w:hint="default" w:ascii="Calibri" w:hAnsi="Calibri" w:cs="Calibri"/>
    </w:rPr>
  </w:style>
  <w:style w:type="character" w:customStyle="1" w:styleId="255">
    <w:name w:val=" Char Char26"/>
    <w:link w:val="7"/>
    <w:qFormat/>
    <w:uiPriority w:val="0"/>
    <w:rPr>
      <w:b/>
      <w:szCs w:val="20"/>
    </w:rPr>
  </w:style>
  <w:style w:type="paragraph" w:customStyle="1" w:styleId="256">
    <w:name w:val="表名2"/>
    <w:basedOn w:val="9"/>
    <w:qFormat/>
    <w:uiPriority w:val="0"/>
    <w:pPr>
      <w:tabs>
        <w:tab w:val="left" w:pos="4144"/>
      </w:tabs>
      <w:autoSpaceDE/>
      <w:autoSpaceDN/>
      <w:snapToGrid w:val="0"/>
      <w:ind w:firstLine="0" w:firstLineChars="0"/>
      <w:jc w:val="center"/>
      <w:textAlignment w:val="auto"/>
    </w:pPr>
    <w:rPr>
      <w:rFonts w:eastAsia="黑体"/>
      <w:kern w:val="10"/>
      <w:sz w:val="21"/>
      <w:szCs w:val="24"/>
    </w:rPr>
  </w:style>
  <w:style w:type="paragraph" w:customStyle="1" w:styleId="257">
    <w:name w:val="小表文居中"/>
    <w:basedOn w:val="258"/>
    <w:qFormat/>
    <w:uiPriority w:val="0"/>
    <w:pPr>
      <w:jc w:val="center"/>
    </w:pPr>
  </w:style>
  <w:style w:type="paragraph" w:customStyle="1" w:styleId="258">
    <w:name w:val="小表文"/>
    <w:basedOn w:val="1"/>
    <w:qFormat/>
    <w:uiPriority w:val="0"/>
    <w:pPr>
      <w:spacing w:before="20" w:line="240" w:lineRule="auto"/>
      <w:ind w:firstLine="0"/>
    </w:pPr>
    <w:rPr>
      <w:sz w:val="18"/>
    </w:rPr>
  </w:style>
  <w:style w:type="paragraph" w:customStyle="1" w:styleId="259">
    <w:name w:val="表格文字（内）"/>
    <w:basedOn w:val="1"/>
    <w:qFormat/>
    <w:uiPriority w:val="0"/>
    <w:pPr>
      <w:adjustRightInd w:val="0"/>
      <w:snapToGrid w:val="0"/>
      <w:jc w:val="center"/>
    </w:pPr>
    <w:rPr>
      <w:snapToGrid w:val="0"/>
      <w:szCs w:val="21"/>
    </w:rPr>
  </w:style>
  <w:style w:type="paragraph" w:customStyle="1" w:styleId="260">
    <w:name w:val="文本111"/>
    <w:basedOn w:val="1"/>
    <w:qFormat/>
    <w:uiPriority w:val="0"/>
    <w:pPr>
      <w:wordWrap w:val="0"/>
      <w:adjustRightInd w:val="0"/>
      <w:snapToGrid w:val="0"/>
      <w:spacing w:line="360" w:lineRule="auto"/>
      <w:ind w:firstLine="480" w:firstLineChars="200"/>
      <w:jc w:val="left"/>
    </w:pPr>
    <w:rPr>
      <w:color w:val="000000"/>
      <w:sz w:val="24"/>
    </w:rPr>
  </w:style>
  <w:style w:type="paragraph" w:customStyle="1" w:styleId="261">
    <w:name w:val="图标标题"/>
    <w:basedOn w:val="1"/>
    <w:qFormat/>
    <w:uiPriority w:val="0"/>
    <w:pPr>
      <w:jc w:val="center"/>
    </w:pPr>
    <w:rPr>
      <w:b/>
      <w:szCs w:val="21"/>
    </w:rPr>
  </w:style>
  <w:style w:type="paragraph" w:customStyle="1" w:styleId="262">
    <w:name w:val="表头-s"/>
    <w:basedOn w:val="1"/>
    <w:qFormat/>
    <w:uiPriority w:val="0"/>
    <w:pPr>
      <w:spacing w:beforeLines="50"/>
      <w:jc w:val="center"/>
    </w:pPr>
    <w:rPr>
      <w:rFonts w:ascii="宋体" w:hAnsi="宋体"/>
      <w:b/>
      <w:sz w:val="24"/>
    </w:rPr>
  </w:style>
  <w:style w:type="paragraph" w:customStyle="1" w:styleId="263">
    <w:name w:val="6表格内容"/>
    <w:basedOn w:val="1"/>
    <w:next w:val="1"/>
    <w:qFormat/>
    <w:uiPriority w:val="0"/>
    <w:pPr>
      <w:jc w:val="center"/>
    </w:pPr>
    <w:rPr>
      <w:rFonts w:eastAsia="宋体"/>
      <w:szCs w:val="24"/>
    </w:rPr>
  </w:style>
  <w:style w:type="character" w:customStyle="1" w:styleId="264">
    <w:name w:val="表格内容 字符"/>
    <w:link w:val="76"/>
    <w:qFormat/>
    <w:uiPriority w:val="0"/>
    <w:rPr>
      <w:color w:val="000000"/>
    </w:rPr>
  </w:style>
  <w:style w:type="paragraph" w:customStyle="1" w:styleId="265">
    <w:name w:val="0报告正文"/>
    <w:basedOn w:val="1"/>
    <w:qFormat/>
    <w:uiPriority w:val="0"/>
    <w:pPr>
      <w:spacing w:line="360" w:lineRule="auto"/>
      <w:ind w:firstLine="200" w:firstLineChars="200"/>
    </w:pPr>
    <w:rPr>
      <w:rFonts w:ascii="Times New Roman" w:hAnsi="Times New Roman"/>
      <w:sz w:val="24"/>
      <w:szCs w:val="22"/>
    </w:rPr>
  </w:style>
  <w:style w:type="paragraph" w:customStyle="1" w:styleId="266">
    <w:name w:val="表2.3-1"/>
    <w:basedOn w:val="1"/>
    <w:qFormat/>
    <w:uiPriority w:val="0"/>
    <w:pPr>
      <w:numPr>
        <w:ilvl w:val="0"/>
        <w:numId w:val="4"/>
      </w:numPr>
      <w:adjustRightInd w:val="0"/>
      <w:snapToGrid w:val="0"/>
      <w:spacing w:line="320" w:lineRule="exact"/>
      <w:ind w:firstLine="420" w:firstLineChars="200"/>
      <w:jc w:val="center"/>
      <w:outlineLvl w:val="4"/>
    </w:pPr>
    <w:rPr>
      <w:rFonts w:ascii="Arial" w:hAnsi="Arial"/>
      <w:sz w:val="24"/>
      <w:szCs w:val="21"/>
    </w:rPr>
  </w:style>
  <w:style w:type="paragraph" w:customStyle="1" w:styleId="267">
    <w:name w:val="表名"/>
    <w:basedOn w:val="268"/>
    <w:next w:val="1"/>
    <w:qFormat/>
    <w:uiPriority w:val="0"/>
    <w:pPr>
      <w:numPr>
        <w:ilvl w:val="0"/>
        <w:numId w:val="0"/>
      </w:numPr>
      <w:tabs>
        <w:tab w:val="left" w:pos="0"/>
        <w:tab w:val="left" w:pos="420"/>
      </w:tabs>
      <w:spacing w:before="20" w:beforeLines="20"/>
      <w:ind w:firstLine="567"/>
      <w:jc w:val="left"/>
      <w:outlineLvl w:val="6"/>
    </w:pPr>
    <w:rPr>
      <w:rFonts w:ascii="Times New Roman" w:hAnsi="Times New Roman"/>
    </w:rPr>
  </w:style>
  <w:style w:type="paragraph" w:customStyle="1" w:styleId="268">
    <w:name w:val="图名"/>
    <w:basedOn w:val="1"/>
    <w:next w:val="1"/>
    <w:qFormat/>
    <w:uiPriority w:val="0"/>
    <w:pPr>
      <w:tabs>
        <w:tab w:val="left" w:pos="0"/>
      </w:tabs>
      <w:adjustRightInd w:val="0"/>
      <w:snapToGrid w:val="0"/>
      <w:spacing w:after="20" w:afterLines="20"/>
      <w:jc w:val="center"/>
      <w:outlineLvl w:val="7"/>
    </w:pPr>
    <w:rPr>
      <w:rFonts w:ascii="黑体" w:hAnsi="黑体"/>
      <w:b/>
      <w:sz w:val="24"/>
    </w:rPr>
  </w:style>
  <w:style w:type="character" w:customStyle="1" w:styleId="269">
    <w:name w:val="样式5 Char"/>
    <w:link w:val="25"/>
    <w:qFormat/>
    <w:uiPriority w:val="0"/>
    <w:rPr>
      <w:sz w:val="24"/>
    </w:rPr>
  </w:style>
  <w:style w:type="paragraph" w:customStyle="1" w:styleId="270">
    <w:name w:val="表格内容1"/>
    <w:basedOn w:val="1"/>
    <w:qFormat/>
    <w:uiPriority w:val="0"/>
    <w:pPr>
      <w:jc w:val="center"/>
    </w:pPr>
    <w:rPr>
      <w:rFonts w:ascii="Times New Roman" w:hAnsi="Times New Roman" w:eastAsia="宋体"/>
      <w:color w:val="000000"/>
      <w:kern w:val="0"/>
      <w:szCs w:val="21"/>
    </w:rPr>
  </w:style>
  <w:style w:type="paragraph" w:customStyle="1" w:styleId="271">
    <w:name w:val="表格标题1"/>
    <w:basedOn w:val="1"/>
    <w:qFormat/>
    <w:uiPriority w:val="0"/>
    <w:pPr>
      <w:autoSpaceDE w:val="0"/>
      <w:autoSpaceDN w:val="0"/>
      <w:adjustRightInd w:val="0"/>
      <w:jc w:val="center"/>
    </w:pPr>
    <w:rPr>
      <w:rFonts w:cs="宋体"/>
      <w:b/>
      <w:color w:val="000000"/>
    </w:rPr>
  </w:style>
  <w:style w:type="paragraph" w:customStyle="1" w:styleId="272">
    <w:name w:val="样式6"/>
    <w:next w:val="25"/>
    <w:qFormat/>
    <w:uiPriority w:val="0"/>
    <w:pPr>
      <w:adjustRightInd w:val="0"/>
      <w:snapToGrid w:val="0"/>
      <w:spacing w:line="240" w:lineRule="auto"/>
      <w:ind w:left="0" w:leftChars="0" w:firstLine="0" w:firstLineChars="0"/>
      <w:jc w:val="center"/>
    </w:pPr>
    <w:rPr>
      <w:rFonts w:ascii="宋体" w:hAnsi="宋体" w:eastAsia="宋体" w:cs="Times New Roman"/>
      <w:kern w:val="0"/>
      <w:sz w:val="21"/>
      <w:szCs w:val="20"/>
    </w:rPr>
  </w:style>
  <w:style w:type="paragraph" w:customStyle="1" w:styleId="273">
    <w:name w:val="表格样式"/>
    <w:basedOn w:val="1"/>
    <w:qFormat/>
    <w:uiPriority w:val="0"/>
    <w:pPr>
      <w:adjustRightInd w:val="0"/>
      <w:snapToGrid w:val="0"/>
      <w:jc w:val="center"/>
      <w:textAlignment w:val="center"/>
    </w:pPr>
    <w:rPr>
      <w:sz w:val="28"/>
    </w:rPr>
  </w:style>
  <w:style w:type="paragraph" w:customStyle="1" w:styleId="274">
    <w:name w:val="正文文字1"/>
    <w:basedOn w:val="1"/>
    <w:qFormat/>
    <w:uiPriority w:val="0"/>
    <w:pPr>
      <w:adjustRightInd w:val="0"/>
      <w:snapToGrid w:val="0"/>
      <w:spacing w:line="360" w:lineRule="auto"/>
      <w:ind w:firstLine="472" w:firstLineChars="200"/>
      <w:jc w:val="left"/>
    </w:pPr>
    <w:rPr>
      <w:spacing w:val="-2"/>
      <w:szCs w:val="20"/>
    </w:rPr>
  </w:style>
  <w:style w:type="character" w:customStyle="1" w:styleId="275">
    <w:name w:val="标题 3 Char"/>
    <w:link w:val="6"/>
    <w:qFormat/>
    <w:uiPriority w:val="0"/>
    <w:rPr>
      <w:rFonts w:ascii="黑体" w:hAnsi="宋体" w:eastAsia="Times New Roman"/>
      <w:bCs/>
      <w:snapToGrid w:val="0"/>
      <w:kern w:val="0"/>
      <w:szCs w:val="20"/>
    </w:rPr>
  </w:style>
  <w:style w:type="paragraph" w:customStyle="1" w:styleId="276">
    <w:name w:val="+正文"/>
    <w:basedOn w:val="1"/>
    <w:qFormat/>
    <w:uiPriority w:val="0"/>
    <w:pPr>
      <w:spacing w:line="360" w:lineRule="auto"/>
      <w:ind w:firstLine="200" w:firstLineChars="200"/>
    </w:pPr>
    <w:rPr>
      <w:sz w:val="24"/>
      <w:szCs w:val="28"/>
    </w:rPr>
  </w:style>
  <w:style w:type="paragraph" w:customStyle="1" w:styleId="277">
    <w:name w:val="列出段落1"/>
    <w:basedOn w:val="1"/>
    <w:qFormat/>
    <w:uiPriority w:val="99"/>
    <w:pPr>
      <w:ind w:firstLine="420" w:firstLineChars="200"/>
    </w:pPr>
  </w:style>
  <w:style w:type="paragraph" w:customStyle="1" w:styleId="278">
    <w:name w:val="+++ 表头"/>
    <w:basedOn w:val="1"/>
    <w:qFormat/>
    <w:uiPriority w:val="0"/>
    <w:pPr>
      <w:spacing w:line="360" w:lineRule="auto"/>
      <w:jc w:val="center"/>
    </w:pPr>
    <w:rPr>
      <w:rFonts w:cs="宋体"/>
      <w:b/>
      <w:bCs/>
      <w:color w:val="99CC00"/>
      <w:sz w:val="24"/>
    </w:rPr>
  </w:style>
  <w:style w:type="paragraph" w:customStyle="1" w:styleId="279">
    <w:name w:val="列出段落11"/>
    <w:basedOn w:val="1"/>
    <w:qFormat/>
    <w:uiPriority w:val="0"/>
    <w:pPr>
      <w:ind w:firstLine="420" w:firstLineChars="200"/>
    </w:pPr>
  </w:style>
  <w:style w:type="paragraph" w:customStyle="1" w:styleId="280">
    <w:name w:val="_Style 2"/>
    <w:basedOn w:val="14"/>
    <w:next w:val="18"/>
    <w:qFormat/>
    <w:uiPriority w:val="34"/>
    <w:pPr>
      <w:ind w:firstLine="420" w:firstLineChars="200"/>
    </w:pPr>
  </w:style>
  <w:style w:type="paragraph" w:customStyle="1" w:styleId="281">
    <w:name w:val="其他 (2)"/>
    <w:basedOn w:val="1"/>
    <w:qFormat/>
    <w:uiPriority w:val="0"/>
    <w:pPr>
      <w:shd w:val="clear" w:color="auto" w:fill="FFFFFF"/>
      <w:spacing w:line="228" w:lineRule="exact"/>
    </w:pPr>
    <w:rPr>
      <w:rFonts w:ascii="宋体" w:hAnsi="宋体" w:eastAsia="宋体" w:cs="宋体"/>
      <w:sz w:val="20"/>
      <w:szCs w:val="20"/>
      <w:lang w:val="zh-CN" w:bidi="zh-CN"/>
    </w:rPr>
  </w:style>
  <w:style w:type="paragraph" w:customStyle="1" w:styleId="282">
    <w:name w:val="其他"/>
    <w:basedOn w:val="1"/>
    <w:qFormat/>
    <w:uiPriority w:val="0"/>
    <w:pPr>
      <w:shd w:val="clear" w:color="auto" w:fill="FFFFFF"/>
      <w:spacing w:line="271" w:lineRule="exact"/>
      <w:jc w:val="center"/>
    </w:pPr>
    <w:rPr>
      <w:rFonts w:ascii="宋体" w:hAnsi="宋体" w:eastAsia="宋体" w:cs="宋体"/>
      <w:sz w:val="20"/>
      <w:szCs w:val="20"/>
      <w:lang w:val="zh-CN" w:bidi="zh-CN"/>
    </w:rPr>
  </w:style>
  <w:style w:type="paragraph" w:customStyle="1" w:styleId="283">
    <w:name w:val="表头1111"/>
    <w:basedOn w:val="1"/>
    <w:qFormat/>
    <w:uiPriority w:val="0"/>
    <w:pPr>
      <w:jc w:val="center"/>
      <w:textAlignment w:val="baseline"/>
    </w:pPr>
    <w:rPr>
      <w:rFonts w:hAnsi="宋体"/>
      <w:b/>
      <w:bCs/>
      <w:szCs w:val="21"/>
    </w:rPr>
  </w:style>
  <w:style w:type="paragraph" w:customStyle="1" w:styleId="284">
    <w:name w:val="真·表头"/>
    <w:basedOn w:val="1"/>
    <w:qFormat/>
    <w:uiPriority w:val="0"/>
    <w:pPr>
      <w:spacing w:line="360" w:lineRule="auto"/>
      <w:jc w:val="center"/>
    </w:pPr>
    <w:rPr>
      <w:rFonts w:ascii="Times New Roman" w:hAnsi="Times New Roman" w:eastAsia="黑体" w:cs="Times New Roman"/>
      <w:sz w:val="24"/>
      <w:szCs w:val="30"/>
    </w:rPr>
  </w:style>
  <w:style w:type="paragraph" w:customStyle="1" w:styleId="285">
    <w:name w:val="2"/>
    <w:basedOn w:val="1"/>
    <w:next w:val="18"/>
    <w:qFormat/>
    <w:uiPriority w:val="0"/>
    <w:rPr>
      <w:rFonts w:ascii="宋体" w:hAnsi="Courier New" w:cs="Courier New"/>
      <w:szCs w:val="21"/>
    </w:rPr>
  </w:style>
  <w:style w:type="paragraph" w:customStyle="1" w:styleId="286">
    <w:name w:val="表格标题新"/>
    <w:basedOn w:val="1"/>
    <w:qFormat/>
    <w:uiPriority w:val="0"/>
    <w:pPr>
      <w:tabs>
        <w:tab w:val="left" w:pos="0"/>
      </w:tabs>
      <w:adjustRightInd w:val="0"/>
      <w:snapToGrid w:val="0"/>
      <w:spacing w:before="156" w:beforeLines="50"/>
      <w:jc w:val="center"/>
    </w:pPr>
    <w:rPr>
      <w:rFonts w:ascii="黑体" w:eastAsia="黑体"/>
      <w:snapToGrid w:val="0"/>
      <w:spacing w:val="4"/>
      <w:kern w:val="0"/>
      <w:sz w:val="24"/>
    </w:rPr>
  </w:style>
  <w:style w:type="paragraph" w:customStyle="1" w:styleId="287">
    <w:name w:val="BG"/>
    <w:basedOn w:val="1"/>
    <w:unhideWhenUsed/>
    <w:qFormat/>
    <w:uiPriority w:val="99"/>
    <w:pPr>
      <w:snapToGrid w:val="0"/>
      <w:jc w:val="center"/>
    </w:pPr>
  </w:style>
  <w:style w:type="paragraph" w:customStyle="1" w:styleId="288">
    <w:name w:val="列出段落3"/>
    <w:basedOn w:val="1"/>
    <w:qFormat/>
    <w:uiPriority w:val="0"/>
    <w:pPr>
      <w:widowControl/>
      <w:spacing w:after="200" w:line="252" w:lineRule="auto"/>
      <w:ind w:left="720"/>
      <w:contextualSpacing/>
      <w:jc w:val="left"/>
    </w:pPr>
    <w:rPr>
      <w:rFonts w:ascii="Cambria" w:hAnsi="Cambria" w:eastAsia="宋体"/>
      <w:kern w:val="0"/>
      <w:sz w:val="22"/>
      <w:lang w:eastAsia="en-US" w:bidi="en-US"/>
    </w:rPr>
  </w:style>
  <w:style w:type="paragraph" w:customStyle="1" w:styleId="289">
    <w:name w:val="List Paragraph1"/>
    <w:basedOn w:val="1"/>
    <w:qFormat/>
    <w:uiPriority w:val="99"/>
    <w:pPr>
      <w:widowControl/>
      <w:spacing w:after="200" w:line="252" w:lineRule="auto"/>
      <w:ind w:left="720"/>
      <w:contextualSpacing/>
      <w:jc w:val="left"/>
    </w:pPr>
    <w:rPr>
      <w:rFonts w:ascii="Cambria" w:hAnsi="Cambria" w:eastAsia="宋体"/>
      <w:kern w:val="0"/>
      <w:sz w:val="22"/>
      <w:lang w:eastAsia="en-US"/>
    </w:rPr>
  </w:style>
  <w:style w:type="paragraph" w:customStyle="1" w:styleId="290">
    <w:name w:val="表内文字"/>
    <w:basedOn w:val="1"/>
    <w:qFormat/>
    <w:uiPriority w:val="0"/>
    <w:pPr>
      <w:topLinePunct/>
      <w:jc w:val="center"/>
    </w:pPr>
    <w:rPr>
      <w:rFonts w:ascii="宋体" w:hAnsi="宋体"/>
      <w:bCs/>
      <w:sz w:val="24"/>
      <w:szCs w:val="22"/>
    </w:rPr>
  </w:style>
  <w:style w:type="paragraph" w:customStyle="1" w:styleId="291">
    <w:name w:val="本文正文"/>
    <w:basedOn w:val="1"/>
    <w:qFormat/>
    <w:uiPriority w:val="0"/>
    <w:pPr>
      <w:ind w:firstLine="560"/>
    </w:pPr>
    <w:rPr>
      <w:szCs w:val="28"/>
    </w:rPr>
  </w:style>
  <w:style w:type="paragraph" w:customStyle="1" w:styleId="292">
    <w:name w:val="Heading 1"/>
    <w:basedOn w:val="1"/>
    <w:qFormat/>
    <w:uiPriority w:val="1"/>
    <w:pPr>
      <w:outlineLvl w:val="0"/>
    </w:pPr>
    <w:rPr>
      <w:rFonts w:ascii="黑体" w:eastAsia="黑体" w:cs="黑体"/>
      <w:b/>
      <w:bCs/>
      <w:sz w:val="36"/>
      <w:szCs w:val="36"/>
    </w:rPr>
  </w:style>
  <w:style w:type="paragraph" w:customStyle="1" w:styleId="293">
    <w:name w:val="Char"/>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23.wmf"/><Relationship Id="rId42" Type="http://schemas.openxmlformats.org/officeDocument/2006/relationships/oleObject" Target="embeddings/oleObject6.bin"/><Relationship Id="rId41" Type="http://schemas.openxmlformats.org/officeDocument/2006/relationships/image" Target="media/image22.png"/><Relationship Id="rId40" Type="http://schemas.openxmlformats.org/officeDocument/2006/relationships/image" Target="media/image21.jpeg"/><Relationship Id="rId4" Type="http://schemas.openxmlformats.org/officeDocument/2006/relationships/header" Target="header2.xml"/><Relationship Id="rId39" Type="http://schemas.openxmlformats.org/officeDocument/2006/relationships/image" Target="media/image20.png"/><Relationship Id="rId38" Type="http://schemas.openxmlformats.org/officeDocument/2006/relationships/image" Target="media/image19.png"/><Relationship Id="rId37" Type="http://schemas.openxmlformats.org/officeDocument/2006/relationships/image" Target="media/image18.png"/><Relationship Id="rId36" Type="http://schemas.openxmlformats.org/officeDocument/2006/relationships/image" Target="media/image17.png"/><Relationship Id="rId35" Type="http://schemas.openxmlformats.org/officeDocument/2006/relationships/image" Target="media/image16.png"/><Relationship Id="rId34" Type="http://schemas.openxmlformats.org/officeDocument/2006/relationships/image" Target="media/image15.png"/><Relationship Id="rId33" Type="http://schemas.openxmlformats.org/officeDocument/2006/relationships/image" Target="media/image14.jpeg"/><Relationship Id="rId32" Type="http://schemas.openxmlformats.org/officeDocument/2006/relationships/image" Target="media/image13.png"/><Relationship Id="rId31" Type="http://schemas.openxmlformats.org/officeDocument/2006/relationships/image" Target="media/image12.wmf"/><Relationship Id="rId30" Type="http://schemas.openxmlformats.org/officeDocument/2006/relationships/oleObject" Target="embeddings/oleObject5.bin"/><Relationship Id="rId3" Type="http://schemas.openxmlformats.org/officeDocument/2006/relationships/header" Target="header1.xml"/><Relationship Id="rId29" Type="http://schemas.openxmlformats.org/officeDocument/2006/relationships/image" Target="media/image11.wmf"/><Relationship Id="rId28" Type="http://schemas.openxmlformats.org/officeDocument/2006/relationships/oleObject" Target="embeddings/oleObject4.bin"/><Relationship Id="rId27" Type="http://schemas.openxmlformats.org/officeDocument/2006/relationships/image" Target="media/image10.wmf"/><Relationship Id="rId26" Type="http://schemas.openxmlformats.org/officeDocument/2006/relationships/oleObject" Target="embeddings/oleObject3.bin"/><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emf"/><Relationship Id="rId22" Type="http://schemas.openxmlformats.org/officeDocument/2006/relationships/oleObject" Target="embeddings/oleObject2.bin"/><Relationship Id="rId21" Type="http://schemas.openxmlformats.org/officeDocument/2006/relationships/image" Target="media/image6.png"/><Relationship Id="rId20" Type="http://schemas.openxmlformats.org/officeDocument/2006/relationships/image" Target="media/image5.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4.pn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184</Pages>
  <Words>125899</Words>
  <Characters>136585</Characters>
  <Lines>1009</Lines>
  <Paragraphs>284</Paragraphs>
  <TotalTime>0</TotalTime>
  <ScaleCrop>false</ScaleCrop>
  <LinksUpToDate>false</LinksUpToDate>
  <CharactersWithSpaces>137393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2011-01-01T03:18:00Z</dcterms:created>
  <dc:creator>黑桃A</dc:creator>
  <cp:lastModifiedBy>Administrator</cp:lastModifiedBy>
  <dcterms:modified xsi:type="dcterms:W3CDTF">2023-05-25T07:32:55Z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B576C2D9AB664531991FDE20E0830230</vt:lpwstr>
  </property>
</Properties>
</file>